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4"/>
          <w:szCs w:val="4"/>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c9</w:t>
      </w:r>
    </w:p>
    <w:p>
      <w:pPr>
        <w:jc w:val="center"/>
        <w:spacing w:after="0" w:line="232" w:lineRule="auto"/>
        <w:rPr>
          <w:sz w:val="20"/>
          <w:szCs w:val="20"/>
          <w:color w:val="auto"/>
        </w:rPr>
      </w:pPr>
      <w:r>
        <w:rPr>
          <w:rFonts w:ascii="Calibri" w:cs="Calibri" w:eastAsia="Calibri" w:hAnsi="Calibri"/>
          <w:sz w:val="22"/>
          <w:szCs w:val="22"/>
          <w:b w:val="1"/>
          <w:bCs w:val="1"/>
          <w:color w:val="auto"/>
        </w:rPr>
        <w:t>UNITED STATES</w:t>
      </w:r>
    </w:p>
    <w:p>
      <w:pPr>
        <w:spacing w:after="0" w:line="14" w:lineRule="exact"/>
        <w:rPr>
          <w:sz w:val="24"/>
          <w:szCs w:val="24"/>
          <w:color w:val="auto"/>
        </w:rPr>
      </w:pPr>
    </w:p>
    <w:p>
      <w:pPr>
        <w:jc w:val="center"/>
        <w:spacing w:after="0"/>
        <w:rPr>
          <w:sz w:val="20"/>
          <w:szCs w:val="20"/>
          <w:color w:val="auto"/>
        </w:rPr>
      </w:pPr>
      <w:r>
        <w:rPr>
          <w:rFonts w:ascii="Calibri" w:cs="Calibri" w:eastAsia="Calibri" w:hAnsi="Calibri"/>
          <w:sz w:val="21"/>
          <w:szCs w:val="21"/>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Calibri" w:cs="Calibri" w:eastAsia="Calibri" w:hAnsi="Calibri"/>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64135</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96"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FORM 10-K</w:t>
      </w:r>
    </w:p>
    <w:p>
      <w:pPr>
        <w:spacing w:after="0"/>
        <w:rPr>
          <w:sz w:val="20"/>
          <w:szCs w:val="20"/>
          <w:color w:val="auto"/>
        </w:rPr>
      </w:pPr>
      <w:r>
        <w:rPr>
          <w:rFonts w:ascii="Calibri" w:cs="Calibri" w:eastAsia="Calibri" w:hAnsi="Calibri"/>
          <w:sz w:val="18"/>
          <w:szCs w:val="18"/>
          <w:b w:val="1"/>
          <w:bCs w:val="1"/>
          <w:color w:val="auto"/>
        </w:rPr>
        <w:t>(</w:t>
      </w:r>
      <w:r>
        <w:rPr>
          <w:rFonts w:ascii="Calibri" w:cs="Calibri" w:eastAsia="Calibri" w:hAnsi="Calibri"/>
          <w:sz w:val="16"/>
          <w:szCs w:val="16"/>
          <w:b w:val="1"/>
          <w:bCs w:val="1"/>
          <w:color w:val="auto"/>
        </w:rPr>
        <w:t>Mark One)</w:t>
      </w:r>
    </w:p>
    <w:p>
      <w:pPr>
        <w:spacing w:after="0" w:line="28"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highlight w:val="black"/>
        </w:rPr>
      </w:pPr>
      <w:r>
        <w:rPr>
          <w:rFonts w:ascii="Calibri" w:cs="Calibri" w:eastAsia="Calibri" w:hAnsi="Calibri"/>
          <w:sz w:val="16"/>
          <w:szCs w:val="16"/>
          <w:b w:val="1"/>
          <w:bCs w:val="1"/>
          <w:color w:val="auto"/>
        </w:rPr>
        <w:t>ANNUAL REPORT PURSUANT TO SECTION 13 OR 15(d) OF THE SECURITIES EXCHANGE ACT OF 1934</w:t>
      </w:r>
    </w:p>
    <w:p>
      <w:pPr>
        <w:spacing w:after="0" w:line="48" w:lineRule="exact"/>
        <w:rPr>
          <w:sz w:val="24"/>
          <w:szCs w:val="24"/>
          <w:color w:val="auto"/>
        </w:rPr>
      </w:pPr>
    </w:p>
    <w:p>
      <w:pPr>
        <w:spacing w:after="0"/>
        <w:rPr>
          <w:sz w:val="20"/>
          <w:szCs w:val="20"/>
          <w:color w:val="auto"/>
        </w:rPr>
      </w:pPr>
      <w:r>
        <w:rPr>
          <w:rFonts w:ascii="Calibri" w:cs="Calibri" w:eastAsia="Calibri" w:hAnsi="Calibri"/>
          <w:sz w:val="16"/>
          <w:szCs w:val="16"/>
          <w:color w:val="auto"/>
        </w:rPr>
        <w:t xml:space="preserve">For the fscal year ended </w:t>
      </w:r>
      <w:r>
        <w:rPr>
          <w:rFonts w:ascii="Calibri" w:cs="Calibri" w:eastAsia="Calibri" w:hAnsi="Calibri"/>
          <w:sz w:val="16"/>
          <w:szCs w:val="16"/>
          <w:b w:val="1"/>
          <w:bCs w:val="1"/>
          <w:color w:val="auto"/>
        </w:rPr>
        <w:t>December 31, 2022</w:t>
      </w:r>
    </w:p>
    <w:p>
      <w:pPr>
        <w:spacing w:after="0" w:line="7" w:lineRule="exact"/>
        <w:rPr>
          <w:sz w:val="24"/>
          <w:szCs w:val="24"/>
          <w:color w:val="auto"/>
        </w:rPr>
      </w:pPr>
    </w:p>
    <w:p>
      <w:pPr>
        <w:jc w:val="center"/>
        <w:spacing w:after="0"/>
        <w:rPr>
          <w:sz w:val="20"/>
          <w:szCs w:val="20"/>
          <w:color w:val="auto"/>
        </w:rPr>
      </w:pPr>
      <w:r>
        <w:rPr>
          <w:rFonts w:ascii="Calibri" w:cs="Calibri" w:eastAsia="Calibri" w:hAnsi="Calibri"/>
          <w:sz w:val="16"/>
          <w:szCs w:val="16"/>
          <w:color w:val="auto"/>
        </w:rPr>
        <w:t>OR</w:t>
      </w:r>
    </w:p>
    <w:p>
      <w:pPr>
        <w:spacing w:after="0" w:line="72" w:lineRule="exact"/>
        <w:rPr>
          <w:sz w:val="24"/>
          <w:szCs w:val="24"/>
          <w:color w:val="auto"/>
        </w:rPr>
      </w:pPr>
    </w:p>
    <w:p>
      <w:pPr>
        <w:ind w:left="320" w:hanging="312"/>
        <w:spacing w:after="0"/>
        <w:tabs>
          <w:tab w:leader="none" w:pos="320" w:val="left"/>
        </w:tabs>
        <w:numPr>
          <w:ilvl w:val="0"/>
          <w:numId w:val="2"/>
        </w:numPr>
        <w:rPr>
          <w:rFonts w:ascii="MS PGothic" w:cs="MS PGothic" w:eastAsia="MS PGothic" w:hAnsi="MS PGothic"/>
          <w:sz w:val="18"/>
          <w:szCs w:val="18"/>
          <w:color w:val="auto"/>
          <w:highlight w:val="black"/>
        </w:rPr>
      </w:pPr>
      <w:r>
        <w:rPr>
          <w:rFonts w:ascii="Calibri" w:cs="Calibri" w:eastAsia="Calibri" w:hAnsi="Calibri"/>
          <w:sz w:val="16"/>
          <w:szCs w:val="16"/>
          <w:b w:val="1"/>
          <w:bCs w:val="1"/>
          <w:color w:val="auto"/>
        </w:rPr>
        <w:t>TRANSITION REPORT PURSUANT TO SECTION 13 OR 15(d) OF THE SECURITIES EXCHANGE ACT OF 1934</w:t>
      </w:r>
    </w:p>
    <w:p>
      <w:pPr>
        <w:sectPr>
          <w:pgSz w:w="11900" w:h="16838" w:orient="portrait"/>
          <w:cols w:equalWidth="0" w:num="1">
            <w:col w:w="11240"/>
          </w:cols>
          <w:pgMar w:left="320" w:top="531" w:right="339" w:bottom="1440" w:gutter="0" w:footer="0" w:header="0"/>
        </w:sectPr>
      </w:pPr>
    </w:p>
    <w:p>
      <w:pPr>
        <w:spacing w:after="0" w:line="61" w:lineRule="exact"/>
        <w:rPr>
          <w:sz w:val="24"/>
          <w:szCs w:val="24"/>
          <w:color w:val="auto"/>
        </w:rPr>
      </w:pPr>
    </w:p>
    <w:p>
      <w:pPr>
        <w:spacing w:after="0"/>
        <w:rPr>
          <w:sz w:val="20"/>
          <w:szCs w:val="20"/>
          <w:color w:val="auto"/>
        </w:rPr>
      </w:pPr>
      <w:r>
        <w:rPr>
          <w:rFonts w:ascii="Calibri" w:cs="Calibri" w:eastAsia="Calibri" w:hAnsi="Calibri"/>
          <w:sz w:val="16"/>
          <w:szCs w:val="16"/>
          <w:color w:val="auto"/>
        </w:rPr>
        <w:t>For the transiton period from</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Calibri" w:cs="Calibri" w:eastAsia="Calibri" w:hAnsi="Calibri"/>
          <w:sz w:val="16"/>
          <w:szCs w:val="16"/>
          <w:color w:val="auto"/>
        </w:rPr>
        <w:t>to</w:t>
      </w:r>
    </w:p>
    <w:p>
      <w:pPr>
        <w:spacing w:after="0" w:line="34" w:lineRule="exact"/>
        <w:rPr>
          <w:sz w:val="24"/>
          <w:szCs w:val="24"/>
          <w:color w:val="auto"/>
        </w:rPr>
      </w:pPr>
    </w:p>
    <w:p>
      <w:pPr>
        <w:sectPr>
          <w:pgSz w:w="11900" w:h="16838" w:orient="portrait"/>
          <w:cols w:equalWidth="0" w:num="2">
            <w:col w:w="1960" w:space="560"/>
            <w:col w:w="8720"/>
          </w:cols>
          <w:pgMar w:left="320" w:top="531" w:right="339" w:bottom="1440" w:gutter="0" w:footer="0" w:header="0"/>
          <w:type w:val="continuous"/>
        </w:sectPr>
      </w:pPr>
    </w:p>
    <w:p>
      <w:pPr>
        <w:ind w:left="4540"/>
        <w:spacing w:after="0"/>
        <w:rPr>
          <w:sz w:val="20"/>
          <w:szCs w:val="20"/>
          <w:color w:val="auto"/>
        </w:rPr>
      </w:pPr>
      <w:r>
        <w:rPr>
          <w:rFonts w:ascii="Calibri" w:cs="Calibri" w:eastAsia="Calibri" w:hAnsi="Calibri"/>
          <w:sz w:val="16"/>
          <w:szCs w:val="16"/>
          <w:color w:val="auto"/>
        </w:rPr>
        <w:t>Commission fle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6"/>
          <w:szCs w:val="16"/>
          <w:b w:val="1"/>
          <w:bCs w:val="1"/>
          <w:color w:val="auto"/>
        </w:rPr>
        <w:t>1-12744</w:t>
      </w:r>
    </w:p>
    <w:p>
      <w:pPr>
        <w:spacing w:after="0" w:line="56" w:lineRule="exact"/>
        <w:rPr>
          <w:sz w:val="24"/>
          <w:szCs w:val="24"/>
          <w:color w:val="auto"/>
        </w:rPr>
      </w:pPr>
    </w:p>
    <w:p>
      <w:pPr>
        <w:sectPr>
          <w:pgSz w:w="11900" w:h="16838" w:orient="portrait"/>
          <w:cols w:equalWidth="0" w:num="2">
            <w:col w:w="6140" w:space="40"/>
            <w:col w:w="5060"/>
          </w:cols>
          <w:pgMar w:left="320" w:top="531" w:right="339" w:bottom="1440" w:gutter="0" w:footer="0" w:header="0"/>
          <w:type w:val="continuous"/>
        </w:sectPr>
      </w:pPr>
    </w:p>
    <w:p>
      <w:pPr>
        <w:jc w:val="center"/>
        <w:spacing w:after="0"/>
        <w:rPr>
          <w:sz w:val="20"/>
          <w:szCs w:val="20"/>
          <w:color w:val="auto"/>
        </w:rPr>
      </w:pPr>
      <w:r>
        <w:rPr>
          <w:rFonts w:ascii="Calibri" w:cs="Calibri" w:eastAsia="Calibri" w:hAnsi="Calibri"/>
          <w:sz w:val="22"/>
          <w:szCs w:val="22"/>
          <w:b w:val="1"/>
          <w:bCs w:val="1"/>
          <w:color w:val="auto"/>
        </w:rPr>
        <w:t>MARTIN MARIETTA MATERIALS, INC.</w:t>
      </w:r>
    </w:p>
    <w:p>
      <w:pPr>
        <w:spacing w:after="0" w:line="12" w:lineRule="exact"/>
        <w:rPr>
          <w:sz w:val="24"/>
          <w:szCs w:val="24"/>
          <w:color w:val="auto"/>
        </w:rPr>
      </w:pPr>
    </w:p>
    <w:p>
      <w:pPr>
        <w:jc w:val="center"/>
        <w:spacing w:after="0"/>
        <w:rPr>
          <w:sz w:val="20"/>
          <w:szCs w:val="20"/>
          <w:color w:val="auto"/>
        </w:rPr>
      </w:pPr>
      <w:r>
        <w:rPr>
          <w:rFonts w:ascii="Calibri" w:cs="Calibri" w:eastAsia="Calibri" w:hAnsi="Calibri"/>
          <w:sz w:val="14"/>
          <w:szCs w:val="14"/>
          <w:b w:val="1"/>
          <w:bCs w:val="1"/>
          <w:color w:val="auto"/>
        </w:rPr>
        <w:t>(Exact name of registrant as specifed in its charter)</w:t>
      </w:r>
    </w:p>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240" w:type="dxa"/>
            <w:vAlign w:val="bottom"/>
            <w:gridSpan w:val="3"/>
          </w:tcPr>
          <w:p>
            <w:pPr>
              <w:jc w:val="center"/>
              <w:ind w:left="1328"/>
              <w:spacing w:after="0"/>
              <w:rPr>
                <w:sz w:val="20"/>
                <w:szCs w:val="20"/>
                <w:color w:val="auto"/>
              </w:rPr>
            </w:pPr>
            <w:r>
              <w:rPr>
                <w:rFonts w:ascii="Calibri" w:cs="Calibri" w:eastAsia="Calibri" w:hAnsi="Calibri"/>
                <w:sz w:val="14"/>
                <w:szCs w:val="14"/>
                <w:b w:val="1"/>
                <w:bCs w:val="1"/>
                <w:color w:val="auto"/>
              </w:rPr>
              <w:t>North Carolina</w:t>
            </w:r>
          </w:p>
        </w:tc>
        <w:tc>
          <w:tcPr>
            <w:tcW w:w="2860" w:type="dxa"/>
            <w:vAlign w:val="bottom"/>
          </w:tcPr>
          <w:p>
            <w:pPr>
              <w:spacing w:after="0"/>
              <w:rPr>
                <w:sz w:val="14"/>
                <w:szCs w:val="14"/>
                <w:color w:val="auto"/>
              </w:rPr>
            </w:pPr>
          </w:p>
        </w:tc>
        <w:tc>
          <w:tcPr>
            <w:tcW w:w="4140" w:type="dxa"/>
            <w:vAlign w:val="bottom"/>
            <w:gridSpan w:val="3"/>
          </w:tcPr>
          <w:p>
            <w:pPr>
              <w:jc w:val="right"/>
              <w:ind w:right="2328"/>
              <w:spacing w:after="0"/>
              <w:rPr>
                <w:sz w:val="20"/>
                <w:szCs w:val="20"/>
                <w:color w:val="auto"/>
              </w:rPr>
            </w:pPr>
            <w:r>
              <w:rPr>
                <w:rFonts w:ascii="Calibri" w:cs="Calibri" w:eastAsia="Calibri" w:hAnsi="Calibri"/>
                <w:sz w:val="14"/>
                <w:szCs w:val="14"/>
                <w:b w:val="1"/>
                <w:bCs w:val="1"/>
                <w:color w:val="auto"/>
              </w:rPr>
              <w:t>56-1848578</w:t>
            </w:r>
          </w:p>
        </w:tc>
      </w:tr>
      <w:tr>
        <w:trPr>
          <w:trHeight w:val="203"/>
        </w:trPr>
        <w:tc>
          <w:tcPr>
            <w:tcW w:w="7100" w:type="dxa"/>
            <w:vAlign w:val="bottom"/>
            <w:gridSpan w:val="4"/>
          </w:tcPr>
          <w:p>
            <w:pPr>
              <w:jc w:val="center"/>
              <w:ind w:right="1390"/>
              <w:spacing w:after="0"/>
              <w:rPr>
                <w:sz w:val="20"/>
                <w:szCs w:val="20"/>
                <w:color w:val="auto"/>
              </w:rPr>
            </w:pPr>
            <w:r>
              <w:rPr>
                <w:rFonts w:ascii="Calibri" w:cs="Calibri" w:eastAsia="Calibri" w:hAnsi="Calibri"/>
                <w:sz w:val="14"/>
                <w:szCs w:val="14"/>
                <w:b w:val="1"/>
                <w:bCs w:val="1"/>
                <w:color w:val="auto"/>
              </w:rPr>
              <w:t>(State or other jurisdicton of incorporaton or organizaton)</w:t>
            </w:r>
          </w:p>
        </w:tc>
        <w:tc>
          <w:tcPr>
            <w:tcW w:w="4140" w:type="dxa"/>
            <w:vAlign w:val="bottom"/>
            <w:gridSpan w:val="3"/>
          </w:tcPr>
          <w:p>
            <w:pPr>
              <w:jc w:val="center"/>
              <w:ind w:right="1288"/>
              <w:spacing w:after="0"/>
              <w:rPr>
                <w:sz w:val="20"/>
                <w:szCs w:val="20"/>
                <w:color w:val="auto"/>
              </w:rPr>
            </w:pPr>
            <w:r>
              <w:rPr>
                <w:rFonts w:ascii="Calibri" w:cs="Calibri" w:eastAsia="Calibri" w:hAnsi="Calibri"/>
                <w:sz w:val="14"/>
                <w:szCs w:val="14"/>
                <w:b w:val="1"/>
                <w:bCs w:val="1"/>
                <w:color w:val="auto"/>
              </w:rPr>
              <w:t>(I.R.S. Employer Identfcaton No.)</w:t>
            </w:r>
          </w:p>
        </w:tc>
      </w:tr>
      <w:tr>
        <w:trPr>
          <w:trHeight w:val="203"/>
        </w:trPr>
        <w:tc>
          <w:tcPr>
            <w:tcW w:w="4240" w:type="dxa"/>
            <w:vAlign w:val="bottom"/>
            <w:gridSpan w:val="3"/>
          </w:tcPr>
          <w:p>
            <w:pPr>
              <w:jc w:val="center"/>
              <w:ind w:left="1368"/>
              <w:spacing w:after="0"/>
              <w:rPr>
                <w:sz w:val="20"/>
                <w:szCs w:val="20"/>
                <w:color w:val="auto"/>
              </w:rPr>
            </w:pPr>
            <w:r>
              <w:rPr>
                <w:rFonts w:ascii="Calibri" w:cs="Calibri" w:eastAsia="Calibri" w:hAnsi="Calibri"/>
                <w:sz w:val="14"/>
                <w:szCs w:val="14"/>
                <w:b w:val="1"/>
                <w:bCs w:val="1"/>
                <w:color w:val="auto"/>
              </w:rPr>
              <w:t>4123 Parklake Avenue, Raleigh, North Carolina</w:t>
            </w:r>
          </w:p>
        </w:tc>
        <w:tc>
          <w:tcPr>
            <w:tcW w:w="2860" w:type="dxa"/>
            <w:vAlign w:val="bottom"/>
          </w:tcPr>
          <w:p>
            <w:pPr>
              <w:spacing w:after="0"/>
              <w:rPr>
                <w:sz w:val="17"/>
                <w:szCs w:val="17"/>
                <w:color w:val="auto"/>
              </w:rPr>
            </w:pPr>
          </w:p>
        </w:tc>
        <w:tc>
          <w:tcPr>
            <w:tcW w:w="4140" w:type="dxa"/>
            <w:vAlign w:val="bottom"/>
            <w:gridSpan w:val="3"/>
          </w:tcPr>
          <w:p>
            <w:pPr>
              <w:jc w:val="right"/>
              <w:ind w:right="2488"/>
              <w:spacing w:after="0"/>
              <w:rPr>
                <w:sz w:val="20"/>
                <w:szCs w:val="20"/>
                <w:color w:val="auto"/>
              </w:rPr>
            </w:pPr>
            <w:r>
              <w:rPr>
                <w:rFonts w:ascii="Calibri" w:cs="Calibri" w:eastAsia="Calibri" w:hAnsi="Calibri"/>
                <w:sz w:val="14"/>
                <w:szCs w:val="14"/>
                <w:b w:val="1"/>
                <w:bCs w:val="1"/>
                <w:color w:val="auto"/>
              </w:rPr>
              <w:t>27612</w:t>
            </w:r>
          </w:p>
        </w:tc>
      </w:tr>
      <w:tr>
        <w:trPr>
          <w:trHeight w:val="203"/>
        </w:trPr>
        <w:tc>
          <w:tcPr>
            <w:tcW w:w="4240" w:type="dxa"/>
            <w:vAlign w:val="bottom"/>
            <w:gridSpan w:val="3"/>
          </w:tcPr>
          <w:p>
            <w:pPr>
              <w:jc w:val="center"/>
              <w:ind w:left="1348"/>
              <w:spacing w:after="0"/>
              <w:rPr>
                <w:sz w:val="20"/>
                <w:szCs w:val="20"/>
                <w:color w:val="auto"/>
              </w:rPr>
            </w:pPr>
            <w:r>
              <w:rPr>
                <w:rFonts w:ascii="Calibri" w:cs="Calibri" w:eastAsia="Calibri" w:hAnsi="Calibri"/>
                <w:sz w:val="14"/>
                <w:szCs w:val="14"/>
                <w:b w:val="1"/>
                <w:bCs w:val="1"/>
                <w:color w:val="auto"/>
              </w:rPr>
              <w:t>(Address of principal executve ofces)</w:t>
            </w:r>
          </w:p>
        </w:tc>
        <w:tc>
          <w:tcPr>
            <w:tcW w:w="2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tcPr>
          <w:p>
            <w:pPr>
              <w:jc w:val="center"/>
              <w:ind w:right="1828"/>
              <w:spacing w:after="0"/>
              <w:rPr>
                <w:sz w:val="20"/>
                <w:szCs w:val="20"/>
                <w:color w:val="auto"/>
              </w:rPr>
            </w:pPr>
            <w:r>
              <w:rPr>
                <w:rFonts w:ascii="Calibri" w:cs="Calibri" w:eastAsia="Calibri" w:hAnsi="Calibri"/>
                <w:sz w:val="14"/>
                <w:szCs w:val="14"/>
                <w:b w:val="1"/>
                <w:bCs w:val="1"/>
                <w:color w:val="auto"/>
              </w:rPr>
              <w:t>(Zip Code)</w:t>
            </w:r>
          </w:p>
        </w:tc>
      </w:tr>
      <w:tr>
        <w:trPr>
          <w:trHeight w:val="243"/>
        </w:trPr>
        <w:tc>
          <w:tcPr>
            <w:tcW w:w="3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60" w:type="dxa"/>
            <w:vAlign w:val="bottom"/>
          </w:tcPr>
          <w:p>
            <w:pPr>
              <w:ind w:left="940"/>
              <w:spacing w:after="0"/>
              <w:rPr>
                <w:sz w:val="20"/>
                <w:szCs w:val="20"/>
                <w:color w:val="auto"/>
              </w:rPr>
            </w:pPr>
            <w:r>
              <w:rPr>
                <w:rFonts w:ascii="Calibri" w:cs="Calibri" w:eastAsia="Calibri" w:hAnsi="Calibri"/>
                <w:sz w:val="14"/>
                <w:szCs w:val="14"/>
                <w:b w:val="1"/>
                <w:bCs w:val="1"/>
                <w:color w:val="auto"/>
              </w:rPr>
              <w:t>(919) 781-4550</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0" w:type="dxa"/>
            <w:vAlign w:val="bottom"/>
          </w:tcPr>
          <w:p>
            <w:pPr>
              <w:spacing w:after="0"/>
              <w:rPr>
                <w:sz w:val="21"/>
                <w:szCs w:val="21"/>
                <w:color w:val="auto"/>
              </w:rPr>
            </w:pPr>
          </w:p>
        </w:tc>
      </w:tr>
      <w:tr>
        <w:trPr>
          <w:trHeight w:val="158"/>
        </w:trPr>
        <w:tc>
          <w:tcPr>
            <w:tcW w:w="3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60" w:type="dxa"/>
            <w:vAlign w:val="bottom"/>
          </w:tcPr>
          <w:p>
            <w:pPr>
              <w:spacing w:after="0"/>
              <w:rPr>
                <w:sz w:val="20"/>
                <w:szCs w:val="20"/>
                <w:color w:val="auto"/>
              </w:rPr>
            </w:pPr>
            <w:r>
              <w:rPr>
                <w:rFonts w:ascii="Calibri" w:cs="Calibri" w:eastAsia="Calibri" w:hAnsi="Calibri"/>
                <w:sz w:val="13"/>
                <w:szCs w:val="13"/>
                <w:b w:val="1"/>
                <w:bCs w:val="1"/>
                <w:i w:val="1"/>
                <w:iCs w:val="1"/>
                <w:color w:val="auto"/>
                <w:w w:val="99"/>
              </w:rPr>
              <w:t>(Registrant’s telephone number, including area code)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0" w:type="dxa"/>
            <w:vAlign w:val="bottom"/>
          </w:tcPr>
          <w:p>
            <w:pPr>
              <w:spacing w:after="0"/>
              <w:rPr>
                <w:sz w:val="13"/>
                <w:szCs w:val="13"/>
                <w:color w:val="auto"/>
              </w:rPr>
            </w:pPr>
          </w:p>
        </w:tc>
      </w:tr>
      <w:tr>
        <w:trPr>
          <w:trHeight w:val="220"/>
        </w:trPr>
        <w:tc>
          <w:tcPr>
            <w:tcW w:w="4240" w:type="dxa"/>
            <w:vAlign w:val="bottom"/>
            <w:gridSpan w:val="3"/>
          </w:tcPr>
          <w:p>
            <w:pPr>
              <w:spacing w:after="0"/>
              <w:rPr>
                <w:sz w:val="20"/>
                <w:szCs w:val="20"/>
                <w:color w:val="auto"/>
              </w:rPr>
            </w:pPr>
            <w:r>
              <w:rPr>
                <w:rFonts w:ascii="Calibri" w:cs="Calibri" w:eastAsia="Calibri" w:hAnsi="Calibri"/>
                <w:sz w:val="14"/>
                <w:szCs w:val="14"/>
                <w:b w:val="1"/>
                <w:bCs w:val="1"/>
                <w:color w:val="auto"/>
              </w:rPr>
              <w:t>Securites registered pursuant to Secton 12(b) of the Act:</w:t>
            </w:r>
          </w:p>
        </w:tc>
        <w:tc>
          <w:tcPr>
            <w:tcW w:w="2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189"/>
        </w:trPr>
        <w:tc>
          <w:tcPr>
            <w:tcW w:w="4240" w:type="dxa"/>
            <w:vAlign w:val="bottom"/>
            <w:gridSpan w:val="3"/>
          </w:tcPr>
          <w:p>
            <w:pPr>
              <w:ind w:left="1340"/>
              <w:spacing w:after="0"/>
              <w:rPr>
                <w:sz w:val="20"/>
                <w:szCs w:val="20"/>
                <w:color w:val="auto"/>
              </w:rPr>
            </w:pPr>
            <w:r>
              <w:rPr>
                <w:rFonts w:ascii="Calibri" w:cs="Calibri" w:eastAsia="Calibri" w:hAnsi="Calibri"/>
                <w:sz w:val="14"/>
                <w:szCs w:val="14"/>
                <w:b w:val="1"/>
                <w:bCs w:val="1"/>
                <w:color w:val="auto"/>
              </w:rPr>
              <w:t>Title of each class</w:t>
            </w:r>
          </w:p>
        </w:tc>
        <w:tc>
          <w:tcPr>
            <w:tcW w:w="2860" w:type="dxa"/>
            <w:vAlign w:val="bottom"/>
          </w:tcPr>
          <w:p>
            <w:pPr>
              <w:ind w:left="920"/>
              <w:spacing w:after="0"/>
              <w:rPr>
                <w:sz w:val="20"/>
                <w:szCs w:val="20"/>
                <w:color w:val="auto"/>
              </w:rPr>
            </w:pPr>
            <w:r>
              <w:rPr>
                <w:rFonts w:ascii="Calibri" w:cs="Calibri" w:eastAsia="Calibri" w:hAnsi="Calibri"/>
                <w:sz w:val="14"/>
                <w:szCs w:val="14"/>
                <w:b w:val="1"/>
                <w:bCs w:val="1"/>
                <w:color w:val="auto"/>
              </w:rPr>
              <w:t>Trading Symbol(s)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Calibri" w:cs="Calibri" w:eastAsia="Calibri" w:hAnsi="Calibri"/>
                <w:sz w:val="14"/>
                <w:szCs w:val="14"/>
                <w:b w:val="1"/>
                <w:bCs w:val="1"/>
                <w:color w:val="auto"/>
              </w:rPr>
              <w:t>Name of each exchange on which registered</w:t>
            </w:r>
          </w:p>
        </w:tc>
      </w:tr>
      <w:tr>
        <w:trPr>
          <w:trHeight w:val="33"/>
        </w:trPr>
        <w:tc>
          <w:tcPr>
            <w:tcW w:w="38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163"/>
        </w:trPr>
        <w:tc>
          <w:tcPr>
            <w:tcW w:w="3720" w:type="dxa"/>
            <w:vAlign w:val="bottom"/>
            <w:tcBorders>
              <w:top w:val="single" w:sz="8" w:color="auto"/>
            </w:tcBorders>
          </w:tcPr>
          <w:p>
            <w:pPr>
              <w:ind w:left="640"/>
              <w:spacing w:after="0" w:line="164" w:lineRule="exact"/>
              <w:rPr>
                <w:sz w:val="20"/>
                <w:szCs w:val="20"/>
                <w:color w:val="auto"/>
              </w:rPr>
            </w:pPr>
            <w:r>
              <w:rPr>
                <w:rFonts w:ascii="Calibri" w:cs="Calibri" w:eastAsia="Calibri" w:hAnsi="Calibri"/>
                <w:sz w:val="14"/>
                <w:szCs w:val="14"/>
                <w:b w:val="1"/>
                <w:bCs w:val="1"/>
                <w:color w:val="auto"/>
              </w:rPr>
              <w:t>Common Stock (par value $.01 per share)</w:t>
            </w:r>
          </w:p>
        </w:tc>
        <w:tc>
          <w:tcPr>
            <w:tcW w:w="12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860" w:type="dxa"/>
            <w:vAlign w:val="bottom"/>
            <w:tcBorders>
              <w:top w:val="single" w:sz="8" w:color="auto"/>
            </w:tcBorders>
          </w:tcPr>
          <w:p>
            <w:pPr>
              <w:ind w:left="1300"/>
              <w:spacing w:after="0" w:line="164" w:lineRule="exact"/>
              <w:rPr>
                <w:sz w:val="20"/>
                <w:szCs w:val="20"/>
                <w:color w:val="auto"/>
              </w:rPr>
            </w:pPr>
            <w:r>
              <w:rPr>
                <w:rFonts w:ascii="Calibri" w:cs="Calibri" w:eastAsia="Calibri" w:hAnsi="Calibri"/>
                <w:sz w:val="14"/>
                <w:szCs w:val="14"/>
                <w:b w:val="1"/>
                <w:bCs w:val="1"/>
                <w:color w:val="auto"/>
              </w:rPr>
              <w:t>MLM</w:t>
            </w:r>
          </w:p>
        </w:tc>
        <w:tc>
          <w:tcPr>
            <w:tcW w:w="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0" w:type="dxa"/>
            <w:vAlign w:val="bottom"/>
            <w:tcBorders>
              <w:top w:val="single" w:sz="8" w:color="auto"/>
            </w:tcBorders>
          </w:tcPr>
          <w:p>
            <w:pPr>
              <w:jc w:val="center"/>
              <w:spacing w:after="0" w:line="164" w:lineRule="exact"/>
              <w:rPr>
                <w:sz w:val="20"/>
                <w:szCs w:val="20"/>
                <w:color w:val="auto"/>
              </w:rPr>
            </w:pPr>
            <w:r>
              <w:rPr>
                <w:rFonts w:ascii="Calibri" w:cs="Calibri" w:eastAsia="Calibri" w:hAnsi="Calibri"/>
                <w:sz w:val="14"/>
                <w:szCs w:val="14"/>
                <w:b w:val="1"/>
                <w:bCs w:val="1"/>
                <w:color w:val="auto"/>
              </w:rPr>
              <w:t>New York Stock Exchange</w:t>
            </w:r>
          </w:p>
        </w:tc>
      </w:tr>
      <w:tr>
        <w:trPr>
          <w:trHeight w:val="229"/>
        </w:trPr>
        <w:tc>
          <w:tcPr>
            <w:tcW w:w="4240" w:type="dxa"/>
            <w:vAlign w:val="bottom"/>
            <w:gridSpan w:val="3"/>
          </w:tcPr>
          <w:p>
            <w:pPr>
              <w:spacing w:after="0"/>
              <w:rPr>
                <w:sz w:val="20"/>
                <w:szCs w:val="20"/>
                <w:color w:val="auto"/>
              </w:rPr>
            </w:pPr>
            <w:r>
              <w:rPr>
                <w:rFonts w:ascii="Calibri" w:cs="Calibri" w:eastAsia="Calibri" w:hAnsi="Calibri"/>
                <w:sz w:val="14"/>
                <w:szCs w:val="14"/>
                <w:color w:val="auto"/>
              </w:rPr>
              <w:t xml:space="preserve">Securites registered pursuant to Secton 12(g) of the Act: </w:t>
            </w:r>
            <w:r>
              <w:rPr>
                <w:rFonts w:ascii="Calibri" w:cs="Calibri" w:eastAsia="Calibri" w:hAnsi="Calibri"/>
                <w:sz w:val="14"/>
                <w:szCs w:val="14"/>
                <w:b w:val="1"/>
                <w:bCs w:val="1"/>
                <w:color w:val="auto"/>
              </w:rPr>
              <w:t>None</w:t>
            </w:r>
          </w:p>
        </w:tc>
        <w:tc>
          <w:tcPr>
            <w:tcW w:w="2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257"/>
        </w:trPr>
        <w:tc>
          <w:tcPr>
            <w:tcW w:w="7100" w:type="dxa"/>
            <w:vAlign w:val="bottom"/>
            <w:gridSpan w:val="4"/>
          </w:tcPr>
          <w:p>
            <w:pPr>
              <w:spacing w:after="0"/>
              <w:rPr>
                <w:sz w:val="20"/>
                <w:szCs w:val="20"/>
                <w:color w:val="auto"/>
              </w:rPr>
            </w:pPr>
            <w:r>
              <w:rPr>
                <w:rFonts w:ascii="Calibri" w:cs="Calibri" w:eastAsia="Calibri" w:hAnsi="Calibri"/>
                <w:sz w:val="14"/>
                <w:szCs w:val="14"/>
                <w:color w:val="auto"/>
              </w:rPr>
              <w:t>Indicate by check mark if the registrant is a well-known seasoned issuer, as defned in Rule 405 of the Securites Act.  YES</w:t>
            </w:r>
          </w:p>
        </w:tc>
        <w:tc>
          <w:tcPr>
            <w:tcW w:w="4140" w:type="dxa"/>
            <w:vAlign w:val="bottom"/>
            <w:gridSpan w:val="3"/>
          </w:tcPr>
          <w:p>
            <w:pPr>
              <w:ind w:left="60"/>
              <w:spacing w:after="0" w:line="208" w:lineRule="exact"/>
              <w:rPr>
                <w:sz w:val="20"/>
                <w:szCs w:val="20"/>
                <w:color w:val="auto"/>
              </w:rPr>
            </w:pPr>
            <w:r>
              <w:rPr>
                <w:rFonts w:ascii="MS PGothic" w:cs="MS PGothic" w:eastAsia="MS PGothic" w:hAnsi="MS PGothic"/>
                <w:sz w:val="17"/>
                <w:szCs w:val="17"/>
                <w:color w:val="auto"/>
              </w:rPr>
              <w:t>☒</w:t>
            </w:r>
            <w:r>
              <w:rPr>
                <w:rFonts w:ascii="Calibri" w:cs="Calibri" w:eastAsia="Calibri" w:hAnsi="Calibri"/>
                <w:sz w:val="14"/>
                <w:szCs w:val="14"/>
                <w:color w:val="auto"/>
              </w:rPr>
              <w:t xml:space="preserve"> NO  </w:t>
            </w:r>
            <w:r>
              <w:rPr>
                <w:rFonts w:ascii="MS PGothic" w:cs="MS PGothic" w:eastAsia="MS PGothic" w:hAnsi="MS PGothic"/>
                <w:sz w:val="17"/>
                <w:szCs w:val="17"/>
                <w:color w:val="auto"/>
              </w:rPr>
              <w:t>☐</w:t>
            </w:r>
          </w:p>
        </w:tc>
      </w:tr>
      <w:tr>
        <w:trPr>
          <w:trHeight w:val="283"/>
        </w:trPr>
        <w:tc>
          <w:tcPr>
            <w:tcW w:w="11240" w:type="dxa"/>
            <w:vAlign w:val="bottom"/>
            <w:gridSpan w:val="7"/>
          </w:tcPr>
          <w:p>
            <w:pPr>
              <w:spacing w:after="0" w:line="208" w:lineRule="exact"/>
              <w:rPr>
                <w:sz w:val="20"/>
                <w:szCs w:val="20"/>
                <w:color w:val="auto"/>
              </w:rPr>
            </w:pPr>
            <w:r>
              <w:rPr>
                <w:rFonts w:ascii="Calibri" w:cs="Calibri" w:eastAsia="Calibri" w:hAnsi="Calibri"/>
                <w:sz w:val="14"/>
                <w:szCs w:val="14"/>
                <w:color w:val="auto"/>
              </w:rPr>
              <w:t xml:space="preserve">Indicate by check mark if the registrant is not required to fle reports pursuant to Secton 13 or Secton 15(d) of the Exchange Act.  YES  </w:t>
            </w:r>
            <w:r>
              <w:rPr>
                <w:rFonts w:ascii="MS PGothic" w:cs="MS PGothic" w:eastAsia="MS PGothic" w:hAnsi="MS PGothic"/>
                <w:sz w:val="17"/>
                <w:szCs w:val="17"/>
                <w:color w:val="auto"/>
              </w:rPr>
              <w:t>☐</w:t>
            </w:r>
            <w:r>
              <w:rPr>
                <w:rFonts w:ascii="Calibri" w:cs="Calibri" w:eastAsia="Calibri" w:hAnsi="Calibri"/>
                <w:sz w:val="14"/>
                <w:szCs w:val="14"/>
                <w:color w:val="auto"/>
              </w:rPr>
              <w:t xml:space="preserve"> NO  </w:t>
            </w:r>
            <w:r>
              <w:rPr>
                <w:rFonts w:ascii="MS PGothic" w:cs="MS PGothic" w:eastAsia="MS PGothic" w:hAnsi="MS PGothic"/>
                <w:sz w:val="17"/>
                <w:szCs w:val="17"/>
                <w:color w:val="auto"/>
              </w:rPr>
              <w:t>☒</w:t>
            </w:r>
          </w:p>
        </w:tc>
      </w:tr>
    </w:tbl>
    <w:p>
      <w:pPr>
        <w:spacing w:after="0" w:line="6" w:lineRule="exact"/>
        <w:rPr>
          <w:sz w:val="24"/>
          <w:szCs w:val="24"/>
          <w:color w:val="auto"/>
        </w:rPr>
      </w:pPr>
    </w:p>
    <w:p>
      <w:pPr>
        <w:ind w:left="160" w:right="160" w:hanging="157"/>
        <w:spacing w:after="0" w:line="213" w:lineRule="exact"/>
        <w:rPr>
          <w:sz w:val="20"/>
          <w:szCs w:val="20"/>
          <w:color w:val="auto"/>
        </w:rPr>
      </w:pPr>
      <w:r>
        <w:rPr>
          <w:rFonts w:ascii="Calibri" w:cs="Calibri" w:eastAsia="Calibri" w:hAnsi="Calibri"/>
          <w:sz w:val="14"/>
          <w:szCs w:val="14"/>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7"/>
          <w:szCs w:val="17"/>
          <w:color w:val="auto"/>
        </w:rPr>
        <w:t>☒</w:t>
      </w:r>
      <w:r>
        <w:rPr>
          <w:rFonts w:ascii="Calibri" w:cs="Calibri" w:eastAsia="Calibri" w:hAnsi="Calibri"/>
          <w:sz w:val="14"/>
          <w:szCs w:val="14"/>
          <w:color w:val="auto"/>
        </w:rPr>
        <w:t xml:space="preserve"> NO </w:t>
      </w:r>
      <w:r>
        <w:rPr>
          <w:rFonts w:ascii="MS PGothic" w:cs="MS PGothic" w:eastAsia="MS PGothic" w:hAnsi="MS PGothic"/>
          <w:sz w:val="17"/>
          <w:szCs w:val="17"/>
          <w:color w:val="auto"/>
        </w:rPr>
        <w:t>☐</w:t>
      </w:r>
    </w:p>
    <w:p>
      <w:pPr>
        <w:spacing w:after="0" w:line="6" w:lineRule="exact"/>
        <w:rPr>
          <w:sz w:val="24"/>
          <w:szCs w:val="24"/>
          <w:color w:val="auto"/>
        </w:rPr>
      </w:pPr>
    </w:p>
    <w:p>
      <w:pPr>
        <w:ind w:left="160" w:right="140" w:hanging="157"/>
        <w:spacing w:after="0" w:line="213" w:lineRule="exact"/>
        <w:rPr>
          <w:sz w:val="20"/>
          <w:szCs w:val="20"/>
          <w:color w:val="auto"/>
        </w:rPr>
      </w:pPr>
      <w:r>
        <w:rPr>
          <w:rFonts w:ascii="Calibri" w:cs="Calibri" w:eastAsia="Calibri" w:hAnsi="Calibri"/>
          <w:sz w:val="14"/>
          <w:szCs w:val="14"/>
          <w:color w:val="auto"/>
        </w:rPr>
        <w:t xml:space="preserve">Indicate by check mark whether the registrant has submited electronically every Interactve Data File required to be submited pursuant to Rule 405 of Regulaton S-T during the preceding 12 months (or for such shorter period that the registrant was required to submit such fles). YES </w:t>
      </w:r>
      <w:r>
        <w:rPr>
          <w:rFonts w:ascii="MS PGothic" w:cs="MS PGothic" w:eastAsia="MS PGothic" w:hAnsi="MS PGothic"/>
          <w:sz w:val="17"/>
          <w:szCs w:val="17"/>
          <w:color w:val="auto"/>
        </w:rPr>
        <w:t>☒</w:t>
      </w:r>
      <w:r>
        <w:rPr>
          <w:rFonts w:ascii="Calibri" w:cs="Calibri" w:eastAsia="Calibri" w:hAnsi="Calibri"/>
          <w:sz w:val="14"/>
          <w:szCs w:val="14"/>
          <w:color w:val="auto"/>
        </w:rPr>
        <w:t xml:space="preserve"> NO </w:t>
      </w:r>
      <w:r>
        <w:rPr>
          <w:rFonts w:ascii="MS PGothic" w:cs="MS PGothic" w:eastAsia="MS PGothic" w:hAnsi="MS PGothic"/>
          <w:sz w:val="17"/>
          <w:szCs w:val="17"/>
          <w:color w:val="auto"/>
        </w:rPr>
        <w:t>☐</w:t>
      </w:r>
    </w:p>
    <w:p>
      <w:pPr>
        <w:ind w:left="160" w:right="460" w:hanging="157"/>
        <w:spacing w:after="0" w:line="237" w:lineRule="auto"/>
        <w:rPr>
          <w:sz w:val="20"/>
          <w:szCs w:val="20"/>
          <w:color w:val="auto"/>
        </w:rPr>
      </w:pPr>
      <w:r>
        <w:rPr>
          <w:rFonts w:ascii="Calibri" w:cs="Calibri" w:eastAsia="Calibri" w:hAnsi="Calibri"/>
          <w:sz w:val="14"/>
          <w:szCs w:val="14"/>
          <w:color w:val="auto"/>
        </w:rPr>
        <w:t>Indicate by check mark whether the registrant is a large accelerated fler, an accelerated fler, a non-accelerated fler, a smaller reportng company, or emerging growth company. See the defnitons of “large accelerated fler,” “accelerated fler,” “smaller reportng company,” and “emerging growth company” in Rule 12b-2 of the Exchange Act.</w:t>
      </w:r>
    </w:p>
    <w:tbl>
      <w:tblPr>
        <w:tblLayout w:type="fixed"/>
        <w:tblInd w:w="20" w:type="dxa"/>
        <w:tblCellMar>
          <w:top w:w="0" w:type="dxa"/>
          <w:left w:w="0" w:type="dxa"/>
          <w:bottom w:w="0" w:type="dxa"/>
          <w:right w:w="0" w:type="dxa"/>
        </w:tblCellMar>
      </w:tblPr>
      <w:tr>
        <w:trPr>
          <w:trHeight w:val="216"/>
        </w:trPr>
        <w:tc>
          <w:tcPr>
            <w:tcW w:w="2040" w:type="dxa"/>
            <w:vAlign w:val="bottom"/>
          </w:tcPr>
          <w:p>
            <w:pPr>
              <w:spacing w:after="0"/>
              <w:rPr>
                <w:sz w:val="20"/>
                <w:szCs w:val="20"/>
                <w:color w:val="auto"/>
              </w:rPr>
            </w:pPr>
            <w:r>
              <w:rPr>
                <w:rFonts w:ascii="Calibri" w:cs="Calibri" w:eastAsia="Calibri" w:hAnsi="Calibri"/>
                <w:sz w:val="14"/>
                <w:szCs w:val="14"/>
                <w:color w:val="auto"/>
              </w:rPr>
              <w:t>Large accelerated fler</w:t>
            </w:r>
          </w:p>
        </w:tc>
        <w:tc>
          <w:tcPr>
            <w:tcW w:w="226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tcPr>
          <w:p>
            <w:pPr>
              <w:ind w:left="1320"/>
              <w:spacing w:after="0"/>
              <w:rPr>
                <w:sz w:val="20"/>
                <w:szCs w:val="20"/>
                <w:color w:val="auto"/>
              </w:rPr>
            </w:pPr>
            <w:r>
              <w:rPr>
                <w:rFonts w:ascii="Calibri" w:cs="Calibri" w:eastAsia="Calibri" w:hAnsi="Calibri"/>
                <w:sz w:val="14"/>
                <w:szCs w:val="14"/>
                <w:color w:val="auto"/>
              </w:rPr>
              <w:t>Accelerated fler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040" w:type="dxa"/>
            <w:vAlign w:val="bottom"/>
          </w:tcPr>
          <w:p>
            <w:pPr>
              <w:spacing w:after="0"/>
              <w:rPr>
                <w:sz w:val="20"/>
                <w:szCs w:val="20"/>
                <w:color w:val="auto"/>
              </w:rPr>
            </w:pPr>
            <w:r>
              <w:rPr>
                <w:rFonts w:ascii="Calibri" w:cs="Calibri" w:eastAsia="Calibri" w:hAnsi="Calibri"/>
                <w:sz w:val="14"/>
                <w:szCs w:val="14"/>
                <w:color w:val="auto"/>
              </w:rPr>
              <w:t>Non-accelerated fler</w:t>
            </w:r>
          </w:p>
        </w:tc>
        <w:tc>
          <w:tcPr>
            <w:tcW w:w="226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tcPr>
          <w:p>
            <w:pPr>
              <w:ind w:left="1320"/>
              <w:spacing w:after="0"/>
              <w:rPr>
                <w:sz w:val="20"/>
                <w:szCs w:val="20"/>
                <w:color w:val="auto"/>
              </w:rPr>
            </w:pPr>
            <w:r>
              <w:rPr>
                <w:rFonts w:ascii="Calibri" w:cs="Calibri" w:eastAsia="Calibri" w:hAnsi="Calibri"/>
                <w:sz w:val="14"/>
                <w:szCs w:val="14"/>
                <w:color w:val="auto"/>
              </w:rPr>
              <w:t>Smaller reportng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520" w:type="dxa"/>
            <w:vAlign w:val="bottom"/>
          </w:tcPr>
          <w:p>
            <w:pPr>
              <w:ind w:left="1320"/>
              <w:spacing w:after="0"/>
              <w:rPr>
                <w:sz w:val="20"/>
                <w:szCs w:val="20"/>
                <w:color w:val="auto"/>
              </w:rPr>
            </w:pPr>
            <w:r>
              <w:rPr>
                <w:rFonts w:ascii="Calibri" w:cs="Calibri" w:eastAsia="Calibri" w:hAnsi="Calibri"/>
                <w:sz w:val="14"/>
                <w:szCs w:val="14"/>
                <w:color w:val="auto"/>
              </w:rPr>
              <w:t>Emerging growth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 w:lineRule="exact"/>
        <w:rPr>
          <w:sz w:val="24"/>
          <w:szCs w:val="24"/>
          <w:color w:val="auto"/>
        </w:rPr>
      </w:pPr>
    </w:p>
    <w:p>
      <w:pPr>
        <w:ind w:left="160" w:right="460" w:hanging="157"/>
        <w:spacing w:after="0" w:line="191" w:lineRule="exact"/>
        <w:rPr>
          <w:sz w:val="20"/>
          <w:szCs w:val="20"/>
          <w:color w:val="auto"/>
        </w:rPr>
      </w:pPr>
      <w:r>
        <w:rPr>
          <w:rFonts w:ascii="Calibri" w:cs="Calibri" w:eastAsia="Calibri" w:hAnsi="Calibri"/>
          <w:sz w:val="14"/>
          <w:szCs w:val="14"/>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4"/>
          <w:szCs w:val="14"/>
          <w:color w:val="auto"/>
        </w:rPr>
        <w:t>☐</w:t>
      </w:r>
    </w:p>
    <w:p>
      <w:pPr>
        <w:spacing w:after="0" w:line="23" w:lineRule="exact"/>
        <w:rPr>
          <w:sz w:val="24"/>
          <w:szCs w:val="24"/>
          <w:color w:val="auto"/>
        </w:rPr>
      </w:pPr>
    </w:p>
    <w:p>
      <w:pPr>
        <w:ind w:left="160" w:hanging="157"/>
        <w:spacing w:after="0" w:line="213" w:lineRule="exact"/>
        <w:rPr>
          <w:sz w:val="20"/>
          <w:szCs w:val="20"/>
          <w:color w:val="auto"/>
        </w:rPr>
      </w:pPr>
      <w:r>
        <w:rPr>
          <w:rFonts w:ascii="Calibri" w:cs="Calibri" w:eastAsia="Calibri" w:hAnsi="Calibri"/>
          <w:sz w:val="14"/>
          <w:szCs w:val="14"/>
          <w:color w:val="auto"/>
        </w:rPr>
        <w:t xml:space="preserve">Indicate by check mark whether the registrant has fled a report on and atestaton to its management’s assessment of the efectveness of its internal control over fnancial reportng under Secton 404(b) of the Sarbanes-Oxley Act (15 U.S.C. 7262(b)) by the registered public accountng frm that prepared or issued its audit report. </w:t>
      </w:r>
      <w:r>
        <w:rPr>
          <w:rFonts w:ascii="MS PGothic" w:cs="MS PGothic" w:eastAsia="MS PGothic" w:hAnsi="MS PGothic"/>
          <w:sz w:val="17"/>
          <w:szCs w:val="17"/>
          <w:color w:val="auto"/>
        </w:rPr>
        <w:t>☒</w:t>
      </w:r>
    </w:p>
    <w:p>
      <w:pPr>
        <w:ind w:left="160" w:right="120" w:hanging="157"/>
        <w:spacing w:after="0" w:line="188" w:lineRule="exact"/>
        <w:rPr>
          <w:sz w:val="20"/>
          <w:szCs w:val="20"/>
          <w:color w:val="auto"/>
        </w:rPr>
      </w:pPr>
      <w:r>
        <w:rPr>
          <w:rFonts w:ascii="Calibri" w:cs="Calibri" w:eastAsia="Calibri" w:hAnsi="Calibri"/>
          <w:sz w:val="14"/>
          <w:szCs w:val="14"/>
          <w:color w:val="auto"/>
        </w:rPr>
        <w:t xml:space="preserve">If securites are registered pursuant to Secton 12(b) of the Act, indicate by check mark whether the fnancial statements of the registrant included in the fling refect the correcton of an error to previously issued fnancial statements. </w:t>
      </w:r>
      <w:r>
        <w:rPr>
          <w:rFonts w:ascii="MS PGothic" w:cs="MS PGothic" w:eastAsia="MS PGothic" w:hAnsi="MS PGothic"/>
          <w:sz w:val="14"/>
          <w:szCs w:val="14"/>
          <w:color w:val="auto"/>
        </w:rPr>
        <w:t>☐</w:t>
      </w:r>
    </w:p>
    <w:p>
      <w:pPr>
        <w:spacing w:after="0" w:line="23" w:lineRule="exact"/>
        <w:rPr>
          <w:sz w:val="24"/>
          <w:szCs w:val="24"/>
          <w:color w:val="auto"/>
        </w:rPr>
      </w:pPr>
    </w:p>
    <w:p>
      <w:pPr>
        <w:ind w:left="160" w:right="80" w:hanging="157"/>
        <w:spacing w:after="0" w:line="191" w:lineRule="exact"/>
        <w:rPr>
          <w:sz w:val="20"/>
          <w:szCs w:val="20"/>
          <w:color w:val="auto"/>
        </w:rPr>
      </w:pPr>
      <w:r>
        <w:rPr>
          <w:rFonts w:ascii="Calibri" w:cs="Calibri" w:eastAsia="Calibri" w:hAnsi="Calibri"/>
          <w:sz w:val="14"/>
          <w:szCs w:val="14"/>
          <w:color w:val="auto"/>
        </w:rPr>
        <w:t xml:space="preserve">Indicate by check mark whether any of those error correctons are restatements that required a recovery analysis of incentve-based compensaton received by any of the registrant’s executve oﬃcers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208" w:lineRule="exact"/>
        <w:tabs>
          <w:tab w:leader="none" w:pos="7220" w:val="left"/>
        </w:tabs>
        <w:rPr>
          <w:sz w:val="20"/>
          <w:szCs w:val="20"/>
          <w:color w:val="auto"/>
        </w:rPr>
      </w:pPr>
      <w:r>
        <w:rPr>
          <w:rFonts w:ascii="Calibri" w:cs="Calibri" w:eastAsia="Calibri" w:hAnsi="Calibri"/>
          <w:sz w:val="14"/>
          <w:szCs w:val="14"/>
          <w:color w:val="auto"/>
        </w:rPr>
        <w:t xml:space="preserve">Indicate by check mark whether the registrant is a shell company (as defned in Rule 12b-2 of the Exchange Act).  YES  </w:t>
      </w:r>
      <w:r>
        <w:rPr>
          <w:rFonts w:ascii="MS PGothic" w:cs="MS PGothic" w:eastAsia="MS PGothic" w:hAnsi="MS PGothic"/>
          <w:sz w:val="17"/>
          <w:szCs w:val="17"/>
          <w:color w:val="auto"/>
        </w:rPr>
        <w:t>☐</w:t>
      </w:r>
      <w:r>
        <w:rPr>
          <w:rFonts w:ascii="Calibri" w:cs="Calibri" w:eastAsia="Calibri" w:hAnsi="Calibri"/>
          <w:sz w:val="14"/>
          <w:szCs w:val="14"/>
          <w:color w:val="auto"/>
        </w:rPr>
        <w:tab/>
        <w:t xml:space="preserve">NO  </w:t>
      </w:r>
      <w:r>
        <w:rPr>
          <w:rFonts w:ascii="MS PGothic" w:cs="MS PGothic" w:eastAsia="MS PGothic" w:hAnsi="MS PGothic"/>
          <w:sz w:val="17"/>
          <w:szCs w:val="17"/>
          <w:color w:val="auto"/>
        </w:rPr>
        <w:t>☒</w:t>
      </w:r>
    </w:p>
    <w:p>
      <w:pPr>
        <w:spacing w:after="0" w:line="57" w:lineRule="exact"/>
        <w:rPr>
          <w:sz w:val="24"/>
          <w:szCs w:val="24"/>
          <w:color w:val="auto"/>
        </w:rPr>
      </w:pPr>
    </w:p>
    <w:p>
      <w:pPr>
        <w:spacing w:after="0"/>
        <w:rPr>
          <w:sz w:val="20"/>
          <w:szCs w:val="20"/>
          <w:color w:val="auto"/>
        </w:rPr>
      </w:pPr>
      <w:r>
        <w:rPr>
          <w:rFonts w:ascii="Calibri" w:cs="Calibri" w:eastAsia="Calibri" w:hAnsi="Calibri"/>
          <w:sz w:val="14"/>
          <w:szCs w:val="14"/>
          <w:color w:val="auto"/>
        </w:rPr>
        <w:t>As of June 30, 2022, the last business day of the registrant’s most recently completed second fscal quarter, the aggregate market value of the registrant’s common stock held by non-afliates of</w:t>
      </w: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7460" w:type="dxa"/>
            <w:vAlign w:val="bottom"/>
            <w:gridSpan w:val="6"/>
          </w:tcPr>
          <w:p>
            <w:pPr>
              <w:ind w:left="160"/>
              <w:spacing w:after="0"/>
              <w:rPr>
                <w:sz w:val="20"/>
                <w:szCs w:val="20"/>
                <w:color w:val="auto"/>
              </w:rPr>
            </w:pPr>
            <w:r>
              <w:rPr>
                <w:rFonts w:ascii="Calibri" w:cs="Calibri" w:eastAsia="Calibri" w:hAnsi="Calibri"/>
                <w:sz w:val="14"/>
                <w:szCs w:val="14"/>
                <w:color w:val="auto"/>
              </w:rPr>
              <w:t xml:space="preserve">the registrant was </w:t>
            </w:r>
            <w:r>
              <w:rPr>
                <w:rFonts w:ascii="Calibri" w:cs="Calibri" w:eastAsia="Calibri" w:hAnsi="Calibri"/>
                <w:sz w:val="14"/>
                <w:szCs w:val="14"/>
                <w:b w:val="1"/>
                <w:bCs w:val="1"/>
                <w:color w:val="auto"/>
              </w:rPr>
              <w:t>$16,524,714,169</w:t>
            </w:r>
            <w:r>
              <w:rPr>
                <w:rFonts w:ascii="Calibri" w:cs="Calibri" w:eastAsia="Calibri" w:hAnsi="Calibri"/>
                <w:sz w:val="14"/>
                <w:szCs w:val="14"/>
                <w:color w:val="auto"/>
              </w:rPr>
              <w:t xml:space="preserve"> based on the closing sale price as reported on the New York Stock Exchange.</w:t>
            </w:r>
          </w:p>
        </w:tc>
        <w:tc>
          <w:tcPr>
            <w:tcW w:w="3780" w:type="dxa"/>
            <w:vAlign w:val="bottom"/>
          </w:tcPr>
          <w:p>
            <w:pPr>
              <w:spacing w:after="0"/>
              <w:rPr>
                <w:sz w:val="14"/>
                <w:szCs w:val="14"/>
                <w:color w:val="auto"/>
              </w:rPr>
            </w:pPr>
          </w:p>
        </w:tc>
      </w:tr>
      <w:tr>
        <w:trPr>
          <w:trHeight w:val="216"/>
        </w:trPr>
        <w:tc>
          <w:tcPr>
            <w:tcW w:w="7460" w:type="dxa"/>
            <w:vAlign w:val="bottom"/>
            <w:gridSpan w:val="6"/>
          </w:tcPr>
          <w:p>
            <w:pPr>
              <w:spacing w:after="0"/>
              <w:rPr>
                <w:sz w:val="20"/>
                <w:szCs w:val="20"/>
                <w:color w:val="auto"/>
              </w:rPr>
            </w:pPr>
            <w:r>
              <w:rPr>
                <w:rFonts w:ascii="Calibri" w:cs="Calibri" w:eastAsia="Calibri" w:hAnsi="Calibri"/>
                <w:sz w:val="14"/>
                <w:szCs w:val="14"/>
                <w:color w:val="auto"/>
              </w:rPr>
              <w:t>Indicate the number of shares outstanding of each of the issuer’s classes of common stock on the latest practcable date.</w:t>
            </w:r>
          </w:p>
        </w:tc>
        <w:tc>
          <w:tcPr>
            <w:tcW w:w="3780" w:type="dxa"/>
            <w:vAlign w:val="bottom"/>
          </w:tcPr>
          <w:p>
            <w:pPr>
              <w:spacing w:after="0"/>
              <w:rPr>
                <w:sz w:val="18"/>
                <w:szCs w:val="18"/>
                <w:color w:val="auto"/>
              </w:rPr>
            </w:pPr>
          </w:p>
        </w:tc>
      </w:tr>
      <w:tr>
        <w:trPr>
          <w:trHeight w:val="189"/>
        </w:trPr>
        <w:tc>
          <w:tcPr>
            <w:tcW w:w="1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40" w:type="dxa"/>
            <w:vAlign w:val="bottom"/>
          </w:tcPr>
          <w:p>
            <w:pPr>
              <w:jc w:val="center"/>
              <w:ind w:left="108"/>
              <w:spacing w:after="0"/>
              <w:rPr>
                <w:sz w:val="20"/>
                <w:szCs w:val="20"/>
                <w:color w:val="auto"/>
              </w:rPr>
            </w:pPr>
            <w:r>
              <w:rPr>
                <w:rFonts w:ascii="Calibri" w:cs="Calibri" w:eastAsia="Calibri" w:hAnsi="Calibri"/>
                <w:sz w:val="14"/>
                <w:szCs w:val="14"/>
                <w:color w:val="auto"/>
                <w:w w:val="98"/>
              </w:rPr>
              <w:t>Class</w:t>
            </w: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780" w:type="dxa"/>
            <w:vAlign w:val="bottom"/>
          </w:tcPr>
          <w:p>
            <w:pPr>
              <w:jc w:val="center"/>
              <w:ind w:right="1628"/>
              <w:spacing w:after="0"/>
              <w:rPr>
                <w:sz w:val="20"/>
                <w:szCs w:val="20"/>
                <w:color w:val="auto"/>
              </w:rPr>
            </w:pPr>
            <w:r>
              <w:rPr>
                <w:rFonts w:ascii="Calibri" w:cs="Calibri" w:eastAsia="Calibri" w:hAnsi="Calibri"/>
                <w:sz w:val="14"/>
                <w:szCs w:val="14"/>
                <w:color w:val="auto"/>
              </w:rPr>
              <w:t>Outstanding at February 17, 2023</w:t>
            </w:r>
          </w:p>
        </w:tc>
      </w:tr>
      <w:tr>
        <w:trPr>
          <w:trHeight w:val="33"/>
        </w:trPr>
        <w:tc>
          <w:tcPr>
            <w:tcW w:w="132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163"/>
        </w:trPr>
        <w:tc>
          <w:tcPr>
            <w:tcW w:w="1320" w:type="dxa"/>
            <w:vAlign w:val="bottom"/>
          </w:tcPr>
          <w:p>
            <w:pPr>
              <w:spacing w:after="0"/>
              <w:rPr>
                <w:sz w:val="14"/>
                <w:szCs w:val="14"/>
                <w:color w:val="auto"/>
              </w:rPr>
            </w:pPr>
          </w:p>
        </w:tc>
        <w:tc>
          <w:tcPr>
            <w:tcW w:w="4320" w:type="dxa"/>
            <w:vAlign w:val="bottom"/>
            <w:gridSpan w:val="3"/>
          </w:tcPr>
          <w:p>
            <w:pPr>
              <w:jc w:val="center"/>
              <w:ind w:right="1248"/>
              <w:spacing w:after="0" w:line="164" w:lineRule="exact"/>
              <w:rPr>
                <w:sz w:val="20"/>
                <w:szCs w:val="20"/>
                <w:color w:val="auto"/>
              </w:rPr>
            </w:pPr>
            <w:r>
              <w:rPr>
                <w:rFonts w:ascii="Calibri" w:cs="Calibri" w:eastAsia="Calibri" w:hAnsi="Calibri"/>
                <w:sz w:val="14"/>
                <w:szCs w:val="14"/>
                <w:b w:val="1"/>
                <w:bCs w:val="1"/>
                <w:color w:val="auto"/>
              </w:rPr>
              <w:t>Common Stock, $.01 par value per share</w:t>
            </w: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780" w:type="dxa"/>
            <w:vAlign w:val="bottom"/>
          </w:tcPr>
          <w:p>
            <w:pPr>
              <w:jc w:val="center"/>
              <w:ind w:right="1628"/>
              <w:spacing w:after="0" w:line="164" w:lineRule="exact"/>
              <w:rPr>
                <w:sz w:val="20"/>
                <w:szCs w:val="20"/>
                <w:color w:val="auto"/>
              </w:rPr>
            </w:pPr>
            <w:r>
              <w:rPr>
                <w:rFonts w:ascii="Calibri" w:cs="Calibri" w:eastAsia="Calibri" w:hAnsi="Calibri"/>
                <w:sz w:val="14"/>
                <w:szCs w:val="14"/>
                <w:b w:val="1"/>
                <w:bCs w:val="1"/>
                <w:color w:val="auto"/>
              </w:rPr>
              <w:t>62,103,551 shares</w:t>
            </w:r>
          </w:p>
        </w:tc>
      </w:tr>
      <w:tr>
        <w:trPr>
          <w:trHeight w:val="242"/>
        </w:trPr>
        <w:tc>
          <w:tcPr>
            <w:tcW w:w="1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60" w:type="dxa"/>
            <w:vAlign w:val="bottom"/>
            <w:gridSpan w:val="3"/>
          </w:tcPr>
          <w:p>
            <w:pPr>
              <w:ind w:left="900"/>
              <w:spacing w:after="0"/>
              <w:rPr>
                <w:sz w:val="20"/>
                <w:szCs w:val="20"/>
                <w:color w:val="auto"/>
              </w:rPr>
            </w:pPr>
            <w:r>
              <w:rPr>
                <w:rFonts w:ascii="Calibri" w:cs="Calibri" w:eastAsia="Calibri" w:hAnsi="Calibri"/>
                <w:sz w:val="14"/>
                <w:szCs w:val="14"/>
                <w:b w:val="1"/>
                <w:bCs w:val="1"/>
                <w:color w:val="auto"/>
              </w:rPr>
              <w:t>DOCUMENTS INCORPORATED BY REFERENCE</w:t>
            </w:r>
          </w:p>
        </w:tc>
        <w:tc>
          <w:tcPr>
            <w:tcW w:w="3780" w:type="dxa"/>
            <w:vAlign w:val="bottom"/>
          </w:tcPr>
          <w:p>
            <w:pPr>
              <w:spacing w:after="0"/>
              <w:rPr>
                <w:sz w:val="21"/>
                <w:szCs w:val="21"/>
                <w:color w:val="auto"/>
              </w:rPr>
            </w:pPr>
          </w:p>
        </w:tc>
      </w:tr>
      <w:tr>
        <w:trPr>
          <w:trHeight w:val="243"/>
        </w:trPr>
        <w:tc>
          <w:tcPr>
            <w:tcW w:w="1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40" w:type="dxa"/>
            <w:vAlign w:val="bottom"/>
          </w:tcPr>
          <w:p>
            <w:pPr>
              <w:jc w:val="center"/>
              <w:ind w:left="108"/>
              <w:spacing w:after="0"/>
              <w:rPr>
                <w:sz w:val="20"/>
                <w:szCs w:val="20"/>
                <w:color w:val="auto"/>
              </w:rPr>
            </w:pPr>
            <w:r>
              <w:rPr>
                <w:rFonts w:ascii="Calibri" w:cs="Calibri" w:eastAsia="Calibri" w:hAnsi="Calibri"/>
                <w:sz w:val="14"/>
                <w:szCs w:val="14"/>
                <w:color w:val="auto"/>
              </w:rPr>
              <w:t>Document</w:t>
            </w:r>
          </w:p>
        </w:tc>
        <w:tc>
          <w:tcPr>
            <w:tcW w:w="2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780" w:type="dxa"/>
            <w:vAlign w:val="bottom"/>
          </w:tcPr>
          <w:p>
            <w:pPr>
              <w:jc w:val="center"/>
              <w:ind w:right="1628"/>
              <w:spacing w:after="0"/>
              <w:rPr>
                <w:sz w:val="20"/>
                <w:szCs w:val="20"/>
                <w:color w:val="auto"/>
              </w:rPr>
            </w:pPr>
            <w:r>
              <w:rPr>
                <w:rFonts w:ascii="Calibri" w:cs="Calibri" w:eastAsia="Calibri" w:hAnsi="Calibri"/>
                <w:sz w:val="14"/>
                <w:szCs w:val="14"/>
                <w:color w:val="auto"/>
              </w:rPr>
              <w:t>Parts Into Which Incorporated</w:t>
            </w:r>
          </w:p>
        </w:tc>
      </w:tr>
      <w:tr>
        <w:trPr>
          <w:trHeight w:val="33"/>
        </w:trPr>
        <w:tc>
          <w:tcPr>
            <w:tcW w:w="564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163"/>
        </w:trPr>
        <w:tc>
          <w:tcPr>
            <w:tcW w:w="5640" w:type="dxa"/>
            <w:vAlign w:val="bottom"/>
            <w:gridSpan w:val="4"/>
          </w:tcPr>
          <w:p>
            <w:pPr>
              <w:ind w:left="20"/>
              <w:spacing w:after="0" w:line="164" w:lineRule="exact"/>
              <w:rPr>
                <w:sz w:val="20"/>
                <w:szCs w:val="20"/>
                <w:color w:val="auto"/>
              </w:rPr>
            </w:pPr>
            <w:r>
              <w:rPr>
                <w:rFonts w:ascii="Calibri" w:cs="Calibri" w:eastAsia="Calibri" w:hAnsi="Calibri"/>
                <w:sz w:val="14"/>
                <w:szCs w:val="14"/>
                <w:color w:val="auto"/>
              </w:rPr>
              <w:t>Proxy Statement for the Annual Meetng of Shareholders to be held May 11, 2023 (Proxy</w:t>
            </w: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780" w:type="dxa"/>
            <w:vAlign w:val="bottom"/>
          </w:tcPr>
          <w:p>
            <w:pPr>
              <w:jc w:val="center"/>
              <w:ind w:right="1648"/>
              <w:spacing w:after="0" w:line="164" w:lineRule="exact"/>
              <w:rPr>
                <w:sz w:val="20"/>
                <w:szCs w:val="20"/>
                <w:color w:val="auto"/>
              </w:rPr>
            </w:pPr>
            <w:r>
              <w:rPr>
                <w:rFonts w:ascii="Calibri" w:cs="Calibri" w:eastAsia="Calibri" w:hAnsi="Calibri"/>
                <w:sz w:val="14"/>
                <w:szCs w:val="14"/>
                <w:color w:val="auto"/>
              </w:rPr>
              <w:t>Part III</w:t>
            </w:r>
          </w:p>
        </w:tc>
      </w:tr>
      <w:tr>
        <w:trPr>
          <w:trHeight w:val="175"/>
        </w:trPr>
        <w:tc>
          <w:tcPr>
            <w:tcW w:w="1320" w:type="dxa"/>
            <w:vAlign w:val="bottom"/>
          </w:tcPr>
          <w:p>
            <w:pPr>
              <w:ind w:left="20"/>
              <w:spacing w:after="0"/>
              <w:rPr>
                <w:sz w:val="20"/>
                <w:szCs w:val="20"/>
                <w:color w:val="auto"/>
              </w:rPr>
            </w:pPr>
            <w:r>
              <w:rPr>
                <w:rFonts w:ascii="Calibri" w:cs="Calibri" w:eastAsia="Calibri" w:hAnsi="Calibri"/>
                <w:sz w:val="14"/>
                <w:szCs w:val="14"/>
                <w:color w:val="auto"/>
              </w:rPr>
              <w:t>Statement)</w:t>
            </w:r>
          </w:p>
        </w:tc>
        <w:tc>
          <w:tcPr>
            <w:tcW w:w="7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780" w:type="dxa"/>
            <w:vAlign w:val="bottom"/>
          </w:tcPr>
          <w:p>
            <w:pPr>
              <w:spacing w:after="0"/>
              <w:rPr>
                <w:sz w:val="15"/>
                <w:szCs w:val="15"/>
                <w:color w:val="auto"/>
              </w:rPr>
            </w:pPr>
          </w:p>
        </w:tc>
      </w:tr>
      <w:tr>
        <w:trPr>
          <w:trHeight w:val="34"/>
        </w:trPr>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581"/>
        </w:trPr>
        <w:tc>
          <w:tcPr>
            <w:tcW w:w="1320" w:type="dxa"/>
            <w:vAlign w:val="bottom"/>
          </w:tcPr>
          <w:p>
            <w:pPr>
              <w:ind w:left="100"/>
              <w:spacing w:after="0"/>
              <w:rPr>
                <w:sz w:val="20"/>
                <w:szCs w:val="20"/>
                <w:color w:val="auto"/>
              </w:rPr>
            </w:pPr>
            <w:r>
              <w:rPr>
                <w:rFonts w:ascii="Calibri" w:cs="Calibri" w:eastAsia="Calibri" w:hAnsi="Calibri"/>
                <w:sz w:val="14"/>
                <w:szCs w:val="14"/>
                <w:b w:val="1"/>
                <w:bCs w:val="1"/>
                <w:color w:val="auto"/>
              </w:rPr>
              <w:t>Auditor Firm Id:</w:t>
            </w:r>
          </w:p>
        </w:tc>
        <w:tc>
          <w:tcPr>
            <w:tcW w:w="740" w:type="dxa"/>
            <w:vAlign w:val="bottom"/>
          </w:tcPr>
          <w:p>
            <w:pPr>
              <w:jc w:val="right"/>
              <w:ind w:right="188"/>
              <w:spacing w:after="0"/>
              <w:rPr>
                <w:sz w:val="20"/>
                <w:szCs w:val="20"/>
                <w:color w:val="auto"/>
              </w:rPr>
            </w:pPr>
            <w:r>
              <w:rPr>
                <w:rFonts w:ascii="Calibri" w:cs="Calibri" w:eastAsia="Calibri" w:hAnsi="Calibri"/>
                <w:sz w:val="14"/>
                <w:szCs w:val="14"/>
                <w:b w:val="1"/>
                <w:bCs w:val="1"/>
                <w:color w:val="auto"/>
              </w:rPr>
              <w:t>238</w:t>
            </w:r>
          </w:p>
        </w:tc>
        <w:tc>
          <w:tcPr>
            <w:tcW w:w="1340" w:type="dxa"/>
            <w:vAlign w:val="bottom"/>
          </w:tcPr>
          <w:p>
            <w:pPr>
              <w:ind w:left="260"/>
              <w:spacing w:after="0"/>
              <w:rPr>
                <w:sz w:val="20"/>
                <w:szCs w:val="20"/>
                <w:color w:val="auto"/>
              </w:rPr>
            </w:pPr>
            <w:r>
              <w:rPr>
                <w:rFonts w:ascii="Calibri" w:cs="Calibri" w:eastAsia="Calibri" w:hAnsi="Calibri"/>
                <w:sz w:val="14"/>
                <w:szCs w:val="14"/>
                <w:b w:val="1"/>
                <w:bCs w:val="1"/>
                <w:color w:val="auto"/>
              </w:rPr>
              <w:t>Auditor Name:</w:t>
            </w:r>
          </w:p>
        </w:tc>
        <w:tc>
          <w:tcPr>
            <w:tcW w:w="2240" w:type="dxa"/>
            <w:vAlign w:val="bottom"/>
          </w:tcPr>
          <w:p>
            <w:pPr>
              <w:ind w:left="220"/>
              <w:spacing w:after="0"/>
              <w:rPr>
                <w:sz w:val="20"/>
                <w:szCs w:val="20"/>
                <w:color w:val="auto"/>
              </w:rPr>
            </w:pPr>
            <w:r>
              <w:rPr>
                <w:rFonts w:ascii="Calibri" w:cs="Calibri" w:eastAsia="Calibri" w:hAnsi="Calibri"/>
                <w:sz w:val="14"/>
                <w:szCs w:val="14"/>
                <w:b w:val="1"/>
                <w:bCs w:val="1"/>
                <w:color w:val="auto"/>
              </w:rPr>
              <w:t>PricewaterhouseCoopers LLP</w:t>
            </w:r>
          </w:p>
        </w:tc>
        <w:tc>
          <w:tcPr>
            <w:tcW w:w="100" w:type="dxa"/>
            <w:vAlign w:val="bottom"/>
          </w:tcPr>
          <w:p>
            <w:pPr>
              <w:spacing w:after="0"/>
              <w:rPr>
                <w:sz w:val="24"/>
                <w:szCs w:val="24"/>
                <w:color w:val="auto"/>
              </w:rPr>
            </w:pPr>
          </w:p>
        </w:tc>
        <w:tc>
          <w:tcPr>
            <w:tcW w:w="1720" w:type="dxa"/>
            <w:vAlign w:val="bottom"/>
          </w:tcPr>
          <w:p>
            <w:pPr>
              <w:ind w:left="620"/>
              <w:spacing w:after="0"/>
              <w:rPr>
                <w:sz w:val="20"/>
                <w:szCs w:val="20"/>
                <w:color w:val="auto"/>
              </w:rPr>
            </w:pPr>
            <w:r>
              <w:rPr>
                <w:rFonts w:ascii="Calibri" w:cs="Calibri" w:eastAsia="Calibri" w:hAnsi="Calibri"/>
                <w:sz w:val="14"/>
                <w:szCs w:val="14"/>
                <w:b w:val="1"/>
                <w:bCs w:val="1"/>
                <w:color w:val="auto"/>
              </w:rPr>
              <w:t>Auditor Locaton:</w:t>
            </w:r>
          </w:p>
        </w:tc>
        <w:tc>
          <w:tcPr>
            <w:tcW w:w="3780" w:type="dxa"/>
            <w:vAlign w:val="bottom"/>
          </w:tcPr>
          <w:p>
            <w:pPr>
              <w:ind w:left="620"/>
              <w:spacing w:after="0"/>
              <w:rPr>
                <w:sz w:val="20"/>
                <w:szCs w:val="20"/>
                <w:color w:val="auto"/>
              </w:rPr>
            </w:pPr>
            <w:r>
              <w:rPr>
                <w:rFonts w:ascii="Calibri" w:cs="Calibri" w:eastAsia="Calibri" w:hAnsi="Calibri"/>
                <w:sz w:val="14"/>
                <w:szCs w:val="14"/>
                <w:b w:val="1"/>
                <w:bCs w:val="1"/>
                <w:color w:val="auto"/>
              </w:rPr>
              <w:t>Raleigh, North Carolina, United States</w:t>
            </w:r>
          </w:p>
        </w:tc>
      </w:tr>
      <w:tr>
        <w:trPr>
          <w:trHeight w:val="263"/>
        </w:trPr>
        <w:tc>
          <w:tcPr>
            <w:tcW w:w="1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tcPr>
          <w:p>
            <w:pPr>
              <w:spacing w:after="0"/>
              <w:rPr>
                <w:sz w:val="22"/>
                <w:szCs w:val="22"/>
                <w:color w:val="auto"/>
              </w:rPr>
            </w:pP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r>
      <w:tr>
        <w:trPr>
          <w:trHeight w:val="339"/>
        </w:trPr>
        <w:tc>
          <w:tcPr>
            <w:tcW w:w="13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type w:val="continuous"/>
        </w:sectPr>
      </w:pPr>
    </w:p>
    <w:bookmarkStart w:id="1" w:name="page2"/>
    <w:bookmarkEnd w:id="1"/>
    <w:p>
      <w:pPr>
        <w:jc w:val="center"/>
        <w:ind w:right="100"/>
        <w:spacing w:after="0"/>
        <w:rPr>
          <w:sz w:val="20"/>
          <w:szCs w:val="20"/>
          <w:color w:val="auto"/>
        </w:rPr>
      </w:pPr>
      <w:r>
        <w:rPr>
          <w:rFonts w:ascii="Calibri" w:cs="Calibri" w:eastAsia="Calibri" w:hAnsi="Calibri"/>
          <w:sz w:val="43"/>
          <w:szCs w:val="43"/>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540" w:type="dxa"/>
            <w:vAlign w:val="bottom"/>
            <w:tcBorders>
              <w:bottom w:val="single" w:sz="8" w:color="007DC6"/>
            </w:tcBorders>
          </w:tcPr>
          <w:p>
            <w:pPr>
              <w:spacing w:after="0"/>
              <w:rPr>
                <w:sz w:val="20"/>
                <w:szCs w:val="20"/>
                <w:color w:val="auto"/>
              </w:rPr>
            </w:pPr>
            <w:r>
              <w:rPr>
                <w:rFonts w:ascii="Calibri" w:cs="Calibri" w:eastAsia="Calibri" w:hAnsi="Calibri"/>
                <w:sz w:val="20"/>
                <w:szCs w:val="20"/>
                <w:b w:val="1"/>
                <w:bCs w:val="1"/>
                <w:color w:val="007DC6"/>
                <w:w w:val="96"/>
              </w:rPr>
              <w:t>PART I</w:t>
            </w:r>
          </w:p>
        </w:tc>
        <w:tc>
          <w:tcPr>
            <w:tcW w:w="1580" w:type="dxa"/>
            <w:vAlign w:val="bottom"/>
            <w:gridSpan w:val="5"/>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Calibri" w:cs="Calibri" w:eastAsia="Calibri" w:hAnsi="Calibri"/>
                <w:sz w:val="16"/>
                <w:szCs w:val="16"/>
                <w:color w:val="auto"/>
              </w:rPr>
              <w:t>1</w:t>
            </w:r>
          </w:p>
        </w:tc>
      </w:tr>
      <w:tr>
        <w:trPr>
          <w:trHeight w:val="291"/>
        </w:trPr>
        <w:tc>
          <w:tcPr>
            <w:tcW w:w="20" w:type="dxa"/>
            <w:vAlign w:val="bottom"/>
          </w:tcPr>
          <w:p>
            <w:pPr>
              <w:spacing w:after="0"/>
              <w:rPr>
                <w:sz w:val="24"/>
                <w:szCs w:val="24"/>
                <w:color w:val="auto"/>
              </w:rPr>
            </w:pPr>
          </w:p>
        </w:tc>
        <w:tc>
          <w:tcPr>
            <w:tcW w:w="2120" w:type="dxa"/>
            <w:vAlign w:val="bottom"/>
            <w:gridSpan w:val="6"/>
          </w:tcPr>
          <w:p>
            <w:pPr>
              <w:ind w:left="140"/>
              <w:spacing w:after="0"/>
              <w:rPr>
                <w:sz w:val="20"/>
                <w:szCs w:val="20"/>
                <w:color w:val="auto"/>
              </w:rPr>
            </w:pPr>
            <w:r>
              <w:rPr>
                <w:rFonts w:ascii="Calibri" w:cs="Calibri" w:eastAsia="Calibri" w:hAnsi="Calibri"/>
                <w:sz w:val="16"/>
                <w:szCs w:val="16"/>
                <w:b w:val="1"/>
                <w:bCs w:val="1"/>
                <w:color w:val="auto"/>
              </w:rPr>
              <w:t>ITEM 1.</w:t>
            </w:r>
          </w:p>
        </w:tc>
        <w:tc>
          <w:tcPr>
            <w:tcW w:w="660" w:type="dxa"/>
            <w:vAlign w:val="bottom"/>
            <w:tcBorders>
              <w:bottom w:val="single" w:sz="8" w:color="007DC6"/>
            </w:tcBorders>
            <w:gridSpan w:val="3"/>
          </w:tcPr>
          <w:p>
            <w:pPr>
              <w:spacing w:after="0"/>
              <w:rPr>
                <w:sz w:val="20"/>
                <w:szCs w:val="20"/>
                <w:color w:val="auto"/>
              </w:rPr>
            </w:pPr>
            <w:r>
              <w:rPr>
                <w:rFonts w:ascii="Calibri" w:cs="Calibri" w:eastAsia="Calibri" w:hAnsi="Calibri"/>
                <w:sz w:val="16"/>
                <w:szCs w:val="16"/>
                <w:b w:val="1"/>
                <w:bCs w:val="1"/>
                <w:color w:val="007DC6"/>
                <w:w w:val="98"/>
              </w:rPr>
              <w:t>BUSINESS</w:t>
            </w:r>
          </w:p>
        </w:tc>
        <w:tc>
          <w:tcPr>
            <w:tcW w:w="6780" w:type="dxa"/>
            <w:vAlign w:val="bottom"/>
            <w:gridSpan w:val="21"/>
          </w:tcPr>
          <w:p>
            <w:pPr>
              <w:spacing w:after="0"/>
              <w:rPr>
                <w:sz w:val="24"/>
                <w:szCs w:val="24"/>
                <w:color w:val="auto"/>
              </w:rPr>
            </w:pPr>
          </w:p>
        </w:tc>
        <w:tc>
          <w:tcPr>
            <w:tcW w:w="1660" w:type="dxa"/>
            <w:vAlign w:val="bottom"/>
          </w:tcPr>
          <w:p>
            <w:pPr>
              <w:jc w:val="right"/>
              <w:spacing w:after="0"/>
              <w:rPr>
                <w:sz w:val="20"/>
                <w:szCs w:val="20"/>
                <w:color w:val="auto"/>
              </w:rPr>
            </w:pPr>
            <w:r>
              <w:rPr>
                <w:rFonts w:ascii="Calibri" w:cs="Calibri" w:eastAsia="Calibri" w:hAnsi="Calibri"/>
                <w:sz w:val="16"/>
                <w:szCs w:val="16"/>
                <w:color w:val="auto"/>
              </w:rPr>
              <w:t>1</w:t>
            </w:r>
          </w:p>
        </w:tc>
      </w:tr>
      <w:tr>
        <w:trPr>
          <w:trHeight w:val="277"/>
        </w:trPr>
        <w:tc>
          <w:tcPr>
            <w:tcW w:w="20" w:type="dxa"/>
            <w:vAlign w:val="bottom"/>
          </w:tcPr>
          <w:p>
            <w:pPr>
              <w:spacing w:after="0"/>
              <w:rPr>
                <w:sz w:val="24"/>
                <w:szCs w:val="24"/>
                <w:color w:val="auto"/>
              </w:rPr>
            </w:pPr>
          </w:p>
        </w:tc>
        <w:tc>
          <w:tcPr>
            <w:tcW w:w="2120" w:type="dxa"/>
            <w:vAlign w:val="bottom"/>
            <w:gridSpan w:val="6"/>
          </w:tcPr>
          <w:p>
            <w:pPr>
              <w:ind w:left="140"/>
              <w:spacing w:after="0"/>
              <w:rPr>
                <w:sz w:val="20"/>
                <w:szCs w:val="20"/>
                <w:color w:val="auto"/>
              </w:rPr>
            </w:pPr>
            <w:r>
              <w:rPr>
                <w:rFonts w:ascii="Calibri" w:cs="Calibri" w:eastAsia="Calibri" w:hAnsi="Calibri"/>
                <w:sz w:val="16"/>
                <w:szCs w:val="16"/>
                <w:b w:val="1"/>
                <w:bCs w:val="1"/>
                <w:color w:val="auto"/>
              </w:rPr>
              <w:t>ITEM 1A.</w:t>
            </w:r>
          </w:p>
        </w:tc>
        <w:tc>
          <w:tcPr>
            <w:tcW w:w="940" w:type="dxa"/>
            <w:vAlign w:val="bottom"/>
            <w:tcBorders>
              <w:bottom w:val="single" w:sz="8" w:color="007DC6"/>
            </w:tcBorders>
            <w:gridSpan w:val="6"/>
          </w:tcPr>
          <w:p>
            <w:pPr>
              <w:spacing w:after="0"/>
              <w:rPr>
                <w:sz w:val="20"/>
                <w:szCs w:val="20"/>
                <w:color w:val="auto"/>
              </w:rPr>
            </w:pPr>
            <w:r>
              <w:rPr>
                <w:rFonts w:ascii="Calibri" w:cs="Calibri" w:eastAsia="Calibri" w:hAnsi="Calibri"/>
                <w:sz w:val="16"/>
                <w:szCs w:val="16"/>
                <w:b w:val="1"/>
                <w:bCs w:val="1"/>
                <w:color w:val="007DC6"/>
                <w:w w:val="97"/>
              </w:rPr>
              <w:t>RISK FACTORS</w:t>
            </w:r>
          </w:p>
        </w:tc>
        <w:tc>
          <w:tcPr>
            <w:tcW w:w="6500" w:type="dxa"/>
            <w:vAlign w:val="bottom"/>
            <w:gridSpan w:val="18"/>
          </w:tcPr>
          <w:p>
            <w:pPr>
              <w:spacing w:after="0"/>
              <w:rPr>
                <w:sz w:val="24"/>
                <w:szCs w:val="24"/>
                <w:color w:val="auto"/>
              </w:rPr>
            </w:pPr>
          </w:p>
        </w:tc>
        <w:tc>
          <w:tcPr>
            <w:tcW w:w="1660" w:type="dxa"/>
            <w:vAlign w:val="bottom"/>
          </w:tcPr>
          <w:p>
            <w:pPr>
              <w:jc w:val="right"/>
              <w:spacing w:after="0"/>
              <w:rPr>
                <w:sz w:val="20"/>
                <w:szCs w:val="20"/>
                <w:color w:val="auto"/>
              </w:rPr>
            </w:pPr>
            <w:r>
              <w:rPr>
                <w:rFonts w:ascii="Calibri" w:cs="Calibri" w:eastAsia="Calibri" w:hAnsi="Calibri"/>
                <w:sz w:val="16"/>
                <w:szCs w:val="16"/>
                <w:color w:val="auto"/>
              </w:rPr>
              <w:t>13</w:t>
            </w:r>
          </w:p>
        </w:tc>
      </w:tr>
      <w:tr>
        <w:trPr>
          <w:trHeight w:val="277"/>
        </w:trPr>
        <w:tc>
          <w:tcPr>
            <w:tcW w:w="20" w:type="dxa"/>
            <w:vAlign w:val="bottom"/>
          </w:tcPr>
          <w:p>
            <w:pPr>
              <w:spacing w:after="0"/>
              <w:rPr>
                <w:sz w:val="24"/>
                <w:szCs w:val="24"/>
                <w:color w:val="auto"/>
              </w:rPr>
            </w:pPr>
          </w:p>
        </w:tc>
        <w:tc>
          <w:tcPr>
            <w:tcW w:w="2120" w:type="dxa"/>
            <w:vAlign w:val="bottom"/>
            <w:gridSpan w:val="6"/>
          </w:tcPr>
          <w:p>
            <w:pPr>
              <w:ind w:left="140"/>
              <w:spacing w:after="0"/>
              <w:rPr>
                <w:sz w:val="20"/>
                <w:szCs w:val="20"/>
                <w:color w:val="auto"/>
              </w:rPr>
            </w:pPr>
            <w:r>
              <w:rPr>
                <w:rFonts w:ascii="Calibri" w:cs="Calibri" w:eastAsia="Calibri" w:hAnsi="Calibri"/>
                <w:sz w:val="16"/>
                <w:szCs w:val="16"/>
                <w:b w:val="1"/>
                <w:bCs w:val="1"/>
                <w:color w:val="auto"/>
              </w:rPr>
              <w:t>ITEM 1B.</w:t>
            </w:r>
          </w:p>
        </w:tc>
        <w:tc>
          <w:tcPr>
            <w:tcW w:w="7440" w:type="dxa"/>
            <w:vAlign w:val="bottom"/>
            <w:gridSpan w:val="24"/>
          </w:tcPr>
          <w:p>
            <w:pPr>
              <w:spacing w:after="0"/>
              <w:rPr>
                <w:sz w:val="20"/>
                <w:szCs w:val="20"/>
                <w:color w:val="auto"/>
              </w:rPr>
            </w:pPr>
            <w:r>
              <w:rPr>
                <w:rFonts w:ascii="Calibri" w:cs="Calibri" w:eastAsia="Calibri" w:hAnsi="Calibri"/>
                <w:sz w:val="16"/>
                <w:szCs w:val="16"/>
                <w:b w:val="1"/>
                <w:bCs w:val="1"/>
                <w:color w:val="007DC6"/>
              </w:rPr>
              <w:t>UNRESOLVED STAFF COMMENTS</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26</w:t>
            </w:r>
          </w:p>
        </w:tc>
      </w:tr>
      <w:tr>
        <w:trPr>
          <w:trHeight w:val="277"/>
        </w:trPr>
        <w:tc>
          <w:tcPr>
            <w:tcW w:w="20" w:type="dxa"/>
            <w:vAlign w:val="bottom"/>
          </w:tcPr>
          <w:p>
            <w:pPr>
              <w:spacing w:after="0"/>
              <w:rPr>
                <w:sz w:val="24"/>
                <w:szCs w:val="24"/>
                <w:color w:val="auto"/>
              </w:rPr>
            </w:pPr>
          </w:p>
        </w:tc>
        <w:tc>
          <w:tcPr>
            <w:tcW w:w="2120" w:type="dxa"/>
            <w:vAlign w:val="bottom"/>
            <w:gridSpan w:val="6"/>
          </w:tcPr>
          <w:p>
            <w:pPr>
              <w:ind w:left="140"/>
              <w:spacing w:after="0"/>
              <w:rPr>
                <w:sz w:val="20"/>
                <w:szCs w:val="20"/>
                <w:color w:val="auto"/>
              </w:rPr>
            </w:pPr>
            <w:r>
              <w:rPr>
                <w:rFonts w:ascii="Calibri" w:cs="Calibri" w:eastAsia="Calibri" w:hAnsi="Calibri"/>
                <w:sz w:val="16"/>
                <w:szCs w:val="16"/>
                <w:b w:val="1"/>
                <w:bCs w:val="1"/>
                <w:color w:val="auto"/>
              </w:rPr>
              <w:t>ITEM 2.</w:t>
            </w:r>
          </w:p>
        </w:tc>
        <w:tc>
          <w:tcPr>
            <w:tcW w:w="820" w:type="dxa"/>
            <w:vAlign w:val="bottom"/>
            <w:tcBorders>
              <w:top w:val="single" w:sz="8" w:color="007DC6"/>
              <w:bottom w:val="single" w:sz="8" w:color="007DC6"/>
            </w:tcBorders>
            <w:gridSpan w:val="5"/>
          </w:tcPr>
          <w:p>
            <w:pPr>
              <w:spacing w:after="0"/>
              <w:rPr>
                <w:sz w:val="20"/>
                <w:szCs w:val="20"/>
                <w:color w:val="auto"/>
              </w:rPr>
            </w:pPr>
            <w:r>
              <w:rPr>
                <w:rFonts w:ascii="Calibri" w:cs="Calibri" w:eastAsia="Calibri" w:hAnsi="Calibri"/>
                <w:sz w:val="16"/>
                <w:szCs w:val="16"/>
                <w:b w:val="1"/>
                <w:bCs w:val="1"/>
                <w:color w:val="007DC6"/>
                <w:w w:val="98"/>
              </w:rPr>
              <w:t>PROPERTIES</w:t>
            </w:r>
          </w:p>
        </w:tc>
        <w:tc>
          <w:tcPr>
            <w:tcW w:w="1360" w:type="dxa"/>
            <w:vAlign w:val="bottom"/>
            <w:tcBorders>
              <w:top w:val="single" w:sz="8" w:color="007DC6"/>
            </w:tcBorders>
            <w:gridSpan w:val="9"/>
          </w:tcPr>
          <w:p>
            <w:pPr>
              <w:spacing w:after="0"/>
              <w:rPr>
                <w:sz w:val="24"/>
                <w:szCs w:val="24"/>
                <w:color w:val="auto"/>
              </w:rPr>
            </w:pPr>
          </w:p>
        </w:tc>
        <w:tc>
          <w:tcPr>
            <w:tcW w:w="5260" w:type="dxa"/>
            <w:vAlign w:val="bottom"/>
            <w:gridSpan w:val="10"/>
          </w:tcPr>
          <w:p>
            <w:pPr>
              <w:spacing w:after="0"/>
              <w:rPr>
                <w:sz w:val="24"/>
                <w:szCs w:val="24"/>
                <w:color w:val="auto"/>
              </w:rPr>
            </w:pPr>
          </w:p>
        </w:tc>
        <w:tc>
          <w:tcPr>
            <w:tcW w:w="1660" w:type="dxa"/>
            <w:vAlign w:val="bottom"/>
          </w:tcPr>
          <w:p>
            <w:pPr>
              <w:jc w:val="right"/>
              <w:spacing w:after="0"/>
              <w:rPr>
                <w:sz w:val="20"/>
                <w:szCs w:val="20"/>
                <w:color w:val="auto"/>
              </w:rPr>
            </w:pPr>
            <w:r>
              <w:rPr>
                <w:rFonts w:ascii="Calibri" w:cs="Calibri" w:eastAsia="Calibri" w:hAnsi="Calibri"/>
                <w:sz w:val="16"/>
                <w:szCs w:val="16"/>
                <w:color w:val="auto"/>
              </w:rPr>
              <w:t>27</w:t>
            </w:r>
          </w:p>
        </w:tc>
      </w:tr>
      <w:tr>
        <w:trPr>
          <w:trHeight w:val="277"/>
        </w:trPr>
        <w:tc>
          <w:tcPr>
            <w:tcW w:w="20" w:type="dxa"/>
            <w:vAlign w:val="bottom"/>
          </w:tcPr>
          <w:p>
            <w:pPr>
              <w:spacing w:after="0"/>
              <w:rPr>
                <w:sz w:val="24"/>
                <w:szCs w:val="24"/>
                <w:color w:val="auto"/>
              </w:rPr>
            </w:pPr>
          </w:p>
        </w:tc>
        <w:tc>
          <w:tcPr>
            <w:tcW w:w="2120" w:type="dxa"/>
            <w:vAlign w:val="bottom"/>
            <w:gridSpan w:val="6"/>
          </w:tcPr>
          <w:p>
            <w:pPr>
              <w:ind w:left="140"/>
              <w:spacing w:after="0"/>
              <w:rPr>
                <w:sz w:val="20"/>
                <w:szCs w:val="20"/>
                <w:color w:val="auto"/>
              </w:rPr>
            </w:pPr>
            <w:r>
              <w:rPr>
                <w:rFonts w:ascii="Calibri" w:cs="Calibri" w:eastAsia="Calibri" w:hAnsi="Calibri"/>
                <w:sz w:val="16"/>
                <w:szCs w:val="16"/>
                <w:b w:val="1"/>
                <w:bCs w:val="1"/>
                <w:color w:val="auto"/>
              </w:rPr>
              <w:t>ITEM 3.</w:t>
            </w:r>
          </w:p>
        </w:tc>
        <w:tc>
          <w:tcPr>
            <w:tcW w:w="1420" w:type="dxa"/>
            <w:vAlign w:val="bottom"/>
            <w:tcBorders>
              <w:bottom w:val="single" w:sz="8" w:color="007DC6"/>
            </w:tcBorders>
            <w:gridSpan w:val="8"/>
          </w:tcPr>
          <w:p>
            <w:pPr>
              <w:spacing w:after="0"/>
              <w:rPr>
                <w:sz w:val="20"/>
                <w:szCs w:val="20"/>
                <w:color w:val="auto"/>
              </w:rPr>
            </w:pPr>
            <w:r>
              <w:rPr>
                <w:rFonts w:ascii="Calibri" w:cs="Calibri" w:eastAsia="Calibri" w:hAnsi="Calibri"/>
                <w:sz w:val="16"/>
                <w:szCs w:val="16"/>
                <w:b w:val="1"/>
                <w:bCs w:val="1"/>
                <w:color w:val="007DC6"/>
              </w:rPr>
              <w:t>LEGAL PROCEEDINGS</w:t>
            </w:r>
          </w:p>
        </w:tc>
        <w:tc>
          <w:tcPr>
            <w:tcW w:w="6020" w:type="dxa"/>
            <w:vAlign w:val="bottom"/>
            <w:gridSpan w:val="16"/>
          </w:tcPr>
          <w:p>
            <w:pPr>
              <w:spacing w:after="0"/>
              <w:rPr>
                <w:sz w:val="24"/>
                <w:szCs w:val="24"/>
                <w:color w:val="auto"/>
              </w:rPr>
            </w:pPr>
          </w:p>
        </w:tc>
        <w:tc>
          <w:tcPr>
            <w:tcW w:w="1660" w:type="dxa"/>
            <w:vAlign w:val="bottom"/>
          </w:tcPr>
          <w:p>
            <w:pPr>
              <w:jc w:val="right"/>
              <w:spacing w:after="0"/>
              <w:rPr>
                <w:sz w:val="20"/>
                <w:szCs w:val="20"/>
                <w:color w:val="auto"/>
              </w:rPr>
            </w:pPr>
            <w:r>
              <w:rPr>
                <w:rFonts w:ascii="Calibri" w:cs="Calibri" w:eastAsia="Calibri" w:hAnsi="Calibri"/>
                <w:sz w:val="16"/>
                <w:szCs w:val="16"/>
                <w:color w:val="auto"/>
              </w:rPr>
              <w:t>31</w:t>
            </w:r>
          </w:p>
        </w:tc>
      </w:tr>
      <w:tr>
        <w:trPr>
          <w:trHeight w:val="277"/>
        </w:trPr>
        <w:tc>
          <w:tcPr>
            <w:tcW w:w="20" w:type="dxa"/>
            <w:vAlign w:val="bottom"/>
          </w:tcPr>
          <w:p>
            <w:pPr>
              <w:spacing w:after="0"/>
              <w:rPr>
                <w:sz w:val="24"/>
                <w:szCs w:val="24"/>
                <w:color w:val="auto"/>
              </w:rPr>
            </w:pPr>
          </w:p>
        </w:tc>
        <w:tc>
          <w:tcPr>
            <w:tcW w:w="2120" w:type="dxa"/>
            <w:vAlign w:val="bottom"/>
            <w:gridSpan w:val="6"/>
          </w:tcPr>
          <w:p>
            <w:pPr>
              <w:ind w:left="140"/>
              <w:spacing w:after="0"/>
              <w:rPr>
                <w:sz w:val="20"/>
                <w:szCs w:val="20"/>
                <w:color w:val="auto"/>
              </w:rPr>
            </w:pPr>
            <w:r>
              <w:rPr>
                <w:rFonts w:ascii="Calibri" w:cs="Calibri" w:eastAsia="Calibri" w:hAnsi="Calibri"/>
                <w:sz w:val="16"/>
                <w:szCs w:val="16"/>
                <w:b w:val="1"/>
                <w:bCs w:val="1"/>
                <w:color w:val="auto"/>
              </w:rPr>
              <w:t>ITEM 4.</w:t>
            </w:r>
          </w:p>
        </w:tc>
        <w:tc>
          <w:tcPr>
            <w:tcW w:w="7440" w:type="dxa"/>
            <w:vAlign w:val="bottom"/>
            <w:gridSpan w:val="24"/>
          </w:tcPr>
          <w:p>
            <w:pPr>
              <w:spacing w:after="0"/>
              <w:rPr>
                <w:sz w:val="20"/>
                <w:szCs w:val="20"/>
                <w:color w:val="auto"/>
              </w:rPr>
            </w:pPr>
            <w:r>
              <w:rPr>
                <w:rFonts w:ascii="Calibri" w:cs="Calibri" w:eastAsia="Calibri" w:hAnsi="Calibri"/>
                <w:sz w:val="16"/>
                <w:szCs w:val="16"/>
                <w:b w:val="1"/>
                <w:bCs w:val="1"/>
                <w:color w:val="007DC6"/>
              </w:rPr>
              <w:t>MINE SAFETY DISCLOSURES</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31</w:t>
            </w:r>
          </w:p>
        </w:tc>
      </w:tr>
      <w:tr>
        <w:trPr>
          <w:trHeight w:val="20"/>
        </w:trPr>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shd w:val="clear" w:color="auto" w:fill="007DC6"/>
          </w:tcPr>
          <w:p>
            <w:pPr>
              <w:spacing w:after="0" w:line="20" w:lineRule="exact"/>
              <w:rPr>
                <w:sz w:val="1"/>
                <w:szCs w:val="1"/>
                <w:color w:val="auto"/>
              </w:rPr>
            </w:pPr>
          </w:p>
        </w:tc>
        <w:tc>
          <w:tcPr>
            <w:tcW w:w="460" w:type="dxa"/>
            <w:vAlign w:val="bottom"/>
            <w:shd w:val="clear" w:color="auto" w:fill="007DC6"/>
          </w:tcPr>
          <w:p>
            <w:pPr>
              <w:spacing w:after="0" w:line="20" w:lineRule="exact"/>
              <w:rPr>
                <w:sz w:val="1"/>
                <w:szCs w:val="1"/>
                <w:color w:val="auto"/>
              </w:rPr>
            </w:pPr>
          </w:p>
        </w:tc>
        <w:tc>
          <w:tcPr>
            <w:tcW w:w="60" w:type="dxa"/>
            <w:vAlign w:val="bottom"/>
            <w:gridSpan w:val="2"/>
            <w:shd w:val="clear" w:color="auto" w:fill="007DC6"/>
          </w:tcPr>
          <w:p>
            <w:pPr>
              <w:spacing w:after="0" w:line="20" w:lineRule="exact"/>
              <w:rPr>
                <w:sz w:val="1"/>
                <w:szCs w:val="1"/>
                <w:color w:val="auto"/>
              </w:rPr>
            </w:pPr>
          </w:p>
        </w:tc>
        <w:tc>
          <w:tcPr>
            <w:tcW w:w="600" w:type="dxa"/>
            <w:vAlign w:val="bottom"/>
            <w:gridSpan w:val="3"/>
            <w:shd w:val="clear" w:color="auto" w:fill="007DC6"/>
          </w:tcPr>
          <w:p>
            <w:pPr>
              <w:spacing w:after="0" w:line="20" w:lineRule="exact"/>
              <w:rPr>
                <w:sz w:val="1"/>
                <w:szCs w:val="1"/>
                <w:color w:val="auto"/>
              </w:rPr>
            </w:pPr>
          </w:p>
        </w:tc>
        <w:tc>
          <w:tcPr>
            <w:tcW w:w="180" w:type="dxa"/>
            <w:vAlign w:val="bottom"/>
            <w:gridSpan w:val="2"/>
            <w:shd w:val="clear" w:color="auto" w:fill="007DC6"/>
          </w:tcPr>
          <w:p>
            <w:pPr>
              <w:spacing w:after="0" w:line="20" w:lineRule="exact"/>
              <w:rPr>
                <w:sz w:val="1"/>
                <w:szCs w:val="1"/>
                <w:color w:val="auto"/>
              </w:rPr>
            </w:pPr>
          </w:p>
        </w:tc>
        <w:tc>
          <w:tcPr>
            <w:tcW w:w="240" w:type="dxa"/>
            <w:vAlign w:val="bottom"/>
            <w:shd w:val="clear" w:color="auto" w:fill="007DC6"/>
          </w:tcPr>
          <w:p>
            <w:pPr>
              <w:spacing w:after="0" w:line="20" w:lineRule="exact"/>
              <w:rPr>
                <w:sz w:val="1"/>
                <w:szCs w:val="1"/>
                <w:color w:val="auto"/>
              </w:rPr>
            </w:pPr>
          </w:p>
        </w:tc>
        <w:tc>
          <w:tcPr>
            <w:tcW w:w="120" w:type="dxa"/>
            <w:vAlign w:val="bottom"/>
            <w:shd w:val="clear" w:color="auto" w:fill="007DC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9560" w:type="dxa"/>
            <w:vAlign w:val="bottom"/>
            <w:gridSpan w:val="30"/>
          </w:tcPr>
          <w:p>
            <w:pPr>
              <w:spacing w:after="0"/>
              <w:rPr>
                <w:sz w:val="20"/>
                <w:szCs w:val="20"/>
                <w:color w:val="auto"/>
              </w:rPr>
            </w:pPr>
            <w:r>
              <w:rPr>
                <w:rFonts w:ascii="Calibri" w:cs="Calibri" w:eastAsia="Calibri" w:hAnsi="Calibri"/>
                <w:sz w:val="20"/>
                <w:szCs w:val="20"/>
                <w:b w:val="1"/>
                <w:bCs w:val="1"/>
                <w:color w:val="007DC6"/>
              </w:rPr>
              <w:t>INFORMATION ABOUT OUR EXECUTIVE OFFICERS</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31</w:t>
            </w:r>
          </w:p>
        </w:tc>
      </w:tr>
      <w:tr>
        <w:trPr>
          <w:trHeight w:val="479"/>
        </w:trPr>
        <w:tc>
          <w:tcPr>
            <w:tcW w:w="20" w:type="dxa"/>
            <w:vAlign w:val="bottom"/>
          </w:tcPr>
          <w:p>
            <w:pPr>
              <w:spacing w:after="0"/>
              <w:rPr>
                <w:sz w:val="24"/>
                <w:szCs w:val="24"/>
                <w:color w:val="auto"/>
              </w:rPr>
            </w:pPr>
          </w:p>
        </w:tc>
        <w:tc>
          <w:tcPr>
            <w:tcW w:w="2120" w:type="dxa"/>
            <w:vAlign w:val="bottom"/>
            <w:tcBorders>
              <w:top w:val="single" w:sz="8" w:color="007DC6"/>
            </w:tcBorders>
            <w:gridSpan w:val="6"/>
          </w:tcPr>
          <w:p>
            <w:pPr>
              <w:spacing w:after="0"/>
              <w:rPr>
                <w:sz w:val="20"/>
                <w:szCs w:val="20"/>
                <w:color w:val="auto"/>
              </w:rPr>
            </w:pPr>
            <w:r>
              <w:rPr>
                <w:rFonts w:ascii="Calibri" w:cs="Calibri" w:eastAsia="Calibri" w:hAnsi="Calibri"/>
                <w:sz w:val="20"/>
                <w:szCs w:val="20"/>
                <w:b w:val="1"/>
                <w:bCs w:val="1"/>
                <w:color w:val="007DC6"/>
              </w:rPr>
              <w:t>PART II</w:t>
            </w:r>
          </w:p>
        </w:tc>
        <w:tc>
          <w:tcPr>
            <w:tcW w:w="180" w:type="dxa"/>
            <w:vAlign w:val="bottom"/>
            <w:tcBorders>
              <w:top w:val="single" w:sz="8" w:color="007DC6"/>
            </w:tcBorders>
          </w:tcPr>
          <w:p>
            <w:pPr>
              <w:spacing w:after="0"/>
              <w:rPr>
                <w:sz w:val="24"/>
                <w:szCs w:val="24"/>
                <w:color w:val="auto"/>
              </w:rPr>
            </w:pPr>
          </w:p>
        </w:tc>
        <w:tc>
          <w:tcPr>
            <w:tcW w:w="460" w:type="dxa"/>
            <w:vAlign w:val="bottom"/>
            <w:tcBorders>
              <w:top w:val="single" w:sz="8" w:color="007DC6"/>
            </w:tcBorders>
          </w:tcPr>
          <w:p>
            <w:pPr>
              <w:spacing w:after="0"/>
              <w:rPr>
                <w:sz w:val="24"/>
                <w:szCs w:val="24"/>
                <w:color w:val="auto"/>
              </w:rPr>
            </w:pPr>
          </w:p>
        </w:tc>
        <w:tc>
          <w:tcPr>
            <w:tcW w:w="20" w:type="dxa"/>
            <w:vAlign w:val="bottom"/>
            <w:tcBorders>
              <w:top w:val="single" w:sz="8" w:color="007DC6"/>
            </w:tcBorders>
          </w:tcPr>
          <w:p>
            <w:pPr>
              <w:spacing w:after="0"/>
              <w:rPr>
                <w:sz w:val="24"/>
                <w:szCs w:val="24"/>
                <w:color w:val="auto"/>
              </w:rPr>
            </w:pPr>
          </w:p>
        </w:tc>
        <w:tc>
          <w:tcPr>
            <w:tcW w:w="4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36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60" w:type="dxa"/>
            <w:vAlign w:val="bottom"/>
            <w:tcBorders>
              <w:top w:val="single" w:sz="8" w:color="007DC6"/>
            </w:tcBorders>
          </w:tcPr>
          <w:p>
            <w:pPr>
              <w:spacing w:after="0"/>
              <w:rPr>
                <w:sz w:val="24"/>
                <w:szCs w:val="24"/>
                <w:color w:val="auto"/>
              </w:rPr>
            </w:pPr>
          </w:p>
        </w:tc>
        <w:tc>
          <w:tcPr>
            <w:tcW w:w="24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4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Calibri" w:cs="Calibri" w:eastAsia="Calibri" w:hAnsi="Calibri"/>
                <w:sz w:val="16"/>
                <w:szCs w:val="16"/>
                <w:color w:val="auto"/>
              </w:rPr>
              <w:t>32</w:t>
            </w: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7DC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2120" w:type="dxa"/>
            <w:vAlign w:val="bottom"/>
            <w:gridSpan w:val="6"/>
          </w:tcPr>
          <w:p>
            <w:pPr>
              <w:ind w:left="140"/>
              <w:spacing w:after="0"/>
              <w:rPr>
                <w:sz w:val="20"/>
                <w:szCs w:val="20"/>
                <w:color w:val="auto"/>
              </w:rPr>
            </w:pPr>
            <w:r>
              <w:rPr>
                <w:rFonts w:ascii="Calibri" w:cs="Calibri" w:eastAsia="Calibri" w:hAnsi="Calibri"/>
                <w:sz w:val="16"/>
                <w:szCs w:val="16"/>
                <w:b w:val="1"/>
                <w:bCs w:val="1"/>
                <w:color w:val="auto"/>
              </w:rPr>
              <w:t>ITEM 5.</w:t>
            </w:r>
          </w:p>
        </w:tc>
        <w:tc>
          <w:tcPr>
            <w:tcW w:w="7440" w:type="dxa"/>
            <w:vAlign w:val="bottom"/>
            <w:tcBorders>
              <w:bottom w:val="single" w:sz="8" w:color="007DC6"/>
            </w:tcBorders>
            <w:gridSpan w:val="24"/>
          </w:tcPr>
          <w:p>
            <w:pPr>
              <w:spacing w:after="0"/>
              <w:rPr>
                <w:sz w:val="20"/>
                <w:szCs w:val="20"/>
                <w:color w:val="auto"/>
              </w:rPr>
            </w:pPr>
            <w:r>
              <w:rPr>
                <w:rFonts w:ascii="Calibri" w:cs="Calibri" w:eastAsia="Calibri" w:hAnsi="Calibri"/>
                <w:sz w:val="16"/>
                <w:szCs w:val="16"/>
                <w:b w:val="1"/>
                <w:bCs w:val="1"/>
                <w:color w:val="007DC6"/>
              </w:rPr>
              <w:t>MARKET FOR REGISTRANT’S COMMON EQUITY, RELATED STOCKHOLDER MATTERS AND ISSUER PURCHASES OF</w:t>
            </w:r>
          </w:p>
        </w:tc>
        <w:tc>
          <w:tcPr>
            <w:tcW w:w="166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Borders>
              <w:bottom w:val="single" w:sz="8" w:color="007DC6"/>
            </w:tcBorders>
            <w:gridSpan w:val="7"/>
          </w:tcPr>
          <w:p>
            <w:pPr>
              <w:spacing w:after="0" w:line="183" w:lineRule="exact"/>
              <w:rPr>
                <w:sz w:val="20"/>
                <w:szCs w:val="20"/>
                <w:color w:val="auto"/>
              </w:rPr>
            </w:pPr>
            <w:r>
              <w:rPr>
                <w:rFonts w:ascii="Calibri" w:cs="Calibri" w:eastAsia="Calibri" w:hAnsi="Calibri"/>
                <w:sz w:val="16"/>
                <w:szCs w:val="16"/>
                <w:b w:val="1"/>
                <w:bCs w:val="1"/>
                <w:color w:val="007DC6"/>
                <w:w w:val="99"/>
              </w:rPr>
              <w:t>EQUITY SECURITIES</w:t>
            </w:r>
          </w:p>
        </w:tc>
        <w:tc>
          <w:tcPr>
            <w:tcW w:w="6140" w:type="dxa"/>
            <w:vAlign w:val="bottom"/>
            <w:gridSpan w:val="17"/>
          </w:tcPr>
          <w:p>
            <w:pPr>
              <w:spacing w:after="0"/>
              <w:rPr>
                <w:sz w:val="15"/>
                <w:szCs w:val="15"/>
                <w:color w:val="auto"/>
              </w:rPr>
            </w:pPr>
          </w:p>
        </w:tc>
        <w:tc>
          <w:tcPr>
            <w:tcW w:w="1660" w:type="dxa"/>
            <w:vAlign w:val="bottom"/>
          </w:tcPr>
          <w:p>
            <w:pPr>
              <w:jc w:val="right"/>
              <w:spacing w:after="0" w:line="183" w:lineRule="exact"/>
              <w:rPr>
                <w:sz w:val="20"/>
                <w:szCs w:val="20"/>
                <w:color w:val="auto"/>
              </w:rPr>
            </w:pPr>
            <w:r>
              <w:rPr>
                <w:rFonts w:ascii="Calibri" w:cs="Calibri" w:eastAsia="Calibri" w:hAnsi="Calibri"/>
                <w:sz w:val="16"/>
                <w:szCs w:val="16"/>
                <w:color w:val="auto"/>
              </w:rPr>
              <w:t>32</w:t>
            </w:r>
          </w:p>
        </w:tc>
      </w:tr>
      <w:tr>
        <w:trPr>
          <w:trHeight w:val="277"/>
        </w:trPr>
        <w:tc>
          <w:tcPr>
            <w:tcW w:w="20" w:type="dxa"/>
            <w:vAlign w:val="bottom"/>
          </w:tcPr>
          <w:p>
            <w:pPr>
              <w:spacing w:after="0"/>
              <w:rPr>
                <w:sz w:val="24"/>
                <w:szCs w:val="24"/>
                <w:color w:val="auto"/>
              </w:rPr>
            </w:pPr>
          </w:p>
        </w:tc>
        <w:tc>
          <w:tcPr>
            <w:tcW w:w="2120" w:type="dxa"/>
            <w:vAlign w:val="bottom"/>
            <w:gridSpan w:val="6"/>
          </w:tcPr>
          <w:p>
            <w:pPr>
              <w:ind w:left="140"/>
              <w:spacing w:after="0"/>
              <w:rPr>
                <w:sz w:val="20"/>
                <w:szCs w:val="20"/>
                <w:color w:val="auto"/>
              </w:rPr>
            </w:pPr>
            <w:r>
              <w:rPr>
                <w:rFonts w:ascii="Calibri" w:cs="Calibri" w:eastAsia="Calibri" w:hAnsi="Calibri"/>
                <w:sz w:val="16"/>
                <w:szCs w:val="16"/>
                <w:b w:val="1"/>
                <w:bCs w:val="1"/>
                <w:color w:val="auto"/>
              </w:rPr>
              <w:t>ITEM 6.</w:t>
            </w:r>
          </w:p>
        </w:tc>
        <w:tc>
          <w:tcPr>
            <w:tcW w:w="700" w:type="dxa"/>
            <w:vAlign w:val="bottom"/>
            <w:tcBorders>
              <w:bottom w:val="single" w:sz="8" w:color="007DC6"/>
            </w:tcBorders>
            <w:gridSpan w:val="4"/>
          </w:tcPr>
          <w:p>
            <w:pPr>
              <w:spacing w:after="0"/>
              <w:rPr>
                <w:sz w:val="20"/>
                <w:szCs w:val="20"/>
                <w:color w:val="auto"/>
              </w:rPr>
            </w:pPr>
            <w:r>
              <w:rPr>
                <w:rFonts w:ascii="Calibri" w:cs="Calibri" w:eastAsia="Calibri" w:hAnsi="Calibri"/>
                <w:sz w:val="16"/>
                <w:szCs w:val="16"/>
                <w:b w:val="1"/>
                <w:bCs w:val="1"/>
                <w:color w:val="007DC6"/>
                <w:w w:val="99"/>
              </w:rPr>
              <w:t>RESERVED</w:t>
            </w:r>
          </w:p>
        </w:tc>
        <w:tc>
          <w:tcPr>
            <w:tcW w:w="6740" w:type="dxa"/>
            <w:vAlign w:val="bottom"/>
            <w:gridSpan w:val="20"/>
          </w:tcPr>
          <w:p>
            <w:pPr>
              <w:spacing w:after="0"/>
              <w:rPr>
                <w:sz w:val="24"/>
                <w:szCs w:val="24"/>
                <w:color w:val="auto"/>
              </w:rPr>
            </w:pPr>
          </w:p>
        </w:tc>
        <w:tc>
          <w:tcPr>
            <w:tcW w:w="1660" w:type="dxa"/>
            <w:vAlign w:val="bottom"/>
          </w:tcPr>
          <w:p>
            <w:pPr>
              <w:jc w:val="right"/>
              <w:spacing w:after="0"/>
              <w:rPr>
                <w:sz w:val="20"/>
                <w:szCs w:val="20"/>
                <w:color w:val="auto"/>
              </w:rPr>
            </w:pPr>
            <w:r>
              <w:rPr>
                <w:rFonts w:ascii="Calibri" w:cs="Calibri" w:eastAsia="Calibri" w:hAnsi="Calibri"/>
                <w:sz w:val="16"/>
                <w:szCs w:val="16"/>
                <w:color w:val="auto"/>
              </w:rPr>
              <w:t>34</w:t>
            </w:r>
          </w:p>
        </w:tc>
      </w:tr>
      <w:tr>
        <w:trPr>
          <w:trHeight w:val="277"/>
        </w:trPr>
        <w:tc>
          <w:tcPr>
            <w:tcW w:w="20" w:type="dxa"/>
            <w:vAlign w:val="bottom"/>
          </w:tcPr>
          <w:p>
            <w:pPr>
              <w:spacing w:after="0"/>
              <w:rPr>
                <w:sz w:val="24"/>
                <w:szCs w:val="24"/>
                <w:color w:val="auto"/>
              </w:rPr>
            </w:pPr>
          </w:p>
        </w:tc>
        <w:tc>
          <w:tcPr>
            <w:tcW w:w="2120" w:type="dxa"/>
            <w:vAlign w:val="bottom"/>
            <w:gridSpan w:val="6"/>
          </w:tcPr>
          <w:p>
            <w:pPr>
              <w:ind w:left="140"/>
              <w:spacing w:after="0"/>
              <w:rPr>
                <w:sz w:val="20"/>
                <w:szCs w:val="20"/>
                <w:color w:val="auto"/>
              </w:rPr>
            </w:pPr>
            <w:r>
              <w:rPr>
                <w:rFonts w:ascii="Calibri" w:cs="Calibri" w:eastAsia="Calibri" w:hAnsi="Calibri"/>
                <w:sz w:val="16"/>
                <w:szCs w:val="16"/>
                <w:b w:val="1"/>
                <w:bCs w:val="1"/>
                <w:color w:val="auto"/>
              </w:rPr>
              <w:t>ITEM 7.</w:t>
            </w:r>
          </w:p>
        </w:tc>
        <w:tc>
          <w:tcPr>
            <w:tcW w:w="7440" w:type="dxa"/>
            <w:vAlign w:val="bottom"/>
            <w:gridSpan w:val="24"/>
          </w:tcPr>
          <w:p>
            <w:pPr>
              <w:spacing w:after="0"/>
              <w:rPr>
                <w:sz w:val="20"/>
                <w:szCs w:val="20"/>
                <w:color w:val="auto"/>
              </w:rPr>
            </w:pPr>
            <w:r>
              <w:rPr>
                <w:rFonts w:ascii="Calibri" w:cs="Calibri" w:eastAsia="Calibri" w:hAnsi="Calibri"/>
                <w:sz w:val="16"/>
                <w:szCs w:val="16"/>
                <w:b w:val="1"/>
                <w:bCs w:val="1"/>
                <w:color w:val="007DC6"/>
              </w:rPr>
              <w:t>MANAGEMENT’S DISCUSSION AND ANALYSIS OF FINANCIAL CONDITION AND RESULTS OF OPERATIONS</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35</w:t>
            </w:r>
          </w:p>
        </w:tc>
      </w:tr>
      <w:tr>
        <w:trPr>
          <w:trHeight w:val="277"/>
        </w:trPr>
        <w:tc>
          <w:tcPr>
            <w:tcW w:w="20" w:type="dxa"/>
            <w:vAlign w:val="bottom"/>
          </w:tcPr>
          <w:p>
            <w:pPr>
              <w:spacing w:after="0"/>
              <w:rPr>
                <w:sz w:val="24"/>
                <w:szCs w:val="24"/>
                <w:color w:val="auto"/>
              </w:rPr>
            </w:pPr>
          </w:p>
        </w:tc>
        <w:tc>
          <w:tcPr>
            <w:tcW w:w="2120" w:type="dxa"/>
            <w:vAlign w:val="bottom"/>
            <w:gridSpan w:val="6"/>
          </w:tcPr>
          <w:p>
            <w:pPr>
              <w:ind w:left="140"/>
              <w:spacing w:after="0"/>
              <w:rPr>
                <w:sz w:val="20"/>
                <w:szCs w:val="20"/>
                <w:color w:val="auto"/>
              </w:rPr>
            </w:pPr>
            <w:r>
              <w:rPr>
                <w:rFonts w:ascii="Calibri" w:cs="Calibri" w:eastAsia="Calibri" w:hAnsi="Calibri"/>
                <w:sz w:val="16"/>
                <w:szCs w:val="16"/>
                <w:b w:val="1"/>
                <w:bCs w:val="1"/>
                <w:color w:val="auto"/>
              </w:rPr>
              <w:t>ITEM 7A.</w:t>
            </w:r>
          </w:p>
        </w:tc>
        <w:tc>
          <w:tcPr>
            <w:tcW w:w="6900" w:type="dxa"/>
            <w:vAlign w:val="bottom"/>
            <w:tcBorders>
              <w:top w:val="single" w:sz="8" w:color="007DC6"/>
            </w:tcBorders>
            <w:gridSpan w:val="21"/>
          </w:tcPr>
          <w:p>
            <w:pPr>
              <w:spacing w:after="0"/>
              <w:rPr>
                <w:sz w:val="20"/>
                <w:szCs w:val="20"/>
                <w:color w:val="auto"/>
              </w:rPr>
            </w:pPr>
            <w:r>
              <w:rPr>
                <w:rFonts w:ascii="Calibri" w:cs="Calibri" w:eastAsia="Calibri" w:hAnsi="Calibri"/>
                <w:sz w:val="16"/>
                <w:szCs w:val="16"/>
                <w:b w:val="1"/>
                <w:bCs w:val="1"/>
                <w:color w:val="007DC6"/>
              </w:rPr>
              <w:t>QUANTITATIVE AND QUALITATIVE DISCLOSURES ABOUT MARKET RISK</w:t>
            </w:r>
          </w:p>
        </w:tc>
        <w:tc>
          <w:tcPr>
            <w:tcW w:w="540" w:type="dxa"/>
            <w:vAlign w:val="bottom"/>
            <w:gridSpan w:val="3"/>
          </w:tcPr>
          <w:p>
            <w:pPr>
              <w:spacing w:after="0"/>
              <w:rPr>
                <w:sz w:val="24"/>
                <w:szCs w:val="24"/>
                <w:color w:val="auto"/>
              </w:rPr>
            </w:pPr>
          </w:p>
        </w:tc>
        <w:tc>
          <w:tcPr>
            <w:tcW w:w="1660" w:type="dxa"/>
            <w:vAlign w:val="bottom"/>
          </w:tcPr>
          <w:p>
            <w:pPr>
              <w:jc w:val="right"/>
              <w:spacing w:after="0"/>
              <w:rPr>
                <w:sz w:val="20"/>
                <w:szCs w:val="20"/>
                <w:color w:val="auto"/>
              </w:rPr>
            </w:pPr>
            <w:r>
              <w:rPr>
                <w:rFonts w:ascii="Calibri" w:cs="Calibri" w:eastAsia="Calibri" w:hAnsi="Calibri"/>
                <w:sz w:val="16"/>
                <w:szCs w:val="16"/>
                <w:color w:val="auto"/>
              </w:rPr>
              <w:t>68</w:t>
            </w:r>
          </w:p>
        </w:tc>
      </w:tr>
      <w:tr>
        <w:trPr>
          <w:trHeight w:val="277"/>
        </w:trPr>
        <w:tc>
          <w:tcPr>
            <w:tcW w:w="20" w:type="dxa"/>
            <w:vAlign w:val="bottom"/>
          </w:tcPr>
          <w:p>
            <w:pPr>
              <w:spacing w:after="0"/>
              <w:rPr>
                <w:sz w:val="24"/>
                <w:szCs w:val="24"/>
                <w:color w:val="auto"/>
              </w:rPr>
            </w:pPr>
          </w:p>
        </w:tc>
        <w:tc>
          <w:tcPr>
            <w:tcW w:w="2120" w:type="dxa"/>
            <w:vAlign w:val="bottom"/>
            <w:gridSpan w:val="6"/>
          </w:tcPr>
          <w:p>
            <w:pPr>
              <w:ind w:left="140"/>
              <w:spacing w:after="0"/>
              <w:rPr>
                <w:sz w:val="20"/>
                <w:szCs w:val="20"/>
                <w:color w:val="auto"/>
              </w:rPr>
            </w:pPr>
            <w:r>
              <w:rPr>
                <w:rFonts w:ascii="Calibri" w:cs="Calibri" w:eastAsia="Calibri" w:hAnsi="Calibri"/>
                <w:sz w:val="16"/>
                <w:szCs w:val="16"/>
                <w:b w:val="1"/>
                <w:bCs w:val="1"/>
                <w:color w:val="auto"/>
              </w:rPr>
              <w:t>ITEM 8.</w:t>
            </w:r>
          </w:p>
        </w:tc>
        <w:tc>
          <w:tcPr>
            <w:tcW w:w="4660" w:type="dxa"/>
            <w:vAlign w:val="bottom"/>
            <w:tcBorders>
              <w:top w:val="single" w:sz="8" w:color="007DC6"/>
            </w:tcBorders>
            <w:gridSpan w:val="18"/>
          </w:tcPr>
          <w:p>
            <w:pPr>
              <w:spacing w:after="0"/>
              <w:rPr>
                <w:sz w:val="20"/>
                <w:szCs w:val="20"/>
                <w:color w:val="auto"/>
              </w:rPr>
            </w:pPr>
            <w:r>
              <w:rPr>
                <w:rFonts w:ascii="Calibri" w:cs="Calibri" w:eastAsia="Calibri" w:hAnsi="Calibri"/>
                <w:sz w:val="16"/>
                <w:szCs w:val="16"/>
                <w:b w:val="1"/>
                <w:bCs w:val="1"/>
                <w:color w:val="007DC6"/>
              </w:rPr>
              <w:t>FINANCIAL STATEMENTS AND SUPPLEMENTARY DATA</w:t>
            </w:r>
          </w:p>
        </w:tc>
        <w:tc>
          <w:tcPr>
            <w:tcW w:w="2780" w:type="dxa"/>
            <w:vAlign w:val="bottom"/>
            <w:gridSpan w:val="6"/>
          </w:tcPr>
          <w:p>
            <w:pPr>
              <w:spacing w:after="0"/>
              <w:rPr>
                <w:sz w:val="24"/>
                <w:szCs w:val="24"/>
                <w:color w:val="auto"/>
              </w:rPr>
            </w:pPr>
          </w:p>
        </w:tc>
        <w:tc>
          <w:tcPr>
            <w:tcW w:w="1660" w:type="dxa"/>
            <w:vAlign w:val="bottom"/>
          </w:tcPr>
          <w:p>
            <w:pPr>
              <w:jc w:val="right"/>
              <w:spacing w:after="0"/>
              <w:rPr>
                <w:sz w:val="20"/>
                <w:szCs w:val="20"/>
                <w:color w:val="auto"/>
              </w:rPr>
            </w:pPr>
            <w:r>
              <w:rPr>
                <w:rFonts w:ascii="Calibri" w:cs="Calibri" w:eastAsia="Calibri" w:hAnsi="Calibri"/>
                <w:sz w:val="16"/>
                <w:szCs w:val="16"/>
                <w:color w:val="auto"/>
              </w:rPr>
              <w:t>70</w:t>
            </w:r>
          </w:p>
        </w:tc>
      </w:tr>
      <w:tr>
        <w:trPr>
          <w:trHeight w:val="20"/>
        </w:trPr>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shd w:val="clear" w:color="auto" w:fill="007DC6"/>
          </w:tcPr>
          <w:p>
            <w:pPr>
              <w:spacing w:after="0" w:line="20" w:lineRule="exact"/>
              <w:rPr>
                <w:sz w:val="1"/>
                <w:szCs w:val="1"/>
                <w:color w:val="auto"/>
              </w:rPr>
            </w:pPr>
          </w:p>
        </w:tc>
        <w:tc>
          <w:tcPr>
            <w:tcW w:w="460" w:type="dxa"/>
            <w:vAlign w:val="bottom"/>
            <w:shd w:val="clear" w:color="auto" w:fill="007DC6"/>
          </w:tcPr>
          <w:p>
            <w:pPr>
              <w:spacing w:after="0" w:line="20" w:lineRule="exact"/>
              <w:rPr>
                <w:sz w:val="1"/>
                <w:szCs w:val="1"/>
                <w:color w:val="auto"/>
              </w:rPr>
            </w:pPr>
          </w:p>
        </w:tc>
        <w:tc>
          <w:tcPr>
            <w:tcW w:w="840" w:type="dxa"/>
            <w:vAlign w:val="bottom"/>
            <w:gridSpan w:val="7"/>
            <w:shd w:val="clear" w:color="auto" w:fill="007DC6"/>
          </w:tcPr>
          <w:p>
            <w:pPr>
              <w:spacing w:after="0" w:line="20" w:lineRule="exact"/>
              <w:rPr>
                <w:sz w:val="1"/>
                <w:szCs w:val="1"/>
                <w:color w:val="auto"/>
              </w:rPr>
            </w:pPr>
          </w:p>
        </w:tc>
        <w:tc>
          <w:tcPr>
            <w:tcW w:w="240" w:type="dxa"/>
            <w:vAlign w:val="bottom"/>
            <w:shd w:val="clear" w:color="auto" w:fill="007DC6"/>
          </w:tcPr>
          <w:p>
            <w:pPr>
              <w:spacing w:after="0" w:line="20" w:lineRule="exact"/>
              <w:rPr>
                <w:sz w:val="1"/>
                <w:szCs w:val="1"/>
                <w:color w:val="auto"/>
              </w:rPr>
            </w:pPr>
          </w:p>
        </w:tc>
        <w:tc>
          <w:tcPr>
            <w:tcW w:w="160" w:type="dxa"/>
            <w:vAlign w:val="bottom"/>
            <w:gridSpan w:val="2"/>
            <w:shd w:val="clear" w:color="auto" w:fill="007DC6"/>
          </w:tcPr>
          <w:p>
            <w:pPr>
              <w:spacing w:after="0" w:line="20" w:lineRule="exact"/>
              <w:rPr>
                <w:sz w:val="1"/>
                <w:szCs w:val="1"/>
                <w:color w:val="auto"/>
              </w:rPr>
            </w:pPr>
          </w:p>
        </w:tc>
        <w:tc>
          <w:tcPr>
            <w:tcW w:w="120" w:type="dxa"/>
            <w:vAlign w:val="bottom"/>
            <w:shd w:val="clear" w:color="auto" w:fill="007DC6"/>
          </w:tcPr>
          <w:p>
            <w:pPr>
              <w:spacing w:after="0" w:line="20" w:lineRule="exact"/>
              <w:rPr>
                <w:sz w:val="1"/>
                <w:szCs w:val="1"/>
                <w:color w:val="auto"/>
              </w:rPr>
            </w:pPr>
          </w:p>
        </w:tc>
        <w:tc>
          <w:tcPr>
            <w:tcW w:w="1020" w:type="dxa"/>
            <w:vAlign w:val="bottom"/>
            <w:gridSpan w:val="2"/>
            <w:shd w:val="clear" w:color="auto" w:fill="007DC6"/>
          </w:tcPr>
          <w:p>
            <w:pPr>
              <w:spacing w:after="0" w:line="20" w:lineRule="exact"/>
              <w:rPr>
                <w:sz w:val="1"/>
                <w:szCs w:val="1"/>
                <w:color w:val="auto"/>
              </w:rPr>
            </w:pPr>
          </w:p>
        </w:tc>
        <w:tc>
          <w:tcPr>
            <w:tcW w:w="540" w:type="dxa"/>
            <w:vAlign w:val="bottom"/>
            <w:tcBorders>
              <w:right w:val="single" w:sz="8" w:color="007DC6"/>
            </w:tcBorders>
            <w:shd w:val="clear" w:color="auto" w:fill="007DC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2120" w:type="dxa"/>
            <w:vAlign w:val="bottom"/>
            <w:gridSpan w:val="6"/>
          </w:tcPr>
          <w:p>
            <w:pPr>
              <w:ind w:left="140"/>
              <w:spacing w:after="0"/>
              <w:rPr>
                <w:sz w:val="20"/>
                <w:szCs w:val="20"/>
                <w:color w:val="auto"/>
              </w:rPr>
            </w:pPr>
            <w:r>
              <w:rPr>
                <w:rFonts w:ascii="Calibri" w:cs="Calibri" w:eastAsia="Calibri" w:hAnsi="Calibri"/>
                <w:sz w:val="16"/>
                <w:szCs w:val="16"/>
                <w:b w:val="1"/>
                <w:bCs w:val="1"/>
                <w:color w:val="auto"/>
              </w:rPr>
              <w:t>ITEM 9.</w:t>
            </w:r>
          </w:p>
        </w:tc>
        <w:tc>
          <w:tcPr>
            <w:tcW w:w="7440" w:type="dxa"/>
            <w:vAlign w:val="bottom"/>
            <w:gridSpan w:val="24"/>
          </w:tcPr>
          <w:p>
            <w:pPr>
              <w:spacing w:after="0"/>
              <w:rPr>
                <w:sz w:val="20"/>
                <w:szCs w:val="20"/>
                <w:color w:val="auto"/>
              </w:rPr>
            </w:pPr>
            <w:r>
              <w:rPr>
                <w:rFonts w:ascii="Calibri" w:cs="Calibri" w:eastAsia="Calibri" w:hAnsi="Calibri"/>
                <w:sz w:val="16"/>
                <w:szCs w:val="16"/>
                <w:b w:val="1"/>
                <w:bCs w:val="1"/>
                <w:color w:val="007DC6"/>
              </w:rPr>
              <w:t>CHANGES IN AND DISAGREEMENTS WITH ACCOUNTANTS ON ACCOUNTING AND FINANCIAL DISCLOSURE</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113</w:t>
            </w:r>
          </w:p>
        </w:tc>
      </w:tr>
      <w:tr>
        <w:trPr>
          <w:trHeight w:val="277"/>
        </w:trPr>
        <w:tc>
          <w:tcPr>
            <w:tcW w:w="20" w:type="dxa"/>
            <w:vAlign w:val="bottom"/>
          </w:tcPr>
          <w:p>
            <w:pPr>
              <w:spacing w:after="0"/>
              <w:rPr>
                <w:sz w:val="24"/>
                <w:szCs w:val="24"/>
                <w:color w:val="auto"/>
              </w:rPr>
            </w:pPr>
          </w:p>
        </w:tc>
        <w:tc>
          <w:tcPr>
            <w:tcW w:w="2120" w:type="dxa"/>
            <w:vAlign w:val="bottom"/>
            <w:gridSpan w:val="6"/>
          </w:tcPr>
          <w:p>
            <w:pPr>
              <w:ind w:left="140"/>
              <w:spacing w:after="0"/>
              <w:rPr>
                <w:sz w:val="20"/>
                <w:szCs w:val="20"/>
                <w:color w:val="auto"/>
              </w:rPr>
            </w:pPr>
            <w:r>
              <w:rPr>
                <w:rFonts w:ascii="Calibri" w:cs="Calibri" w:eastAsia="Calibri" w:hAnsi="Calibri"/>
                <w:sz w:val="16"/>
                <w:szCs w:val="16"/>
                <w:b w:val="1"/>
                <w:bCs w:val="1"/>
                <w:color w:val="auto"/>
              </w:rPr>
              <w:t>ITEM 9A.</w:t>
            </w:r>
          </w:p>
        </w:tc>
        <w:tc>
          <w:tcPr>
            <w:tcW w:w="7020" w:type="dxa"/>
            <w:vAlign w:val="bottom"/>
            <w:tcBorders>
              <w:top w:val="single" w:sz="8" w:color="007DC6"/>
            </w:tcBorders>
            <w:gridSpan w:val="22"/>
          </w:tcPr>
          <w:p>
            <w:pPr>
              <w:spacing w:after="0"/>
              <w:rPr>
                <w:sz w:val="20"/>
                <w:szCs w:val="20"/>
                <w:color w:val="auto"/>
              </w:rPr>
            </w:pPr>
            <w:r>
              <w:rPr>
                <w:rFonts w:ascii="Calibri" w:cs="Calibri" w:eastAsia="Calibri" w:hAnsi="Calibri"/>
                <w:sz w:val="16"/>
                <w:szCs w:val="16"/>
                <w:b w:val="1"/>
                <w:bCs w:val="1"/>
                <w:color w:val="007DC6"/>
              </w:rPr>
              <w:t>CONTROLS AND PROCEDURES</w:t>
            </w:r>
          </w:p>
        </w:tc>
        <w:tc>
          <w:tcPr>
            <w:tcW w:w="420" w:type="dxa"/>
            <w:vAlign w:val="bottom"/>
            <w:gridSpan w:val="2"/>
          </w:tcPr>
          <w:p>
            <w:pPr>
              <w:spacing w:after="0"/>
              <w:rPr>
                <w:sz w:val="24"/>
                <w:szCs w:val="24"/>
                <w:color w:val="auto"/>
              </w:rPr>
            </w:pPr>
          </w:p>
        </w:tc>
        <w:tc>
          <w:tcPr>
            <w:tcW w:w="1660" w:type="dxa"/>
            <w:vAlign w:val="bottom"/>
          </w:tcPr>
          <w:p>
            <w:pPr>
              <w:jc w:val="right"/>
              <w:spacing w:after="0"/>
              <w:rPr>
                <w:sz w:val="20"/>
                <w:szCs w:val="20"/>
                <w:color w:val="auto"/>
              </w:rPr>
            </w:pPr>
            <w:r>
              <w:rPr>
                <w:rFonts w:ascii="Calibri" w:cs="Calibri" w:eastAsia="Calibri" w:hAnsi="Calibri"/>
                <w:sz w:val="16"/>
                <w:szCs w:val="16"/>
                <w:color w:val="auto"/>
              </w:rPr>
              <w:t>113</w:t>
            </w:r>
          </w:p>
        </w:tc>
      </w:tr>
      <w:tr>
        <w:trPr>
          <w:trHeight w:val="277"/>
        </w:trPr>
        <w:tc>
          <w:tcPr>
            <w:tcW w:w="20" w:type="dxa"/>
            <w:vAlign w:val="bottom"/>
          </w:tcPr>
          <w:p>
            <w:pPr>
              <w:spacing w:after="0"/>
              <w:rPr>
                <w:sz w:val="24"/>
                <w:szCs w:val="24"/>
                <w:color w:val="auto"/>
              </w:rPr>
            </w:pPr>
          </w:p>
        </w:tc>
        <w:tc>
          <w:tcPr>
            <w:tcW w:w="2120" w:type="dxa"/>
            <w:vAlign w:val="bottom"/>
            <w:gridSpan w:val="6"/>
          </w:tcPr>
          <w:p>
            <w:pPr>
              <w:ind w:left="140"/>
              <w:spacing w:after="0"/>
              <w:rPr>
                <w:sz w:val="20"/>
                <w:szCs w:val="20"/>
                <w:color w:val="auto"/>
              </w:rPr>
            </w:pPr>
            <w:r>
              <w:rPr>
                <w:rFonts w:ascii="Calibri" w:cs="Calibri" w:eastAsia="Calibri" w:hAnsi="Calibri"/>
                <w:sz w:val="16"/>
                <w:szCs w:val="16"/>
                <w:b w:val="1"/>
                <w:bCs w:val="1"/>
                <w:color w:val="auto"/>
              </w:rPr>
              <w:t>ITEM 9B.</w:t>
            </w:r>
          </w:p>
        </w:tc>
        <w:tc>
          <w:tcPr>
            <w:tcW w:w="2000" w:type="dxa"/>
            <w:vAlign w:val="bottom"/>
            <w:tcBorders>
              <w:top w:val="single" w:sz="8" w:color="007DC6"/>
            </w:tcBorders>
            <w:gridSpan w:val="13"/>
          </w:tcPr>
          <w:p>
            <w:pPr>
              <w:spacing w:after="0"/>
              <w:rPr>
                <w:sz w:val="20"/>
                <w:szCs w:val="20"/>
                <w:color w:val="auto"/>
              </w:rPr>
            </w:pPr>
            <w:r>
              <w:rPr>
                <w:rFonts w:ascii="Calibri" w:cs="Calibri" w:eastAsia="Calibri" w:hAnsi="Calibri"/>
                <w:sz w:val="16"/>
                <w:szCs w:val="16"/>
                <w:b w:val="1"/>
                <w:bCs w:val="1"/>
                <w:color w:val="007DC6"/>
              </w:rPr>
              <w:t>OTHER INFORMATION</w:t>
            </w:r>
          </w:p>
        </w:tc>
        <w:tc>
          <w:tcPr>
            <w:tcW w:w="5440" w:type="dxa"/>
            <w:vAlign w:val="bottom"/>
            <w:gridSpan w:val="11"/>
          </w:tcPr>
          <w:p>
            <w:pPr>
              <w:spacing w:after="0"/>
              <w:rPr>
                <w:sz w:val="24"/>
                <w:szCs w:val="24"/>
                <w:color w:val="auto"/>
              </w:rPr>
            </w:pPr>
          </w:p>
        </w:tc>
        <w:tc>
          <w:tcPr>
            <w:tcW w:w="1660" w:type="dxa"/>
            <w:vAlign w:val="bottom"/>
          </w:tcPr>
          <w:p>
            <w:pPr>
              <w:jc w:val="right"/>
              <w:spacing w:after="0"/>
              <w:rPr>
                <w:sz w:val="20"/>
                <w:szCs w:val="20"/>
                <w:color w:val="auto"/>
              </w:rPr>
            </w:pPr>
            <w:r>
              <w:rPr>
                <w:rFonts w:ascii="Calibri" w:cs="Calibri" w:eastAsia="Calibri" w:hAnsi="Calibri"/>
                <w:sz w:val="16"/>
                <w:szCs w:val="16"/>
                <w:color w:val="auto"/>
              </w:rPr>
              <w:t>114</w:t>
            </w:r>
          </w:p>
        </w:tc>
      </w:tr>
      <w:tr>
        <w:trPr>
          <w:trHeight w:val="20"/>
        </w:trPr>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shd w:val="clear" w:color="auto" w:fill="007DC6"/>
          </w:tcPr>
          <w:p>
            <w:pPr>
              <w:spacing w:after="0" w:line="20" w:lineRule="exact"/>
              <w:rPr>
                <w:sz w:val="1"/>
                <w:szCs w:val="1"/>
                <w:color w:val="auto"/>
              </w:rPr>
            </w:pPr>
          </w:p>
        </w:tc>
        <w:tc>
          <w:tcPr>
            <w:tcW w:w="460" w:type="dxa"/>
            <w:vAlign w:val="bottom"/>
            <w:shd w:val="clear" w:color="auto" w:fill="007DC6"/>
          </w:tcPr>
          <w:p>
            <w:pPr>
              <w:spacing w:after="0" w:line="20" w:lineRule="exact"/>
              <w:rPr>
                <w:sz w:val="1"/>
                <w:szCs w:val="1"/>
                <w:color w:val="auto"/>
              </w:rPr>
            </w:pPr>
          </w:p>
        </w:tc>
        <w:tc>
          <w:tcPr>
            <w:tcW w:w="840" w:type="dxa"/>
            <w:vAlign w:val="bottom"/>
            <w:gridSpan w:val="7"/>
            <w:shd w:val="clear" w:color="auto" w:fill="007DC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2120" w:type="dxa"/>
            <w:vAlign w:val="bottom"/>
            <w:gridSpan w:val="6"/>
          </w:tcPr>
          <w:p>
            <w:pPr>
              <w:ind w:left="140"/>
              <w:spacing w:after="0"/>
              <w:rPr>
                <w:sz w:val="20"/>
                <w:szCs w:val="20"/>
                <w:color w:val="auto"/>
              </w:rPr>
            </w:pPr>
            <w:r>
              <w:rPr>
                <w:rFonts w:ascii="Calibri" w:cs="Calibri" w:eastAsia="Calibri" w:hAnsi="Calibri"/>
                <w:sz w:val="16"/>
                <w:szCs w:val="16"/>
                <w:b w:val="1"/>
                <w:bCs w:val="1"/>
                <w:color w:val="auto"/>
              </w:rPr>
              <w:t>ITEM 9C.</w:t>
            </w:r>
          </w:p>
        </w:tc>
        <w:tc>
          <w:tcPr>
            <w:tcW w:w="7440" w:type="dxa"/>
            <w:vAlign w:val="bottom"/>
            <w:gridSpan w:val="24"/>
          </w:tcPr>
          <w:p>
            <w:pPr>
              <w:spacing w:after="0"/>
              <w:rPr>
                <w:sz w:val="20"/>
                <w:szCs w:val="20"/>
                <w:color w:val="auto"/>
              </w:rPr>
            </w:pPr>
            <w:r>
              <w:rPr>
                <w:rFonts w:ascii="Calibri" w:cs="Calibri" w:eastAsia="Calibri" w:hAnsi="Calibri"/>
                <w:sz w:val="16"/>
                <w:szCs w:val="16"/>
                <w:b w:val="1"/>
                <w:bCs w:val="1"/>
                <w:color w:val="007DC6"/>
              </w:rPr>
              <w:t>DISCLOSURE REGARDING FOREIGN JURISDICTIONS THAT PREVENT INSPECTIONS</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114</w:t>
            </w:r>
          </w:p>
        </w:tc>
      </w:tr>
      <w:tr>
        <w:trPr>
          <w:trHeight w:val="480"/>
        </w:trPr>
        <w:tc>
          <w:tcPr>
            <w:tcW w:w="20" w:type="dxa"/>
            <w:vAlign w:val="bottom"/>
          </w:tcPr>
          <w:p>
            <w:pPr>
              <w:spacing w:after="0"/>
              <w:rPr>
                <w:sz w:val="24"/>
                <w:szCs w:val="24"/>
                <w:color w:val="auto"/>
              </w:rPr>
            </w:pPr>
          </w:p>
        </w:tc>
        <w:tc>
          <w:tcPr>
            <w:tcW w:w="640" w:type="dxa"/>
            <w:vAlign w:val="bottom"/>
            <w:tcBorders>
              <w:bottom w:val="single" w:sz="8" w:color="007DC6"/>
            </w:tcBorders>
            <w:gridSpan w:val="3"/>
          </w:tcPr>
          <w:p>
            <w:pPr>
              <w:spacing w:after="0"/>
              <w:rPr>
                <w:sz w:val="20"/>
                <w:szCs w:val="20"/>
                <w:color w:val="auto"/>
              </w:rPr>
            </w:pPr>
            <w:r>
              <w:rPr>
                <w:rFonts w:ascii="Calibri" w:cs="Calibri" w:eastAsia="Calibri" w:hAnsi="Calibri"/>
                <w:sz w:val="20"/>
                <w:szCs w:val="20"/>
                <w:b w:val="1"/>
                <w:bCs w:val="1"/>
                <w:color w:val="007DC6"/>
                <w:w w:val="96"/>
              </w:rPr>
              <w:t>PART III</w:t>
            </w:r>
          </w:p>
        </w:tc>
        <w:tc>
          <w:tcPr>
            <w:tcW w:w="1480" w:type="dxa"/>
            <w:vAlign w:val="bottom"/>
            <w:gridSpan w:val="3"/>
          </w:tcPr>
          <w:p>
            <w:pPr>
              <w:spacing w:after="0"/>
              <w:rPr>
                <w:sz w:val="24"/>
                <w:szCs w:val="24"/>
                <w:color w:val="auto"/>
              </w:rPr>
            </w:pPr>
          </w:p>
        </w:tc>
        <w:tc>
          <w:tcPr>
            <w:tcW w:w="180" w:type="dxa"/>
            <w:vAlign w:val="bottom"/>
            <w:tcBorders>
              <w:top w:val="single" w:sz="8" w:color="007DC6"/>
            </w:tcBorders>
          </w:tcPr>
          <w:p>
            <w:pPr>
              <w:spacing w:after="0"/>
              <w:rPr>
                <w:sz w:val="24"/>
                <w:szCs w:val="24"/>
                <w:color w:val="auto"/>
              </w:rPr>
            </w:pPr>
          </w:p>
        </w:tc>
        <w:tc>
          <w:tcPr>
            <w:tcW w:w="460" w:type="dxa"/>
            <w:vAlign w:val="bottom"/>
            <w:tcBorders>
              <w:top w:val="single" w:sz="8" w:color="007DC6"/>
            </w:tcBorders>
          </w:tcPr>
          <w:p>
            <w:pPr>
              <w:spacing w:after="0"/>
              <w:rPr>
                <w:sz w:val="24"/>
                <w:szCs w:val="24"/>
                <w:color w:val="auto"/>
              </w:rPr>
            </w:pPr>
          </w:p>
        </w:tc>
        <w:tc>
          <w:tcPr>
            <w:tcW w:w="20" w:type="dxa"/>
            <w:vAlign w:val="bottom"/>
            <w:tcBorders>
              <w:top w:val="single" w:sz="8" w:color="007DC6"/>
            </w:tcBorders>
          </w:tcPr>
          <w:p>
            <w:pPr>
              <w:spacing w:after="0"/>
              <w:rPr>
                <w:sz w:val="24"/>
                <w:szCs w:val="24"/>
                <w:color w:val="auto"/>
              </w:rPr>
            </w:pPr>
          </w:p>
        </w:tc>
        <w:tc>
          <w:tcPr>
            <w:tcW w:w="4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36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60" w:type="dxa"/>
            <w:vAlign w:val="bottom"/>
            <w:tcBorders>
              <w:top w:val="single" w:sz="8" w:color="007DC6"/>
            </w:tcBorders>
          </w:tcPr>
          <w:p>
            <w:pPr>
              <w:spacing w:after="0"/>
              <w:rPr>
                <w:sz w:val="24"/>
                <w:szCs w:val="24"/>
                <w:color w:val="auto"/>
              </w:rPr>
            </w:pPr>
          </w:p>
        </w:tc>
        <w:tc>
          <w:tcPr>
            <w:tcW w:w="24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4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180" w:type="dxa"/>
            <w:vAlign w:val="bottom"/>
            <w:tcBorders>
              <w:top w:val="single" w:sz="8" w:color="007DC6"/>
            </w:tcBorders>
          </w:tcPr>
          <w:p>
            <w:pPr>
              <w:spacing w:after="0"/>
              <w:rPr>
                <w:sz w:val="24"/>
                <w:szCs w:val="24"/>
                <w:color w:val="auto"/>
              </w:rPr>
            </w:pPr>
          </w:p>
        </w:tc>
        <w:tc>
          <w:tcPr>
            <w:tcW w:w="840" w:type="dxa"/>
            <w:vAlign w:val="bottom"/>
            <w:tcBorders>
              <w:top w:val="single" w:sz="8" w:color="007DC6"/>
            </w:tcBorders>
          </w:tcPr>
          <w:p>
            <w:pPr>
              <w:spacing w:after="0"/>
              <w:rPr>
                <w:sz w:val="24"/>
                <w:szCs w:val="24"/>
                <w:color w:val="auto"/>
              </w:rPr>
            </w:pPr>
          </w:p>
        </w:tc>
        <w:tc>
          <w:tcPr>
            <w:tcW w:w="540" w:type="dxa"/>
            <w:vAlign w:val="bottom"/>
            <w:tcBorders>
              <w:top w:val="single" w:sz="8" w:color="007DC6"/>
            </w:tcBorders>
          </w:tcPr>
          <w:p>
            <w:pPr>
              <w:spacing w:after="0"/>
              <w:rPr>
                <w:sz w:val="24"/>
                <w:szCs w:val="24"/>
                <w:color w:val="auto"/>
              </w:rPr>
            </w:pPr>
          </w:p>
        </w:tc>
        <w:tc>
          <w:tcPr>
            <w:tcW w:w="860" w:type="dxa"/>
            <w:vAlign w:val="bottom"/>
            <w:tcBorders>
              <w:top w:val="single" w:sz="8" w:color="007DC6"/>
            </w:tcBorders>
          </w:tcPr>
          <w:p>
            <w:pPr>
              <w:spacing w:after="0"/>
              <w:rPr>
                <w:sz w:val="24"/>
                <w:szCs w:val="24"/>
                <w:color w:val="auto"/>
              </w:rPr>
            </w:pPr>
          </w:p>
        </w:tc>
        <w:tc>
          <w:tcPr>
            <w:tcW w:w="240" w:type="dxa"/>
            <w:vAlign w:val="bottom"/>
            <w:tcBorders>
              <w:top w:val="single" w:sz="8" w:color="007DC6"/>
            </w:tcBorders>
          </w:tcPr>
          <w:p>
            <w:pPr>
              <w:spacing w:after="0"/>
              <w:rPr>
                <w:sz w:val="24"/>
                <w:szCs w:val="24"/>
                <w:color w:val="auto"/>
              </w:rPr>
            </w:pPr>
          </w:p>
        </w:tc>
        <w:tc>
          <w:tcPr>
            <w:tcW w:w="700" w:type="dxa"/>
            <w:vAlign w:val="bottom"/>
            <w:tcBorders>
              <w:top w:val="single" w:sz="8" w:color="007DC6"/>
            </w:tcBorders>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Calibri" w:cs="Calibri" w:eastAsia="Calibri" w:hAnsi="Calibri"/>
                <w:sz w:val="16"/>
                <w:szCs w:val="16"/>
                <w:color w:val="auto"/>
              </w:rPr>
              <w:t>115</w:t>
            </w:r>
          </w:p>
        </w:tc>
      </w:tr>
      <w:tr>
        <w:trPr>
          <w:trHeight w:val="290"/>
        </w:trPr>
        <w:tc>
          <w:tcPr>
            <w:tcW w:w="20" w:type="dxa"/>
            <w:vAlign w:val="bottom"/>
          </w:tcPr>
          <w:p>
            <w:pPr>
              <w:spacing w:after="0"/>
              <w:rPr>
                <w:sz w:val="24"/>
                <w:szCs w:val="24"/>
                <w:color w:val="auto"/>
              </w:rPr>
            </w:pPr>
          </w:p>
        </w:tc>
        <w:tc>
          <w:tcPr>
            <w:tcW w:w="2120" w:type="dxa"/>
            <w:vAlign w:val="bottom"/>
            <w:gridSpan w:val="6"/>
          </w:tcPr>
          <w:p>
            <w:pPr>
              <w:ind w:left="140"/>
              <w:spacing w:after="0"/>
              <w:rPr>
                <w:sz w:val="20"/>
                <w:szCs w:val="20"/>
                <w:color w:val="auto"/>
              </w:rPr>
            </w:pPr>
            <w:r>
              <w:rPr>
                <w:rFonts w:ascii="Calibri" w:cs="Calibri" w:eastAsia="Calibri" w:hAnsi="Calibri"/>
                <w:sz w:val="16"/>
                <w:szCs w:val="16"/>
                <w:b w:val="1"/>
                <w:bCs w:val="1"/>
                <w:color w:val="auto"/>
              </w:rPr>
              <w:t>ITEM 10.</w:t>
            </w:r>
          </w:p>
        </w:tc>
        <w:tc>
          <w:tcPr>
            <w:tcW w:w="7440" w:type="dxa"/>
            <w:vAlign w:val="bottom"/>
            <w:gridSpan w:val="24"/>
          </w:tcPr>
          <w:p>
            <w:pPr>
              <w:spacing w:after="0"/>
              <w:rPr>
                <w:sz w:val="20"/>
                <w:szCs w:val="20"/>
                <w:color w:val="auto"/>
              </w:rPr>
            </w:pPr>
            <w:r>
              <w:rPr>
                <w:rFonts w:ascii="Calibri" w:cs="Calibri" w:eastAsia="Calibri" w:hAnsi="Calibri"/>
                <w:sz w:val="16"/>
                <w:szCs w:val="16"/>
                <w:b w:val="1"/>
                <w:bCs w:val="1"/>
                <w:color w:val="007DC6"/>
              </w:rPr>
              <w:t>DIRECTORS, EXECUTIVE OFFICERS AND CORPORATE GOVERNANCE</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115</w:t>
            </w:r>
          </w:p>
        </w:tc>
      </w:tr>
      <w:tr>
        <w:trPr>
          <w:trHeight w:val="277"/>
        </w:trPr>
        <w:tc>
          <w:tcPr>
            <w:tcW w:w="20" w:type="dxa"/>
            <w:vAlign w:val="bottom"/>
          </w:tcPr>
          <w:p>
            <w:pPr>
              <w:spacing w:after="0"/>
              <w:rPr>
                <w:sz w:val="24"/>
                <w:szCs w:val="24"/>
                <w:color w:val="auto"/>
              </w:rPr>
            </w:pPr>
          </w:p>
        </w:tc>
        <w:tc>
          <w:tcPr>
            <w:tcW w:w="2120" w:type="dxa"/>
            <w:vAlign w:val="bottom"/>
            <w:gridSpan w:val="6"/>
          </w:tcPr>
          <w:p>
            <w:pPr>
              <w:ind w:left="140"/>
              <w:spacing w:after="0"/>
              <w:rPr>
                <w:sz w:val="20"/>
                <w:szCs w:val="20"/>
                <w:color w:val="auto"/>
              </w:rPr>
            </w:pPr>
            <w:r>
              <w:rPr>
                <w:rFonts w:ascii="Calibri" w:cs="Calibri" w:eastAsia="Calibri" w:hAnsi="Calibri"/>
                <w:sz w:val="16"/>
                <w:szCs w:val="16"/>
                <w:b w:val="1"/>
                <w:bCs w:val="1"/>
                <w:color w:val="auto"/>
              </w:rPr>
              <w:t>ITEM 11.</w:t>
            </w:r>
          </w:p>
        </w:tc>
        <w:tc>
          <w:tcPr>
            <w:tcW w:w="1880" w:type="dxa"/>
            <w:vAlign w:val="bottom"/>
            <w:tcBorders>
              <w:top w:val="single" w:sz="8" w:color="007DC6"/>
              <w:bottom w:val="single" w:sz="8" w:color="007DC6"/>
            </w:tcBorders>
            <w:gridSpan w:val="12"/>
          </w:tcPr>
          <w:p>
            <w:pPr>
              <w:spacing w:after="0"/>
              <w:rPr>
                <w:sz w:val="20"/>
                <w:szCs w:val="20"/>
                <w:color w:val="auto"/>
              </w:rPr>
            </w:pPr>
            <w:r>
              <w:rPr>
                <w:rFonts w:ascii="Calibri" w:cs="Calibri" w:eastAsia="Calibri" w:hAnsi="Calibri"/>
                <w:sz w:val="16"/>
                <w:szCs w:val="16"/>
                <w:b w:val="1"/>
                <w:bCs w:val="1"/>
                <w:color w:val="007DC6"/>
                <w:w w:val="99"/>
              </w:rPr>
              <w:t>EXECUTIVE COMPENSATION</w:t>
            </w:r>
          </w:p>
        </w:tc>
        <w:tc>
          <w:tcPr>
            <w:tcW w:w="2540" w:type="dxa"/>
            <w:vAlign w:val="bottom"/>
            <w:tcBorders>
              <w:top w:val="single" w:sz="8" w:color="007DC6"/>
            </w:tcBorders>
            <w:gridSpan w:val="5"/>
          </w:tcPr>
          <w:p>
            <w:pPr>
              <w:spacing w:after="0"/>
              <w:rPr>
                <w:sz w:val="24"/>
                <w:szCs w:val="24"/>
                <w:color w:val="auto"/>
              </w:rPr>
            </w:pPr>
          </w:p>
        </w:tc>
        <w:tc>
          <w:tcPr>
            <w:tcW w:w="3020" w:type="dxa"/>
            <w:vAlign w:val="bottom"/>
            <w:gridSpan w:val="7"/>
          </w:tcPr>
          <w:p>
            <w:pPr>
              <w:spacing w:after="0"/>
              <w:rPr>
                <w:sz w:val="24"/>
                <w:szCs w:val="24"/>
                <w:color w:val="auto"/>
              </w:rPr>
            </w:pPr>
          </w:p>
        </w:tc>
        <w:tc>
          <w:tcPr>
            <w:tcW w:w="1660" w:type="dxa"/>
            <w:vAlign w:val="bottom"/>
          </w:tcPr>
          <w:p>
            <w:pPr>
              <w:jc w:val="right"/>
              <w:spacing w:after="0"/>
              <w:rPr>
                <w:sz w:val="20"/>
                <w:szCs w:val="20"/>
                <w:color w:val="auto"/>
              </w:rPr>
            </w:pPr>
            <w:r>
              <w:rPr>
                <w:rFonts w:ascii="Calibri" w:cs="Calibri" w:eastAsia="Calibri" w:hAnsi="Calibri"/>
                <w:sz w:val="16"/>
                <w:szCs w:val="16"/>
                <w:color w:val="auto"/>
              </w:rPr>
              <w:t>115</w:t>
            </w:r>
          </w:p>
        </w:tc>
      </w:tr>
      <w:tr>
        <w:trPr>
          <w:trHeight w:val="277"/>
        </w:trPr>
        <w:tc>
          <w:tcPr>
            <w:tcW w:w="20" w:type="dxa"/>
            <w:vAlign w:val="bottom"/>
          </w:tcPr>
          <w:p>
            <w:pPr>
              <w:spacing w:after="0"/>
              <w:rPr>
                <w:sz w:val="24"/>
                <w:szCs w:val="24"/>
                <w:color w:val="auto"/>
              </w:rPr>
            </w:pPr>
          </w:p>
        </w:tc>
        <w:tc>
          <w:tcPr>
            <w:tcW w:w="2120" w:type="dxa"/>
            <w:vAlign w:val="bottom"/>
            <w:gridSpan w:val="6"/>
          </w:tcPr>
          <w:p>
            <w:pPr>
              <w:ind w:left="140"/>
              <w:spacing w:after="0"/>
              <w:rPr>
                <w:sz w:val="20"/>
                <w:szCs w:val="20"/>
                <w:color w:val="auto"/>
              </w:rPr>
            </w:pPr>
            <w:r>
              <w:rPr>
                <w:rFonts w:ascii="Calibri" w:cs="Calibri" w:eastAsia="Calibri" w:hAnsi="Calibri"/>
                <w:sz w:val="16"/>
                <w:szCs w:val="16"/>
                <w:b w:val="1"/>
                <w:bCs w:val="1"/>
                <w:color w:val="auto"/>
              </w:rPr>
              <w:t>ITEM 12.</w:t>
            </w:r>
          </w:p>
        </w:tc>
        <w:tc>
          <w:tcPr>
            <w:tcW w:w="7240" w:type="dxa"/>
            <w:vAlign w:val="bottom"/>
            <w:tcBorders>
              <w:bottom w:val="single" w:sz="8" w:color="007DC6"/>
            </w:tcBorders>
            <w:gridSpan w:val="23"/>
          </w:tcPr>
          <w:p>
            <w:pPr>
              <w:spacing w:after="0"/>
              <w:rPr>
                <w:sz w:val="20"/>
                <w:szCs w:val="20"/>
                <w:color w:val="auto"/>
              </w:rPr>
            </w:pPr>
            <w:r>
              <w:rPr>
                <w:rFonts w:ascii="Calibri" w:cs="Calibri" w:eastAsia="Calibri" w:hAnsi="Calibri"/>
                <w:sz w:val="16"/>
                <w:szCs w:val="16"/>
                <w:b w:val="1"/>
                <w:bCs w:val="1"/>
                <w:color w:val="007DC6"/>
              </w:rPr>
              <w:t>SECURITY OWNERSHIP OF CERTAIN BENEFICIAL OWNERS AND MANAGEMENT AND RELATED STOCKHOLDER</w:t>
            </w: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Borders>
              <w:bottom w:val="single" w:sz="8" w:color="007DC6"/>
            </w:tcBorders>
            <w:gridSpan w:val="2"/>
          </w:tcPr>
          <w:p>
            <w:pPr>
              <w:spacing w:after="0" w:line="183" w:lineRule="exact"/>
              <w:rPr>
                <w:sz w:val="20"/>
                <w:szCs w:val="20"/>
                <w:color w:val="auto"/>
              </w:rPr>
            </w:pPr>
            <w:r>
              <w:rPr>
                <w:rFonts w:ascii="Calibri" w:cs="Calibri" w:eastAsia="Calibri" w:hAnsi="Calibri"/>
                <w:sz w:val="16"/>
                <w:szCs w:val="16"/>
                <w:b w:val="1"/>
                <w:bCs w:val="1"/>
                <w:color w:val="007DC6"/>
                <w:w w:val="96"/>
              </w:rPr>
              <w:t>MATTERS</w:t>
            </w:r>
          </w:p>
        </w:tc>
        <w:tc>
          <w:tcPr>
            <w:tcW w:w="6800" w:type="dxa"/>
            <w:vAlign w:val="bottom"/>
            <w:gridSpan w:val="22"/>
          </w:tcPr>
          <w:p>
            <w:pPr>
              <w:spacing w:after="0"/>
              <w:rPr>
                <w:sz w:val="15"/>
                <w:szCs w:val="15"/>
                <w:color w:val="auto"/>
              </w:rPr>
            </w:pPr>
          </w:p>
        </w:tc>
        <w:tc>
          <w:tcPr>
            <w:tcW w:w="1660" w:type="dxa"/>
            <w:vAlign w:val="bottom"/>
          </w:tcPr>
          <w:p>
            <w:pPr>
              <w:jc w:val="right"/>
              <w:spacing w:after="0" w:line="183" w:lineRule="exact"/>
              <w:rPr>
                <w:sz w:val="20"/>
                <w:szCs w:val="20"/>
                <w:color w:val="auto"/>
              </w:rPr>
            </w:pPr>
            <w:r>
              <w:rPr>
                <w:rFonts w:ascii="Calibri" w:cs="Calibri" w:eastAsia="Calibri" w:hAnsi="Calibri"/>
                <w:sz w:val="16"/>
                <w:szCs w:val="16"/>
                <w:color w:val="auto"/>
              </w:rPr>
              <w:t>115</w:t>
            </w:r>
          </w:p>
        </w:tc>
      </w:tr>
      <w:tr>
        <w:trPr>
          <w:trHeight w:val="277"/>
        </w:trPr>
        <w:tc>
          <w:tcPr>
            <w:tcW w:w="20" w:type="dxa"/>
            <w:vAlign w:val="bottom"/>
          </w:tcPr>
          <w:p>
            <w:pPr>
              <w:spacing w:after="0"/>
              <w:rPr>
                <w:sz w:val="24"/>
                <w:szCs w:val="24"/>
                <w:color w:val="auto"/>
              </w:rPr>
            </w:pPr>
          </w:p>
        </w:tc>
        <w:tc>
          <w:tcPr>
            <w:tcW w:w="2120" w:type="dxa"/>
            <w:vAlign w:val="bottom"/>
            <w:gridSpan w:val="6"/>
          </w:tcPr>
          <w:p>
            <w:pPr>
              <w:ind w:left="140"/>
              <w:spacing w:after="0"/>
              <w:rPr>
                <w:sz w:val="20"/>
                <w:szCs w:val="20"/>
                <w:color w:val="auto"/>
              </w:rPr>
            </w:pPr>
            <w:r>
              <w:rPr>
                <w:rFonts w:ascii="Calibri" w:cs="Calibri" w:eastAsia="Calibri" w:hAnsi="Calibri"/>
                <w:sz w:val="16"/>
                <w:szCs w:val="16"/>
                <w:b w:val="1"/>
                <w:bCs w:val="1"/>
                <w:color w:val="auto"/>
              </w:rPr>
              <w:t>ITEM 13.</w:t>
            </w:r>
          </w:p>
        </w:tc>
        <w:tc>
          <w:tcPr>
            <w:tcW w:w="5900" w:type="dxa"/>
            <w:vAlign w:val="bottom"/>
            <w:tcBorders>
              <w:bottom w:val="single" w:sz="8" w:color="007DC6"/>
            </w:tcBorders>
            <w:gridSpan w:val="20"/>
          </w:tcPr>
          <w:p>
            <w:pPr>
              <w:spacing w:after="0"/>
              <w:rPr>
                <w:sz w:val="20"/>
                <w:szCs w:val="20"/>
                <w:color w:val="auto"/>
              </w:rPr>
            </w:pPr>
            <w:r>
              <w:rPr>
                <w:rFonts w:ascii="Calibri" w:cs="Calibri" w:eastAsia="Calibri" w:hAnsi="Calibri"/>
                <w:sz w:val="16"/>
                <w:szCs w:val="16"/>
                <w:b w:val="1"/>
                <w:bCs w:val="1"/>
                <w:color w:val="007DC6"/>
              </w:rPr>
              <w:t>CERTAIN RELATIONSHIPS AND RELATED TRANSACTIONS, AND DIRECTOR INDEPENDENCE</w:t>
            </w:r>
          </w:p>
        </w:tc>
        <w:tc>
          <w:tcPr>
            <w:tcW w:w="1540" w:type="dxa"/>
            <w:vAlign w:val="bottom"/>
            <w:gridSpan w:val="4"/>
          </w:tcPr>
          <w:p>
            <w:pPr>
              <w:spacing w:after="0"/>
              <w:rPr>
                <w:sz w:val="24"/>
                <w:szCs w:val="24"/>
                <w:color w:val="auto"/>
              </w:rPr>
            </w:pPr>
          </w:p>
        </w:tc>
        <w:tc>
          <w:tcPr>
            <w:tcW w:w="1660" w:type="dxa"/>
            <w:vAlign w:val="bottom"/>
          </w:tcPr>
          <w:p>
            <w:pPr>
              <w:jc w:val="right"/>
              <w:spacing w:after="0"/>
              <w:rPr>
                <w:sz w:val="20"/>
                <w:szCs w:val="20"/>
                <w:color w:val="auto"/>
              </w:rPr>
            </w:pPr>
            <w:r>
              <w:rPr>
                <w:rFonts w:ascii="Calibri" w:cs="Calibri" w:eastAsia="Calibri" w:hAnsi="Calibri"/>
                <w:sz w:val="16"/>
                <w:szCs w:val="16"/>
                <w:color w:val="auto"/>
              </w:rPr>
              <w:t>115</w:t>
            </w:r>
          </w:p>
        </w:tc>
      </w:tr>
      <w:tr>
        <w:trPr>
          <w:trHeight w:val="277"/>
        </w:trPr>
        <w:tc>
          <w:tcPr>
            <w:tcW w:w="20" w:type="dxa"/>
            <w:vAlign w:val="bottom"/>
          </w:tcPr>
          <w:p>
            <w:pPr>
              <w:spacing w:after="0"/>
              <w:rPr>
                <w:sz w:val="24"/>
                <w:szCs w:val="24"/>
                <w:color w:val="auto"/>
              </w:rPr>
            </w:pPr>
          </w:p>
        </w:tc>
        <w:tc>
          <w:tcPr>
            <w:tcW w:w="2120" w:type="dxa"/>
            <w:vAlign w:val="bottom"/>
            <w:gridSpan w:val="6"/>
          </w:tcPr>
          <w:p>
            <w:pPr>
              <w:ind w:left="140"/>
              <w:spacing w:after="0"/>
              <w:rPr>
                <w:sz w:val="20"/>
                <w:szCs w:val="20"/>
                <w:color w:val="auto"/>
              </w:rPr>
            </w:pPr>
            <w:r>
              <w:rPr>
                <w:rFonts w:ascii="Calibri" w:cs="Calibri" w:eastAsia="Calibri" w:hAnsi="Calibri"/>
                <w:sz w:val="16"/>
                <w:szCs w:val="16"/>
                <w:b w:val="1"/>
                <w:bCs w:val="1"/>
                <w:color w:val="auto"/>
              </w:rPr>
              <w:t>ITEM 14.</w:t>
            </w:r>
          </w:p>
        </w:tc>
        <w:tc>
          <w:tcPr>
            <w:tcW w:w="7440" w:type="dxa"/>
            <w:vAlign w:val="bottom"/>
            <w:gridSpan w:val="24"/>
          </w:tcPr>
          <w:p>
            <w:pPr>
              <w:spacing w:after="0"/>
              <w:rPr>
                <w:sz w:val="20"/>
                <w:szCs w:val="20"/>
                <w:color w:val="auto"/>
              </w:rPr>
            </w:pPr>
            <w:r>
              <w:rPr>
                <w:rFonts w:ascii="Calibri" w:cs="Calibri" w:eastAsia="Calibri" w:hAnsi="Calibri"/>
                <w:sz w:val="16"/>
                <w:szCs w:val="16"/>
                <w:b w:val="1"/>
                <w:bCs w:val="1"/>
                <w:color w:val="007DC6"/>
              </w:rPr>
              <w:t>PRINCIPAL ACCOUNTANT FEES AND SERVICES</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115</w:t>
            </w:r>
          </w:p>
        </w:tc>
      </w:tr>
      <w:tr>
        <w:trPr>
          <w:trHeight w:val="453"/>
        </w:trPr>
        <w:tc>
          <w:tcPr>
            <w:tcW w:w="20" w:type="dxa"/>
            <w:vAlign w:val="bottom"/>
          </w:tcPr>
          <w:p>
            <w:pPr>
              <w:spacing w:after="0"/>
              <w:rPr>
                <w:sz w:val="24"/>
                <w:szCs w:val="24"/>
                <w:color w:val="auto"/>
              </w:rPr>
            </w:pPr>
          </w:p>
        </w:tc>
        <w:tc>
          <w:tcPr>
            <w:tcW w:w="660" w:type="dxa"/>
            <w:vAlign w:val="bottom"/>
            <w:tcBorders>
              <w:bottom w:val="single" w:sz="8" w:color="007DC6"/>
            </w:tcBorders>
            <w:gridSpan w:val="4"/>
          </w:tcPr>
          <w:p>
            <w:pPr>
              <w:spacing w:after="0"/>
              <w:rPr>
                <w:sz w:val="20"/>
                <w:szCs w:val="20"/>
                <w:color w:val="auto"/>
              </w:rPr>
            </w:pPr>
            <w:r>
              <w:rPr>
                <w:rFonts w:ascii="Calibri" w:cs="Calibri" w:eastAsia="Calibri" w:hAnsi="Calibri"/>
                <w:sz w:val="20"/>
                <w:szCs w:val="20"/>
                <w:b w:val="1"/>
                <w:bCs w:val="1"/>
                <w:color w:val="007DC6"/>
                <w:w w:val="97"/>
              </w:rPr>
              <w:t>PART IV</w:t>
            </w:r>
          </w:p>
        </w:tc>
        <w:tc>
          <w:tcPr>
            <w:tcW w:w="1460" w:type="dxa"/>
            <w:vAlign w:val="bottom"/>
            <w:gridSpan w:val="2"/>
          </w:tcPr>
          <w:p>
            <w:pPr>
              <w:spacing w:after="0"/>
              <w:rPr>
                <w:sz w:val="24"/>
                <w:szCs w:val="24"/>
                <w:color w:val="auto"/>
              </w:rPr>
            </w:pPr>
          </w:p>
        </w:tc>
        <w:tc>
          <w:tcPr>
            <w:tcW w:w="180" w:type="dxa"/>
            <w:vAlign w:val="bottom"/>
            <w:tcBorders>
              <w:top w:val="single" w:sz="8" w:color="007DC6"/>
            </w:tcBorders>
          </w:tcPr>
          <w:p>
            <w:pPr>
              <w:spacing w:after="0"/>
              <w:rPr>
                <w:sz w:val="24"/>
                <w:szCs w:val="24"/>
                <w:color w:val="auto"/>
              </w:rPr>
            </w:pPr>
          </w:p>
        </w:tc>
        <w:tc>
          <w:tcPr>
            <w:tcW w:w="460" w:type="dxa"/>
            <w:vAlign w:val="bottom"/>
            <w:tcBorders>
              <w:top w:val="single" w:sz="8" w:color="007DC6"/>
            </w:tcBorders>
          </w:tcPr>
          <w:p>
            <w:pPr>
              <w:spacing w:after="0"/>
              <w:rPr>
                <w:sz w:val="24"/>
                <w:szCs w:val="24"/>
                <w:color w:val="auto"/>
              </w:rPr>
            </w:pPr>
          </w:p>
        </w:tc>
        <w:tc>
          <w:tcPr>
            <w:tcW w:w="20" w:type="dxa"/>
            <w:vAlign w:val="bottom"/>
            <w:tcBorders>
              <w:top w:val="single" w:sz="8" w:color="007DC6"/>
            </w:tcBorders>
          </w:tcPr>
          <w:p>
            <w:pPr>
              <w:spacing w:after="0"/>
              <w:rPr>
                <w:sz w:val="24"/>
                <w:szCs w:val="24"/>
                <w:color w:val="auto"/>
              </w:rPr>
            </w:pPr>
          </w:p>
        </w:tc>
        <w:tc>
          <w:tcPr>
            <w:tcW w:w="4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36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60" w:type="dxa"/>
            <w:vAlign w:val="bottom"/>
            <w:tcBorders>
              <w:top w:val="single" w:sz="8" w:color="007DC6"/>
            </w:tcBorders>
          </w:tcPr>
          <w:p>
            <w:pPr>
              <w:spacing w:after="0"/>
              <w:rPr>
                <w:sz w:val="24"/>
                <w:szCs w:val="24"/>
                <w:color w:val="auto"/>
              </w:rPr>
            </w:pPr>
          </w:p>
        </w:tc>
        <w:tc>
          <w:tcPr>
            <w:tcW w:w="24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4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180" w:type="dxa"/>
            <w:vAlign w:val="bottom"/>
            <w:tcBorders>
              <w:top w:val="single" w:sz="8" w:color="007DC6"/>
            </w:tcBorders>
          </w:tcPr>
          <w:p>
            <w:pPr>
              <w:spacing w:after="0"/>
              <w:rPr>
                <w:sz w:val="24"/>
                <w:szCs w:val="24"/>
                <w:color w:val="auto"/>
              </w:rPr>
            </w:pPr>
          </w:p>
        </w:tc>
        <w:tc>
          <w:tcPr>
            <w:tcW w:w="840" w:type="dxa"/>
            <w:vAlign w:val="bottom"/>
            <w:tcBorders>
              <w:top w:val="single" w:sz="8" w:color="007DC6"/>
            </w:tcBorders>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Calibri" w:cs="Calibri" w:eastAsia="Calibri" w:hAnsi="Calibri"/>
                <w:sz w:val="16"/>
                <w:szCs w:val="16"/>
                <w:color w:val="auto"/>
              </w:rPr>
              <w:t>116</w:t>
            </w:r>
          </w:p>
        </w:tc>
      </w:tr>
      <w:tr>
        <w:trPr>
          <w:trHeight w:val="290"/>
        </w:trPr>
        <w:tc>
          <w:tcPr>
            <w:tcW w:w="20" w:type="dxa"/>
            <w:vAlign w:val="bottom"/>
          </w:tcPr>
          <w:p>
            <w:pPr>
              <w:spacing w:after="0"/>
              <w:rPr>
                <w:sz w:val="24"/>
                <w:szCs w:val="24"/>
                <w:color w:val="auto"/>
              </w:rPr>
            </w:pPr>
          </w:p>
        </w:tc>
        <w:tc>
          <w:tcPr>
            <w:tcW w:w="2120" w:type="dxa"/>
            <w:vAlign w:val="bottom"/>
            <w:gridSpan w:val="6"/>
          </w:tcPr>
          <w:p>
            <w:pPr>
              <w:ind w:left="140"/>
              <w:spacing w:after="0"/>
              <w:rPr>
                <w:sz w:val="20"/>
                <w:szCs w:val="20"/>
                <w:color w:val="auto"/>
              </w:rPr>
            </w:pPr>
            <w:r>
              <w:rPr>
                <w:rFonts w:ascii="Calibri" w:cs="Calibri" w:eastAsia="Calibri" w:hAnsi="Calibri"/>
                <w:sz w:val="16"/>
                <w:szCs w:val="16"/>
                <w:b w:val="1"/>
                <w:bCs w:val="1"/>
                <w:color w:val="auto"/>
              </w:rPr>
              <w:t>ITEM 15.</w:t>
            </w:r>
          </w:p>
        </w:tc>
        <w:tc>
          <w:tcPr>
            <w:tcW w:w="180" w:type="dxa"/>
            <w:vAlign w:val="bottom"/>
          </w:tcPr>
          <w:p>
            <w:pPr>
              <w:spacing w:after="0"/>
              <w:rPr>
                <w:sz w:val="24"/>
                <w:szCs w:val="24"/>
                <w:color w:val="auto"/>
              </w:rPr>
            </w:pPr>
          </w:p>
        </w:tc>
        <w:tc>
          <w:tcPr>
            <w:tcW w:w="7260" w:type="dxa"/>
            <w:vAlign w:val="bottom"/>
            <w:gridSpan w:val="23"/>
          </w:tcPr>
          <w:p>
            <w:pPr>
              <w:ind w:left="20"/>
              <w:spacing w:after="0"/>
              <w:rPr>
                <w:sz w:val="20"/>
                <w:szCs w:val="20"/>
                <w:color w:val="auto"/>
              </w:rPr>
            </w:pPr>
            <w:r>
              <w:rPr>
                <w:rFonts w:ascii="Calibri" w:cs="Calibri" w:eastAsia="Calibri" w:hAnsi="Calibri"/>
                <w:sz w:val="16"/>
                <w:szCs w:val="16"/>
                <w:b w:val="1"/>
                <w:bCs w:val="1"/>
                <w:color w:val="007DC6"/>
              </w:rPr>
              <w:t>EXHIBITS AND FINANCIAL STATEMENT SCHEDULES</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116</w:t>
            </w:r>
          </w:p>
        </w:tc>
      </w:tr>
      <w:tr>
        <w:trPr>
          <w:trHeight w:val="277"/>
        </w:trPr>
        <w:tc>
          <w:tcPr>
            <w:tcW w:w="20" w:type="dxa"/>
            <w:vAlign w:val="bottom"/>
          </w:tcPr>
          <w:p>
            <w:pPr>
              <w:spacing w:after="0"/>
              <w:rPr>
                <w:sz w:val="24"/>
                <w:szCs w:val="24"/>
                <w:color w:val="auto"/>
              </w:rPr>
            </w:pPr>
          </w:p>
        </w:tc>
        <w:tc>
          <w:tcPr>
            <w:tcW w:w="2120" w:type="dxa"/>
            <w:vAlign w:val="bottom"/>
            <w:gridSpan w:val="6"/>
          </w:tcPr>
          <w:p>
            <w:pPr>
              <w:ind w:left="140"/>
              <w:spacing w:after="0"/>
              <w:rPr>
                <w:sz w:val="20"/>
                <w:szCs w:val="20"/>
                <w:color w:val="auto"/>
              </w:rPr>
            </w:pPr>
            <w:r>
              <w:rPr>
                <w:rFonts w:ascii="Calibri" w:cs="Calibri" w:eastAsia="Calibri" w:hAnsi="Calibri"/>
                <w:sz w:val="16"/>
                <w:szCs w:val="16"/>
                <w:b w:val="1"/>
                <w:bCs w:val="1"/>
                <w:color w:val="auto"/>
              </w:rPr>
              <w:t>ITEM 16.</w:t>
            </w:r>
          </w:p>
        </w:tc>
        <w:tc>
          <w:tcPr>
            <w:tcW w:w="180" w:type="dxa"/>
            <w:vAlign w:val="bottom"/>
          </w:tcPr>
          <w:p>
            <w:pPr>
              <w:spacing w:after="0"/>
              <w:rPr>
                <w:sz w:val="24"/>
                <w:szCs w:val="24"/>
                <w:color w:val="auto"/>
              </w:rPr>
            </w:pPr>
          </w:p>
        </w:tc>
        <w:tc>
          <w:tcPr>
            <w:tcW w:w="3380" w:type="dxa"/>
            <w:vAlign w:val="bottom"/>
            <w:tcBorders>
              <w:top w:val="single" w:sz="8" w:color="007DC6"/>
            </w:tcBorders>
            <w:gridSpan w:val="15"/>
          </w:tcPr>
          <w:p>
            <w:pPr>
              <w:ind w:left="20"/>
              <w:spacing w:after="0"/>
              <w:rPr>
                <w:sz w:val="20"/>
                <w:szCs w:val="20"/>
                <w:color w:val="auto"/>
              </w:rPr>
            </w:pPr>
            <w:r>
              <w:rPr>
                <w:rFonts w:ascii="Calibri" w:cs="Calibri" w:eastAsia="Calibri" w:hAnsi="Calibri"/>
                <w:sz w:val="16"/>
                <w:szCs w:val="16"/>
                <w:b w:val="1"/>
                <w:bCs w:val="1"/>
                <w:color w:val="007DC6"/>
              </w:rPr>
              <w:t>FORM 10-K SUMMARY</w:t>
            </w:r>
          </w:p>
        </w:tc>
        <w:tc>
          <w:tcPr>
            <w:tcW w:w="3880" w:type="dxa"/>
            <w:vAlign w:val="bottom"/>
            <w:gridSpan w:val="8"/>
          </w:tcPr>
          <w:p>
            <w:pPr>
              <w:spacing w:after="0"/>
              <w:rPr>
                <w:sz w:val="24"/>
                <w:szCs w:val="24"/>
                <w:color w:val="auto"/>
              </w:rPr>
            </w:pPr>
          </w:p>
        </w:tc>
        <w:tc>
          <w:tcPr>
            <w:tcW w:w="1660" w:type="dxa"/>
            <w:vAlign w:val="bottom"/>
          </w:tcPr>
          <w:p>
            <w:pPr>
              <w:jc w:val="right"/>
              <w:spacing w:after="0"/>
              <w:rPr>
                <w:sz w:val="20"/>
                <w:szCs w:val="20"/>
                <w:color w:val="auto"/>
              </w:rPr>
            </w:pPr>
            <w:r>
              <w:rPr>
                <w:rFonts w:ascii="Calibri" w:cs="Calibri" w:eastAsia="Calibri" w:hAnsi="Calibri"/>
                <w:sz w:val="16"/>
                <w:szCs w:val="16"/>
                <w:color w:val="auto"/>
              </w:rPr>
              <w:t>122</w:t>
            </w:r>
          </w:p>
        </w:tc>
      </w:tr>
      <w:tr>
        <w:trPr>
          <w:trHeight w:val="466"/>
        </w:trPr>
        <w:tc>
          <w:tcPr>
            <w:tcW w:w="20" w:type="dxa"/>
            <w:vAlign w:val="bottom"/>
          </w:tcPr>
          <w:p>
            <w:pPr>
              <w:spacing w:after="0"/>
              <w:rPr>
                <w:sz w:val="24"/>
                <w:szCs w:val="24"/>
                <w:color w:val="auto"/>
              </w:rPr>
            </w:pPr>
          </w:p>
        </w:tc>
        <w:tc>
          <w:tcPr>
            <w:tcW w:w="2120" w:type="dxa"/>
            <w:vAlign w:val="bottom"/>
            <w:gridSpan w:val="6"/>
          </w:tcPr>
          <w:p>
            <w:pPr>
              <w:spacing w:after="0"/>
              <w:rPr>
                <w:sz w:val="20"/>
                <w:szCs w:val="20"/>
                <w:color w:val="auto"/>
              </w:rPr>
            </w:pPr>
            <w:r>
              <w:rPr>
                <w:rFonts w:ascii="Calibri" w:cs="Calibri" w:eastAsia="Calibri" w:hAnsi="Calibri"/>
                <w:sz w:val="20"/>
                <w:szCs w:val="20"/>
                <w:b w:val="1"/>
                <w:bCs w:val="1"/>
                <w:color w:val="007DC6"/>
              </w:rPr>
              <w:t>SIGNATURES</w:t>
            </w:r>
          </w:p>
        </w:tc>
        <w:tc>
          <w:tcPr>
            <w:tcW w:w="180" w:type="dxa"/>
            <w:vAlign w:val="bottom"/>
          </w:tcPr>
          <w:p>
            <w:pPr>
              <w:spacing w:after="0"/>
              <w:rPr>
                <w:sz w:val="24"/>
                <w:szCs w:val="24"/>
                <w:color w:val="auto"/>
              </w:rPr>
            </w:pPr>
          </w:p>
        </w:tc>
        <w:tc>
          <w:tcPr>
            <w:tcW w:w="460" w:type="dxa"/>
            <w:vAlign w:val="bottom"/>
            <w:tcBorders>
              <w:top w:val="single" w:sz="8" w:color="007DC6"/>
            </w:tcBorders>
          </w:tcPr>
          <w:p>
            <w:pPr>
              <w:spacing w:after="0"/>
              <w:rPr>
                <w:sz w:val="24"/>
                <w:szCs w:val="24"/>
                <w:color w:val="auto"/>
              </w:rPr>
            </w:pPr>
          </w:p>
        </w:tc>
        <w:tc>
          <w:tcPr>
            <w:tcW w:w="20" w:type="dxa"/>
            <w:vAlign w:val="bottom"/>
            <w:tcBorders>
              <w:top w:val="single" w:sz="8" w:color="007DC6"/>
            </w:tcBorders>
          </w:tcPr>
          <w:p>
            <w:pPr>
              <w:spacing w:after="0"/>
              <w:rPr>
                <w:sz w:val="24"/>
                <w:szCs w:val="24"/>
                <w:color w:val="auto"/>
              </w:rPr>
            </w:pPr>
          </w:p>
        </w:tc>
        <w:tc>
          <w:tcPr>
            <w:tcW w:w="4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36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60" w:type="dxa"/>
            <w:vAlign w:val="bottom"/>
            <w:tcBorders>
              <w:top w:val="single" w:sz="8" w:color="007DC6"/>
            </w:tcBorders>
          </w:tcPr>
          <w:p>
            <w:pPr>
              <w:spacing w:after="0"/>
              <w:rPr>
                <w:sz w:val="24"/>
                <w:szCs w:val="24"/>
                <w:color w:val="auto"/>
              </w:rPr>
            </w:pPr>
          </w:p>
        </w:tc>
        <w:tc>
          <w:tcPr>
            <w:tcW w:w="240" w:type="dxa"/>
            <w:vAlign w:val="bottom"/>
            <w:tcBorders>
              <w:top w:val="single" w:sz="8" w:color="007DC6"/>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Calibri" w:cs="Calibri" w:eastAsia="Calibri" w:hAnsi="Calibri"/>
                <w:sz w:val="16"/>
                <w:szCs w:val="16"/>
                <w:color w:val="auto"/>
              </w:rPr>
              <w:t>123</w:t>
            </w:r>
          </w:p>
        </w:tc>
      </w:tr>
      <w:tr>
        <w:trPr>
          <w:trHeight w:val="932"/>
        </w:trPr>
        <w:tc>
          <w:tcPr>
            <w:tcW w:w="20" w:type="dxa"/>
            <w:vAlign w:val="bottom"/>
            <w:tcBorders>
              <w:bottom w:val="single" w:sz="8" w:color="9A9A9A"/>
            </w:tcBorders>
          </w:tcPr>
          <w:p>
            <w:pPr>
              <w:spacing w:after="0"/>
              <w:rPr>
                <w:sz w:val="24"/>
                <w:szCs w:val="24"/>
                <w:color w:val="auto"/>
              </w:rPr>
            </w:pPr>
          </w:p>
        </w:tc>
        <w:tc>
          <w:tcPr>
            <w:tcW w:w="540" w:type="dxa"/>
            <w:vAlign w:val="bottom"/>
            <w:tcBorders>
              <w:top w:val="single" w:sz="8" w:color="007DC6"/>
              <w:bottom w:val="single" w:sz="8" w:color="9A9A9A"/>
            </w:tcBorders>
          </w:tcPr>
          <w:p>
            <w:pPr>
              <w:spacing w:after="0"/>
              <w:rPr>
                <w:sz w:val="24"/>
                <w:szCs w:val="24"/>
                <w:color w:val="auto"/>
              </w:rPr>
            </w:pPr>
          </w:p>
        </w:tc>
        <w:tc>
          <w:tcPr>
            <w:tcW w:w="40" w:type="dxa"/>
            <w:vAlign w:val="bottom"/>
            <w:tcBorders>
              <w:top w:val="single" w:sz="8" w:color="007DC6"/>
              <w:bottom w:val="single" w:sz="8" w:color="9A9A9A"/>
            </w:tcBorders>
          </w:tcPr>
          <w:p>
            <w:pPr>
              <w:spacing w:after="0"/>
              <w:rPr>
                <w:sz w:val="24"/>
                <w:szCs w:val="24"/>
                <w:color w:val="auto"/>
              </w:rPr>
            </w:pPr>
          </w:p>
        </w:tc>
        <w:tc>
          <w:tcPr>
            <w:tcW w:w="60" w:type="dxa"/>
            <w:vAlign w:val="bottom"/>
            <w:tcBorders>
              <w:top w:val="single" w:sz="8" w:color="007DC6"/>
              <w:bottom w:val="single" w:sz="8" w:color="9A9A9A"/>
            </w:tcBorders>
          </w:tcPr>
          <w:p>
            <w:pPr>
              <w:spacing w:after="0"/>
              <w:rPr>
                <w:sz w:val="24"/>
                <w:szCs w:val="24"/>
                <w:color w:val="auto"/>
              </w:rPr>
            </w:pPr>
          </w:p>
        </w:tc>
        <w:tc>
          <w:tcPr>
            <w:tcW w:w="20" w:type="dxa"/>
            <w:vAlign w:val="bottom"/>
            <w:tcBorders>
              <w:top w:val="single" w:sz="8" w:color="007DC6"/>
              <w:bottom w:val="single" w:sz="8" w:color="9A9A9A"/>
            </w:tcBorders>
          </w:tcPr>
          <w:p>
            <w:pPr>
              <w:spacing w:after="0"/>
              <w:rPr>
                <w:sz w:val="24"/>
                <w:szCs w:val="24"/>
                <w:color w:val="auto"/>
              </w:rPr>
            </w:pPr>
          </w:p>
        </w:tc>
        <w:tc>
          <w:tcPr>
            <w:tcW w:w="400" w:type="dxa"/>
            <w:vAlign w:val="bottom"/>
            <w:tcBorders>
              <w:top w:val="single" w:sz="8" w:color="007DC6"/>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2" w:name="page3"/>
    <w:bookmarkEnd w:id="2"/>
    <w:p>
      <w:pPr>
        <w:ind w:left="936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 – Business</w:t>
      </w:r>
    </w:p>
    <w:p>
      <w:pPr>
        <w:spacing w:after="0" w:line="155" w:lineRule="exact"/>
        <w:rPr>
          <w:sz w:val="20"/>
          <w:szCs w:val="20"/>
          <w:color w:val="auto"/>
        </w:rPr>
      </w:pPr>
    </w:p>
    <w:p>
      <w:pPr>
        <w:jc w:val="center"/>
        <w:spacing w:after="0"/>
        <w:rPr>
          <w:sz w:val="20"/>
          <w:szCs w:val="20"/>
          <w:color w:val="auto"/>
        </w:rPr>
      </w:pPr>
      <w:r>
        <w:rPr>
          <w:rFonts w:ascii="Calibri" w:cs="Calibri" w:eastAsia="Calibri" w:hAnsi="Calibri"/>
          <w:sz w:val="36"/>
          <w:szCs w:val="36"/>
          <w:color w:val="auto"/>
        </w:rPr>
        <w:t>PART I</w:t>
      </w:r>
    </w:p>
    <w:p>
      <w:pPr>
        <w:spacing w:after="0" w:line="209"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1 – BUSINESS</w:t>
      </w:r>
    </w:p>
    <w:p>
      <w:pPr>
        <w:spacing w:after="0" w:line="113"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General</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Martn Marieta Materials, Inc. (the Company or Martn Marieta) is a natural resource-based building materials company. The Company supplies aggregates (crushed stone, sand and gravel) through its network of approximately 350 quarries, mines and distributon yards in 28 states, Canada and The Bahamas. In 2022, aggregates product gross proft accounted for 69% of the Company’s consolidated total products and services gross proft. Martn Marieta also provides cement and downstream products, namely, ready mixed concrete, asphalt and paving services, in markets that are naturally vertcally integrated and where the Company has a leading aggregates positon. The Company’s heavy-side building materials are used in infrastructure, nonresidental and residental constructon projects. Aggregates are also used in agricultural, utlity and environmental applicatons and as railroad ballast. The aggregates, cement, ready mixed concrete and asphalt and paving operatons are reported collectvely as the “Building Materials business”. The Company also operates a Magnesia Specialtes business with producton facilites in Michigan and Ohio. The Magnesia Specialtes business produces magnesia-based chemical products that are used in industrial, agricultural and environmental applicatons. It also produces dolomitc lime sold primarily to customers for steel producton and soil stabilizaton. Magnesia Specialtes’ products are shipped to customers domestcally and worldwide.</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April 30, 2021, the Company acquired Tiller Corporaton (Tiller), a leading aggregates and hot mix asphalt supplier in the Minneapolis/St. Paul area, a large and fast-growing midwestern metropolitan area. The Tiller acquisiton complemented the Company’s existng product oferings in the surrounding areas. Additonally, Tiller sells asphalt solely as a materials provider and does not ofer paving or other associated services. Tiller is reported in the Company’s East Group.</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July 30, 2021, the Company acquired assets of Southern Crushed Concrete (SCC). SCC was a leading producer of recycled concrete in the Houston area, one of the country’s largest aggregates markets. Recycled concrete is principally used as a base aggregates product in infrastructure, commercial and residental constructon applicatons. SCC is reported in the Company’s West Group.</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October 1, 2021, the Company acquired the Lehigh Hanson West Region business (Lehigh West Region) for $2.26 billion in cash. The acquisiton included a portolio of 17 actve aggregates quarries, two cement plants with related distributon terminals, and targeted downstream operatons in California, Arizona, Nevada and Oregon. These operatons provided a new upstream, materials-led growth platorm across several of the naton’s largest megaregions in California and Arizona, solidifying the Company’s positon as a leading coast-to-coast aggregates producer. The acquired cement plants, distributon terminals and California ready mixed concrete operatons are classifed as assets held for sale and discontnued operatons as of and for the years ended December 31, 2022 and 2021. The Lehigh West Region business is reported in the Company’s West Group.</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April 1, 2022, the Company divested its Colorado and Central Texas ready mixed concrete operatons to Smyrna Ready Mix Concrete LLC. This transacton optmized the Company’s aggregates-led portolio and improved its ability to generate more atractve margins over the long term by reducing both business cyclicality and exposure to raw material cost infaton. The transacton resulted in a pretax gain of $151.9 million, inclusive of expenses incurred due to the divestture. The divested operatons and the gain on divestture are all reported in the West Group in the Company's consolidated fnancial statements included in Item 8.</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June 30, 2022, the Company divested the Redding, California cement plant, related cement distributon terminals and 14 California ready mix operatons for $235.0 million in cash. In additon, on July 15, 2022, the Company sold its interest in a joint venture that operates a cement distributon terminal for $15.0 million. These assets were acquired in connecton with the acquisiton of the Lehigh West Region business in 2021.</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August 9, 2022, the Company announced a defnitve agreement to sell the Tehachapi, California cement plant and related distributon terminals for $350.0 million in cash, subject to regulatory approval and customary closing conditons. These assets were acquired in connecton with the acquisiton of the Lehigh West Region.</w:t>
      </w:r>
    </w:p>
    <w:p>
      <w:pPr>
        <w:spacing w:after="0" w:line="111" w:lineRule="exact"/>
        <w:rPr>
          <w:sz w:val="20"/>
          <w:szCs w:val="20"/>
          <w:color w:val="auto"/>
        </w:rPr>
      </w:pPr>
    </w:p>
    <w:p>
      <w:pPr>
        <w:jc w:val="both"/>
        <w:spacing w:after="0" w:line="235" w:lineRule="auto"/>
        <w:rPr>
          <w:rFonts w:ascii="Calibri" w:cs="Calibri" w:eastAsia="Calibri" w:hAnsi="Calibri"/>
          <w:sz w:val="18"/>
          <w:szCs w:val="18"/>
          <w:b w:val="1"/>
          <w:bCs w:val="1"/>
          <w:color w:val="auto"/>
        </w:rPr>
      </w:pPr>
      <w:r>
        <w:rPr>
          <w:rFonts w:ascii="Calibri" w:cs="Calibri" w:eastAsia="Calibri" w:hAnsi="Calibri"/>
          <w:sz w:val="18"/>
          <w:szCs w:val="18"/>
          <w:b w:val="1"/>
          <w:bCs w:val="1"/>
          <w:color w:val="auto"/>
        </w:rPr>
        <w:t xml:space="preserve">FOR FURTHER INFORMATION WITH RESPECT TO THE DEVELOPMENT OF THE COMPANY’S BUSINESS PRIOR TO 2021, SEE THE INFORMATION APPEARING UNDER THE HEADING “GENERAL” INCLUDED IN PART I, ITEM 1 OF THE COMPANY’S </w:t>
      </w:r>
      <w:hyperlink r:id="rId15">
        <w:r>
          <w:rPr>
            <w:rFonts w:ascii="Calibri" w:cs="Calibri" w:eastAsia="Calibri" w:hAnsi="Calibri"/>
            <w:sz w:val="18"/>
            <w:szCs w:val="18"/>
            <w:b w:val="1"/>
            <w:bCs w:val="1"/>
            <w:u w:val="single" w:color="auto"/>
            <w:color w:val="007DC6"/>
          </w:rPr>
          <w:t>FORM 10-K</w:t>
        </w:r>
        <w:r>
          <w:rPr>
            <w:rFonts w:ascii="Calibri" w:cs="Calibri" w:eastAsia="Calibri" w:hAnsi="Calibri"/>
            <w:sz w:val="18"/>
            <w:szCs w:val="18"/>
            <w:b w:val="1"/>
            <w:bCs w:val="1"/>
            <w:u w:val="single" w:color="auto"/>
            <w:color w:val="auto"/>
          </w:rPr>
          <w:t xml:space="preserve"> </w:t>
        </w:r>
      </w:hyperlink>
      <w:r>
        <w:rPr>
          <w:rFonts w:ascii="Calibri" w:cs="Calibri" w:eastAsia="Calibri" w:hAnsi="Calibri"/>
          <w:sz w:val="18"/>
          <w:szCs w:val="18"/>
          <w:b w:val="1"/>
          <w:bCs w:val="1"/>
          <w:color w:val="auto"/>
        </w:rPr>
        <w:t>FOR THE YEAR ENDED DECEMBER 31, 2019, WHICH INFORMATION IS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4073525</wp:posOffset>
            </wp:positionH>
            <wp:positionV relativeFrom="paragraph">
              <wp:posOffset>-154940</wp:posOffset>
            </wp:positionV>
            <wp:extent cx="5359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535940" cy="825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93345</wp:posOffset>
            </wp:positionV>
            <wp:extent cx="325755" cy="1968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9"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 w:name="page4"/>
    <w:bookmarkEnd w:id="3"/>
    <w:p>
      <w:pPr>
        <w:ind w:left="936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 – Business</w:t>
      </w:r>
    </w:p>
    <w:p>
      <w:pPr>
        <w:spacing w:after="0" w:line="209"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965F6E"/>
        </w:rPr>
        <w:t>Business Segment Informaton</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conducts its Building Materials business through two reportable segments, organized by geography: East Group and West Group. The East Group provides aggregates and asphalt products. The West Group provides aggregates, cement, downstream products and paving services. The ten largest revenue-generatng states accounted for 83% of the Building Materials business' total revenues in 2022: Texas, Colorado, North Carolina, Minnesota, California, Georgia, Arizona, Iowa, Florida and Indiana. The Company’s Magnesia Specialtes business is reported as a separate segment, which includes its magnesia-based chemicals and dolomitc lime businesses. For more informaton on the organizaton and geographic area of the Company’s business segments, see “</w:t>
      </w:r>
      <w:r>
        <w:rPr>
          <w:rFonts w:ascii="Calibri" w:cs="Calibri" w:eastAsia="Calibri" w:hAnsi="Calibri"/>
          <w:sz w:val="18"/>
          <w:szCs w:val="18"/>
          <w:u w:val="single" w:color="auto"/>
          <w:color w:val="007DC6"/>
        </w:rPr>
        <w:t>Note A: Accountng Policies</w:t>
      </w:r>
      <w:r>
        <w:rPr>
          <w:rFonts w:ascii="Calibri" w:cs="Calibri" w:eastAsia="Calibri" w:hAnsi="Calibri"/>
          <w:sz w:val="18"/>
          <w:szCs w:val="18"/>
          <w:color w:val="auto"/>
        </w:rPr>
        <w:t>” and “</w:t>
      </w:r>
      <w:r>
        <w:rPr>
          <w:rFonts w:ascii="Calibri" w:cs="Calibri" w:eastAsia="Calibri" w:hAnsi="Calibri"/>
          <w:sz w:val="18"/>
          <w:szCs w:val="18"/>
          <w:u w:val="single" w:color="auto"/>
          <w:color w:val="007DC6"/>
        </w:rPr>
        <w:t>Note P: Segments</w:t>
      </w:r>
      <w:r>
        <w:rPr>
          <w:rFonts w:ascii="Calibri" w:cs="Calibri" w:eastAsia="Calibri" w:hAnsi="Calibri"/>
          <w:sz w:val="18"/>
          <w:szCs w:val="18"/>
          <w:color w:val="auto"/>
        </w:rPr>
        <w:t>” of the “Notes to Financial Statements” of the Company’s consolidated fnancial statements, which appear in Item 8, “</w:t>
      </w:r>
      <w:r>
        <w:rPr>
          <w:rFonts w:ascii="Calibri" w:cs="Calibri" w:eastAsia="Calibri" w:hAnsi="Calibri"/>
          <w:sz w:val="18"/>
          <w:szCs w:val="18"/>
          <w:u w:val="single" w:color="auto"/>
          <w:color w:val="007DC6"/>
        </w:rPr>
        <w:t>Financial Statements and Supplementary Data</w:t>
      </w:r>
      <w:r>
        <w:rPr>
          <w:rFonts w:ascii="Calibri" w:cs="Calibri" w:eastAsia="Calibri" w:hAnsi="Calibri"/>
          <w:sz w:val="18"/>
          <w:szCs w:val="18"/>
          <w:color w:val="auto"/>
        </w:rPr>
        <w:t>,” of this Annual Report on Form 10-K (this Form 10-K), which informaton is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-289560</wp:posOffset>
            </wp:positionV>
            <wp:extent cx="24961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2496185" cy="825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-152400</wp:posOffset>
            </wp:positionV>
            <wp:extent cx="20834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08343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965F6E"/>
        </w:rPr>
        <w:t>Building Materials Business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proftability of the Building Materials business, which serves customers in the constructon marketplace, is sensitve to natonal, regional and local economic conditons and constructon cyclicality, which are in turn afected by fuctuatons in levels of public-sector infrastructure funding; interest rates; access to capital markets; and demographic, geographic, employment and populaton dynamics. The heavy-side constructon business is conducted outdoors, as are much of the Building Materials business’s operatons. Therefore, erratc weather paterns, seasonal changes, and other weather-related conditons, including precipitaton, fooding, hurricanes, snowstorms, extreme temperatures, wildfres, earthquakes and droughts, can signifcantly afect producton schedules, shipments, costs, efciencies and proftability. Generally, the fnancial results for the frst and fourth quarters are subject to the impacts of winter weather, while the second and third quarters are subject to the impacts of heavy precipitaton.</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Building Materials business markets its products primarily to the constructon industry, with 35% of its 2022 aggregates shipments sold to contractors in connecton with highway and other public infrastructure projects and the balance of its shipments sold primarily to contractors for nonresidental and residental constructon projects. The Company believes the business’ mix of public sector-related shipments lessens the impacts of fuctuatons in nonresidental and residental, or private-sector, constructon spending.</w:t>
      </w:r>
    </w:p>
    <w:p>
      <w:pPr>
        <w:spacing w:after="0" w:line="111" w:lineRule="exact"/>
        <w:rPr>
          <w:sz w:val="20"/>
          <w:szCs w:val="20"/>
          <w:color w:val="auto"/>
        </w:rPr>
      </w:pPr>
    </w:p>
    <w:p>
      <w:pPr>
        <w:jc w:val="both"/>
        <w:spacing w:after="0" w:line="258" w:lineRule="auto"/>
        <w:rPr>
          <w:sz w:val="20"/>
          <w:szCs w:val="20"/>
          <w:color w:val="auto"/>
        </w:rPr>
      </w:pPr>
      <w:r>
        <w:rPr>
          <w:rFonts w:ascii="Calibri" w:cs="Calibri" w:eastAsia="Calibri" w:hAnsi="Calibri"/>
          <w:sz w:val="17"/>
          <w:szCs w:val="17"/>
          <w:color w:val="auto"/>
        </w:rPr>
        <w:t>Funding of public infrastructure, historically the Company’s largest end-use market, is discussed in greater detail under “</w:t>
      </w:r>
      <w:r>
        <w:rPr>
          <w:rFonts w:ascii="Calibri" w:cs="Calibri" w:eastAsia="Calibri" w:hAnsi="Calibri"/>
          <w:sz w:val="17"/>
          <w:szCs w:val="17"/>
          <w:u w:val="single" w:color="auto"/>
          <w:color w:val="007DC6"/>
        </w:rPr>
        <w:t>Building Materials Business’ Key</w:t>
      </w:r>
      <w:r>
        <w:rPr>
          <w:rFonts w:ascii="Calibri" w:cs="Calibri" w:eastAsia="Calibri" w:hAnsi="Calibri"/>
          <w:sz w:val="17"/>
          <w:szCs w:val="17"/>
          <w:color w:val="auto"/>
        </w:rPr>
        <w:t xml:space="preserve"> </w:t>
      </w:r>
      <w:r>
        <w:rPr>
          <w:rFonts w:ascii="Calibri" w:cs="Calibri" w:eastAsia="Calibri" w:hAnsi="Calibri"/>
          <w:sz w:val="17"/>
          <w:szCs w:val="17"/>
          <w:u w:val="single" w:color="auto"/>
          <w:color w:val="007DC6"/>
        </w:rPr>
        <w:t>Consideratons—Public Infrastructure</w:t>
      </w:r>
      <w:r>
        <w:rPr>
          <w:rFonts w:ascii="Calibri" w:cs="Calibri" w:eastAsia="Calibri" w:hAnsi="Calibri"/>
          <w:sz w:val="17"/>
          <w:szCs w:val="17"/>
          <w:color w:val="000000"/>
        </w:rPr>
        <w:t>” in</w:t>
      </w:r>
      <w:r>
        <w:rPr>
          <w:rFonts w:ascii="Calibri" w:cs="Calibri" w:eastAsia="Calibri" w:hAnsi="Calibri"/>
          <w:sz w:val="17"/>
          <w:szCs w:val="17"/>
          <w:color w:val="007DC6"/>
        </w:rPr>
        <w:t xml:space="preserve"> </w:t>
      </w:r>
      <w:r>
        <w:rPr>
          <w:rFonts w:ascii="Calibri" w:cs="Calibri" w:eastAsia="Calibri" w:hAnsi="Calibri"/>
          <w:sz w:val="17"/>
          <w:szCs w:val="17"/>
          <w:u w:val="single" w:color="auto"/>
          <w:color w:val="007DC6"/>
        </w:rPr>
        <w:t>Item 7, “Management’s Discussion and Analysis of Financial Conditon and Results of Operatons</w:t>
      </w:r>
      <w:r>
        <w:rPr>
          <w:rFonts w:ascii="Calibri" w:cs="Calibri" w:eastAsia="Calibri" w:hAnsi="Calibri"/>
          <w:sz w:val="17"/>
          <w:szCs w:val="17"/>
          <w:color w:val="000000"/>
        </w:rPr>
        <w:t>,’’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5643245</wp:posOffset>
            </wp:positionH>
            <wp:positionV relativeFrom="paragraph">
              <wp:posOffset>-165735</wp:posOffset>
            </wp:positionV>
            <wp:extent cx="14884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4884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wp:posOffset>
            </wp:positionV>
            <wp:extent cx="6216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6216650" cy="8890"/>
                    </a:xfrm>
                    <a:prstGeom prst="rect">
                      <a:avLst/>
                    </a:prstGeom>
                    <a:noFill/>
                  </pic:spPr>
                </pic:pic>
              </a:graphicData>
            </a:graphic>
          </wp:anchor>
        </w:drawing>
      </w:r>
    </w:p>
    <w:p>
      <w:pPr>
        <w:spacing w:after="0" w:line="7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Building Materials business covers a wide geographic area. The fve largest revenue-generatng states (Texas, Colorado, North Carolina, Minnesota and California) accounted for 64% of the Building Materials business’ total revenues in 2022. The Building Materials business is accordingly afected by the economies in these regions and has been adversely afected in part by recessions and weaknesses in these economies from tme to tme and may be afected by a decline in economic conditons, such as recession, economic downtown or infatonary conditons in the future. In 2022, aggregates shipments increased 3.3%, driven primarily by a full year of shipments in the California and Arizona operatons acquired in the fourth quarter of 2021.</w:t>
      </w:r>
    </w:p>
    <w:p>
      <w:pPr>
        <w:spacing w:after="0" w:line="217"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Aggregates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Aggregates, consistng of crushed stone, sand and gravel, are an engineered, granular material that is manufactured to specifc sizes, grades and chemistry for use primarily in constructon applicatons. The Company’s operatons consist primarily of open pit quarries; however, the Company is the largest operator of underground aggregates mines in the United States, with 14 actve underground mines located in the East Group.</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Natural aggregates sources can be found in relatvely homogeneous deposits in certain areas of the United States. Proximity of quarry facilites to customers’ constructon sites or to long-haul transportaton corridors is an important factor in competton for aggregates businesses. As a general rule, the distance truck shipments travel from an individual quarry is limited because the cost of transportng processed aggregates to customers is high in relaton to the price of the product itself. The Company’s distributon system mainly uses trucks, but also has access to rail and waterborne networks where the per-mile unit costs of transportng aggregates are much lower.</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distributon network moves aggregates materials from certain domestc and ofshore sources via its long-haul rail and waterborne distributon network, to markets where aggregates supply is limited. The Company’s rail network primarily serves its Texas, Florida, Colorado and Gulf Coast markets, while the Company’s locatons in The Bahamas and Nova Scota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93345</wp:posOffset>
            </wp:positionV>
            <wp:extent cx="325755" cy="197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149"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ind w:left="936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 – Business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transport materials via oceangoing ships. The Company’s strategic focus includes expanding inland and ofshore capacity and acquiring distributon facilites and port locatons to ofoad transported material. At December 31, 2022, the Company’s aggregates distributon facilites consisted of 78 terminals. The Company’s expansion of its rail-based distributon network, coupled with the extensive use of rail service, increases the Company’s dependence on and exposure to railroad performance, including track congeston, crew availability, railcar availability, locomotve availability and the ability to renegotate favorable railroad shipping contracts. The waterborne distributon network also increases the Company’s exposure to certain risks, including, among other items, meetng minimum tonnage requirements of shipping contracts, demurrage costs, fuel costs, ship availability and weather disruptons. The Company has long-term agreements with shipping companies to provide ships to transport its aggregates to various coastal ports.</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generally acquires contguous property around existng quarry locatons. Such parcels can serve as bufer property or additonal mineral reserves, assuming the underlying geology supports economical aggregates mining. In either instance, the acquisiton of additonal property around an existng quarry allows the expansion of the quarry footprint and extension of quarry life. Some locatons having limited reserves may be unable to expand.</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Due to the nature of the indigenous aggregates supply in the midwestern United States, a long-term capital focus for the Company is underground limestone aggregates mines. Producton costs are generally higher at underground mines than surface quarries since the depth of the aggregates deposits and the access to the reserves result in higher costs related to development, explosives and depreciaton costs. However, these locatons ofen possess marketplace transportaton advantages that can lead to higher average selling prices than more distant surface quarries.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constructon aggregates industry has been consolidatng, and the Company has actvely partcipated in the industry’s consolidaton. The Company’s Board of Directors and management contnue to review and monitor the Company’s long-term strategic plans, commonly referred to as SOAR (</w:t>
      </w:r>
      <w:r>
        <w:rPr>
          <w:rFonts w:ascii="Calibri" w:cs="Calibri" w:eastAsia="Calibri" w:hAnsi="Calibri"/>
          <w:sz w:val="18"/>
          <w:szCs w:val="18"/>
          <w:u w:val="single" w:color="auto"/>
          <w:color w:val="auto"/>
        </w:rPr>
        <w:t>S</w:t>
      </w:r>
      <w:r>
        <w:rPr>
          <w:rFonts w:ascii="Calibri" w:cs="Calibri" w:eastAsia="Calibri" w:hAnsi="Calibri"/>
          <w:sz w:val="18"/>
          <w:szCs w:val="18"/>
          <w:color w:val="auto"/>
        </w:rPr>
        <w:t xml:space="preserve">trategic </w:t>
      </w:r>
      <w:r>
        <w:rPr>
          <w:rFonts w:ascii="Calibri" w:cs="Calibri" w:eastAsia="Calibri" w:hAnsi="Calibri"/>
          <w:sz w:val="18"/>
          <w:szCs w:val="18"/>
          <w:u w:val="single" w:color="auto"/>
          <w:color w:val="auto"/>
        </w:rPr>
        <w:t>O</w:t>
      </w:r>
      <w:r>
        <w:rPr>
          <w:rFonts w:ascii="Calibri" w:cs="Calibri" w:eastAsia="Calibri" w:hAnsi="Calibri"/>
          <w:sz w:val="18"/>
          <w:szCs w:val="18"/>
          <w:color w:val="auto"/>
        </w:rPr>
        <w:t xml:space="preserve">peratng </w:t>
      </w:r>
      <w:r>
        <w:rPr>
          <w:rFonts w:ascii="Calibri" w:cs="Calibri" w:eastAsia="Calibri" w:hAnsi="Calibri"/>
          <w:sz w:val="18"/>
          <w:szCs w:val="18"/>
          <w:u w:val="single" w:color="auto"/>
          <w:color w:val="auto"/>
        </w:rPr>
        <w:t>A</w:t>
      </w:r>
      <w:r>
        <w:rPr>
          <w:rFonts w:ascii="Calibri" w:cs="Calibri" w:eastAsia="Calibri" w:hAnsi="Calibri"/>
          <w:sz w:val="18"/>
          <w:szCs w:val="18"/>
          <w:color w:val="auto"/>
        </w:rPr>
        <w:t xml:space="preserve">nalysis and </w:t>
      </w:r>
      <w:r>
        <w:rPr>
          <w:rFonts w:ascii="Calibri" w:cs="Calibri" w:eastAsia="Calibri" w:hAnsi="Calibri"/>
          <w:sz w:val="18"/>
          <w:szCs w:val="18"/>
          <w:u w:val="single" w:color="auto"/>
          <w:color w:val="auto"/>
        </w:rPr>
        <w:t>R</w:t>
      </w:r>
      <w:r>
        <w:rPr>
          <w:rFonts w:ascii="Calibri" w:cs="Calibri" w:eastAsia="Calibri" w:hAnsi="Calibri"/>
          <w:sz w:val="18"/>
          <w:szCs w:val="18"/>
          <w:color w:val="auto"/>
        </w:rPr>
        <w:t>eview), which include assessing portolio optmizaton strategies that include business combinatons and arrangements with other companies engaged in similar businesses, investng in internal expansion projects in high-growth markets, divestng businesses or nonoperatng assets that are not core or do not further management’s strategy and pursuing new opportunites in the Company’s existng markets or new markets. Acquisiton opportunites include public companies and private sponsor-owned and family-owned businesses, as well as asset swaps and divesttures from companies executng their strategic plans, ratonalizing non-core assets and repairing fnancially-constrained balance sheets. When acquired, new locatons sometmes do not satsfy the Company’s internal safety, maintenance, pit development or other standards, and may require additonal investments before benefts of the acquisitons are fully realized.</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Management believes its aggregates reserves are sufcient to permit producton at present operatonal levels for the foreseeable future. The Company does not antcipate any signifcant difculty in accessing reserves used for producton. The Company’s aggregates reserves average approximately 75 years, based on the 2022 annual producton level. However, certain locatons may be subject to more limited reserves and may not be able to expand. Moreover, environmental, zoning and land use regulatons will likely make it harder for the Company to expand its existng quarries or develop new quarry operatons. Although it cannot be predicted what policies will be adopted in the future by federal, state and local governmental bodies regarding these maters, the Company antcipates that future restrictons will likely make zoning and permitng more difcult, thereby potentally enhancing the value of the Company’s existng mineral reserves.</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generally sells its aggregates upon receipt of customer orders or requests. The Company generally maintains inventories of aggregates products in sufcient quanttes to meet the requirements of customers.</w:t>
      </w:r>
    </w:p>
    <w:p>
      <w:pPr>
        <w:spacing w:after="0" w:line="213"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Cement and Downstream Operatons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Cement is the basic agent used to bind aggregates, sand and water in the producton of ready mixed concrete. Similar to aggregates, cement is used in infrastructure projects, nonresidental and residental constructon, and the railroad, agricultural, utlity and environmental industries. Consequently, the cement industry is cyclical and dependent on the strength of the constructon sector. The Company has a strategic and leading cement positon in Texas, with producton facilites in Midlothian, Texas, south of Dallas/Fort Worth, and Hunter, Texas, north of San Antonio. These plants, which produce Portland and specialty cements, operated at 77% utlizaton in 2022. Clinker is the inital product in cement producton, and the two Texas producton facilites have a combined annual clinker capacity of 4.5 million tons. The Midlothian plant permit allows the Company to expand annual producton by up to 0.8 million additonal tons. The Company is currently undertaking a fnishing capacity expansion project at the Midlothian plant, which is expected to be completed in mid-2024 and will provide 0.5 million tons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95885</wp:posOffset>
            </wp:positionV>
            <wp:extent cx="325755"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4"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ind w:left="936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 – Business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annual incremental capacity. Further, the Company is nearing completon of convertng its plants to manufacture a less carbon-intensive Portland limestone cement, known as Type 1L, which has been approved by the Texas Department of Transportaton.</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2021, as part of the Lehigh West Region acquisiton, the Company acquired a cement plant in each of Redding, California and Tehachapi, California, and several cement distributon terminals. The Redding, California plant and related terminals were sold in June 2022 and the Tehachapi, California and related terminals are classifed as assets held for sale as of December 31, 2022.</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Calcium carbonate in the form of limestone is the principal raw material used in the producton of cement. The Company owns more than 600 million tons of limestone reserves adjacent to its Texas cement producton plants on Company-owned property. Management believes that its reserves of limestone are sufcient to permit producton at its cement plants at the current operatonal levels for the foreseeable future.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Cement consumpton is dependent on the tme of year and prevalent weather conditons. According to the Portland Cement Associaton, nearly two-thirds of U.S. cement consumpton occurs in the six months between May and October. Approximately 70% to 75% of all cement shipments are sent to ready-mixed concrete operators. The remainder is shipped to manufacturers of concrete-related products, contractors, materials dealers and oil well/mining/drilling companies. The Company's cement operatons generally deliver their products upon receipt of customer orders or requests. Inventory for products is generally maintained in sufcient quanttes to meet rapid delivery requirements of customers</w:t>
      </w:r>
      <w:r>
        <w:rPr>
          <w:rFonts w:ascii="Calibri" w:cs="Calibri" w:eastAsia="Calibri" w:hAnsi="Calibri"/>
          <w:sz w:val="18"/>
          <w:szCs w:val="18"/>
          <w:b w:val="1"/>
          <w:bCs w:val="1"/>
          <w:color w:val="auto"/>
        </w:rPr>
        <w:t>.</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Energy accounted for approximately 28% of the cement total producton cost profle in 2022. Therefore, cement proftability is afected by changes in energy prices and the available supply of these products. The Company currently has fxed-price supply contracts for portons of its natural gas, power and coal needs, but also consumes alternatve fuel and petroleum coke. Further, proftability of the cement operatons is also impacted by kiln maintenance, which typically requires a plant to be shut down for a period of tme.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Ready mixed concrete is measured in cubic yards and specifcally batched or produced for customers’ constructon projects and then typically transported by mixer trucks and poured at the project site. The aggregates used for ready mixed concrete is a washed material with limited amounts of fnes (such as dirt and clay). As of December 31, 2022, the Company operates 94 ready mix plants in Arizona, California and Texas. The California ready mixed concrete operatons are classifed as assets held for sale as of December 31, 2022 and reported as discontnued operatons for the years ended December 31, 2022 and 2021. Asphalt is most commonly used in surfacing roads and parking lots and consists of liquid asphalt, or bitumen, the binding medium, and aggregates. Similar to ready mixed concrete, each asphalt batch is produced to customer specifcatons. As of December 31, 2022, the Company operates 38 asphalt plants in Arizona, California, Colorado and Minnesota. The Company also ofers paving services in California and Colorado. Market dynamics for these downstream product lines include a highly compettve environment and lower barriers to entry compared with aggregates and cement.</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cement and downstream operatons results are afected by volatle factors, including energy-related costs, operatng efciencies and weather, to a greater extent than the Company’s aggregates operatons. Liquid asphalt and cement serve as key raw materials in the producton of hot mix asphalt and ready mixed concrete, respectvely. Therefore, fuctuatons in prices for these raw materials directly afect the Company’s operatng results.</w:t>
      </w:r>
    </w:p>
    <w:p>
      <w:pPr>
        <w:spacing w:after="0" w:line="21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965F6E"/>
        </w:rPr>
        <w:t>Magnesia Specialtes Business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Magnesia Specialtes business produces and sells dolomitc lime from its Woodville, Ohio facility and manufactures magnesia-based chemical products for industrial, agricultural and environmental applicatons at its Manistee, Michigan facility. These magnesia-based chemical products have varying uses, including fame retardants, wastewater treatment, pulp and paper producton and other environmental applicatons. In 2022, 72% of Magnesia Specialtes’ total revenues were atributable to chemical products, 27% to lime, and 1% to stone sold as constructon materials.</w:t>
      </w:r>
    </w:p>
    <w:p>
      <w:pPr>
        <w:spacing w:after="0" w:line="111" w:lineRule="exact"/>
        <w:rPr>
          <w:sz w:val="20"/>
          <w:szCs w:val="20"/>
          <w:color w:val="auto"/>
        </w:rPr>
      </w:pPr>
    </w:p>
    <w:p>
      <w:pPr>
        <w:jc w:val="both"/>
        <w:spacing w:after="0" w:line="239" w:lineRule="auto"/>
        <w:rPr>
          <w:sz w:val="20"/>
          <w:szCs w:val="20"/>
          <w:color w:val="auto"/>
        </w:rPr>
      </w:pPr>
      <w:r>
        <w:rPr>
          <w:rFonts w:ascii="Calibri" w:cs="Calibri" w:eastAsia="Calibri" w:hAnsi="Calibri"/>
          <w:sz w:val="18"/>
          <w:szCs w:val="18"/>
          <w:color w:val="auto"/>
        </w:rPr>
        <w:t>Magnesia Specialtes generally delivers its products upon receipt of customer orders or requests. Inventory for products is generally maintained in sufcient quanttes to meet rapid delivery requirements of customers. A signifcant porton of the 275,000-ton dolomitc lime capacity from a lime kiln at Woodville, Ohio is commited under a long-term supply contract. In 2022, 74% of the lime shipments in the Magnesia Specialtes business was sold to third-party customers, while the remaining 26% was used internally as a raw material in making the business’ chemical products. Dolomitc lime products sold to external customers are used primarily by the steel industry. In 2022, 31% of the Magnesia Specialtes’ total revenues were atributable to products used in the steel industry, primarily dolomitc lime. Accordingly, a porton of the revenues and proftability of the Magnesia Specialtes business is afected by producton and inventory trends in the steel industry. These trends are guided by the rate of consumer consumpton, the fow of ofshore imports and other economic factors. The dolomitc lime business runs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93980</wp:posOffset>
            </wp:positionV>
            <wp:extent cx="325755" cy="196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 w:name="page7"/>
    <w:bookmarkEnd w:id="6"/>
    <w:p>
      <w:pPr>
        <w:ind w:left="936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 – Business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most proftably at 70% or greater domestc steel capacity utlizaton. According to the Federal Reserve, domestc steel capacity utlizaton averaged 75% of capacity in 2022 versus 81% of capacity in 2021.</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the Magnesia Specialtes business, a signifcant porton of costs is of a fxed or semi-fxed nature. The producton process requires the use of natural gas, coal and petroleum coke. Therefore, fuctuatons in their pricing directly afect operatng results. To help mitgate this risk, the Magnesia Specialtes business has fxed-price agreements for approximately 39% of its 2023 coal and natural gas needs. For 2022, the Company’s average cost per MMBtu (1,000,000 Britsh thermal units) of natural gas increased 47% versus 2021.</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Given high fxed costs, low capacity utlizaton can negatvely afect the segment’s results from operatons. Management has shifed the strategic focus of the magnesia-based business to specialty chemicals that can be produced at volume levels that support efcient operatons. Accordingly, these products are not as dependent on the steel industry as the dolomitc lime product line. Management expects future organic proft growth to result from increased pricing, efciency enhancements, ratonalizaton of the current product portolio and/or further cost reductons.</w:t>
      </w:r>
    </w:p>
    <w:p>
      <w:pPr>
        <w:spacing w:after="0" w:line="111"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The principal raw materials used in the Magnesia Specialtes business are dolomitc limestone and magnesium-rich brine. Management believes that its reserves of dolomitc limestone and brine are sufcient to permit producton at the current operatonal levels for the foreseeable future.</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Magnesia Specialtes business is highly dependent on rail transportaton, partcularly for movement of dolomitc lime from Woodville to Manistee and direct customer shipments of dolomitc lime and magnesia chemicals products from both Woodville and Manistee. The segment can be afected by the specifc transportaton and other risks and uncertaintes outlined under Item 1A, “</w:t>
      </w:r>
      <w:r>
        <w:rPr>
          <w:rFonts w:ascii="Calibri" w:cs="Calibri" w:eastAsia="Calibri" w:hAnsi="Calibri"/>
          <w:sz w:val="18"/>
          <w:szCs w:val="18"/>
          <w:u w:val="single" w:color="auto"/>
          <w:color w:val="007DC6"/>
        </w:rPr>
        <w:t>Risk Factors</w:t>
      </w:r>
      <w:r>
        <w:rPr>
          <w:rFonts w:ascii="Calibri" w:cs="Calibri" w:eastAsia="Calibri" w:hAnsi="Calibri"/>
          <w:sz w:val="18"/>
          <w:szCs w:val="18"/>
          <w:color w:val="auto"/>
        </w:rPr>
        <w:t>,”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-17780</wp:posOffset>
            </wp:positionV>
            <wp:extent cx="5295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29590"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965F6E"/>
        </w:rPr>
        <w:t>Patents and Trademarks</w:t>
      </w:r>
    </w:p>
    <w:p>
      <w:pPr>
        <w:spacing w:after="0" w:line="59"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As of January 31, 2023, the Company owns, has the right to use, or has pending applicatons for patents pending or granted by the United States and various countries and trademarks related to its business. The Company believes that its rights under its existng patents, patent applicatons and trademarks are of value to its operatons, but no one patent or trademark or group of patents or trademarks is material to the conduct of the Company’s business as a whole.</w:t>
      </w:r>
    </w:p>
    <w:p>
      <w:pPr>
        <w:spacing w:after="0" w:line="20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965F6E"/>
        </w:rPr>
        <w:t>Customers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products are sold principally to commercial customers in private industry. Although large amounts of constructon materials are used in public works projects, relatvely insignifcant sales are made directly to federal, state, county or municipal governments, or agencies thereof. No material part of the business as a whole, or of any segment of the Company, is dependent upon a single customer or upon a few customers. The loss of any single customer would not have a material adverse efect on any segment of the Company.</w:t>
      </w:r>
    </w:p>
    <w:p>
      <w:pPr>
        <w:spacing w:after="0" w:line="21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965F6E"/>
        </w:rPr>
        <w:t>Competton</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nature of the Company’s competton varies among its products due to the widely difering amounts of capital necessary to build and maintain producton facilites. Crushed stone producton from quarries or mines and sand and gravel producton by dredging or otherwise are moderately capital intensive. Constructon of cement producton facilites is highly capital intensive and requires long lead tmes to complete engineering design, obtain regulatory permits, acquire equipment and construct a plant. Most domestc cement producers are owned by large foreign companies operatng in multple internatonal markets. Many of these producers maintain the capability to import cement from foreign producton facilites. Ready mixed concrete producton requires relatvely small amounts of capital to build a concrete batching plant and acquire delivery trucks. Accordingly, economics can lead to lower barriers to entry in some concrete markets. As a result, depending on the local market, the Company may face competton from small producers as well as large, vertcally-integrated companies with facilites in many markets.</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operates in a largely-fragmented industry, including large, public companies and a large number of small, privately-held companies. Other publicly traded companies among the ten-largest U.S. aggregates producers include the following:</w:t>
      </w:r>
    </w:p>
    <w:p>
      <w:pPr>
        <w:spacing w:after="0" w:line="64" w:lineRule="exact"/>
        <w:rPr>
          <w:sz w:val="20"/>
          <w:szCs w:val="20"/>
          <w:color w:val="auto"/>
        </w:rPr>
      </w:pPr>
    </w:p>
    <w:p>
      <w:pPr>
        <w:ind w:left="800" w:hanging="397"/>
        <w:spacing w:after="0"/>
        <w:tabs>
          <w:tab w:leader="none" w:pos="80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Arcosa, Inc.</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CEMEX S.A.B. de C.V.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92075</wp:posOffset>
            </wp:positionV>
            <wp:extent cx="325755" cy="196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 w:name="page8"/>
    <w:bookmarkEnd w:id="7"/>
    <w:p>
      <w:pPr>
        <w:jc w:val="right"/>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 – Business</w:t>
      </w:r>
    </w:p>
    <w:p>
      <w:pPr>
        <w:spacing w:after="0" w:line="182" w:lineRule="exact"/>
        <w:rPr>
          <w:sz w:val="20"/>
          <w:szCs w:val="20"/>
          <w:color w:val="auto"/>
        </w:rPr>
      </w:pPr>
    </w:p>
    <w:p>
      <w:pPr>
        <w:ind w:left="800" w:hanging="397"/>
        <w:spacing w:after="0"/>
        <w:tabs>
          <w:tab w:leader="none" w:pos="8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CRH plc</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Heidelberg Materials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Holcim</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MDU Resources Group, Inc.</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Summit Materials, Inc.</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Vulcan Materials Company</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Due to the localized nature of the industry resultng from the high cost of transportaton relatve to the price of the product, the Building Materials business primarily operates in smaller distnct areas that can vary from one another. The Company believes that its ability to transport materials by rail and waterborne vessels has enhanced its ability to compete in the building materials industry.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Capacity for cement plants is ofen stated in terms of clinker capacity. According to the Portland Cement Associaton, United States cement producton is widely dispersed, with the top fve companies collectvely producing approximately 58% of U.S. clinker capacity. An estmated 84% of U.S. clinker capacity is owned by companies headquartered outside of the United States. The Company’s cement operatons also compete with imported cement because of the higher value of the product and the existence of major ports or terminals in Texas and California.</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Company’s ready mixed concrete and asphalt and paving operatons are also in markets with numerous operators, large and small.</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Magnesia Specialtes business competes with various companies in diferent geographic and product areas principally on the basis of quality, price, technological advances and technical support for its products. While the revenues of the Magnesia Specialtes business in 2022 were predominantly domestc, a porton was derived from customers located outside the United States.</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965F6E"/>
        </w:rPr>
        <w:t>Environmental and Governmental Regulatons</w:t>
      </w:r>
    </w:p>
    <w:p>
      <w:pPr>
        <w:spacing w:after="0" w:line="109"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Overview</w:t>
      </w:r>
    </w:p>
    <w:p>
      <w:pPr>
        <w:spacing w:after="0" w:line="59" w:lineRule="exact"/>
        <w:rPr>
          <w:sz w:val="20"/>
          <w:szCs w:val="20"/>
          <w:color w:val="auto"/>
        </w:rPr>
      </w:pPr>
    </w:p>
    <w:p>
      <w:pPr>
        <w:jc w:val="both"/>
        <w:spacing w:after="0" w:line="223" w:lineRule="auto"/>
        <w:rPr>
          <w:sz w:val="20"/>
          <w:szCs w:val="20"/>
          <w:color w:val="auto"/>
        </w:rPr>
      </w:pPr>
      <w:r>
        <w:rPr>
          <w:rFonts w:ascii="Calibri" w:cs="Calibri" w:eastAsia="Calibri" w:hAnsi="Calibri"/>
          <w:sz w:val="18"/>
          <w:szCs w:val="18"/>
          <w:color w:val="auto"/>
        </w:rPr>
        <w:t>The Company’s operatons are subject to and afected by federal, state and local laws, rules and regulatons relatng to zoning, land use, mining, air emissions (including CO</w:t>
      </w:r>
      <w:r>
        <w:rPr>
          <w:rFonts w:ascii="Calibri" w:cs="Calibri" w:eastAsia="Calibri" w:hAnsi="Calibri"/>
          <w:sz w:val="24"/>
          <w:szCs w:val="24"/>
          <w:color w:val="auto"/>
          <w:vertAlign w:val="subscript"/>
        </w:rPr>
        <w:t>2</w:t>
      </w:r>
      <w:r>
        <w:rPr>
          <w:rFonts w:ascii="Calibri" w:cs="Calibri" w:eastAsia="Calibri" w:hAnsi="Calibri"/>
          <w:sz w:val="18"/>
          <w:szCs w:val="18"/>
          <w:color w:val="auto"/>
        </w:rPr>
        <w:t xml:space="preserve"> and other greenhouse gases), water use, allocaton and discharges, waste management, noise and dust exposure control, reclamaton and other environmental, health and safety, and regulatory maters. Certain of the Company’s operatons may from tme to tme involve the use of substances that are classifed as toxic or hazardous within the meaning of these laws and regulatons. Environmental operatng permits are, or may be, required for certain of the Company’s operatons, and such permits are subject to modifcaton, renewal and revocaton.</w:t>
      </w:r>
    </w:p>
    <w:p>
      <w:pPr>
        <w:spacing w:after="0" w:line="216"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Environmental Compliance and Costs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regularly monitors and reviews its operatons, procedures and policies for compliance with existng laws, rules and regulatons, changes in interpretatons of existng laws and enforcement policies, new laws that are adopted and new laws that the Company antcipates will be adopted that could afect its operatons, including with respect to climate change. The Company has a full-tme team of environmental engineers and managers that perform these responsibilites. The direct costs of ongoing environmental compliance were approximately $35.6 million in 2022 and $31.0 million in 2021 and are related to the Company’s environmental staf, ongoing monitoring costs for various maters (including those maters disclosed in this Form 10-K) and asset retrement costs. Capitalized costs related to environmental control facilites were approximately $20.0 million in 2022 and are expected to be approximately $20.0 million in 2023 and $25.0 million in 2024. The Company’s capital expenditures for environmental maters were not material to its results of operatons or fnancial conditon in 2022 and 2021. However, the Company’s expenditures for environmental maters generally have increased over tme and are likely to increase in the future. Despite the Company’s compliance eforts, the risk of environmental liability is inherent in the Company’s businesses, and environmental liabilites could have a material adverse efect on the Company in the future. Complying with governmental and environmental regulatons did not have and is not expected to have a material efect on the Company’s capital expenditures, earnings and compettve positon, other than as discussed in this secton.</w:t>
      </w:r>
    </w:p>
    <w:p>
      <w:pPr>
        <w:spacing w:after="0" w:line="1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Many of the applicable requirements of environmental laws are satsfed by procedures that the Company adopts as best practces in the ordinary course of its business. For example, plant equipment that is used to crush aggregates products may, in the ordinary course of operatons, have an atached water spray bar that is used to clean the stone. The water spray bar also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93345</wp:posOffset>
            </wp:positionV>
            <wp:extent cx="325755" cy="196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9"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8" w:name="page9"/>
    <w:bookmarkEnd w:id="8"/>
    <w:p>
      <w:pPr>
        <w:ind w:left="936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 – Business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serves as a dust control mechanism that complies with applicable environmental laws. Moreover, the Company does not separate the porton of the cost, depreciaton and other fnancial informaton relatng to the water spray bar that is atributable only to environmental purposes, as such an allocaton would be arbitrary. The incremental porton of such operatng costs that is atributable to environmental compliance rather than best operatng practces is impractcal to quantfy. Accordingly, the Company records costs in that category when incurred as operatng expenses.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is the case with others in the cement industry, the Company’s cement operatons produce varying quanttes of cement kiln dust (CKD). This producton by-product consists of fne-grained, solid, highly alkaline material removed from cement kiln exhaust gas by air polluton control devices. Since much of the CKD is unreacted raw materials, it is generally permissible to recycle the CKD back into the producton process, and large amounts ofen are treated in such manner. CKD that is not returned to the producton process or sold as a product itself is disposed in landflls. CKD is currently exempted from federal hazardous waste regulatons under Subttle C of the Resource Conservaton and Recovery Act.</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environmental accruals recorded by the Company are based on internal studies of the required remediaton costs and estmates of potental costs that arise from tme to tme under federal, state and/or local environmental protecton laws. Many of these laws and their atendant regulatons are complex and are subject to challenges and new interpretatons by regulators and the courts. In additon, new laws are also adopted from tme to tme. It is ofen difcult to accurately and fully quantfy the costs to comply with new rules untl it is determined to which type of operatons they will apply and the manner in which they will be implemented is more accurately defned. This process typically takes years to fnalize, and the rules ofen change signifcantly from the tme they are proposed to the tme they are fnal. The Company typically has several appropriate alternatves available to satsfy compliance requirements, which could range from nominal costs to some alternatves that may be satsfed in conjuncton with equipment replacement or expansion that also beneft operatng efciencies or capacites and carry signifcantly higher costs.</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Management believes that its current accrual for environmental costs is reasonable, although those amounts may increase or decrease depending on the impact of applicable rules as they are fnalized or amended from tme to tme and changes in facts and circumstances. The Company believes that its operatons and facilites, both owned or leased, are in substantal compliance with applicable laws and regulatons and any potental noncompliance is not likely to have a material adverse efect on the Company’s operatons or fnancial conditon. See “</w:t>
      </w:r>
      <w:r>
        <w:rPr>
          <w:rFonts w:ascii="Calibri" w:cs="Calibri" w:eastAsia="Calibri" w:hAnsi="Calibri"/>
          <w:sz w:val="18"/>
          <w:szCs w:val="18"/>
          <w:u w:val="single" w:color="auto"/>
          <w:color w:val="007DC6"/>
        </w:rPr>
        <w:t>Legal Proceedings</w:t>
      </w:r>
      <w:r>
        <w:rPr>
          <w:rFonts w:ascii="Calibri" w:cs="Calibri" w:eastAsia="Calibri" w:hAnsi="Calibri"/>
          <w:sz w:val="18"/>
          <w:szCs w:val="18"/>
          <w:color w:val="auto"/>
        </w:rPr>
        <w:t>" under Item 3 of this Form 10-K, “</w:t>
      </w:r>
      <w:r>
        <w:rPr>
          <w:rFonts w:ascii="Calibri" w:cs="Calibri" w:eastAsia="Calibri" w:hAnsi="Calibri"/>
          <w:sz w:val="18"/>
          <w:szCs w:val="18"/>
          <w:u w:val="single" w:color="auto"/>
          <w:color w:val="007DC6"/>
        </w:rPr>
        <w:t>Note O:</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007DC6"/>
        </w:rPr>
        <w:t>Commitments and Contngencies</w:t>
      </w:r>
      <w:r>
        <w:rPr>
          <w:rFonts w:ascii="Calibri" w:cs="Calibri" w:eastAsia="Calibri" w:hAnsi="Calibri"/>
          <w:sz w:val="18"/>
          <w:szCs w:val="18"/>
          <w:color w:val="000000"/>
        </w:rPr>
        <w:t>” of the “</w:t>
      </w:r>
      <w:r>
        <w:rPr>
          <w:rFonts w:ascii="Calibri" w:cs="Calibri" w:eastAsia="Calibri" w:hAnsi="Calibri"/>
          <w:sz w:val="18"/>
          <w:szCs w:val="18"/>
          <w:u w:val="single" w:color="auto"/>
          <w:color w:val="007DC6"/>
        </w:rPr>
        <w:t>Notes to Financial Statements</w:t>
      </w:r>
      <w:r>
        <w:rPr>
          <w:rFonts w:ascii="Calibri" w:cs="Calibri" w:eastAsia="Calibri" w:hAnsi="Calibri"/>
          <w:sz w:val="18"/>
          <w:szCs w:val="18"/>
          <w:color w:val="000000"/>
        </w:rPr>
        <w:t>” of the Company’s consolidated fnancial statements included under</w:t>
      </w:r>
      <w:r>
        <w:rPr>
          <w:rFonts w:ascii="Calibri" w:cs="Calibri" w:eastAsia="Calibri" w:hAnsi="Calibri"/>
          <w:sz w:val="18"/>
          <w:szCs w:val="18"/>
          <w:color w:val="007DC6"/>
        </w:rPr>
        <w:t xml:space="preserve"> </w:t>
      </w:r>
      <w:r>
        <w:rPr>
          <w:rFonts w:ascii="Calibri" w:cs="Calibri" w:eastAsia="Calibri" w:hAnsi="Calibri"/>
          <w:sz w:val="18"/>
          <w:szCs w:val="18"/>
          <w:u w:val="single" w:color="auto"/>
          <w:color w:val="007DC6"/>
        </w:rPr>
        <w:t>Item 8,</w:t>
      </w:r>
      <w:r>
        <w:rPr>
          <w:rFonts w:ascii="Calibri" w:cs="Calibri" w:eastAsia="Calibri" w:hAnsi="Calibri"/>
          <w:sz w:val="18"/>
          <w:szCs w:val="18"/>
          <w:color w:val="007DC6"/>
        </w:rPr>
        <w:t xml:space="preserve"> </w:t>
      </w:r>
      <w:r>
        <w:rPr>
          <w:rFonts w:ascii="Calibri" w:cs="Calibri" w:eastAsia="Calibri" w:hAnsi="Calibri"/>
          <w:sz w:val="18"/>
          <w:szCs w:val="18"/>
          <w:u w:val="single" w:color="auto"/>
          <w:color w:val="007DC6"/>
        </w:rPr>
        <w:t>“Financial Statements and Supplemental Data,”</w:t>
      </w:r>
      <w:r>
        <w:rPr>
          <w:rFonts w:ascii="Calibri" w:cs="Calibri" w:eastAsia="Calibri" w:hAnsi="Calibri"/>
          <w:sz w:val="18"/>
          <w:szCs w:val="18"/>
          <w:color w:val="007DC6"/>
        </w:rPr>
        <w:t xml:space="preserve"> </w:t>
      </w:r>
      <w:r>
        <w:rPr>
          <w:rFonts w:ascii="Calibri" w:cs="Calibri" w:eastAsia="Calibri" w:hAnsi="Calibri"/>
          <w:sz w:val="18"/>
          <w:szCs w:val="18"/>
          <w:color w:val="000000"/>
        </w:rPr>
        <w:t>of this Form 10-K, and the “</w:t>
      </w:r>
      <w:r>
        <w:rPr>
          <w:rFonts w:ascii="Calibri" w:cs="Calibri" w:eastAsia="Calibri" w:hAnsi="Calibri"/>
          <w:sz w:val="18"/>
          <w:szCs w:val="18"/>
          <w:u w:val="single" w:color="auto"/>
          <w:color w:val="007DC6"/>
        </w:rPr>
        <w:t>Environmental Regulaton and Litgaton</w:t>
      </w:r>
      <w:r>
        <w:rPr>
          <w:rFonts w:ascii="Calibri" w:cs="Calibri" w:eastAsia="Calibri" w:hAnsi="Calibri"/>
          <w:sz w:val="18"/>
          <w:szCs w:val="18"/>
          <w:color w:val="000000"/>
        </w:rPr>
        <w:t>" secton included under</w:t>
      </w:r>
      <w:r>
        <w:rPr>
          <w:rFonts w:ascii="Calibri" w:cs="Calibri" w:eastAsia="Calibri" w:hAnsi="Calibri"/>
          <w:sz w:val="18"/>
          <w:szCs w:val="18"/>
          <w:color w:val="007DC6"/>
        </w:rPr>
        <w:t xml:space="preserve"> </w:t>
      </w:r>
      <w:r>
        <w:rPr>
          <w:rFonts w:ascii="Calibri" w:cs="Calibri" w:eastAsia="Calibri" w:hAnsi="Calibri"/>
          <w:sz w:val="18"/>
          <w:szCs w:val="18"/>
          <w:u w:val="single" w:color="auto"/>
          <w:color w:val="007DC6"/>
        </w:rPr>
        <w:t>Item 7,</w:t>
      </w:r>
      <w:r>
        <w:rPr>
          <w:rFonts w:ascii="Calibri" w:cs="Calibri" w:eastAsia="Calibri" w:hAnsi="Calibri"/>
          <w:sz w:val="18"/>
          <w:szCs w:val="18"/>
          <w:color w:val="007DC6"/>
        </w:rPr>
        <w:t xml:space="preserve"> </w:t>
      </w:r>
      <w:r>
        <w:rPr>
          <w:rFonts w:ascii="Calibri" w:cs="Calibri" w:eastAsia="Calibri" w:hAnsi="Calibri"/>
          <w:sz w:val="18"/>
          <w:szCs w:val="18"/>
          <w:u w:val="single" w:color="auto"/>
          <w:color w:val="007DC6"/>
        </w:rPr>
        <w:t>“Management’s Discussion and Analysis of Financial Conditon and Results of Operatons,”</w:t>
      </w:r>
      <w:r>
        <w:rPr>
          <w:rFonts w:ascii="Calibri" w:cs="Calibri" w:eastAsia="Calibri" w:hAnsi="Calibri"/>
          <w:sz w:val="18"/>
          <w:szCs w:val="18"/>
          <w:color w:val="007DC6"/>
        </w:rPr>
        <w:t xml:space="preserve"> </w:t>
      </w:r>
      <w:r>
        <w:rPr>
          <w:rFonts w:ascii="Calibri" w:cs="Calibri" w:eastAsia="Calibri" w:hAnsi="Calibri"/>
          <w:sz w:val="18"/>
          <w:szCs w:val="18"/>
          <w:color w:val="000000"/>
        </w:rPr>
        <w:t>of this Form 10-K. However, future events, such as changes in or</w:t>
      </w:r>
      <w:r>
        <w:rPr>
          <w:rFonts w:ascii="Calibri" w:cs="Calibri" w:eastAsia="Calibri" w:hAnsi="Calibri"/>
          <w:sz w:val="18"/>
          <w:szCs w:val="18"/>
          <w:color w:val="007DC6"/>
        </w:rPr>
        <w:t xml:space="preserve"> </w:t>
      </w:r>
      <w:r>
        <w:rPr>
          <w:rFonts w:ascii="Calibri" w:cs="Calibri" w:eastAsia="Calibri" w:hAnsi="Calibri"/>
          <w:sz w:val="18"/>
          <w:szCs w:val="18"/>
          <w:color w:val="000000"/>
        </w:rPr>
        <w:t>modifed interpretatons of existng laws and regulatons or enforcement policies, or further investgaton or evaluaton of the potental health hazards of certain products or business actvites, may give rise to additonal compliance and other costs that could have a material adverse efect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4347210</wp:posOffset>
            </wp:positionH>
            <wp:positionV relativeFrom="paragraph">
              <wp:posOffset>-700405</wp:posOffset>
            </wp:positionV>
            <wp:extent cx="8978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897890" cy="8890"/>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-700405</wp:posOffset>
            </wp:positionV>
            <wp:extent cx="3975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975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-563245</wp:posOffset>
            </wp:positionV>
            <wp:extent cx="34848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84880" cy="8890"/>
                    </a:xfrm>
                    <a:prstGeom prst="rect">
                      <a:avLst/>
                    </a:prstGeom>
                    <a:noFill/>
                  </pic:spPr>
                </pic:pic>
              </a:graphicData>
            </a:graphic>
          </wp:anchor>
        </w:drawing>
        <w:drawing>
          <wp:anchor simplePos="0" relativeHeight="251657728" behindDoc="1" locked="0" layoutInCell="0" allowOverlap="1">
            <wp:simplePos x="0" y="0"/>
            <wp:positionH relativeFrom="column">
              <wp:posOffset>6791325</wp:posOffset>
            </wp:positionH>
            <wp:positionV relativeFrom="paragraph">
              <wp:posOffset>-563245</wp:posOffset>
            </wp:positionV>
            <wp:extent cx="3435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435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71253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253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41344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413448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Mine Safety and Land Reclamaton</w:t>
      </w:r>
    </w:p>
    <w:p>
      <w:pPr>
        <w:spacing w:after="0" w:line="59"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In general, mining, producton and distributon facilites for aggregates, cement, ready mixed concrete and asphalt must comply with air quality, water quality and other environmental regulatons, zoning and special use permitng requirements, applicable mining regulatons, and federal health and safety requirements. As the Company locates and acquires new producton and distributon facilites, the Company works closely with local authorites during the zoning and permitng processes to design new quarries, mines, producton and distributon facilites in such a way as to minimize disturbances. The Company frequently acquires large tracts of land so that quarry, mine, producton and distributon facilites can be situated at a substantal distance from surrounding property owners. Also, in certain markets, the Company’s ability to transport material by rail and water allows it to locate its facilites further away from residental areas. The Company has established policies designed to minimize disturbances to surrounding property owners from its operatons.</w:t>
      </w:r>
    </w:p>
    <w:p>
      <w:pPr>
        <w:spacing w:after="0" w:line="10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is the case with other similarly situated companies, some of the Company’s products contain varying amounts of crystalline silica, a common mineral also known as quartz. Excessive, prolonged inhalaton of very small-sized partcles of crystalline silica has been associated with lung diseases, including silicosis, and several scientfc organizatons and some states, such as California, have reported that crystalline silica can cause lung cancer. The Mine Safety and Health Administraton (MSHA) and the Occupatonal Safety and Health Administraton (OSHA) have established occupatonal thresholds for crystalline silica exposure as respirable dust. The Company monitors occupatonal exposures at its facilites and implements dust control procedures and/or makes available appropriate respiratory protectve equipment to maintain the occupatonal exposures at or below the required levels. The Company, through safety informaton sheets and other means, also communicates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95250</wp:posOffset>
            </wp:positionV>
            <wp:extent cx="325755" cy="196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3"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9" w:name="page10"/>
    <w:bookmarkEnd w:id="9"/>
    <w:p>
      <w:pPr>
        <w:ind w:left="936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 – Business</w:t>
      </w:r>
    </w:p>
    <w:p>
      <w:pPr>
        <w:spacing w:after="0" w:line="17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appropriate warnings and cautons its employees and customers about the risks associated with excessive, prolonged inhalaton of mineral dust in general and crystalline silica in partcular.</w:t>
      </w:r>
    </w:p>
    <w:p>
      <w:pPr>
        <w:spacing w:after="0" w:line="110"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The Company is generally required by state or local laws or pursuant to the terms of an applicable lease to reclaim quarry sites afer use. Future reclamaton costs are estmated using statutory reclamaton requirements and management’s experience and knowledge in the industry, and are discounted to their present value using a credit-adjusted, risk-free interest rate. The future reclamaton costs are not ofset by potental recoveries. For additonal informaton regarding compliance with legal requirements, see “</w:t>
      </w:r>
      <w:r>
        <w:rPr>
          <w:rFonts w:ascii="Calibri" w:cs="Calibri" w:eastAsia="Calibri" w:hAnsi="Calibri"/>
          <w:sz w:val="17"/>
          <w:szCs w:val="17"/>
          <w:u w:val="single" w:color="auto"/>
          <w:color w:val="007DC6"/>
        </w:rPr>
        <w:t>Note O: Commitments and Contngencies</w:t>
      </w:r>
      <w:r>
        <w:rPr>
          <w:rFonts w:ascii="Calibri" w:cs="Calibri" w:eastAsia="Calibri" w:hAnsi="Calibri"/>
          <w:sz w:val="17"/>
          <w:szCs w:val="17"/>
          <w:color w:val="auto"/>
        </w:rPr>
        <w:t>” of the “</w:t>
      </w:r>
      <w:r>
        <w:rPr>
          <w:rFonts w:ascii="Calibri" w:cs="Calibri" w:eastAsia="Calibri" w:hAnsi="Calibri"/>
          <w:sz w:val="17"/>
          <w:szCs w:val="17"/>
          <w:u w:val="single" w:color="auto"/>
          <w:color w:val="007DC6"/>
        </w:rPr>
        <w:t>Notes to Financial Statements</w:t>
      </w:r>
      <w:r>
        <w:rPr>
          <w:rFonts w:ascii="Calibri" w:cs="Calibri" w:eastAsia="Calibri" w:hAnsi="Calibri"/>
          <w:sz w:val="17"/>
          <w:szCs w:val="17"/>
          <w:color w:val="auto"/>
        </w:rPr>
        <w:t xml:space="preserve">” of the Company’s consolidated fnancial statements included in </w:t>
      </w:r>
      <w:r>
        <w:rPr>
          <w:rFonts w:ascii="Calibri" w:cs="Calibri" w:eastAsia="Calibri" w:hAnsi="Calibri"/>
          <w:sz w:val="17"/>
          <w:szCs w:val="17"/>
          <w:u w:val="single" w:color="auto"/>
          <w:color w:val="007DC6"/>
        </w:rPr>
        <w:t>Item 8, “Financial Statements and Supplemental Data,”</w:t>
      </w:r>
      <w:r>
        <w:rPr>
          <w:rFonts w:ascii="Calibri" w:cs="Calibri" w:eastAsia="Calibri" w:hAnsi="Calibri"/>
          <w:sz w:val="17"/>
          <w:szCs w:val="17"/>
          <w:color w:val="auto"/>
        </w:rPr>
        <w:t xml:space="preserve"> of this Form 10-K. The Company performs actvites on an ongoing basis, as an integral part of the normal quarrying process, that may reduce the ultmate reclamaton obligatons. For example, the perimeter and interior walls of an open pit quarry are sloped and benched as they are developed to prevent erosion and provide stabilizaton. This sloping and benching meets both safety regulatons required by MSHA for ongoing operatons as well as fnal reclamaton requirements. Therefore, these types of actvites are included in normal operatng costs and are not a part of the asset retrement obligaton. Reclaimed quarry sites owned by the Company are from tme to tme available for sale, typically for commercial development or use as reservoirs, or have been converted for recreatonal use by the local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2440305</wp:posOffset>
            </wp:positionH>
            <wp:positionV relativeFrom="paragraph">
              <wp:posOffset>-843280</wp:posOffset>
            </wp:positionV>
            <wp:extent cx="37801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780155" cy="8255"/>
                    </a:xfrm>
                    <a:prstGeom prst="rect">
                      <a:avLst/>
                    </a:prstGeom>
                    <a:noFill/>
                  </pic:spPr>
                </pic:pic>
              </a:graphicData>
            </a:graphic>
          </wp:anchor>
        </w:drawing>
        <w:drawing>
          <wp:anchor simplePos="0" relativeHeight="251657728" behindDoc="1" locked="0" layoutInCell="0" allowOverlap="1">
            <wp:simplePos x="0" y="0"/>
            <wp:positionH relativeFrom="column">
              <wp:posOffset>2092960</wp:posOffset>
            </wp:positionH>
            <wp:positionV relativeFrom="paragraph">
              <wp:posOffset>-706120</wp:posOffset>
            </wp:positionV>
            <wp:extent cx="25101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2510155"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Greenhouse Gases and Climate Change</w:t>
      </w:r>
    </w:p>
    <w:p>
      <w:pPr>
        <w:spacing w:after="0" w:line="111"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b w:val="1"/>
          <w:bCs w:val="1"/>
          <w:color w:val="auto"/>
        </w:rPr>
        <w:t>The Board and management have identfed certain risks and opportunites below with respect to climate change, including regulatory and physical impacts, and the transiton to a low-carbon economy.</w:t>
      </w:r>
    </w:p>
    <w:p>
      <w:pPr>
        <w:spacing w:after="0" w:line="118" w:lineRule="exact"/>
        <w:rPr>
          <w:sz w:val="20"/>
          <w:szCs w:val="20"/>
          <w:color w:val="auto"/>
        </w:rPr>
      </w:pPr>
    </w:p>
    <w:p>
      <w:pPr>
        <w:jc w:val="both"/>
        <w:spacing w:after="0" w:line="249" w:lineRule="auto"/>
        <w:rPr>
          <w:sz w:val="20"/>
          <w:szCs w:val="20"/>
          <w:color w:val="auto"/>
        </w:rPr>
      </w:pPr>
      <w:r>
        <w:rPr>
          <w:rFonts w:ascii="Calibri" w:cs="Calibri" w:eastAsia="Calibri" w:hAnsi="Calibri"/>
          <w:sz w:val="20"/>
          <w:szCs w:val="20"/>
          <w:i w:val="1"/>
          <w:iCs w:val="1"/>
          <w:color w:val="00B0F0"/>
        </w:rPr>
        <w:t xml:space="preserve">Board Oversight and the Role of Management </w:t>
      </w:r>
      <w:r>
        <w:rPr>
          <w:rFonts w:ascii="Calibri" w:cs="Calibri" w:eastAsia="Calibri" w:hAnsi="Calibri"/>
          <w:sz w:val="17"/>
          <w:szCs w:val="17"/>
          <w:color w:val="000000"/>
        </w:rPr>
        <w:t>The Board of Directors has an essental role in determining the Company's strategic priorites, and</w:t>
      </w:r>
      <w:r>
        <w:rPr>
          <w:rFonts w:ascii="Calibri" w:cs="Calibri" w:eastAsia="Calibri" w:hAnsi="Calibri"/>
          <w:sz w:val="20"/>
          <w:szCs w:val="20"/>
          <w:i w:val="1"/>
          <w:iCs w:val="1"/>
          <w:color w:val="00B0F0"/>
        </w:rPr>
        <w:t xml:space="preserve"> </w:t>
      </w:r>
      <w:r>
        <w:rPr>
          <w:rFonts w:ascii="Calibri" w:cs="Calibri" w:eastAsia="Calibri" w:hAnsi="Calibri"/>
          <w:sz w:val="17"/>
          <w:szCs w:val="17"/>
          <w:color w:val="000000"/>
        </w:rPr>
        <w:t>climate change and other sustainability maters are an integral part of its oversight of the business. In 1994, the Company established an Ethics, Environment, Safety and Health (EESH) Commitee, which currently meets at least four tmes annually. The EESH Commitee receives reports directly from management relatng to environmental, safety, ethics and other sustainability maters, including greenhouse gas (GHG) and climate change-related maters, reviews input and engagement with investors on these maters, and monitors our compliance with environmental, health and safety laws and regulatons, as well as our public reportng and disclosure with respect to climate change-related risks and opportunites and other environmental issues. The EESH Commitee reports to the full Board, and a number of other Board commitees have overlapping responsibility for sustainability maters, including the Audit Commitee and the Management Development and Compensaton Commitee. While the Board oversees Martn Marieta's risk management, the executve ofcers are responsible for the day-to-day risk management processes, and management receives at least quarterly updates from operatng personnel directly responsible for compliance relatng to EESH maters. Management believes this division of responsibilites is the most efectve approach for addressing the risks facing the Company. The Company also has a Head of Sustainability, who reports directly to the Executve Vice President and General Counsel on climate and other sustainability maters. The Company believes the above approach has been efectve in integratng sustainability as a core element of its corporate governance.</w:t>
      </w:r>
    </w:p>
    <w:p>
      <w:pPr>
        <w:spacing w:after="0" w:line="32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an efort to mitgate the risks to the Company associated with climate change while ensuring and improving fnancial sustainability, the Company has adopted a corporate-wide management strategy that considers risks and opportunites related to climate change, which has resulted in multple initatves to identfy and implement or evaluate GHG reducton processes and technologies that also improve operatonal efciencies, including: using alternatve fuels such as biodiesel; reducing overall fuel use by convertng from quarry trucks to conveyor systems; right-sizing quarry trucks to match the appropriately sized truck with the size of producton to reduce the number of required trips; replacing older railcars with more efcient, high-capacity models that reduce the number of required trips; adding rail capacity in lieu of truck movements; and installing state-of-the-art emissions control equipment at one of the Company’s magnesia plants and tre processing systems for fuel, as well as a larger natural gas line, at one of the Company’s cement plants. The Company’s Midlothian cement plant has been recognized by the United States Environmental Protecton Agency (USEPA) as a high-performing, energy-efcient facility following investments in innovatve air polluton control technologies and usage of alternatve fuels.</w:t>
      </w:r>
    </w:p>
    <w:p>
      <w:pPr>
        <w:spacing w:after="0" w:line="114"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i w:val="1"/>
          <w:iCs w:val="1"/>
          <w:color w:val="00B0F0"/>
        </w:rPr>
        <w:t xml:space="preserve">Policy and Regulatory Maters </w:t>
      </w:r>
      <w:r>
        <w:rPr>
          <w:rFonts w:ascii="Calibri" w:cs="Calibri" w:eastAsia="Calibri" w:hAnsi="Calibri"/>
          <w:sz w:val="17"/>
          <w:szCs w:val="17"/>
          <w:color w:val="000000"/>
        </w:rPr>
        <w:t>A number of governmental bodies, including the U.S. Congress and various U.S. states, have proposed, enacted or are</w:t>
      </w:r>
      <w:r>
        <w:rPr>
          <w:rFonts w:ascii="Calibri" w:cs="Calibri" w:eastAsia="Calibri" w:hAnsi="Calibri"/>
          <w:sz w:val="20"/>
          <w:szCs w:val="20"/>
          <w:i w:val="1"/>
          <w:iCs w:val="1"/>
          <w:color w:val="00B0F0"/>
        </w:rPr>
        <w:t xml:space="preserve"> </w:t>
      </w:r>
      <w:r>
        <w:rPr>
          <w:rFonts w:ascii="Calibri" w:cs="Calibri" w:eastAsia="Calibri" w:hAnsi="Calibri"/>
          <w:sz w:val="17"/>
          <w:szCs w:val="17"/>
          <w:color w:val="000000"/>
        </w:rPr>
        <w:t>contemplatng legislatve and regulatory changes to mitgate or address the potental impacts of climate change, including provisions for GHG emissions reportng or reductons, the use of alternatve fuels, carbon credits (such as a cap-and-trade system) and a carbon tax. For example, in the United States, the USEPA promulgated a rule mandatng that companies considered to be large emiters of GHGs report those emissions. The manufacturing operatons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94615</wp:posOffset>
            </wp:positionV>
            <wp:extent cx="325755" cy="1968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0" w:name="page11"/>
    <w:bookmarkEnd w:id="10"/>
    <w:p>
      <w:pPr>
        <w:ind w:left="936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 – Business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Company’s Magnesia Specialtes business release carbon dioxide, methane and nitrous oxides during the producton of lime, magnesium oxide and hydroxide products. The Company’s two magnesia-based chemicals facilites, as well as its two cement plants in Texas and one recently-acquired cement plant in California, fle annual reports of their GHG emissions in accordance with the USEPA reportng rule. The primary business and operatons of the Company, however, including its aggregates, ready mixed concrete and asphalt and paving product lines, are not considered “major” sources of GHG emissions subject to the USEPA reportng rule. Most of the GHG emissions from aggregates plant operatons are tailpipe emissions from mobile sources, such as heavy constructon and earth-moving equipment.</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2010, the USEPA also issued a GHG emissions permitng rule, referred to as the Tailoring Rule, which may require some industrial facilites to obtain permits for GHG emissions under the U.S. Clean Air Act’s Preventon of Signifcant Deterioraton (PSD) and Title V operatng permit programs. The U.S. Supreme Court ruled in June 2014 that the USEPA exceeded its statutory authority in issuing the Tailoring Rule but upheld the Best Available Control Technology (BACT) requirements for GHGs emited by sources already subject to PSD or Title V permitng requirements for other pollutants. The Company’s cement plants, as well as its Magnesia Specialtes plants, hold Title V Permits, and each (other than the Manistee, Michigan facility) is also subject to PSD requirements. It is currently unclear whether or how the USEPA may revise BACT requirements in the future. In fact, although several large-scale projects for carbon capture are in the development phase, no technologies or methods of operaton for reducing or capturing GHGs have yet been proven successful in large-scale applicatons, other than improvements in fuel efciency. Thus, if future modifcatons to the Company's facilites require PSD review for other pollutants, GHG BACT requirements could be triggered and may require signifcant additonal costs, which the Company expects would be passed on to customers. It is not currently possible to estmate the cost of any such future requirements.</w:t>
      </w:r>
    </w:p>
    <w:p>
      <w:pPr>
        <w:spacing w:after="0" w:line="116"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U.S. President Biden also has taken a number of steps to make climate change a central focus of his administraton, including issuing a pair of executve orders and a presidental memorandum making climate change central to U.S. policy and setng out several administratve priorites and undertakings. President Biden reentered the Paris Agreement in January 2021 and later announced the United States’ reducton commitments under the Paris Agreement, including a 50% to 52% economy-wide reducton in net GHG emissions from 2005 levels by 2030. More recently, President Biden entered a pact with 103 countries and jurisdictons, known as the Global Methane Pledge, to reduce global methane emissions by 30% from 2020 levels by the end of the decade.</w:t>
      </w:r>
    </w:p>
    <w:p>
      <w:pPr>
        <w:spacing w:after="0" w:line="10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November 2021, President Biden signed into law the Infrastructure Investment and Jobs Act (IIJ Act), which provides billions of dollars in new funding for public transit and clean energy projects intended, in part, to address climate change, including road, bridge and other major infrastructure projects. These projects, as well as new public transit and clean energy projects, require aggregates and cement for constructon and may result in increased demand for our products. See </w:t>
      </w:r>
      <w:r>
        <w:rPr>
          <w:rFonts w:ascii="Calibri" w:cs="Calibri" w:eastAsia="Calibri" w:hAnsi="Calibri"/>
          <w:sz w:val="18"/>
          <w:szCs w:val="18"/>
          <w:i w:val="1"/>
          <w:iCs w:val="1"/>
          <w:color w:val="auto"/>
        </w:rPr>
        <w:t>Other Low-Carbon Transiton Risks and Opportunites</w:t>
      </w:r>
      <w:r>
        <w:rPr>
          <w:rFonts w:ascii="Calibri" w:cs="Calibri" w:eastAsia="Calibri" w:hAnsi="Calibri"/>
          <w:sz w:val="18"/>
          <w:szCs w:val="18"/>
          <w:color w:val="auto"/>
        </w:rPr>
        <w:t xml:space="preserve"> secton for additonal informaton.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Although it is too early to determine the actons the federal government will ultmately take to implement climate change-related orders, commitments and laws, or the full scope, tming or ramifcatons of such measures, it is clear that the current administraton has already begun to make, and intends to contnue to pursue, a signifcant and sweeping push on the climate front and, like other signatories to the Paris Agreement, intends to pursue a goal of a Net Zero GHG by 2050. It also seems probable that the USEPA and other agencies will use their rule-making authority and procurement decisions to further address climate change. Various states where the Company has operatons have enacted or are considering climate change initatves as well, and the Company may be subject to state regulatons in additon to any federal laws and rules that are passed. On January 6, 2023, the USEPA proposed for public comment a reducton in the size of airborne partculate mater to fne partcles that are 2.5 microns or less in diameter, or PM2.5, that will be regulated under its health-based, or primary, air regulatons based on potental health impacts, including at-risk populatons, with an adequate margin of safety. Under the Clean Air Act, which requires the USEPA to set two types of standards for partcle polluton, consistng of primary standards to protect public health and secondary standards to protect public welfare, the USEPA is required to review the Natonal Ambient Air Quality Standards every fve years to determine whether they should be retained or revised. The partculate mater classifcatons were last revised in 2012. The new rules as currently proposed would revise the annual standard for partculate mater levels but retain the 24-hour standard. While the Company’s facilites will meet any adopted standard, these changes may result in signifcantly higher compliance costs and risks.</w:t>
      </w:r>
    </w:p>
    <w:p>
      <w:pPr>
        <w:spacing w:after="0" w:line="119" w:lineRule="exact"/>
        <w:rPr>
          <w:sz w:val="20"/>
          <w:szCs w:val="20"/>
          <w:color w:val="auto"/>
        </w:rPr>
      </w:pPr>
    </w:p>
    <w:p>
      <w:pPr>
        <w:jc w:val="both"/>
        <w:spacing w:after="0" w:line="232" w:lineRule="auto"/>
        <w:rPr>
          <w:sz w:val="20"/>
          <w:szCs w:val="20"/>
          <w:color w:val="auto"/>
        </w:rPr>
      </w:pPr>
      <w:r>
        <w:rPr>
          <w:rFonts w:ascii="Calibri" w:cs="Calibri" w:eastAsia="Calibri" w:hAnsi="Calibri"/>
          <w:sz w:val="17"/>
          <w:szCs w:val="17"/>
          <w:color w:val="auto"/>
        </w:rPr>
        <w:t>If and when the USEPA issues new regulatons and/or Congress passes additonal legislaton restrictng GHGs emissions, the Woodville, Ohio and Manistee, Michigan Magnesia Specialtes operatons, as well as the Company’s cement plants in Texas and California, which release CO</w:t>
      </w:r>
      <w:r>
        <w:rPr>
          <w:rFonts w:ascii="Calibri" w:cs="Calibri" w:eastAsia="Calibri" w:hAnsi="Calibri"/>
          <w:sz w:val="23"/>
          <w:szCs w:val="23"/>
          <w:color w:val="auto"/>
          <w:vertAlign w:val="subscript"/>
        </w:rPr>
        <w:t>2</w:t>
      </w:r>
      <w:r>
        <w:rPr>
          <w:rFonts w:ascii="Calibri" w:cs="Calibri" w:eastAsia="Calibri" w:hAnsi="Calibri"/>
          <w:sz w:val="17"/>
          <w:szCs w:val="17"/>
          <w:color w:val="auto"/>
        </w:rPr>
        <w:t xml:space="preserve"> in certain of their processes and use carbon-based fuels for power equipment, kilns and the Company’s mobile feet, will likely be subject to these new regulatons. The Company's three cement plants, like those of other cement operators, require combuston of signifcant amounts of fuel to generate high kiln temperatures and create carbon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93980</wp:posOffset>
            </wp:positionV>
            <wp:extent cx="325755" cy="1968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ind w:left="936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 – Business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dioxide as a product of the calcinaton process, which is an unavoidable step in making clinker. Accordingly, the Company contnues to closely monitor GHG regulatons and legislaton and its potental impact on the Company's cement business, fnancial conditon and product demand. The Company antcipates that any increased operatng costs or taxes relatng to GHG emission limitatons at the Woodville or cement facilites would be passed on to customers. The magnesium oxide products produced at the Manistee operaton, however, compete against other products that, due to the form and/or structure of the source material, require less energy in the calcinaton process, resultng in the generaton of fewer GHGs per ton of producton. Due to GHG emissions requirements, the Manistee facility may be required to absorb additonal costs, including for taxes or capital investments, in order to maintain compettve pricing in that market. In additon, the cement produced by the Company’s cement plants, like other U.S. operators, is subject to strict limits set by the U.S. Department of Transportaton (USDOT) and other agencies, including those relatng to “clinker substtuton”, or the replacement of ground clinker in cement with alternate materials such as pozzolan, slag and fy ash, which has implicatons for the Company’s fuel use and eforts to reduce GHG emissions from its cement operatons. For example, various industry associatons are engaged in an efort requestng the USDOT and other agencies to further revise their standards allowing for greater rates of clinker substtuton, similar to the rates currently permited for European cement producers. If higher rates of substtuton and blending are, in fact, permited in the future, the result is likely to be both reduced clinker and power consumpton in cement producton, which would, in turn, reduce GHGs emited in connecton with each ton of cement produced in the United States.</w:t>
      </w:r>
    </w:p>
    <w:p>
      <w:pPr>
        <w:spacing w:after="0" w:line="1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light of the various regulatory uncertaintes, the Company cannot presently reasonably predict the costs of any future compliance requirements. Nonetheless, the Company does not believe it will have a material adverse efect on the fnancial conditon or results of the operatons of either the Magnesia Specialtes business or Building Materials business.</w:t>
      </w:r>
    </w:p>
    <w:p>
      <w:pPr>
        <w:spacing w:after="0" w:line="109" w:lineRule="exact"/>
        <w:rPr>
          <w:sz w:val="20"/>
          <w:szCs w:val="20"/>
          <w:color w:val="auto"/>
        </w:rPr>
      </w:pPr>
    </w:p>
    <w:p>
      <w:pPr>
        <w:jc w:val="both"/>
        <w:spacing w:after="0" w:line="246" w:lineRule="auto"/>
        <w:rPr>
          <w:sz w:val="20"/>
          <w:szCs w:val="20"/>
          <w:color w:val="auto"/>
        </w:rPr>
      </w:pPr>
      <w:r>
        <w:rPr>
          <w:rFonts w:ascii="Calibri" w:cs="Calibri" w:eastAsia="Calibri" w:hAnsi="Calibri"/>
          <w:sz w:val="20"/>
          <w:szCs w:val="20"/>
          <w:i w:val="1"/>
          <w:iCs w:val="1"/>
          <w:color w:val="00B0F0"/>
        </w:rPr>
        <w:t xml:space="preserve">Physical Impacts </w:t>
      </w:r>
      <w:r>
        <w:rPr>
          <w:rFonts w:ascii="Calibri" w:cs="Calibri" w:eastAsia="Calibri" w:hAnsi="Calibri"/>
          <w:sz w:val="17"/>
          <w:szCs w:val="17"/>
          <w:color w:val="000000"/>
        </w:rPr>
        <w:t>In additon to impacts from increased regulaton, climate change may result in physical impacts that could have adverse efects on the</w:t>
      </w:r>
      <w:r>
        <w:rPr>
          <w:rFonts w:ascii="Calibri" w:cs="Calibri" w:eastAsia="Calibri" w:hAnsi="Calibri"/>
          <w:sz w:val="20"/>
          <w:szCs w:val="20"/>
          <w:i w:val="1"/>
          <w:iCs w:val="1"/>
          <w:color w:val="00B0F0"/>
        </w:rPr>
        <w:t xml:space="preserve"> </w:t>
      </w:r>
      <w:r>
        <w:rPr>
          <w:rFonts w:ascii="Calibri" w:cs="Calibri" w:eastAsia="Calibri" w:hAnsi="Calibri"/>
          <w:sz w:val="17"/>
          <w:szCs w:val="17"/>
          <w:color w:val="000000"/>
        </w:rPr>
        <w:t>Company’s operatons or fnancial conditon. Physical impacts may include disruptons in producton and/or regional supply or product distributon networks due to major storm events, shifs in regional rainfall and temperature paterns and intensites, as well as fooding from sea level changes. In additon, producton and shipment levels for the Building Materials business correlate with general constructon actvity, which occurs outdoors and, as a result, is afected by erratc weather paterns, seasonal changes and other unusual or unexpected weather-related conditons, which can signifcantly afect that business. In the Company's cement and downstream operatons businesses, the physical impacts of climate change may result in disruptons to its operatons or its customers’ transportaton actvites, including impacts on producton capabilites and capacites, supply chain interruptons and project delays that can impact the Company's reputaton and result in additonal costs to the Company. Excessive rainfall and other severe weather jeopardize producton, shipments and proftability in all markets served by the Company in its Building Materials business. In additon, climate and inclement weather can reduce the useful life of an asset. In partcular, the Company’s operatons in the southeastern and Gulf Coast regions of the United States and The Bahamas are at risk for hurricane actvity, most notably in August, September and October. The Company is also at risk for Pacifc Ocean storm actvity. The last few years brought an unprecedented amount of precipitaton to the United States and partcularly to Texas and the southeastern United States, notably the Carolinas, Florida and Georgia, where it impacted the Company’s facilites. In California and Arizona, contnuing drought has led to water use restrictons in numerous water districts, and insufcient supply of water for the Company's operatons in those areas could impact producton. In California, recent storms and fooding have caused operatonal delays and challenges. While reconstructon actvites may ofset some or most of the fnancial impacts on sales and demand, any of these events could have a material adverse efect on the Company’s business and operatons.</w:t>
      </w:r>
    </w:p>
    <w:p>
      <w:pPr>
        <w:spacing w:after="0" w:line="32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the Company's footprint of quarries and aggregates facilites has grown natonwide, management believes it has bolstered resilience in its operatons by maintaining a geographically diverse business and distributon network that is increasingly able to adjust to local disruptons and source materials from diferent facilites. In additon, because the Company transports aggregates products by various methods, including rail and water, it may be able to mitgate supply or transportaton issues in any locaton caused by severe weather or disruptons in any transport modality.</w:t>
      </w:r>
    </w:p>
    <w:p>
      <w:pPr>
        <w:spacing w:after="0" w:line="109" w:lineRule="exact"/>
        <w:rPr>
          <w:sz w:val="20"/>
          <w:szCs w:val="20"/>
          <w:color w:val="auto"/>
        </w:rPr>
      </w:pPr>
    </w:p>
    <w:p>
      <w:pPr>
        <w:jc w:val="both"/>
        <w:spacing w:after="0" w:line="239" w:lineRule="auto"/>
        <w:rPr>
          <w:sz w:val="20"/>
          <w:szCs w:val="20"/>
          <w:color w:val="auto"/>
        </w:rPr>
      </w:pPr>
      <w:r>
        <w:rPr>
          <w:rFonts w:ascii="Calibri" w:cs="Calibri" w:eastAsia="Calibri" w:hAnsi="Calibri"/>
          <w:sz w:val="20"/>
          <w:szCs w:val="20"/>
          <w:i w:val="1"/>
          <w:iCs w:val="1"/>
          <w:color w:val="00B0F0"/>
        </w:rPr>
        <w:t xml:space="preserve">Other Low-Carbon Transiton Risks and Opportunites </w:t>
      </w:r>
      <w:r>
        <w:rPr>
          <w:rFonts w:ascii="Calibri" w:cs="Calibri" w:eastAsia="Calibri" w:hAnsi="Calibri"/>
          <w:sz w:val="17"/>
          <w:szCs w:val="17"/>
          <w:color w:val="000000"/>
        </w:rPr>
        <w:t>The Company’s businesses are dependent on reliable sources of energy and fuels. The Company</w:t>
      </w:r>
      <w:r>
        <w:rPr>
          <w:rFonts w:ascii="Calibri" w:cs="Calibri" w:eastAsia="Calibri" w:hAnsi="Calibri"/>
          <w:sz w:val="20"/>
          <w:szCs w:val="20"/>
          <w:i w:val="1"/>
          <w:iCs w:val="1"/>
          <w:color w:val="00B0F0"/>
        </w:rPr>
        <w:t xml:space="preserve"> </w:t>
      </w:r>
      <w:r>
        <w:rPr>
          <w:rFonts w:ascii="Calibri" w:cs="Calibri" w:eastAsia="Calibri" w:hAnsi="Calibri"/>
          <w:sz w:val="17"/>
          <w:szCs w:val="17"/>
          <w:color w:val="000000"/>
        </w:rPr>
        <w:t>could incur increased costs or disruptons in its operatons if the price or availability of energy or fuels or other materials used in its operatons is impacted by climate change regulaton or severe weather. These and other climate-related risks, such as a downturn in the constructon sector due to harsh weather, signifcant precipitaton or other changes in weather, also could impact the Company’s customers, which could lead to reduced demand for the Company’s products. The Company may not be able to pass on to its customers all the costs relatng to these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93345</wp:posOffset>
            </wp:positionV>
            <wp:extent cx="325755" cy="1968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ind w:left="936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 – Business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Notwithstanding the foregoing risks and uncertaintes relatng to climate change, there may also be opportunites for the Company to increase its business or revenues, both in terms of the physical impacts of climate change and market opportunites associated with the transiton to a low-carbon and climate-resilient economy. For example, warm and/or moderate temperatures in March and November allow the constructon season to start earlier and end later, respectvely, which could have meaningful positve impacts on the Company’s frst- and fourth-quarter results, respectvely. From a regulatory standpoint, as noted above, the recently-passed IIJ Act provides billions of dollars in new funding for roads, bridges and other major infrastructure projects which require aggregates and cement for constructon. New public transit and clean energy projects that address climate change may also result in increased demand for our products. Other opportunites are likely to result from the passing of the $1.2 trillion IIJ Act, the Cornyn-Padilla Amendment that allows $104 billion of unused COVID-19 dollars to be directed to infrastructure projects, and $23 billion of voter-approved state and local transportaton-related 2022 ballot initatves, all of which will fund infrastructure growth, repair and development. In additon, the Company’s magnesium hydroxide products are used to increase fuel efciency in various industries, including both coal- and gas-fred electricity generaton, which has a direct impact on reducing energy use and GHG emissions by more GHG-intense companies. Finally, the desire for sustainable building solutons has led to greater recogniton of the benefts of concrete constructon in the efort to move to a circular economy through innovatve products, longevity and recyclability, and increased demand for green constructon projects would have a direct impact on the Company’s cement and concrete business.</w:t>
      </w:r>
    </w:p>
    <w:p>
      <w:pPr>
        <w:spacing w:after="0" w:line="22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965F6E"/>
        </w:rPr>
        <w:t>Land Management</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owns approximately 160,000 acres of land, the vast majority of which is used in connecton with actve facilites. The Company regularly reviews its land holdings to determine their highest and best use based on its management expertse. Land holdings that do not have economically recoverable reserves for current or future mining or are otherwise not in locatons that complement the Company’s operatng facilites are considered candidates for sale or development for sale.</w:t>
      </w:r>
    </w:p>
    <w:p>
      <w:pPr>
        <w:spacing w:after="0" w:line="21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965F6E"/>
        </w:rPr>
        <w:t>Human Capital Resources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January 31, 2023, the Company has approximately 9,400 employees, of which approximately 7,000 are hourly employees and approximately 2,400 are salaried employees. Approximately 1,200 hourly employees (13% of the Company’s employees) are represented by labor unions, representng 15% of the Building Materials business’ hourly employees and 100% of the Magnesia Specialtes segment’s hourly employees. The Company’s principal union contracts for the Magnesia Specialtes business cover employees at the Manistee, Michigan, magnesia-based chemicals plant and the Woodville, Ohio, lime plant. The Woodville and Manistee collectve bargaining agreements expire in June 2026 and August 2027, respectvely. The Company believes it has good relatons with its employees, including its unionized workforce.</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Management believes the Company’s success depends on its ability to atract, develop and retain key personnel. None of Martn Marieta’s accomplishments are possible without its employees; the people who both drive the work and are most afected by it. These individuals are the heart of Martn Marieta. The Company’s management oversees various employee initatves to develop its employees and the Management Development and Compensaton Commitee regularly reviews the compensaton and development programs to achieve those objectves. In 2020, the Company launched an Inclusion and Engagement Task Force, comprised of employees with diverse race, gender, background and experience, which is focused on hiring, developing and retaining diverse employees to strengthen its talent pipeline and increase employee engagement and retenton.</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Health and safety in the workplace is one of the Company’s core values. The Guardian Angel safety program provides that every employee has the right, and the obligaton, to stop any unsafe conditon and that zero safety incidents is achievable. It includes the noton that every employee acts as a wingman for other employees, to observe and act on any situaton that potentally creates unsafe circumstances. The companywide safety performance achieved the sixth-consecutve year of world class or beter lost-tme incident rate and the second consecutve year for total injury incidence rate.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COVID-19 pandemic underscored the importance of keeping the Company’s employees safe and healthy. In response to the pandemic, the Company took actons aligned with the Centers for Disease Control and Preventon to implement robust protocols to protect its workforce so that they can safely perform their jobs.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2019, the Company established a new employer brand — </w:t>
      </w:r>
      <w:r>
        <w:rPr>
          <w:rFonts w:ascii="Calibri" w:cs="Calibri" w:eastAsia="Calibri" w:hAnsi="Calibri"/>
          <w:sz w:val="18"/>
          <w:szCs w:val="18"/>
          <w:color w:val="007DC6"/>
        </w:rPr>
        <w:t>ONE</w:t>
      </w:r>
      <w:r>
        <w:rPr>
          <w:rFonts w:ascii="Calibri" w:cs="Calibri" w:eastAsia="Calibri" w:hAnsi="Calibri"/>
          <w:sz w:val="18"/>
          <w:szCs w:val="18"/>
          <w:color w:val="auto"/>
        </w:rPr>
        <w:t xml:space="preserve"> — that refects the thoughts, feelings and hearts of employees at every level of Martn Marieta. This included a standard approach to safety mentoring that ensures every employee has the knowledge and resources needed to complete their work safely and efciently. The Company also established a World Class Task Force, whose mission is to improve Martn Marieta and is fostering a level of communicaton never before seen 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93345</wp:posOffset>
            </wp:positionV>
            <wp:extent cx="325755" cy="1968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ind w:left="9360"/>
        <w:spacing w:after="0"/>
        <w:rPr>
          <w:sz w:val="20"/>
          <w:szCs w:val="20"/>
          <w:color w:val="auto"/>
        </w:rPr>
      </w:pPr>
      <w:r>
        <w:rPr>
          <w:rFonts w:ascii="MS PGothic" w:cs="MS PGothic" w:eastAsia="MS PGothic" w:hAnsi="MS PGothic"/>
          <w:sz w:val="16"/>
          <w:szCs w:val="16"/>
          <w:color w:val="auto"/>
        </w:rPr>
        <w:t xml:space="preserve">Part I </w:t>
      </w:r>
      <w:r>
        <w:rPr>
          <w:rFonts w:ascii="Arial" w:cs="Arial" w:eastAsia="Arial" w:hAnsi="Arial"/>
          <w:sz w:val="20"/>
          <w:szCs w:val="20"/>
          <w:color w:val="0070C0"/>
        </w:rPr>
        <w:t>♦</w:t>
      </w:r>
      <w:r>
        <w:rPr>
          <w:rFonts w:ascii="MS PGothic" w:cs="MS PGothic" w:eastAsia="MS PGothic" w:hAnsi="MS PGothic"/>
          <w:sz w:val="16"/>
          <w:szCs w:val="16"/>
          <w:color w:val="auto"/>
        </w:rPr>
        <w:t xml:space="preserve"> Item 1 – Business</w:t>
      </w:r>
    </w:p>
    <w:p>
      <w:pPr>
        <w:spacing w:after="0" w:line="224" w:lineRule="exact"/>
        <w:rPr>
          <w:sz w:val="20"/>
          <w:szCs w:val="20"/>
          <w:color w:val="auto"/>
        </w:rPr>
      </w:pPr>
    </w:p>
    <w:p>
      <w:pPr>
        <w:jc w:val="both"/>
        <w:spacing w:after="0" w:line="334" w:lineRule="auto"/>
        <w:rPr>
          <w:sz w:val="20"/>
          <w:szCs w:val="20"/>
          <w:color w:val="auto"/>
        </w:rPr>
      </w:pPr>
      <w:r>
        <w:rPr>
          <w:rFonts w:ascii="MS PGothic" w:cs="MS PGothic" w:eastAsia="MS PGothic" w:hAnsi="MS PGothic"/>
          <w:sz w:val="18"/>
          <w:szCs w:val="18"/>
          <w:color w:val="auto"/>
        </w:rPr>
        <w:t>Company. The Company has taken these steps to beter allow it to grow responsibly and encourage employee engagement. In 2022, the Company began launching employee resource groups startng with a Military and Veterans Community resource group.</w:t>
      </w:r>
    </w:p>
    <w:p>
      <w:pPr>
        <w:spacing w:after="0" w:line="14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965F6E"/>
        </w:rPr>
        <w:t>Available Informaton</w:t>
      </w:r>
    </w:p>
    <w:p>
      <w:pPr>
        <w:spacing w:after="0" w:line="61" w:lineRule="exact"/>
        <w:rPr>
          <w:sz w:val="20"/>
          <w:szCs w:val="20"/>
          <w:color w:val="auto"/>
        </w:rPr>
      </w:pPr>
    </w:p>
    <w:p>
      <w:pPr>
        <w:jc w:val="both"/>
        <w:spacing w:after="0" w:line="312" w:lineRule="auto"/>
        <w:rPr>
          <w:sz w:val="20"/>
          <w:szCs w:val="20"/>
          <w:color w:val="auto"/>
        </w:rPr>
      </w:pPr>
      <w:r>
        <w:rPr>
          <w:rFonts w:ascii="MS PGothic" w:cs="MS PGothic" w:eastAsia="MS PGothic" w:hAnsi="MS PGothic"/>
          <w:sz w:val="17"/>
          <w:szCs w:val="17"/>
          <w:color w:val="auto"/>
        </w:rPr>
        <w:t>The Company maintains an internet address at www.martnmarieta.com. The Company makes available free of charge through its internet website its Annual Report on Form 10‑K, Quarterly Reports on Form 10‑Q, Current Reports on Form 8‑K, and amendments to those reports, if any, fled or furnished pursuant to Secton 13(a) or 15(d) of the Securites Exchange Act of 1934, as amended (Exchange Act), which are available as soon as reasonably possible afer they are submited to the Securites and Exchange Commission (SEC). You can access the Company’s flings with the SEC through the SEC website at www.sec.gov or through our website, and the Company strongly encourages you to do so. Martn Marieta routnely posts informaton that may be important to investors on its website at www.ir.martnmarieta.com, and it uses this website address as a means of disclosing material informaton to the public in a broad, non-exclusionary manner for purposes of the SEC’s Regulaton Fair Disclosure (Reg FD). The contents of the Company's website are not incorporated by reference in this Form 10-K and shall not be deemed “fled” under the Securites Exchange Act of 1934, as amended. The Company undertakes no obligaton to update any statements herein for revisions or changes afer the fling date of this Form 10-K other than as required by law.</w:t>
      </w:r>
    </w:p>
    <w:p>
      <w:pPr>
        <w:spacing w:after="0" w:line="63" w:lineRule="exact"/>
        <w:rPr>
          <w:sz w:val="20"/>
          <w:szCs w:val="20"/>
          <w:color w:val="auto"/>
        </w:rPr>
      </w:pPr>
    </w:p>
    <w:p>
      <w:pPr>
        <w:jc w:val="both"/>
        <w:spacing w:after="0" w:line="280" w:lineRule="auto"/>
        <w:rPr>
          <w:sz w:val="20"/>
          <w:szCs w:val="20"/>
          <w:color w:val="auto"/>
        </w:rPr>
      </w:pPr>
      <w:r>
        <w:rPr>
          <w:rFonts w:ascii="MS PGothic" w:cs="MS PGothic" w:eastAsia="MS PGothic" w:hAnsi="MS PGothic"/>
          <w:sz w:val="18"/>
          <w:szCs w:val="18"/>
          <w:color w:val="auto"/>
        </w:rPr>
        <w:t xml:space="preserve">The Company has adopted a </w:t>
      </w:r>
      <w:r>
        <w:rPr>
          <w:rFonts w:ascii="Calibri" w:cs="Calibri" w:eastAsia="Calibri" w:hAnsi="Calibri"/>
          <w:sz w:val="18"/>
          <w:szCs w:val="18"/>
          <w:i w:val="1"/>
          <w:iCs w:val="1"/>
          <w:color w:val="auto"/>
        </w:rPr>
        <w:t>Code of Ethical Business Conduct</w:t>
      </w:r>
      <w:r>
        <w:rPr>
          <w:rFonts w:ascii="MS PGothic" w:cs="MS PGothic" w:eastAsia="MS PGothic" w:hAnsi="MS PGothic"/>
          <w:sz w:val="18"/>
          <w:szCs w:val="18"/>
          <w:color w:val="auto"/>
        </w:rPr>
        <w:t xml:space="preserve"> that applies to all of its Board of Directors, ofcers and employees. The Company’s code of ethics is available on the Company’s website www.martnmarieta.com. The Company will disclose on its internet website any waivers of or amendments to its code of ethics as it applies to its directors and executve ofcers.</w:t>
      </w:r>
    </w:p>
    <w:p>
      <w:pPr>
        <w:spacing w:after="0" w:line="80" w:lineRule="exact"/>
        <w:rPr>
          <w:sz w:val="20"/>
          <w:szCs w:val="20"/>
          <w:color w:val="auto"/>
        </w:rPr>
      </w:pPr>
    </w:p>
    <w:p>
      <w:pPr>
        <w:jc w:val="both"/>
        <w:spacing w:after="0" w:line="263" w:lineRule="auto"/>
        <w:rPr>
          <w:sz w:val="20"/>
          <w:szCs w:val="20"/>
          <w:color w:val="auto"/>
        </w:rPr>
      </w:pPr>
      <w:r>
        <w:rPr>
          <w:rFonts w:ascii="MS PGothic" w:cs="MS PGothic" w:eastAsia="MS PGothic" w:hAnsi="MS PGothic"/>
          <w:sz w:val="18"/>
          <w:szCs w:val="18"/>
          <w:color w:val="auto"/>
        </w:rPr>
        <w:t xml:space="preserve">The Company has adopted a set of </w:t>
      </w:r>
      <w:r>
        <w:rPr>
          <w:rFonts w:ascii="Calibri" w:cs="Calibri" w:eastAsia="Calibri" w:hAnsi="Calibri"/>
          <w:sz w:val="18"/>
          <w:szCs w:val="18"/>
          <w:i w:val="1"/>
          <w:iCs w:val="1"/>
          <w:color w:val="auto"/>
        </w:rPr>
        <w:t>Corporate Governance Guidelines</w:t>
      </w:r>
      <w:r>
        <w:rPr>
          <w:rFonts w:ascii="MS PGothic" w:cs="MS PGothic" w:eastAsia="MS PGothic" w:hAnsi="MS PGothic"/>
          <w:sz w:val="18"/>
          <w:szCs w:val="18"/>
          <w:color w:val="auto"/>
        </w:rPr>
        <w:t xml:space="preserve"> to address maters of fundamental importance relatng to the corporate governance of the Company, including director qualifcatons and responsibilites, responsibilites of key board commitees, director compensaton and similar maters. Each of the Audit Commitee, the Management Development and Compensaton Commitee, and the Nominatng and Corporate Governance Commitee of the Board of Directors has adopted a writen charter addressing various maters of importance relatng to each commitee, including the commitee’s purposes and responsibilites, an annual performance evaluaton of each commitee and similar maters. These </w:t>
      </w:r>
      <w:r>
        <w:rPr>
          <w:rFonts w:ascii="Calibri" w:cs="Calibri" w:eastAsia="Calibri" w:hAnsi="Calibri"/>
          <w:sz w:val="18"/>
          <w:szCs w:val="18"/>
          <w:i w:val="1"/>
          <w:iCs w:val="1"/>
          <w:color w:val="auto"/>
        </w:rPr>
        <w:t>Corporate Governance Guidelines</w:t>
      </w:r>
      <w:r>
        <w:rPr>
          <w:rFonts w:ascii="MS PGothic" w:cs="MS PGothic" w:eastAsia="MS PGothic" w:hAnsi="MS PGothic"/>
          <w:sz w:val="18"/>
          <w:szCs w:val="18"/>
          <w:color w:val="auto"/>
        </w:rPr>
        <w:t>, and the charters of each of these commitees, are available on the Company’s website at www.martnmarieta.com.</w:t>
      </w:r>
    </w:p>
    <w:p>
      <w:pPr>
        <w:spacing w:after="0" w:line="90" w:lineRule="exact"/>
        <w:rPr>
          <w:sz w:val="20"/>
          <w:szCs w:val="20"/>
          <w:color w:val="auto"/>
        </w:rPr>
      </w:pPr>
    </w:p>
    <w:p>
      <w:pPr>
        <w:jc w:val="both"/>
        <w:spacing w:after="0" w:line="303" w:lineRule="auto"/>
        <w:rPr>
          <w:sz w:val="20"/>
          <w:szCs w:val="20"/>
          <w:color w:val="auto"/>
        </w:rPr>
      </w:pPr>
      <w:r>
        <w:rPr>
          <w:rFonts w:ascii="MS PGothic" w:cs="MS PGothic" w:eastAsia="MS PGothic" w:hAnsi="MS PGothic"/>
          <w:sz w:val="18"/>
          <w:szCs w:val="18"/>
          <w:color w:val="auto"/>
        </w:rPr>
        <w:t>The Company’s Chief Executve Ofcer and Chief Financial Ofcer are required to fle with the SEC each quarter and each year certfcatons regarding the quality of the Company’s public disclosure of its fnancial conditon. The annual certfcatons are included as exhibits to this Form 10‑K. The Company’s Chief Executve Ofcer is also required to certfy to the New York Stock Exchange each year that he is not aware of any violaton by the Company of the New York Stock Exchange corporate governance listng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62865</wp:posOffset>
            </wp:positionV>
            <wp:extent cx="325755" cy="1968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02" w:lineRule="exact"/>
        <w:rPr>
          <w:sz w:val="20"/>
          <w:szCs w:val="20"/>
          <w:color w:val="auto"/>
        </w:rPr>
      </w:pPr>
    </w:p>
    <w:p>
      <w:pPr>
        <w:ind w:left="20"/>
        <w:spacing w:after="0"/>
        <w:rPr>
          <w:sz w:val="20"/>
          <w:szCs w:val="20"/>
          <w:color w:val="auto"/>
        </w:rPr>
      </w:pPr>
      <w:r>
        <w:rPr>
          <w:rFonts w:ascii="MS PGothic" w:cs="MS PGothic" w:eastAsia="MS PGothic" w:hAnsi="MS PGothic"/>
          <w:sz w:val="18"/>
          <w:szCs w:val="18"/>
          <w:color w:val="auto"/>
        </w:rPr>
        <w:t xml:space="preserve">Form 10-K </w:t>
      </w:r>
      <w:r>
        <w:rPr>
          <w:rFonts w:ascii="Arial" w:cs="Arial" w:eastAsia="Arial" w:hAnsi="Arial"/>
          <w:sz w:val="23"/>
          <w:szCs w:val="23"/>
          <w:color w:val="0070C0"/>
        </w:rPr>
        <w:t>♦</w:t>
      </w:r>
      <w:r>
        <w:rPr>
          <w:rFonts w:ascii="MS PGothic" w:cs="MS PGothic" w:eastAsia="MS PGothic" w:hAnsi="MS PGothic"/>
          <w:sz w:val="18"/>
          <w:szCs w:val="18"/>
          <w:color w:val="auto"/>
        </w:rPr>
        <w:t xml:space="preserve">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ind w:left="9020"/>
        <w:spacing w:after="0"/>
        <w:rPr>
          <w:sz w:val="20"/>
          <w:szCs w:val="20"/>
          <w:color w:val="auto"/>
        </w:rPr>
      </w:pPr>
      <w:r>
        <w:rPr>
          <w:rFonts w:ascii="MS PGothic" w:cs="MS PGothic" w:eastAsia="MS PGothic" w:hAnsi="MS PGothic"/>
          <w:sz w:val="16"/>
          <w:szCs w:val="16"/>
          <w:color w:val="auto"/>
        </w:rPr>
        <w:t xml:space="preserve">Part I </w:t>
      </w:r>
      <w:r>
        <w:rPr>
          <w:rFonts w:ascii="Arial" w:cs="Arial" w:eastAsia="Arial" w:hAnsi="Arial"/>
          <w:sz w:val="20"/>
          <w:szCs w:val="20"/>
          <w:color w:val="0070C0"/>
        </w:rPr>
        <w:t>♦</w:t>
      </w:r>
      <w:r>
        <w:rPr>
          <w:rFonts w:ascii="MS PGothic" w:cs="MS PGothic" w:eastAsia="MS PGothic" w:hAnsi="MS PGothic"/>
          <w:sz w:val="16"/>
          <w:szCs w:val="16"/>
          <w:color w:val="auto"/>
        </w:rPr>
        <w:t xml:space="preserve"> Item 1A – Risk Factors</w:t>
      </w:r>
    </w:p>
    <w:p>
      <w:pPr>
        <w:spacing w:after="0" w:line="260"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1A – RISK FACTORS</w:t>
      </w:r>
    </w:p>
    <w:p>
      <w:pPr>
        <w:spacing w:after="0" w:line="64" w:lineRule="exact"/>
        <w:rPr>
          <w:sz w:val="20"/>
          <w:szCs w:val="20"/>
          <w:color w:val="auto"/>
        </w:rPr>
      </w:pPr>
    </w:p>
    <w:p>
      <w:pPr>
        <w:jc w:val="both"/>
        <w:spacing w:after="0" w:line="334" w:lineRule="auto"/>
        <w:rPr>
          <w:sz w:val="20"/>
          <w:szCs w:val="20"/>
          <w:color w:val="auto"/>
        </w:rPr>
      </w:pPr>
      <w:r>
        <w:rPr>
          <w:rFonts w:ascii="MS PGothic" w:cs="MS PGothic" w:eastAsia="MS PGothic" w:hAnsi="MS PGothic"/>
          <w:sz w:val="18"/>
          <w:szCs w:val="18"/>
          <w:color w:val="auto"/>
        </w:rPr>
        <w:t>An investment in Martn Marieta common stock or debt securites involves risks and uncertaintes. You should consider the following factors carefully, in additon to the other informaton contained in this Form 10-K, before deciding to purchase or otherwise trade the Company’s securites.</w:t>
      </w:r>
    </w:p>
    <w:p>
      <w:pPr>
        <w:spacing w:after="0" w:line="39" w:lineRule="exact"/>
        <w:rPr>
          <w:sz w:val="20"/>
          <w:szCs w:val="20"/>
          <w:color w:val="auto"/>
        </w:rPr>
      </w:pPr>
    </w:p>
    <w:p>
      <w:pPr>
        <w:jc w:val="both"/>
        <w:spacing w:after="0" w:line="315" w:lineRule="auto"/>
        <w:rPr>
          <w:sz w:val="20"/>
          <w:szCs w:val="20"/>
          <w:color w:val="auto"/>
        </w:rPr>
      </w:pPr>
      <w:r>
        <w:rPr>
          <w:rFonts w:ascii="MS PGothic" w:cs="MS PGothic" w:eastAsia="MS PGothic" w:hAnsi="MS PGothic"/>
          <w:sz w:val="17"/>
          <w:szCs w:val="17"/>
          <w:color w:val="auto"/>
        </w:rPr>
        <w:t>This Form 10-K and other writen reports and oral statements made from tme to tme by the Company contain statements that, to the extent they are not recitatons of historical fact, consttute forward-looking statements within the meaning of federal securites law. Investors are cautoned that all forward-looking statements involve risks and uncertaintes, and are based on assumptons that the Company believes in good faith are reasonable, but which may be materially diferent from actual results. Investors can identfy these statements by the fact that they do not relate only to historic or current facts. The words “may,” “will,” “could,” “should,” “antcipate,” “believe,” “estmate,” “expect,” “forecast,” “intend,” “outlook,” “plan,” “project,” “scheduled,” and similar expressions in connecton with future events or future operatng or fnancial performance are intended to identfy forward-looking statements. Any or all of the Company’s forward-looking statements in this Form 10‑K and in other publicatons may turn out to be wrong.</w:t>
      </w:r>
    </w:p>
    <w:p>
      <w:pPr>
        <w:spacing w:after="0" w:line="58" w:lineRule="exact"/>
        <w:rPr>
          <w:sz w:val="20"/>
          <w:szCs w:val="20"/>
          <w:color w:val="auto"/>
        </w:rPr>
      </w:pPr>
    </w:p>
    <w:p>
      <w:pPr>
        <w:jc w:val="both"/>
        <w:spacing w:after="0" w:line="311" w:lineRule="auto"/>
        <w:rPr>
          <w:sz w:val="20"/>
          <w:szCs w:val="20"/>
          <w:color w:val="auto"/>
        </w:rPr>
      </w:pPr>
      <w:r>
        <w:rPr>
          <w:rFonts w:ascii="MS PGothic" w:cs="MS PGothic" w:eastAsia="MS PGothic" w:hAnsi="MS PGothic"/>
          <w:sz w:val="18"/>
          <w:szCs w:val="18"/>
          <w:color w:val="auto"/>
        </w:rPr>
        <w:t>Statements and assumptons on future revenues, income and cash fows, performance, economic trends, the outcome of litgaton, regulatory compliance, and environmental remediaton cost estmates are examples of forward-looking statements. Numerous factors, including potentally the risk factors described in this secton, could afect the Company's forward-looking statements and actual performance.</w:t>
      </w:r>
    </w:p>
    <w:p>
      <w:pPr>
        <w:spacing w:after="0" w:line="56" w:lineRule="exact"/>
        <w:rPr>
          <w:sz w:val="20"/>
          <w:szCs w:val="20"/>
          <w:color w:val="auto"/>
        </w:rPr>
      </w:pPr>
    </w:p>
    <w:p>
      <w:pPr>
        <w:jc w:val="both"/>
        <w:spacing w:after="0" w:line="317" w:lineRule="auto"/>
        <w:rPr>
          <w:sz w:val="20"/>
          <w:szCs w:val="20"/>
          <w:color w:val="auto"/>
        </w:rPr>
      </w:pPr>
      <w:r>
        <w:rPr>
          <w:rFonts w:ascii="MS PGothic" w:cs="MS PGothic" w:eastAsia="MS PGothic" w:hAnsi="MS PGothic"/>
          <w:sz w:val="17"/>
          <w:szCs w:val="17"/>
          <w:color w:val="auto"/>
        </w:rPr>
        <w:t>Investors are also cautoned that it is not possible to predict or identfy all such factors. Consequently, the reader should not consider any such list to be a complete statement of all potental risks or uncertaintes. Other factors besides those listed may also adversely afect the Company and may be material to the Company. The Company has listed the known material risks it considers relevant in evaluatng the Company and its operatons. The forward-looking statements in this document are intended to be subject to the safe harbor protecton provided by Secton 27A of the Securites Act of 1933 and Secton 21E of the Exchange Act. These forward-looking statements are made as of the date hereof based on management’s current expectatons, and the Company does not undertake an obligaton to update such statements, whether as a result of new informaton, future events, or otherwise, other than as required by law.</w:t>
      </w:r>
    </w:p>
    <w:p>
      <w:pPr>
        <w:spacing w:after="0" w:line="57" w:lineRule="exact"/>
        <w:rPr>
          <w:sz w:val="20"/>
          <w:szCs w:val="20"/>
          <w:color w:val="auto"/>
        </w:rPr>
      </w:pPr>
    </w:p>
    <w:p>
      <w:pPr>
        <w:jc w:val="both"/>
        <w:spacing w:after="0" w:line="299" w:lineRule="auto"/>
        <w:rPr>
          <w:sz w:val="20"/>
          <w:szCs w:val="20"/>
          <w:color w:val="auto"/>
        </w:rPr>
      </w:pPr>
      <w:r>
        <w:rPr>
          <w:rFonts w:ascii="MS PGothic" w:cs="MS PGothic" w:eastAsia="MS PGothic" w:hAnsi="MS PGothic"/>
          <w:sz w:val="18"/>
          <w:szCs w:val="18"/>
          <w:color w:val="auto"/>
        </w:rPr>
        <w:t>For a discussion identfying some important factors that could cause actual results to vary materially from those antcipated in the forward-looking statements, see the factors listed below, along with the discussion of “</w:t>
      </w:r>
      <w:r>
        <w:rPr>
          <w:rFonts w:ascii="MS PGothic" w:cs="MS PGothic" w:eastAsia="MS PGothic" w:hAnsi="MS PGothic"/>
          <w:sz w:val="18"/>
          <w:szCs w:val="18"/>
          <w:u w:val="single" w:color="auto"/>
          <w:color w:val="007DC6"/>
        </w:rPr>
        <w:t>Competton</w:t>
      </w:r>
      <w:r>
        <w:rPr>
          <w:rFonts w:ascii="MS PGothic" w:cs="MS PGothic" w:eastAsia="MS PGothic" w:hAnsi="MS PGothic"/>
          <w:sz w:val="18"/>
          <w:szCs w:val="18"/>
          <w:color w:val="auto"/>
        </w:rPr>
        <w:t>” under Item 1 of this Form 10-K, “</w:t>
      </w:r>
      <w:r>
        <w:rPr>
          <w:rFonts w:ascii="MS PGothic" w:cs="MS PGothic" w:eastAsia="MS PGothic" w:hAnsi="MS PGothic"/>
          <w:sz w:val="18"/>
          <w:szCs w:val="18"/>
          <w:u w:val="single" w:color="auto"/>
          <w:color w:val="007DC6"/>
        </w:rPr>
        <w:t>Management’s Discussion and Analysis</w:t>
      </w:r>
      <w:r>
        <w:rPr>
          <w:rFonts w:ascii="MS PGothic" w:cs="MS PGothic" w:eastAsia="MS PGothic" w:hAnsi="MS PGothic"/>
          <w:sz w:val="18"/>
          <w:szCs w:val="18"/>
          <w:color w:val="auto"/>
        </w:rPr>
        <w:t xml:space="preserve"> </w:t>
      </w:r>
      <w:r>
        <w:rPr>
          <w:rFonts w:ascii="MS PGothic" w:cs="MS PGothic" w:eastAsia="MS PGothic" w:hAnsi="MS PGothic"/>
          <w:sz w:val="18"/>
          <w:szCs w:val="18"/>
          <w:u w:val="single" w:color="auto"/>
          <w:color w:val="007DC6"/>
        </w:rPr>
        <w:t>of Financial Conditon and Results of Operatons</w:t>
      </w:r>
      <w:r>
        <w:rPr>
          <w:rFonts w:ascii="MS PGothic" w:cs="MS PGothic" w:eastAsia="MS PGothic" w:hAnsi="MS PGothic"/>
          <w:sz w:val="18"/>
          <w:szCs w:val="18"/>
          <w:color w:val="000000"/>
        </w:rPr>
        <w:t>” under Item 7 of this Form 10-K, and “</w:t>
      </w:r>
      <w:r>
        <w:rPr>
          <w:rFonts w:ascii="MS PGothic" w:cs="MS PGothic" w:eastAsia="MS PGothic" w:hAnsi="MS PGothic"/>
          <w:sz w:val="18"/>
          <w:szCs w:val="18"/>
          <w:u w:val="single" w:color="auto"/>
          <w:color w:val="007DC6"/>
        </w:rPr>
        <w:t>Note A: Accountng Policies</w:t>
      </w:r>
      <w:r>
        <w:rPr>
          <w:rFonts w:ascii="MS PGothic" w:cs="MS PGothic" w:eastAsia="MS PGothic" w:hAnsi="MS PGothic"/>
          <w:sz w:val="18"/>
          <w:szCs w:val="18"/>
          <w:color w:val="000000"/>
        </w:rPr>
        <w:t>” and “</w:t>
      </w:r>
      <w:r>
        <w:rPr>
          <w:rFonts w:ascii="MS PGothic" w:cs="MS PGothic" w:eastAsia="MS PGothic" w:hAnsi="MS PGothic"/>
          <w:sz w:val="18"/>
          <w:szCs w:val="18"/>
          <w:u w:val="single" w:color="auto"/>
          <w:color w:val="007DC6"/>
        </w:rPr>
        <w:t>Note O: Commitments and</w:t>
      </w:r>
      <w:r>
        <w:rPr>
          <w:rFonts w:ascii="MS PGothic" w:cs="MS PGothic" w:eastAsia="MS PGothic" w:hAnsi="MS PGothic"/>
          <w:sz w:val="18"/>
          <w:szCs w:val="18"/>
          <w:color w:val="007DC6"/>
        </w:rPr>
        <w:t xml:space="preserve"> </w:t>
      </w:r>
      <w:r>
        <w:rPr>
          <w:rFonts w:ascii="MS PGothic" w:cs="MS PGothic" w:eastAsia="MS PGothic" w:hAnsi="MS PGothic"/>
          <w:sz w:val="18"/>
          <w:szCs w:val="18"/>
          <w:u w:val="single" w:color="auto"/>
          <w:color w:val="007DC6"/>
        </w:rPr>
        <w:t>Contngencies</w:t>
      </w:r>
      <w:r>
        <w:rPr>
          <w:rFonts w:ascii="MS PGothic" w:cs="MS PGothic" w:eastAsia="MS PGothic" w:hAnsi="MS PGothic"/>
          <w:sz w:val="18"/>
          <w:szCs w:val="18"/>
          <w:color w:val="000000"/>
        </w:rPr>
        <w:t>” of the “Notes to Financial Statements” of the Company’s consolidated fnancial statements included under Item 8, “Financial Statements and</w:t>
      </w:r>
      <w:r>
        <w:rPr>
          <w:rFonts w:ascii="MS PGothic" w:cs="MS PGothic" w:eastAsia="MS PGothic" w:hAnsi="MS PGothic"/>
          <w:sz w:val="18"/>
          <w:szCs w:val="18"/>
          <w:color w:val="007DC6"/>
        </w:rPr>
        <w:t xml:space="preserve"> </w:t>
      </w:r>
      <w:r>
        <w:rPr>
          <w:rFonts w:ascii="MS PGothic" w:cs="MS PGothic" w:eastAsia="MS PGothic" w:hAnsi="MS PGothic"/>
          <w:sz w:val="18"/>
          <w:szCs w:val="18"/>
          <w:color w:val="000000"/>
        </w:rPr>
        <w:t>Supplemental Data,”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3214370</wp:posOffset>
            </wp:positionH>
            <wp:positionV relativeFrom="paragraph">
              <wp:posOffset>-457200</wp:posOffset>
            </wp:positionV>
            <wp:extent cx="5619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61975" cy="8890"/>
                    </a:xfrm>
                    <a:prstGeom prst="rect">
                      <a:avLst/>
                    </a:prstGeom>
                    <a:noFill/>
                  </pic:spPr>
                </pic:pic>
              </a:graphicData>
            </a:graphic>
          </wp:anchor>
        </w:drawing>
        <w:drawing>
          <wp:anchor simplePos="0" relativeHeight="251657728" behindDoc="1" locked="0" layoutInCell="0" allowOverlap="1">
            <wp:simplePos x="0" y="0"/>
            <wp:positionH relativeFrom="column">
              <wp:posOffset>5358765</wp:posOffset>
            </wp:positionH>
            <wp:positionV relativeFrom="paragraph">
              <wp:posOffset>-457200</wp:posOffset>
            </wp:positionV>
            <wp:extent cx="17760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7760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-320040</wp:posOffset>
            </wp:positionV>
            <wp:extent cx="22802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280285" cy="8255"/>
                    </a:xfrm>
                    <a:prstGeom prst="rect">
                      <a:avLst/>
                    </a:prstGeom>
                    <a:noFill/>
                  </pic:spPr>
                </pic:pic>
              </a:graphicData>
            </a:graphic>
          </wp:anchor>
        </w:drawing>
        <w:drawing>
          <wp:anchor simplePos="0" relativeHeight="251657728" behindDoc="1" locked="0" layoutInCell="0" allowOverlap="1">
            <wp:simplePos x="0" y="0"/>
            <wp:positionH relativeFrom="column">
              <wp:posOffset>4208780</wp:posOffset>
            </wp:positionH>
            <wp:positionV relativeFrom="paragraph">
              <wp:posOffset>-320040</wp:posOffset>
            </wp:positionV>
            <wp:extent cx="29254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29254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-182880</wp:posOffset>
            </wp:positionV>
            <wp:extent cx="6337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33730" cy="825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Industry Risk Factors</w:t>
      </w:r>
    </w:p>
    <w:p>
      <w:pPr>
        <w:spacing w:after="0" w:line="11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Our business depends on actvity within the constructon industry, which can be cyclical</w:t>
      </w:r>
    </w:p>
    <w:p>
      <w:pPr>
        <w:spacing w:after="0" w:line="59" w:lineRule="exact"/>
        <w:rPr>
          <w:sz w:val="20"/>
          <w:szCs w:val="20"/>
          <w:color w:val="auto"/>
        </w:rPr>
      </w:pPr>
    </w:p>
    <w:p>
      <w:pPr>
        <w:jc w:val="both"/>
        <w:spacing w:after="0" w:line="299" w:lineRule="auto"/>
        <w:rPr>
          <w:sz w:val="20"/>
          <w:szCs w:val="20"/>
          <w:color w:val="auto"/>
        </w:rPr>
      </w:pPr>
      <w:r>
        <w:rPr>
          <w:rFonts w:ascii="MS PGothic" w:cs="MS PGothic" w:eastAsia="MS PGothic" w:hAnsi="MS PGothic"/>
          <w:sz w:val="18"/>
          <w:szCs w:val="18"/>
          <w:color w:val="auto"/>
        </w:rPr>
        <w:t>Economic and politcal uncertainty can impede growth in the markets in which we operate. Demand for our products, partcularly in the private nonresidental and residental constructon markets, could decline if companies and consumers are unable to obtain credit for constructon projects or if an economic slowdown causes delays or cancellatons of capital projects. State and federal budget issues may also undermine the funding available for infrastructure spending. The lack of available credit may limit the ability of states to issue bonds to fnance constructon projects. As a result of these issues, several of our top revenue-generatng states, from tme to tme, stop bidding or slow bid projects in their transportaton departments.</w:t>
      </w:r>
    </w:p>
    <w:p>
      <w:pPr>
        <w:spacing w:after="0" w:line="67" w:lineRule="exact"/>
        <w:rPr>
          <w:sz w:val="20"/>
          <w:szCs w:val="20"/>
          <w:color w:val="auto"/>
        </w:rPr>
      </w:pPr>
    </w:p>
    <w:p>
      <w:pPr>
        <w:jc w:val="both"/>
        <w:spacing w:after="0" w:line="315" w:lineRule="auto"/>
        <w:rPr>
          <w:sz w:val="20"/>
          <w:szCs w:val="20"/>
          <w:color w:val="auto"/>
        </w:rPr>
      </w:pPr>
      <w:r>
        <w:rPr>
          <w:rFonts w:ascii="MS PGothic" w:cs="MS PGothic" w:eastAsia="MS PGothic" w:hAnsi="MS PGothic"/>
          <w:sz w:val="17"/>
          <w:szCs w:val="17"/>
          <w:color w:val="auto"/>
        </w:rPr>
        <w:t>We sell most of our aggregates (our primary business) and our cement products to the constructon industry and, therefore, our results depend on that industry’s strength. Since our businesses depend on constructon spending, which can be cyclical, our profts are sensitve to natonal, regional and local economic conditons and the intensity of the underlying spending on aggregates and cement products. Constructon spending is afected by economic conditons, changes in interest rates, infaton, employment levels, demographic and populaton shifs, and changes in constructon spending by federal, state and local governments. If economic conditons worsen, a recession in the constructon industry may occur and afect the demand for our products. The recession of the late 2000s and early 2010s (the Great Recession) was an example, and our shipment volumes were signifcantly reduced and remain below peak shipment levels excluding the contributon of acquisitons. Constructon spending can also be disrupted by terrorist actvity and armed conficts.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59690</wp:posOffset>
            </wp:positionV>
            <wp:extent cx="325755" cy="1968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MS PGothic" w:cs="MS PGothic" w:eastAsia="MS PGothic" w:hAnsi="MS PGothic"/>
          <w:sz w:val="18"/>
          <w:szCs w:val="18"/>
          <w:color w:val="auto"/>
        </w:rPr>
        <w:t xml:space="preserve">Form 10-K </w:t>
      </w:r>
      <w:r>
        <w:rPr>
          <w:rFonts w:ascii="Arial" w:cs="Arial" w:eastAsia="Arial" w:hAnsi="Arial"/>
          <w:sz w:val="23"/>
          <w:szCs w:val="23"/>
          <w:color w:val="0070C0"/>
        </w:rPr>
        <w:t>♦</w:t>
      </w:r>
      <w:r>
        <w:rPr>
          <w:rFonts w:ascii="MS PGothic" w:cs="MS PGothic" w:eastAsia="MS PGothic" w:hAnsi="MS PGothic"/>
          <w:sz w:val="18"/>
          <w:szCs w:val="18"/>
          <w:color w:val="auto"/>
        </w:rPr>
        <w:t xml:space="preserve">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ind w:left="902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1A – Risk Factors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While our business operatons cover a wide geographic area, our earnings depend on the strength of the local economies in which we operate due to the high cost to transport our products relatve to their selling price. If economic conditons and constructon spending decline signifcantly in one or more areas, partcularly in our Building Materials business’ top fve revenue-generatng states of Texas, Colorado, North Carolina, Minnesota and California, our proftability will decrease. We experienced this situaton during the Great Recession.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Demand for aggregates products, partcularly in the infrastructure constructon market, is afected by federal, state and local budget and defcit issues. Remote working trends or other factors that reduce miles driven can have a negatve impact on various revenue streams that fund roadway projects. Further, delays or cancellatons of projects in the nonresidental and residental constructon markets, which combined accounted for 60% of aggregates shipments in 2022, could occur if companies and consumers are unable to obtain fnancing for constructon projects or if consumer confdence contnues to be eroded by economic uncertainty.</w:t>
      </w:r>
    </w:p>
    <w:p>
      <w:pPr>
        <w:spacing w:after="0" w:line="217"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Our Building Materials business is seasonal and subject to the weather, which can signifcantly impact operatons</w:t>
      </w:r>
    </w:p>
    <w:p>
      <w:pPr>
        <w:spacing w:after="0" w:line="59"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Since the heavy-side constructon business is conducted outdoors, erratc weather paterns, seasonal changes and other weather-related conditons afect our business. Adverse weather conditons, including hurricanes and tropical storms, cold weather, snow, heavy or sustained rainfall, wildfres and earthquakes, reduce constructon actvity, restrict the demand for our products and impede our ability to efciently transport material. Adverse weather conditons also increase our costs and reduce our producton output as a result of power loss, needed plant and equipment repairs, tme required to remove water from fooded operatons and similar events. Severe drought conditons can restrict available water supplies and restrict producton. Producton and shipment levels of the Building Materials business’ products follow actvity in the constructon industry, which typically is strongest in the spring, summer and fall. Because of the weather’s efect on the constructon industry’s actvity, the producton and shipment levels for our Building Materials business, including all of our aggregates-related downstream operatons, vary by quarter. The second and third quarters are generally subject to heavy precipitaton, and thus are more proftable if precipitaton is lighter. The frst and fourth quarters, which are subject to the impacts of winter weather, are generally the least proftable, but can be more proftable if the impact of winter weather is less. Our operatons in the southeastern and Gulf Coast regions of the United States and The Bahamas are at risk for hurricane actvity, most notably in August, September and October. Our California operatons are at risk for Pacifc Ocean storms, wildfre actvity and water use restrictons in the event of severe drought conditons. In California, recent storms and fooding have caused operatonal delays and challenges. These weather events and conditons may be exacerbated by climate change in the near and long term.</w:t>
      </w:r>
    </w:p>
    <w:p>
      <w:pPr>
        <w:spacing w:after="0" w:line="182"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Competton and Growth Risk Factors</w:t>
      </w:r>
    </w:p>
    <w:p>
      <w:pPr>
        <w:spacing w:after="0" w:line="126"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b w:val="1"/>
          <w:bCs w:val="1"/>
          <w:i w:val="1"/>
          <w:iCs w:val="1"/>
          <w:color w:val="4EAD8A"/>
        </w:rPr>
        <w:t>Our Building Materials business depends on the availability of quality aggregates reserves or deposits and our ability to mine them economically</w:t>
      </w:r>
    </w:p>
    <w:p>
      <w:pPr>
        <w:spacing w:after="0" w:line="61"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Our challenge is to fnd quality aggregates deposits that we can mine economically, with appropriate permits, near either growing markets or long-haul transportaton corridors that economically serve applicable markets. As communites in many of our geographic markets have grown, they have setled in and around atractve quarrying locatons and have imposed restrictons on mining. We try to meet this challenge by identfying and permitng sites prior to economic expansion, buying more land around our existng quarries to increase our mineral reserves, developing underground mines and developing a distributon network that transports aggregates products by various methods, including rail and water. While our distributon network allows us to transport our products longer distances than would normally be considered economical, we can give no assurances that we will be successful at this strategy.</w:t>
      </w:r>
    </w:p>
    <w:p>
      <w:pPr>
        <w:spacing w:after="0" w:line="207"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Our businesses face many compettors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businesses have many compettors, some of whom are bigger and have more resources than we do. Some of our compettors operate on a worldwide basis. Our results are afected by the number of compettors in a market, the producton capacity that a partcular market can accommodate, the pricing practces of other compettors and the entry of new compettors in a market. We also face competton for some of our products from alternatve products. For example, our Magnesia Specialtes business may compete with other chemical products that could be used instead of our magnesia-based products. As other examples, our aggregates, ready mixed concrete, asphalt and paving businesses may compete with recycled asphalt and concrete products that could be used in certain applicatons instead of new products and our cement operatons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94615</wp:posOffset>
            </wp:positionV>
            <wp:extent cx="325755" cy="1968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2"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ind w:left="902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1A – Risk Factors</w:t>
      </w:r>
    </w:p>
    <w:p>
      <w:pPr>
        <w:spacing w:after="0" w:line="169" w:lineRule="exact"/>
        <w:rPr>
          <w:sz w:val="20"/>
          <w:szCs w:val="20"/>
          <w:color w:val="auto"/>
        </w:rPr>
      </w:pPr>
    </w:p>
    <w:p>
      <w:pPr>
        <w:spacing w:after="0"/>
        <w:rPr>
          <w:sz w:val="20"/>
          <w:szCs w:val="20"/>
          <w:color w:val="auto"/>
        </w:rPr>
      </w:pPr>
      <w:r>
        <w:rPr>
          <w:rFonts w:ascii="Calibri" w:cs="Calibri" w:eastAsia="Calibri" w:hAnsi="Calibri"/>
          <w:sz w:val="18"/>
          <w:szCs w:val="18"/>
          <w:color w:val="auto"/>
        </w:rPr>
        <w:t>may compete with internatonal compettors who import products into the United States from jurisdictons with lower producton and regulatory costs.</w:t>
      </w:r>
    </w:p>
    <w:p>
      <w:pPr>
        <w:spacing w:after="0" w:line="224"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b w:val="1"/>
          <w:bCs w:val="1"/>
          <w:i w:val="1"/>
          <w:iCs w:val="1"/>
          <w:color w:val="4EAD8A"/>
        </w:rPr>
        <w:t>Our future growth may depend in part on acquiring other businesses in our industry, and we may acquire businesses by paying all or in part with shares of our common stock</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expect to contnue to grow, in part, by acquiring other businesses. In the past, we have made acquisitons to strengthen our existng locatons, expand our operatons and enter new geographic markets. We will contnue to pursue selectve acquisitons, joint ventures or other business arrangements we believe will help our Company grow. However, the contnued success of our acquisiton program will depend on our ability to fnd and buy other atractve businesses at an appropriate price and our ability to integrate acquired businesses into our existng operatons. We cannot assume there will contnue to be atractve acquisiton opportunites for sale at reasonable prices that we can successfully integrate into our operatons.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may decide to pay all or part of the purchase price of any future acquisiton with shares of our common stock. We may also use our stock to make strategic investments in other companies to complement and expand our operatons. If we use our common stock in this way, the ownership interests of our existng shareholders at that tme will be diluted and the price of our stock could decline. We operate our businesses with the objectve of maximizing long-term shareholder return.</w:t>
      </w:r>
    </w:p>
    <w:p>
      <w:pPr>
        <w:spacing w:after="0" w:line="214"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Our integraton of the acquisiton or business combinaton with other businesses may not be as successful as projected</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a successful history of business combinatons and integraton of these businesses into our heritage operatons. However, in connecton with the integraton of any other business that we acquire, there is a risk that we will not be able to achieve such integraton in a successful manner or on the tme schedule we have projected or in a way that will achieve the level of synergies, cost savings or operatng efciencies we forecast from the acquisiton.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Any signifcant business acquisiton or combinaton we might choose to undertake may require that we devote signifcant management atenton and resources to preparing for and then integratng our business practces and operatons. Based on our history, we believe we would be successful in this integraton process. Nevertheless, we may fail to realize some of the antcipated benefts of any potental acquisiton or other business combinaton that we pursue in the future if the integraton process takes longer than expected or is more costly than expected. Potental difcultes we may encounter in the integraton process include the following:</w:t>
      </w:r>
    </w:p>
    <w:p>
      <w:pPr>
        <w:spacing w:after="0" w:line="72" w:lineRule="exact"/>
        <w:rPr>
          <w:sz w:val="20"/>
          <w:szCs w:val="20"/>
          <w:color w:val="auto"/>
        </w:rPr>
      </w:pPr>
    </w:p>
    <w:p>
      <w:pPr>
        <w:ind w:left="800" w:hanging="397"/>
        <w:spacing w:after="0" w:line="235" w:lineRule="auto"/>
        <w:tabs>
          <w:tab w:leader="none" w:pos="80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inability to successfully combine operatons in a manner that permits us to achieve the synergies antcipated to result from the proposed acquisiton or business combinaton, which would result in the antcipated benefts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92710</wp:posOffset>
            </wp:positionV>
            <wp:extent cx="325755" cy="1968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ind w:left="902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1A – Risk Factors</w:t>
      </w:r>
    </w:p>
    <w:p>
      <w:pPr>
        <w:spacing w:after="0" w:line="169" w:lineRule="exact"/>
        <w:rPr>
          <w:sz w:val="20"/>
          <w:szCs w:val="20"/>
          <w:color w:val="auto"/>
        </w:rPr>
      </w:pPr>
    </w:p>
    <w:p>
      <w:pPr>
        <w:ind w:left="800"/>
        <w:spacing w:after="0"/>
        <w:rPr>
          <w:sz w:val="20"/>
          <w:szCs w:val="20"/>
          <w:color w:val="auto"/>
        </w:rPr>
      </w:pPr>
      <w:r>
        <w:rPr>
          <w:rFonts w:ascii="Calibri" w:cs="Calibri" w:eastAsia="Calibri" w:hAnsi="Calibri"/>
          <w:sz w:val="18"/>
          <w:szCs w:val="18"/>
          <w:color w:val="auto"/>
        </w:rPr>
        <w:t>acquisiton or business combinaton not being realized partly or wholly in the tme frame currently antcipated or at all;</w:t>
      </w:r>
    </w:p>
    <w:p>
      <w:pPr>
        <w:spacing w:after="0" w:line="69" w:lineRule="exact"/>
        <w:rPr>
          <w:sz w:val="20"/>
          <w:szCs w:val="20"/>
          <w:color w:val="auto"/>
        </w:rPr>
      </w:pPr>
    </w:p>
    <w:p>
      <w:pPr>
        <w:ind w:left="800" w:hanging="397"/>
        <w:spacing w:after="0" w:line="235" w:lineRule="auto"/>
        <w:tabs>
          <w:tab w:leader="none" w:pos="80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color w:val="auto"/>
        </w:rPr>
        <w:t>lost sales and customers as a result of certain customers of either the Company or former customers of the acquired or combined company deciding not to do business with us;</w:t>
      </w:r>
    </w:p>
    <w:p>
      <w:pPr>
        <w:spacing w:after="0" w:line="64"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complexites associated with managing the combined operatons;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integraton of personnel;</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color w:val="auto"/>
        </w:rPr>
        <w:t>creaton of uniform standards, internal controls, procedures, policies and informaton systems;</w:t>
      </w:r>
    </w:p>
    <w:p>
      <w:pPr>
        <w:spacing w:after="0" w:line="68" w:lineRule="exact"/>
        <w:rPr>
          <w:rFonts w:ascii="Times New Roman" w:cs="Times New Roman" w:eastAsia="Times New Roman" w:hAnsi="Times New Roman"/>
          <w:sz w:val="18"/>
          <w:szCs w:val="18"/>
          <w:color w:val="auto"/>
        </w:rPr>
      </w:pPr>
    </w:p>
    <w:p>
      <w:pPr>
        <w:ind w:left="800" w:hanging="397"/>
        <w:spacing w:after="0" w:line="235" w:lineRule="auto"/>
        <w:tabs>
          <w:tab w:leader="none" w:pos="80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color w:val="auto"/>
        </w:rPr>
        <w:t>discovery of previously unknown liabilites and unforeseen increased expenses, delays or regulatory issues associated with integratng the remaining operatons; and</w:t>
      </w:r>
    </w:p>
    <w:p>
      <w:pPr>
        <w:spacing w:after="0" w:line="69" w:lineRule="exact"/>
        <w:rPr>
          <w:rFonts w:ascii="Times New Roman" w:cs="Times New Roman" w:eastAsia="Times New Roman" w:hAnsi="Times New Roman"/>
          <w:sz w:val="18"/>
          <w:szCs w:val="18"/>
          <w:color w:val="auto"/>
        </w:rPr>
      </w:pPr>
    </w:p>
    <w:p>
      <w:pPr>
        <w:ind w:left="800" w:hanging="397"/>
        <w:spacing w:after="0" w:line="235" w:lineRule="auto"/>
        <w:tabs>
          <w:tab w:leader="none" w:pos="80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color w:val="auto"/>
        </w:rPr>
        <w:t>performance shortalls at business units as a result of the diversion of management atenton caused by completng the remaining integraton of the operatons.</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Our acquisitons and divesttures could harm our results of operatons</w:t>
      </w:r>
    </w:p>
    <w:p>
      <w:pPr>
        <w:spacing w:after="0" w:line="5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In pursuing our business strategy, we conduct discussions, evaluate opportunites and enter into acquisiton and divestture agreements. Acquisitons involve signifcant challenges and risks, including risks that:</w:t>
      </w:r>
    </w:p>
    <w:p>
      <w:pPr>
        <w:spacing w:after="0" w:line="64" w:lineRule="exact"/>
        <w:rPr>
          <w:sz w:val="20"/>
          <w:szCs w:val="20"/>
          <w:color w:val="auto"/>
        </w:rPr>
      </w:pPr>
    </w:p>
    <w:p>
      <w:pPr>
        <w:ind w:left="800" w:hanging="397"/>
        <w:spacing w:after="0"/>
        <w:tabs>
          <w:tab w:leader="none" w:pos="8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not realize a satsfactory return on our investment;</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not obtain required regulatory approvals and/or required fnancing on favorable terms;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not be able to retain key personnel of acquired businesses;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experience difculty in integratng new employees, business systems and technology;</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due diligence process may not identfy compliance issues or other liabilites that are in existence at the tme of our acquisiton;</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not be able to bring the acquired business up to our expected levels of safety standards as soon as antcipated;</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have difculty entering into new geographic markets in which we are not experienced; or</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be unable to retain the customers and partners of acquired businesses following the acquisiton.</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Divesttures also involve signifcant challenges and risks, including risks that:</w:t>
      </w:r>
    </w:p>
    <w:p>
      <w:pPr>
        <w:spacing w:after="0" w:line="64" w:lineRule="exact"/>
        <w:rPr>
          <w:sz w:val="20"/>
          <w:szCs w:val="20"/>
          <w:color w:val="auto"/>
        </w:rPr>
      </w:pPr>
    </w:p>
    <w:p>
      <w:pPr>
        <w:ind w:left="800" w:hanging="397"/>
        <w:spacing w:after="0"/>
        <w:tabs>
          <w:tab w:leader="none" w:pos="80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not obtain required regulatory approvals or our counterpartes may not obtain required fnancing on favorable terms;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management tme and atenton may be diverted in businesses held for sale;</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have to write-of certain assets, including those relatng to goodwill and other intangibles;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experience difcultes in the separaton of operatons; and</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lose key employees.</w:t>
      </w:r>
    </w:p>
    <w:p>
      <w:pPr>
        <w:spacing w:after="0" w:line="212"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Our cement and Magnesia Specialtes businesses may become capacity-constrained</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If our cement or Magnesia Specialtes businesses becomes and/or remains capacity-constrained, we may be unable to tmely satsfy the demand for some of our products, and any resultng changes in customers would introduce volatlity to the earnings of these segments. We can address capacity needs by enhancing our manufacturing productvity, increasing the operatonal availability of equipment, reducing machinery down tme and extending machinery useful life. Future demand for our products may require us to expand our manufacturing capacity further, partcularly through the purchase of additonal manufacturing equipment. However, we may not be able to increase our capacity in tme to satsfy increases in demand that may occur from tme to tme. Our Texas cement operatons are currently capacity constrained, which may prevent us from satsfying customer orders and result in a loss of sales to compettors that are not capacity-constrained. We are permited to expand annual producton by up to 0.8 million additonal tons at our Midlothian cement plant and are currently in the process of efectng an expansion to add 0.5 million tons of annual producton capacity. However, we may sufer excess capacity if we increase our capacity to meet actual or antcipated demand and that demand decreases or does not materialize.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96520</wp:posOffset>
            </wp:positionV>
            <wp:extent cx="325755" cy="1968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4"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ind w:left="902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1A – Risk Factors</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b w:val="1"/>
          <w:bCs w:val="1"/>
          <w:i w:val="1"/>
          <w:iCs w:val="1"/>
          <w:color w:val="4EAD8A"/>
        </w:rPr>
        <w:t>Our cement business could sufer if cement or clinker imports from other countries signifcantly increase or are sold in the United States in violaton of U.S. fair trade laws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the past, the cement industry has benefted from antdumping orders imposing dutes on imports of cement and clinker from other countries that violated U.S. fair trade laws. Cement operators with import facilites can purchase cement from other countries, such as those in Latn America and Asia, which could compete with domestc producers. In additon, if environmental regulatons increase the costs of domestc producers compared to foreign producers that are not subject to similar regulatons, imported cement could achieve a signifcant cost advantage over domestcally produced cement. An infux of cement or clinker products from countries not subject to antdumping orders, or sales of imported cement or clinker in violaton of U.S. fair trade laws, could adversely afect our cement product line.</w:t>
      </w:r>
    </w:p>
    <w:p>
      <w:pPr>
        <w:spacing w:after="0" w:line="176"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Economic, Politcal and Legal Risk Factors</w:t>
      </w:r>
    </w:p>
    <w:p>
      <w:pPr>
        <w:spacing w:after="0" w:line="126" w:lineRule="exact"/>
        <w:rPr>
          <w:sz w:val="20"/>
          <w:szCs w:val="20"/>
          <w:color w:val="auto"/>
        </w:rPr>
      </w:pPr>
    </w:p>
    <w:p>
      <w:pPr>
        <w:jc w:val="both"/>
        <w:spacing w:after="0" w:line="237" w:lineRule="auto"/>
        <w:rPr>
          <w:sz w:val="20"/>
          <w:szCs w:val="20"/>
          <w:color w:val="auto"/>
        </w:rPr>
      </w:pPr>
      <w:r>
        <w:rPr>
          <w:rFonts w:ascii="Calibri" w:cs="Calibri" w:eastAsia="Calibri" w:hAnsi="Calibri"/>
          <w:sz w:val="22"/>
          <w:szCs w:val="22"/>
          <w:b w:val="1"/>
          <w:bCs w:val="1"/>
          <w:i w:val="1"/>
          <w:iCs w:val="1"/>
          <w:color w:val="4EAD8A"/>
        </w:rPr>
        <w:t>Changes in legal requirements and governmental policies concerning zoning, land use, the environment, health and safety and other areas of the law, as well as litgaton relatng to these maters, afect our businesses. Our operatons expose us to the risk of material environmental liabilites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Many federal, state and local laws and regulatons relatng to zoning, land use, air emissions (including carbon dioxide and other GHGs), water use, allocaton and discharges, waste management, noise and dust control, mining, land reclamaton and other environmental, health and safety maters govern our operatons. Some of our operatons require permits, which may impose additonal operatng standards and are subject to modifcaton, renewal and revocaton. Certain of our operatons may from tme to tme involve the use of substances that are classifed as toxic or hazardous within the meaning of these laws and regulatons. Despite our extensive eforts to remain in strict compliance at all tmes with all applicable laws and regulatons, the risk of liabilites, partcularly environmental liabilites, is inherent in the operaton of our businesses. These potental liabilites could result in material costs, including fnes or personal injury or damages claims, which could have an adverse impact on our operatons and proftability.</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Future events, including changes in existng laws or regulatons or enforcement policies, or further investgaton or evaluaton of the potental health hazards of some of our products or business actvites may result in additonal or unantcipated compliance and other costs. We could be required to invest in preventve or remedial acton, like polluton control facilites, which could be substantal or which could result in restrictons on our operatons or delays in obtaining required permits or other approvals.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operatons are subject to manufacturing, operatng and handling risks associated with the products we produce and the products we use in our operatons, including the related storage and transportaton of raw materials, explosives, products, hazardous substances and wastes. We are exposed to hazards including storage tank leaks, explosions, discharges or releases of hazardous substances, exposure to dust, and the operaton of mobile equipment and manufacturing machinery.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These risks can subject us to potentally signifcant liabilites relatng to personal injury, death or property damage, and may result in civil or criminal penaltes, which could hurt our productvity or proftability. For example, from tme to tme, we investgate and remediate environmental contaminaton relatng to our prior or current operatons, as well as operatons we have acquired from others, and, in some cases, we have been or could be named as a defendant in litgaton brought by governmental agencies or private partes to investgate or clean-up such contaminaton.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involved from tme to tme in litgaton and claims arising from our operatons. While we do not believe the outcome of pending or threatened litgaton will have a material adverse efect on our operatons or our fnancial conditon, an unexpected and material adverse outcome in a pending or future legal acton could potentally have a negatve efect on our Company.</w:t>
      </w:r>
    </w:p>
    <w:p>
      <w:pPr>
        <w:spacing w:after="0" w:line="226"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22"/>
          <w:szCs w:val="22"/>
          <w:b w:val="1"/>
          <w:bCs w:val="1"/>
          <w:i w:val="1"/>
          <w:iCs w:val="1"/>
          <w:color w:val="4EAD8A"/>
        </w:rPr>
        <w:t>Legislaton or regulatons to address climate change and transiton to a low-carbon economy may adversely impact our business, including fnancial impacts</w:t>
      </w:r>
    </w:p>
    <w:p>
      <w:pPr>
        <w:spacing w:after="0" w:line="61"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auto"/>
        </w:rPr>
        <w:t>A number of governmental bodies, including the U.S. Congress and various U.S. states, have proposed, enacted or are contemplatng legislatve and regulatory changes to mitgate or address the potental impacts of climate change, including provisions for GHG emissions reductons or the use of alternatve fuels, carbon credits (such as a cap-and-trade system) and a carbon tax. For example, in the United States, the USEPA promulgated a mandatory reportng rule covering GHG emissions from sources considered to be large emiters. The USEPA has also promulgated a GHG emissions permitng rule, referred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86360</wp:posOffset>
            </wp:positionV>
            <wp:extent cx="325755" cy="1968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39"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ind w:left="902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1A – Risk Factors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the Tailoring Rule, which may require some industrial facilites to obtain operatng permits for GHG emissions under the U.S. Clean Air Act. The U.S. Supreme Court subsequently ruled in June 2014 that the USEPA exceeded its statutory authority in issuing the Tailoring Rule but upheld the BACT requirements for GHGs emited by sources that already require Title V operatng permits or are subject to PSD requirements for other pollutants. It is currently unclear whether the USEPA will proceed with revisions of the Tailoring Rule or proceed in a diferent directon, nor is it known how the USEPA may revise the BACT requirements. If future modifcatons to our Magnesia Specialtes or cement facilites require PSD review for other pollutants, GHG permitng requirements may also be triggered, which could require us to incur signifcant additonal costs. It is not possible, however, to estmate the cost of any future requirements at this tme.</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U.S. President Biden also has taken a number of steps to make climate change a central focus of his administraton, including issuing a pair of executve orders and a presidental memorandum making climate change central to U.S. policy and setng out several administratve priorites and undertakings to reduce GHG emissions. President Biden reentered the Paris Agreement in January 2021 and later announced the United States’ reducton commitments under the Paris Agreement, including a 50% to 52% economy-wide reducton in net GHG emissions from 2005 levels by 2030. The Biden administraton has also entered a pact with 103 countries and jurisdictons, known as the Global Methane Pledge, to reduce global methane emissions by 30% from 2020 levels by the end of the decade. Although it is stll too early to determine the actons the federal government will ultmately take to implement these or other orders, commitments and laws, or the full scope, tming or ramifcatons of such measures, it is clear that the Biden administraton has begun to make, and intends to contnue to pursue, a signifcant and sweeping push on the climate front and, like other signatories to the Paris Agreement, intends to pursue a goal of a Net Zero GHG by 2050. These measures, combined with contnued focus by the administraton, also suggest that additonal executve and/or legislatve acton is likely, although the tming and scope of such acton is unclear. Additonally, it seems probable that the USEPA and other agencies will use their rule-making authority and procurement decisions to further address climate change. Various states where we have operatons have enacted or are considering climate change initatves as well, and we have been and may contnue to be subject to state regulatons in additon to any federal laws and rules that are passed. For example, California has had a cap-and-trade program for emissions rights since 2012.</w:t>
      </w:r>
    </w:p>
    <w:p>
      <w:pPr>
        <w:spacing w:after="0" w:line="119"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In additon, although our aggregates, ready mixed concrete, asphalt and paving operatons are not considered “major” sources of GHG emissions subject to the USEPA reportng rule, any additonal regulatory restrictons on emissions of GHGs imposed by the USEPA would likely impact our magnesia-based chemicals operatons in Woodville, Ohio, and Manistee, Michigan, as well as our two cement plants in Texas and our cement plant in California, each of which currently fle annual reports of GHG emissions as required by the USEPA reportng rule. We may not be able to recover any increased operatng costs, taxes or capital investments (other than with respect to any carbon reducton or capture technologies) relatng to GHG emission limitatons at those plants from our customers in order to remain compettve in pricing in the relevant markets. Our businesses also are dependent on reliable sources of energy and fuels. We could incur increased costs or disruptons in our operatons if climate change legislaton and regulaton (including regulatory changes with respect to alternatve fuel use) or severe weather afect the price or availability of purchased energy or fuels or other materials used in our operatons.</w:t>
      </w:r>
    </w:p>
    <w:p>
      <w:pPr>
        <w:spacing w:after="0" w:line="10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While we do not currently believe such requirements will have a material adverse efect on the fnancial conditon or results of the operatons of either the Magnesia Specialtes business or Building Materials business, in light of the various regulatory uncertaintes, it is very difcult at this tme to reasonably predict the costs of any future compliance requirements. We contnue to monitor GHG regulatons and legislaton and its potental impact on our business, fnancial conditon and product demand.</w:t>
      </w:r>
    </w:p>
    <w:p>
      <w:pPr>
        <w:spacing w:after="0" w:line="106"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Climate change may result in physical impacts that could have adverse efects on our operatons or fnancial conditon</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Given the nature of our operatons, physical impacts may include disruptons in producton, regional supply or product distributon networks, as well as negatve impacts on the price or availability of purchased energy or fuels, due to major storm events or other severe weather, shifs in regional rainfall and temperature paterns and intensites, and fooding from sea level changes. In additon, producton and shipment demand for our Building Materials business correlate with general constructon actvity and rely on road, rail and water transportaton networks, most of which occurs outdoors and, as a result, is afected by erratc weather paterns, seasonal changes and other unusual or unexpected weather-related conditons, which can signifcantly afect that business. In our cement and downstream operatons business, the physical impacts of climate change may result in disruptons to our operatons and to our customers’ transportaton actvites, including impacts on producton capabilites and capacites, supply chain interruptons and project delays, which can impact our reputaton and result in additonal costs to our Company. Excessive rainfall and other severe weather events also jeopardize producton, shipments and proftability in all markets served by our Building Materials business. In partcular, our operatons in the southeastern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96520</wp:posOffset>
            </wp:positionV>
            <wp:extent cx="325755" cy="1968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4"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0" w:name="page21"/>
    <w:bookmarkEnd w:id="20"/>
    <w:p>
      <w:pPr>
        <w:ind w:left="902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1A – Risk Factors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Gulf Coast regions of the United States and The Bahamas are at risk for hurricane actvity, most notably in August, September and October. In additon, our California operatons are at risk for wildfres, which is exacerbated by prolonged drought, which may also result in water restrictons, while recent unprecedented storms and fooding have caused operatonal delays and challenges. Increased intensity and frequency of extreme weather events have been linked to climate change, and further global warming may increase the risk of adverse weather conditons. Climate and inclement weather can also reduce the useful life of an asset. These and other climate-related risks, such as a downturn in the constructon sector due to harsh weather, signifcant precipitaton or other changes in weather, could impact our customers, which could lead to reduced demand for our products. We may not be able to pass on to our customers all the costs related to mitgatng these risks.</w:t>
      </w:r>
    </w:p>
    <w:p>
      <w:pPr>
        <w:spacing w:after="0" w:line="217"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Our business is dependent on funding from a combinaton of federal, state and local sources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products are used in public infrastructure projects, which include the constructon, maintenance and improvement of highways, streets, roads, bridges, schools and similar projects. Accordingly, our business is dependent on the level of federal, state and local spending on these projects. The visibility into future federal infrastructure funding was clarifed and stabilized to some extent in 2015 with the passage of the Fixing America’s Surface Transportaton, or FAST Act, which reauthorized federal highway and transportaton funding programs. Further clarifcaton was provided with the passage of the $1 trillion IIJ Act in November 2021, which contains a fve-year surface transportaton reauthorizaton plus $110 billion in new funding for roads, bridges and other hard infrastructure projects. At the federal level, we expect to see a meaningful impact from the IIJ Act beginning in 2023. Further, we contnue to expect to see increased infrastructure spending at the state and local levels in 2023, aided by $10 billion for state departments of transportaton provided by the December 2020 federal stmulus package, the Cornyn-Padilla Amendment that allows $104 billion of unused COVID-19 dollars to be directed to infrastructure projects and $23 billion of approved 2022 ballot initatves. We cannot be assured, however, of the amount and tming of appropriatons for spending on infrastructure projects.</w:t>
      </w:r>
    </w:p>
    <w:p>
      <w:pPr>
        <w:spacing w:after="0" w:line="221"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Our businesses could be impacted by rising interest rates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operatons are highly dependent upon the interest rate-sensitve constructon and steelmaking industries. Therefore, our business in these industries may decline if interest rates rise and costs increase.</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Notably, demand in the residental constructon market in which we sell our aggregates products is afected by interest rates. The Federal Reserve aggressively raised interest rates throughout 2022 to address high infaton. The higher interest rates may afect our business in an adverse manner. The residental constructon market accounted for 24% of our aggregates shipments in 2022.</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Aside from these inherent risks from within our operatons, our earnings are also afected by changes in short-term interest rates. However, rising interest rates are not necessarily predictve of weaker operatng results.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Rising interest rates could also result in disruptons in the credit markets, which could afect our business, as described in greater detail under </w:t>
      </w:r>
      <w:r>
        <w:rPr>
          <w:rFonts w:ascii="Calibri" w:cs="Calibri" w:eastAsia="Calibri" w:hAnsi="Calibri"/>
          <w:sz w:val="18"/>
          <w:szCs w:val="18"/>
          <w:i w:val="1"/>
          <w:iCs w:val="1"/>
          <w:color w:val="auto"/>
        </w:rPr>
        <w:t>Disruptons in</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the credit markets could afect our business </w:t>
      </w:r>
      <w:r>
        <w:rPr>
          <w:rFonts w:ascii="Calibri" w:cs="Calibri" w:eastAsia="Calibri" w:hAnsi="Calibri"/>
          <w:sz w:val="18"/>
          <w:szCs w:val="18"/>
          <w:color w:val="auto"/>
        </w:rPr>
        <w:t>risk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92710</wp:posOffset>
            </wp:positionV>
            <wp:extent cx="325755" cy="1968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1" w:name="page22"/>
    <w:bookmarkEnd w:id="21"/>
    <w:p>
      <w:pPr>
        <w:ind w:left="902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1A – Risk Factors</w:t>
      </w:r>
    </w:p>
    <w:p>
      <w:pPr>
        <w:spacing w:after="0" w:line="211"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Increases in our efectve income tax rate may harm our results of operatons</w:t>
      </w:r>
    </w:p>
    <w:p>
      <w:pPr>
        <w:spacing w:after="0" w:line="54" w:lineRule="exact"/>
        <w:rPr>
          <w:sz w:val="20"/>
          <w:szCs w:val="20"/>
          <w:color w:val="auto"/>
        </w:rPr>
      </w:pPr>
    </w:p>
    <w:p>
      <w:pPr>
        <w:spacing w:after="0"/>
        <w:rPr>
          <w:sz w:val="20"/>
          <w:szCs w:val="20"/>
          <w:color w:val="auto"/>
        </w:rPr>
      </w:pPr>
      <w:r>
        <w:rPr>
          <w:rFonts w:ascii="Calibri" w:cs="Calibri" w:eastAsia="Calibri" w:hAnsi="Calibri"/>
          <w:sz w:val="18"/>
          <w:szCs w:val="18"/>
          <w:color w:val="auto"/>
        </w:rPr>
        <w:t>A number of factors may increase our future efectve income tax rate, including:</w:t>
      </w:r>
    </w:p>
    <w:p>
      <w:pPr>
        <w:spacing w:after="0" w:line="64" w:lineRule="exact"/>
        <w:rPr>
          <w:sz w:val="20"/>
          <w:szCs w:val="20"/>
          <w:color w:val="auto"/>
        </w:rPr>
      </w:pPr>
    </w:p>
    <w:p>
      <w:pPr>
        <w:ind w:left="800" w:hanging="397"/>
        <w:spacing w:after="0"/>
        <w:tabs>
          <w:tab w:leader="none" w:pos="8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governmental authorites increasing taxes or eliminatng deductons, partcularly the depleton deducton;</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mix of earnings from depletable versus non-depletable businesses;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jurisdictons in which earnings are taxed;</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resoluton of issues arising from tax audits with various tax authorites;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changes in the valuaton of our deferred tax assets and liabilites;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adjustments to estmated taxes upon fnalizaton of various tax returns;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changes in available tax credits;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changes in stock-based compensaton;</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other changes in tax laws; and</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interpretaton of tax laws and/or administratve practces.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IIJ Act imposes a minimum corporate income tax rate of 15% on companies with at least $1 billion of pretax earnings. Any signifcant increase in our future efectve income tax rate could reduce our net earnings and free cash fow for future periods.</w:t>
      </w:r>
    </w:p>
    <w:p>
      <w:pPr>
        <w:spacing w:after="0" w:line="107"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Environmental, social and governance maters and any related reportng obligatons may impact our businesses</w:t>
      </w:r>
    </w:p>
    <w:p>
      <w:pPr>
        <w:spacing w:after="0" w:line="113"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Investors, other stakeholders, and U.S. and internatonal regulators are increasingly focused on environmental, social and governance (ESG) maters. For example, new proposed U.S. laws and regulatons relatng to and requiring disclosure of ESG maters, including those relatng to sustainability, climate change, supply chain, human capital, diversity and cybersecurity, are under consideraton or being adopted, or may be proposed in the future. These requirements have resulted in and may contnue to result in our need to make additonal investments and implement new practces and reportng processes, all entailing management atenton and additonal compliance risk. Any failure or perceived failure to achieve or accurately report on our current or future ESG-related commitments, including our GHG reducton and net zero targets, and any diferences between our commitments and those of any companies to which we are compared, could harm our reputaton, adversely afect our ability to efectvely compete (including as a result of disclosure of proprietary informaton regarding our plants or changes in our ability to raise capital), adversely afect our recruitment and retenton eforts or expose us to potental legal liability. In additon, while we are commited to pursuing our sustainability objectves, there is no assurance that we will achieve any of our ESG goals or commitments, that low- or non-carbon-based energy sources and technologies required to meet long-term emissions reductons in some of the sectors in which we operate will be available at scale in the U.S. on an economically feasible basis or that our suppliers can meet sustainability, diversity and other standards that are required by current or future laws or established by our investors and other stakeholders. Failure to meet these commitments could result in reputatonal harm to our Company and changes regarding climate risk management and practces may result in higher regulatory and compliance risks and costs.</w:t>
      </w:r>
    </w:p>
    <w:p>
      <w:pPr>
        <w:spacing w:after="0" w:line="116" w:lineRule="exact"/>
        <w:rPr>
          <w:sz w:val="20"/>
          <w:szCs w:val="20"/>
          <w:color w:val="auto"/>
        </w:rPr>
      </w:pPr>
    </w:p>
    <w:p>
      <w:pPr>
        <w:jc w:val="both"/>
        <w:spacing w:after="0" w:line="252" w:lineRule="auto"/>
        <w:rPr>
          <w:sz w:val="20"/>
          <w:szCs w:val="20"/>
          <w:color w:val="auto"/>
        </w:rPr>
      </w:pPr>
      <w:r>
        <w:rPr>
          <w:rFonts w:ascii="Calibri" w:cs="Calibri" w:eastAsia="Calibri" w:hAnsi="Calibri"/>
          <w:sz w:val="21"/>
          <w:szCs w:val="21"/>
          <w:b w:val="1"/>
          <w:bCs w:val="1"/>
          <w:i w:val="1"/>
          <w:iCs w:val="1"/>
          <w:color w:val="4EAD8A"/>
        </w:rPr>
        <w:t>Our businesses could be adversely afected by new waves of COVID-19 or its variants, or any other outbreak of disease, epidemic or pandemic, or similar public health threat, or fear of such an event and its related economic and societal response</w:t>
      </w:r>
    </w:p>
    <w:p>
      <w:pPr>
        <w:spacing w:after="0" w:line="102"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Our businesses could be negatvely impacted by the widespread outbreak of an illness or other communicable disease, or any other public health crisis that results in economic and trade disruptons. Public health threats like COVID-19 or its variants can negatvely impact economic actvity, consumer confdence and discretonary spending, and overall market conditons and these conditons could have an impact on our Company to the extent that they occur in regions where our Building Materials business principally operates. Further, COVID-19 or other outbreaks of illnesses could negatvely afect the health of our employees, employee productvity, customer purchasing paterns and fulfllment of purchase orders, availability of supplies, pricing for raw materials and the ability to transport materials via the Company’s distributon network. We actvely monitor public health situatons as part of our health and safety measures and acted during the pandemic to comply with federal, state and local mandates and to protect the health and safety of our employees. We may take further actons that alter our business operatons, including any that may be required by federal, state or local authorites or that we determine are in the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86360</wp:posOffset>
            </wp:positionV>
            <wp:extent cx="325755" cy="1968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2" w:name="page23"/>
    <w:bookmarkEnd w:id="22"/>
    <w:p>
      <w:pPr>
        <w:ind w:left="902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1A – Risk Factors</w:t>
      </w:r>
    </w:p>
    <w:p>
      <w:pPr>
        <w:spacing w:after="0" w:line="169" w:lineRule="exact"/>
        <w:rPr>
          <w:sz w:val="20"/>
          <w:szCs w:val="20"/>
          <w:color w:val="auto"/>
        </w:rPr>
      </w:pPr>
    </w:p>
    <w:p>
      <w:pPr>
        <w:spacing w:after="0"/>
        <w:rPr>
          <w:sz w:val="20"/>
          <w:szCs w:val="20"/>
          <w:color w:val="auto"/>
        </w:rPr>
      </w:pPr>
      <w:r>
        <w:rPr>
          <w:rFonts w:ascii="Calibri" w:cs="Calibri" w:eastAsia="Calibri" w:hAnsi="Calibri"/>
          <w:sz w:val="18"/>
          <w:szCs w:val="18"/>
          <w:color w:val="auto"/>
        </w:rPr>
        <w:t>interests of our employees, customers, suppliers, vendors, communites and other stakeholders as we adapt to public health events from tme to tme.</w:t>
      </w:r>
    </w:p>
    <w:p>
      <w:pPr>
        <w:spacing w:after="0" w:line="185"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Personnel Risks</w:t>
      </w:r>
    </w:p>
    <w:p>
      <w:pPr>
        <w:spacing w:after="0" w:line="11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Labor disputes could disrupt operatons of our businesses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Labor unions represent approximately 15% of the hourly employees of our Building Materials business and all of the hourly employees of our Magnesia Specialtes business. Our collectve bargaining agreements for employees of our Magnesia Specialtes business at the Woodville, Ohio, lime plant and the Manistee, Michigan magnesia chemicals plant expire in June 2026 and August 2027, respectvely.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Disputes with our trade unions, or the inability to renew our labor agreements, could lead to strikes or other actons that could disrupt our businesses, raise costs and reduce revenues and earnings from the afected locatons.</w:t>
      </w:r>
    </w:p>
    <w:p>
      <w:pPr>
        <w:spacing w:after="0" w:line="225"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b w:val="1"/>
          <w:bCs w:val="1"/>
          <w:i w:val="1"/>
          <w:iCs w:val="1"/>
          <w:color w:val="4EAD8A"/>
        </w:rPr>
        <w:t>We depend on the recruitment and retenton of qualifed personnel, and our failure to atract and retain such personnel could adversely afect our business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success depends to a signifcant degree upon the contnued services of, and on our ability to atract and retain, our key personnel and executve ofcers, including qualifed management, technical, marketng and sales, and support personnel. Competton for such personnel is intense, and we may not be successful in atractng or retaining such qualifed personnel, which could negatvely afect our business. In additon, because of our reliance on our senior management team, the unantcipated departure of any key member could have an adverse efect on our business. Our future success depends, in part, on our ability to identfy and develop or recruit talent to succeed our senior management and other key positons throughout the organizaton. If we fail to identfy and develop or recruit successors, we are at risk of being harmed by the departures of these key employees. Efectve succession planning is also important to our long-term success. Failure to ensure efectve transfer of knowledge and smooth transitons involving key employees could hinder our strategic planning and executon.</w:t>
      </w:r>
    </w:p>
    <w:p>
      <w:pPr>
        <w:spacing w:after="0" w:line="230"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b w:val="1"/>
          <w:bCs w:val="1"/>
          <w:i w:val="1"/>
          <w:iCs w:val="1"/>
          <w:color w:val="4EAD8A"/>
        </w:rPr>
        <w:t>Investment returns on our pension assets may be lower than expected, or interest rates may decline, requiring us to make signifcant additonal cash contributons to our beneft plans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porton of our current and former employees has accrued benefts under our defned beneft pension plans. Requirements for funding our pension plan liabilites are based on a number of actuarial assumptons, including the expected rate of return on our plan assets and the discount rate applied to our pension plan obligatons. Fluctuatons in equity market returns and changes in long-term interest rates could increase our costs under our defned beneft pension plans and may signifcantly afect future contributon requirements. It is unknown what the actual investment return on our pension assets will be in future years and what interest rates may be at any given point in tme. We cannot therefore provide any assurance of what our actual pension plan costs will be in the future, or whether we will be required under applicable law to make future material plan contributons.</w:t>
      </w:r>
    </w:p>
    <w:p>
      <w:pPr>
        <w:spacing w:after="0" w:line="188" w:lineRule="exact"/>
        <w:rPr>
          <w:sz w:val="20"/>
          <w:szCs w:val="20"/>
          <w:color w:val="auto"/>
        </w:rPr>
      </w:pPr>
    </w:p>
    <w:p>
      <w:pPr>
        <w:ind w:right="860"/>
        <w:spacing w:after="0" w:line="235" w:lineRule="auto"/>
        <w:rPr>
          <w:sz w:val="20"/>
          <w:szCs w:val="20"/>
          <w:color w:val="auto"/>
        </w:rPr>
      </w:pPr>
      <w:r>
        <w:rPr>
          <w:rFonts w:ascii="Calibri" w:cs="Calibri" w:eastAsia="Calibri" w:hAnsi="Calibri"/>
          <w:sz w:val="22"/>
          <w:szCs w:val="22"/>
          <w:b w:val="1"/>
          <w:bCs w:val="1"/>
          <w:i w:val="1"/>
          <w:iCs w:val="1"/>
          <w:color w:val="4EAD8A"/>
        </w:rPr>
        <w:t>Our reputaton, ability to do business and results of operatons could be impaired by improper conduct by any of our employees, agents or business partners</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subject to regulaton under a wide variety of U.S. federal and state and some non-U.S. laws, regulatons and policies, including laws related to antcorrupton, antbribery, export and import compliance, anttrust and money laundering, due to our operatons. We cannot provide assurance our compliance policies and internal controls will always protect us from the improper conduct of our employees, agents and business partners. Any violatons of law or improper conduct could damage our reputaton and, depending on the circumstances, subject us to, among other things, civil and criminal penaltes, material fnes, equitable remedies (including proft disgorgement and injunctons on future conduct), securites litgaton and a general loss of investor confdence, any one of which could have a material adverse impact on our business prospects, fnancial conditon, results of operatons, cash fows and the market value of our stock.</w:t>
      </w:r>
    </w:p>
    <w:p>
      <w:pPr>
        <w:spacing w:after="0" w:line="109"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Financial, Accountng and Cost Management Risk Factors</w:t>
      </w:r>
    </w:p>
    <w:p>
      <w:pPr>
        <w:spacing w:after="0" w:line="11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Our business is a capital-intensive business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property and machinery needed to produce our products are very expensive. Therefore, we require large amounts of cash to operate our businesses. We believe that our cash on hand, along with our projected operatng cash fows and our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92710</wp:posOffset>
            </wp:positionV>
            <wp:extent cx="325755" cy="1974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3" w:name="page24"/>
    <w:bookmarkEnd w:id="23"/>
    <w:p>
      <w:pPr>
        <w:ind w:left="902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1A – Risk Factors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fnancing resources, is adequate to support our antcipated operatng and capital needs. Our ability to generate sufcient cash fow depends on future performance, which will be subject to general economic conditons, industry cycles and fnancial, business and other factors afectng our operatons, many of which are beyond our control. If we are unable to generate sufcient cash to operate our business, we may be required, among other things, to reduce or delay planned capital or operatng expenditures.</w:t>
      </w:r>
    </w:p>
    <w:p>
      <w:pPr>
        <w:spacing w:after="0" w:line="227"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22"/>
          <w:szCs w:val="22"/>
          <w:b w:val="1"/>
          <w:bCs w:val="1"/>
          <w:i w:val="1"/>
          <w:iCs w:val="1"/>
          <w:color w:val="4EAD8A"/>
        </w:rPr>
        <w:t>Our earnings are afected by the applicaton of accountng standards and our critcal accountng policies, which involve subjectve judgments and estmates by our management. Our estmates and assumptons could be wrong</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accountng standards we use in preparing our fnancial statements are ofen complex and require that we make signifcant estmates and assumptons in interpretng and applying those standards. These estmates and assumptons involve maters that are inherently uncertain and require our subjectve and complex judgments. If we used diferent estmates and assumptons or used diferent ways to determine these estmates, our fnancial results could difer.</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While we believe our estmates and assumptons are appropriate, we could be wrong. Accordingly, our fnancial results could be diferent, either higher or lower. We urge you to read "</w:t>
      </w:r>
      <w:r>
        <w:rPr>
          <w:rFonts w:ascii="Calibri" w:cs="Calibri" w:eastAsia="Calibri" w:hAnsi="Calibri"/>
          <w:sz w:val="18"/>
          <w:szCs w:val="18"/>
          <w:u w:val="single" w:color="auto"/>
          <w:color w:val="007DC6"/>
        </w:rPr>
        <w:t>Critcal Accountng Policies and Estmates</w:t>
      </w:r>
      <w:r>
        <w:rPr>
          <w:rFonts w:ascii="Calibri" w:cs="Calibri" w:eastAsia="Calibri" w:hAnsi="Calibri"/>
          <w:sz w:val="18"/>
          <w:szCs w:val="18"/>
          <w:color w:val="auto"/>
        </w:rPr>
        <w:t xml:space="preserve">" included under </w:t>
      </w:r>
      <w:r>
        <w:rPr>
          <w:rFonts w:ascii="Calibri" w:cs="Calibri" w:eastAsia="Calibri" w:hAnsi="Calibri"/>
          <w:sz w:val="18"/>
          <w:szCs w:val="18"/>
          <w:u w:val="single" w:color="auto"/>
          <w:color w:val="007DC6"/>
        </w:rPr>
        <w:t>Item 7, “Management’s Discussion and Analysis of Financial Conditon</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007DC6"/>
        </w:rPr>
        <w:t>and Results of Operatons,”</w:t>
      </w:r>
      <w:r>
        <w:rPr>
          <w:rFonts w:ascii="Calibri" w:cs="Calibri" w:eastAsia="Calibri" w:hAnsi="Calibri"/>
          <w:sz w:val="18"/>
          <w:szCs w:val="18"/>
          <w:color w:val="007DC6"/>
        </w:rPr>
        <w:t xml:space="preserve"> </w:t>
      </w:r>
      <w:r>
        <w:rPr>
          <w:rFonts w:ascii="Calibri" w:cs="Calibri" w:eastAsia="Calibri" w:hAnsi="Calibri"/>
          <w:sz w:val="18"/>
          <w:szCs w:val="18"/>
          <w:color w:val="000000"/>
        </w:rPr>
        <w:t>of the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1302385</wp:posOffset>
            </wp:positionH>
            <wp:positionV relativeFrom="paragraph">
              <wp:posOffset>-154940</wp:posOffset>
            </wp:positionV>
            <wp:extent cx="58286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8286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12274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227455" cy="825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The adopton of new accountng standards may afect our fnancial results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accountng standards we apply in preparing our fnancial statements are reviewed by regulatory bodies and are periodically changed. New or revised accountng standards could, either positvely or negatvely, afect results reported for periods afer adopton of the standards as compared with the prior periods, or require retrospectve applicaton changing results reported for prior periods. We urge you to read about our accountng policies in </w:t>
      </w:r>
      <w:r>
        <w:rPr>
          <w:rFonts w:ascii="Calibri" w:cs="Calibri" w:eastAsia="Calibri" w:hAnsi="Calibri"/>
          <w:sz w:val="18"/>
          <w:szCs w:val="18"/>
          <w:u w:val="single" w:color="auto"/>
          <w:color w:val="007DC6"/>
        </w:rPr>
        <w:t>Note A:</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007DC6"/>
        </w:rPr>
        <w:t>Accountng Policies</w:t>
      </w:r>
      <w:r>
        <w:rPr>
          <w:rFonts w:ascii="Calibri" w:cs="Calibri" w:eastAsia="Calibri" w:hAnsi="Calibri"/>
          <w:sz w:val="18"/>
          <w:szCs w:val="18"/>
          <w:color w:val="007DC6"/>
        </w:rPr>
        <w:t xml:space="preserve"> </w:t>
      </w:r>
      <w:r>
        <w:rPr>
          <w:rFonts w:ascii="Calibri" w:cs="Calibri" w:eastAsia="Calibri" w:hAnsi="Calibri"/>
          <w:sz w:val="18"/>
          <w:szCs w:val="18"/>
          <w:color w:val="000000"/>
        </w:rPr>
        <w:t>of our consolidated fnancial statements included under</w:t>
      </w:r>
      <w:r>
        <w:rPr>
          <w:rFonts w:ascii="Calibri" w:cs="Calibri" w:eastAsia="Calibri" w:hAnsi="Calibri"/>
          <w:sz w:val="18"/>
          <w:szCs w:val="18"/>
          <w:color w:val="007DC6"/>
        </w:rPr>
        <w:t xml:space="preserve"> </w:t>
      </w:r>
      <w:r>
        <w:rPr>
          <w:rFonts w:ascii="Calibri" w:cs="Calibri" w:eastAsia="Calibri" w:hAnsi="Calibri"/>
          <w:sz w:val="18"/>
          <w:szCs w:val="18"/>
          <w:u w:val="single" w:color="auto"/>
          <w:color w:val="007DC6"/>
        </w:rPr>
        <w:t>Item 8, “Financial Statements and Supplementary Data,”</w:t>
      </w:r>
      <w:r>
        <w:rPr>
          <w:rFonts w:ascii="Calibri" w:cs="Calibri" w:eastAsia="Calibri" w:hAnsi="Calibri"/>
          <w:sz w:val="18"/>
          <w:szCs w:val="18"/>
          <w:color w:val="007DC6"/>
        </w:rPr>
        <w:t xml:space="preserve"> </w:t>
      </w:r>
      <w:r>
        <w:rPr>
          <w:rFonts w:ascii="Calibri" w:cs="Calibri" w:eastAsia="Calibri" w:hAnsi="Calibri"/>
          <w:sz w:val="18"/>
          <w:szCs w:val="18"/>
          <w:color w:val="000000"/>
        </w:rPr>
        <w:t>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-154305</wp:posOffset>
            </wp:positionV>
            <wp:extent cx="3587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587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8674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867410" cy="8255"/>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-17145</wp:posOffset>
            </wp:positionV>
            <wp:extent cx="25400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540000" cy="8255"/>
                    </a:xfrm>
                    <a:prstGeom prst="rect">
                      <a:avLst/>
                    </a:prstGeom>
                    <a:noFill/>
                  </pic:spPr>
                </pic:pic>
              </a:graphicData>
            </a:graphic>
          </wp:anchor>
        </w:drawing>
      </w:r>
    </w:p>
    <w:p>
      <w:pPr>
        <w:spacing w:after="0" w:line="9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Reports from the Public Company Accountng Oversight Board’s (PCAOB) inspectons of public accountng frms contnue to outline fndings and recommendatons that could require these frms to perform additonal work as part of their fnancial statement audits. Our costs to respond to these additonal requirements may increase.</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Impairment charges could have a material adverse efect on our fnancial results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Goodwill and other acquired intangible assets expected to contribute indefnitely to our cash fows are not amortzed, but must be evaluated for impairment by management at least annually. If the carrying value of a reportng unit exceeds its fair value, the reportng unit's goodwill is considered impaired and a non-cash charge to earnings is recorded for the diference. If the carrying value of an indefnite-lived intangible asset is greater than its fair value, the intangible asset is considered impaired and is reduced to fair value via a non-cash charge to earnings. Future events may occur that would adversely afect the fair value of our goodwill or other acquired intangible assets and require impairment charges. Such events may include, but are not limited to, lower-than-forecasted revenues, constructon growth rates that fall below our assumptons, actons of key customers, increases in discount rates, contnued economic uncertainty, higher levels of unemployment, weak consumer confdence, lower levels of discretonary consumer spending and a decline in the trading price of our common stock. We contnue to evaluate the impact of economic and other developments to assess whether impairment indicators are present. Accordingly, we may be required to perform impairment tests based on changes in the economic environment and other factors, and these tests could result in impairment charges in the future.</w:t>
      </w:r>
    </w:p>
    <w:p>
      <w:pPr>
        <w:spacing w:after="0" w:line="219"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Disruptons in the credit markets could afect our business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considered the current economic environment and its potental impact to our business. Demand for aggregates products, partcularly in the infrastructure constructon market, has historically been negatvely afected by federal and state budget challenges and the uncertainty over future highway funding levels. Further, delays or cancellatons to capital projects in the nonresidental and residental constructon markets could occur if companies and consumers are unable to obtain fnancing for constructon projects or if consumer confdence is eroded by economic uncertainty.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recessionary constructon economy can also increase the likelihood we will not be able to collect all of our accounts receivable from our customers. We are protected in part, however, by payment bonds posted by many of our customers or end-users, as well as statutory lien rights. Nevertheless, we may experience a delay in payment from some of our customers during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92710</wp:posOffset>
            </wp:positionV>
            <wp:extent cx="325755" cy="1974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149"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4" w:name="page25"/>
    <w:bookmarkEnd w:id="24"/>
    <w:p>
      <w:pPr>
        <w:ind w:left="902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1A – Risk Factors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constructon downturn, which would negatvely afect operatng cash fows. Historically, our bad debt write-ofs have not been signifcant to our operatng results, and we believe our allowance for credit losses is adequate.</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credit environment could impact our ability to borrow money in the future. Additonal fnancing or refnancing might not be available and, if available, may not be at economically favorable terms. Further, an increase in leverage could lead to deterioraton in our credit ratngs. A reducton in our credit ratngs, regardless of the cause, could also limit our ability to obtain additonal fnancing and/or increase our cost of obtaining fnancing. There is no guarantee we will be able to access the capital markets at fnancially economical interest rates, which could negatvely afect our business.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may be required to obtain fnancing in order to fund certain strategic acquisitons, if they arise, or to refnance our outstanding debt. It is possible a large strategic acquisiton would require that we issue new equity and debt securites in order to maintain our investment-grade credit ratng and could result in a ratngs downgrade notwithstanding our issuance of equity securites to fund the transacton. We are also exposed to risks from tghtening credit markets, through the interest payable on any variable-rate debt, including the interest cost on future borrowings under our credit facilites. While we believe our credit ratngs will remain at a composite investment-grade level, we cannot be assured these ratngs will remain at those levels. Also, while we believe our Company will contnue to have adequate credit available to meet its needs, there can be no assurance of that.</w:t>
      </w:r>
    </w:p>
    <w:p>
      <w:pPr>
        <w:spacing w:after="0" w:line="218"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Our Magnesia Specialtes business faces currency risks from its overseas actvites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Magnesia Specialtes business sells some of its products outside the United States. Therefore, the operatons of the Magnesia Specialtes business are afected from tme to tme by the fuctuatng values of the currency exchange rates of the countries in which it does business in relaton to the value of the U.S. Dollar. The business tries to mitgate the short-term efects of currency exchange rates by primarily denominatng sales in the U.S. Dollar. This stll leaves the business subject to certain risks, depending on the strength of the U.S. Dollar.</w:t>
      </w:r>
    </w:p>
    <w:p>
      <w:pPr>
        <w:spacing w:after="0" w:line="227"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b w:val="1"/>
          <w:bCs w:val="1"/>
          <w:i w:val="1"/>
          <w:iCs w:val="1"/>
          <w:color w:val="4EAD8A"/>
        </w:rPr>
        <w:t>Unexpected equipment failures, catastrophic events and scheduled maintenance may lead to producton curtailments or shutdowns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manufacturing processes are dependent upon critcal pieces of equipment, such as our kilns and fnishing mills. This equipment, on occasion, may be out of service as a result of planned or unplanned maintenance, failures or damage during accidents. In additon to equipment failures, our facilites are also subject to the risk of catastrophic loss due to unantcipated events such as fres, explosions or violent weather conditons. We have scheduled outages that can range from one to several weeks at least once a year to refurbish our cement and dolomitc lime producton facilites. In 2022, our cement and Magnesia Specialtes operatons incurred shutdown costs of $33.3 million and $6.0 million, respectvely. Any signifcant interrupton in producton capability may require us to make signifcant capital expenditures to remedy problems or damage as well as cause us to lose revenue due to lost producton tme.</w:t>
      </w:r>
    </w:p>
    <w:p>
      <w:pPr>
        <w:spacing w:after="0" w:line="218"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Our paving operatons present additonal risks to our business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paving operatons face challenges when our contracts have penaltes for late completon. In some instances, including many of our fxed-price contracts, we guarantee project completon by a certain date. If we subsequently fail to complete the project as scheduled, we may be held responsible for costs resultng from the delay, generally in the form of contractually agreed-upon liquidated damages. Under these circumstances, the total project cost could exceed our original estmate, and we could experience a loss of proft or a loss on the project. In our paving operatons, we also have fxed-price and fxed-unit-price contracts where our profts can be adversely afected by a number of factors beyond our control, which can cause our actual costs to materially exceed the costs estmated at the tme of our original bid. These same issues and risks can also impact some of our contracts in our asphalt and ready mixed concrete operatons. These risks are somewhat mitgated by the fact that a majority of our road paving contracts are for short-term projects.</w:t>
      </w:r>
    </w:p>
    <w:p>
      <w:pPr>
        <w:spacing w:after="0" w:line="229"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b w:val="1"/>
          <w:bCs w:val="1"/>
          <w:i w:val="1"/>
          <w:iCs w:val="1"/>
          <w:color w:val="4EAD8A"/>
        </w:rPr>
        <w:t>Our ready mixed concrete and asphalt and paving product lines have lower proft margins and operatng results can be more volatle</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ready mixed concrete and asphalt and paving operatons typically generate lower proft margins than our aggregates and cement operatons due to potentally volatle input costs, highly compettve market dynamics and lower barriers to entry. To reduce our exposure to fuctuatons in raw materials costs, we divested our ready mixed concrete operatons in Colorado and Central Texas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92710</wp:posOffset>
            </wp:positionV>
            <wp:extent cx="325755" cy="1968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9"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5" w:name="page26"/>
    <w:bookmarkEnd w:id="25"/>
    <w:p>
      <w:pPr>
        <w:jc w:val="right"/>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1A – Risk Factors</w:t>
      </w:r>
    </w:p>
    <w:p>
      <w:pPr>
        <w:spacing w:after="0" w:line="169"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Suppliers, Raw Materials and Energy Costs Risk Factors</w:t>
      </w:r>
    </w:p>
    <w:p>
      <w:pPr>
        <w:spacing w:after="0" w:line="113"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Short supplies and high costs of fuel, energy and raw materials afect our businesses</w:t>
      </w:r>
    </w:p>
    <w:p>
      <w:pPr>
        <w:spacing w:after="0" w:line="61"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Our businesses require a contnued supply of diesel fuel, natural gas, coal, petroleum coke and other energy. Our fnancial results have historically been afected by the short supply or high costs of these fuels and energy. Changes in energy costs also afect the prices that we pay for related supplies, including explosives, conveyor beltng and tres. While we can contract for some fuels and sources of energy, such as fxed-price supply contracts for natural gas, coal and petroleum coke, signifcant increases in costs or reduced availability of these items have and may in the future reduce our fnancial results. Moreover, fuctuatons in the supply and costs of these fuels and energy can make planning for our businesses more difcult. Because of the fuctuatng trends in diesel fuel prices, we may enter into fxed-price fuel agreements from tme to tme for a porton of our diesel fuel to reduce our diesel fuel price risk.</w:t>
      </w:r>
    </w:p>
    <w:p>
      <w:pPr>
        <w:spacing w:after="0" w:line="10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Cement producton requires large amounts of energy, including electricity and fossil fuels. Energy costs represented approximately 28% of the 2022 producton costs of our cement operatons. Therefore, the cost of energy is one of our largest expenses. Prices for energy are subject to market forces largely beyond our control and can be volatle. Cost increases that we are unable to pass through in the form of price increases for our products or disrupton of the uninterrupted supply of fuel and electricity could adversely afect us. Accordingly, energy cost volatlity can adversely afect the fnancial results of our cement operatons. The cement operatons have fxed-price agreements for a porton of their 2023 coal, power and natural gas needs.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Similarly, our downstream operatons also require a contnued supply of liquid asphalt and cement, which serve as key raw materials in the producton of hot mix asphalt and ready mixed concrete, respectvely. Some of these raw materials we produce internally, but most are purchased from third partes. These purchased raw materials are subject to potental supply constraints and signifcant price fuctuatons, which are beyond our control. The fnancial results of our ready mixed concrete and asphalt and paving operatons have been afected by the short supply or high costs of these raw materials. We generally see frequent volatlity in the costs for these raw materials.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Our Magnesia Specialtes business has fxed-price agreements for approximately 39% of its 2023 coal and natural gas needs.</w:t>
      </w:r>
    </w:p>
    <w:p>
      <w:pPr>
        <w:spacing w:after="0" w:line="214"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Cement is sensitve to supply and price volatlity</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Cement competton is ofen based primarily on price, which is highly sensitve to changes in supply and demand. Prices may fuctuate signifcantly in response to relatvely minor changes in supply and demand, general economic conditons and other market conditons, which we cannot control. When cement producers increase producton capacity or more cement is imported into the market, an oversupply of cement in the market may occur if supply exceeds demand. In that case, cement prices generally decline. We cannot be assured that prices for our cement products sold will not decline in the future or that such decline will not have a material adverse efect on our cement product line.</w:t>
      </w:r>
    </w:p>
    <w:p>
      <w:pPr>
        <w:spacing w:after="0" w:line="217"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Our Magnesia Specialtes business depends in part on the steel industry and the supply of reasonably priced fuels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Magnesia Specialtes business sells some of its products to companies in the steel industry. While we have reduced this risk over the last few years, this business is stll dependent, in part, on the strength of the cyclical steel industry. Our Magnesia Specialtes business also requires signifcant amounts of natural gas, coal and petroleum coke, and fnancial results are negatvely afected by increases in fuel prices or shortages.</w:t>
      </w:r>
    </w:p>
    <w:p>
      <w:pPr>
        <w:spacing w:after="0" w:line="187"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Cyber and Informaton Security Risk Factors</w:t>
      </w:r>
    </w:p>
    <w:p>
      <w:pPr>
        <w:spacing w:after="0" w:line="12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22"/>
          <w:szCs w:val="22"/>
          <w:b w:val="1"/>
          <w:bCs w:val="1"/>
          <w:i w:val="1"/>
          <w:iCs w:val="1"/>
          <w:color w:val="4EAD8A"/>
        </w:rPr>
        <w:t>We are dependent on informaton technology and our systems and infrastructure face certain risks, including cybersecurity risks and data leakage risks</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operatons rely on the secure processing, storage and transmission of confdental, sensitve, proprietary and other types of informaton relatng to our business operatons, as well as confdental and sensitve informaton about our customers and employees maintained in our computer systems and networks, certain products and services and in the computer systems and networks of our third-party vendors, including cloud-based systems and managed service providers. Cyber threats are rapidly evolving as data thieves and hackers have become increasingly sophistcated and carry out direct large-scale, complex automated atacks against a company or through vendor sofware supply chain compromises. In additon, we have relied on our informaton technology infrastructure to support remote work from tme to tme and may need to do so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94615</wp:posOffset>
            </wp:positionV>
            <wp:extent cx="325755" cy="1968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2"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6" w:name="page27"/>
    <w:bookmarkEnd w:id="26"/>
    <w:p>
      <w:pPr>
        <w:ind w:left="902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1A – Risk Factors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which can increase cyber risks. We are not able to antcipate or prevent all such atacks and could be held liable for any resultng material security breach or data loss. In additon, it is not always possible to deter misconduct by employees or third-party vendors.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experienced atacks to breach the security of our informaton technology systems, although all such breaches have been detected early and before any sensitve data or access was impacted or taken. Breaches of our technology systems, or those of our vendors and customers, whether from circumventon of security systems, denial-of-service atacks or other cyber-atacks, hacking, “phishing” atacks, computer viruses, ransomware or malware, employee or insider error, malfeasance, social engineering, vendor sofware supply chain compromises, physical breaches or other actons, may result in manipulaton or corrupton of sensitve data, material interruptons or malfunctons in our Company’s or such vendors’ and customers’ websites, applicatons, data processing and certain products and services, or disrupton of other business operatons. Furthermore, any such breaches could compromise the confdentality and integrity of material informaton held by our Company (including informaton about our business, employees or customers), as well as sensitve personally identfable informaton, the disclosure of which could lead to identty thef. Breaches of our products that rely on technology and internet connectvity can expose our Company to product and other liability risk and reputatonal harm. Measures that we take to avoid, detect, mitgate or recover from material incidents, may be insufcient, circumvented, or may become inefectve.</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invested and contnue to invest in risk management and informaton security and data privacy measures in order to protect our systems and data, including employee training, organizatonal investments, incident response plans, table top exercises and technical defenses. The cost and operatonal consequences of implementng, maintaining and enhancing further data or system protecton measures could increase signifcantly to overcome increasingly intense, complex and sophistcated global cyber threats. Despite our best eforts, we are not fully insulated from data breaches and system disruptons. Recent well-publicized security breaches at other companies have led to enhanced government and regulatory scrutny of the measures taken by companies to protect against cyber atacks, and may in the future result in heightened cybersecurity requirements, including additonal regulatory expectatons for oversight of vendors and service providers. Any material breaches of cybersecurity, including the accidental loss, inadvertent disclosure or unapproved disseminaton of proprietary informaton or sensitve or confdental data, or media reports of perceived security vulnerabilites to our systems, products and services or those of third partes relied upon by our Company could cause us to experience reputatonal harm, loss of customers and revenue, fnes, regulatory actons and scrutny, sanctons or other statutory penaltes, litgaton, liability for failure to safeguard our customers’ informaton or fnancial losses that are either not insured against or not fully covered through any insurance maintained by our Company. The report, rumor or assumpton regarding a potental breach may have similar results, even if no breach has been atempted or occurred. Any of the foregoing may have a material adverse efect on our business, operatng results and fnancial conditon.</w:t>
      </w:r>
    </w:p>
    <w:p>
      <w:pPr>
        <w:spacing w:after="0" w:line="222"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We are exposed to risks related to compliance with data privacy laws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California Consumer Privacy Act of 2018 (CCPA), which went into efect in January 2020, provides, among other things, a new private right of acton for data breaches, requires companies that process informaton on California residents to make new disclosures to consumers about their data collecton, use and sharing practces, and provides consumers with additonal rights. The California Privacy Rights and Enforcement Act, which became efectve on January 1, 2023, amends and expands the CCPA, creatng new industry requirements, consumer privacy rights and enforcement mechanisms. Similarly, to conduct certain of our operatons, we move data across natonal borders, and consequently are subject to a variety of contnuously evolving and developing laws and regulatons in the United States and abroad regarding privacy, data protecton and data security. The scope of the laws that may be applicable to our business is ofen uncertain and may be confictng, partcularly with respect to foreign laws. For example, the European Union’s General Data Protecton Regulaton (GDPR), which became efectve in May 2018, greatly increased the jurisdictonal reach of European Union law and added a broad array of requirements for handling personal data, including the public disclosure of signifcant data breaches. Our reputaton and brand and our ability to atract new customers could also be adversely impacted if we fail, or are perceived to have failed, to properly respond to security breaches of ours or third party’s informaton technology systems. Such failure to properly respond could also result in similar exposure to liability.</w:t>
      </w:r>
    </w:p>
    <w:p>
      <w:pPr>
        <w:spacing w:after="0" w:line="1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All of these evolving compliance and operatonal requirements impose signifcant costs that are likely to increase over tme. Privacy laws that may be implemented in the future will contnue to require changes to certain business practces, thereby increasing costs, or may result in negatve publicity, require signifcant management tme and atenton, and may subject our Company to remedies that may harm our business, including fnes or demands or orders that we modify or cease existng business practces.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93345</wp:posOffset>
            </wp:positionV>
            <wp:extent cx="325755" cy="1968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7" w:name="page28"/>
    <w:bookmarkEnd w:id="27"/>
    <w:p>
      <w:pPr>
        <w:jc w:val="right"/>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1A – Risk Factors</w:t>
      </w:r>
    </w:p>
    <w:p>
      <w:pPr>
        <w:spacing w:after="0" w:line="169"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Other Risk Factors</w:t>
      </w:r>
    </w:p>
    <w:p>
      <w:pPr>
        <w:spacing w:after="0" w:line="113"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Delays or interruptons in shipping products of our businesses could afect our operatons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Transportaton logistcs play an important role in allowing us to supply products to our customers, whether by truck, rail or water. We also rely heavily on third-party truck and rail transportaton to ship coal, natural gas and other fuels to our plants. Any signifcant delays, disruptons or the non-availability of our transportaton support system could negatvely afect our operatons. Transportaton operatons are subject to capacity constraints, high fuel costs and various hazards, including extreme weather conditons and slowdowns due to labor strikes and other work stoppages. In Texas, we compete for third-party trucking services with operatons in the oil and gas felds, which can signifcantly constrain the availability of those services to us. If there are material changes in the availability or cost of transportaton services, we may not be able to arrange alternatve and tmely means to transport our products or fuels at a reasonable cost, which could lead to interruptons or slowdowns in our businesses or increases in our costs.</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availability of railcars can also afect our ability to transport our products. Railcars can be used to transport many diferent types of products across all of our segments. If owners sell or lease railcars for use in other industries, we may not have enough railcars to transport our products.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long-term agreements with shipping companies to provide ships to transport our aggregates products from our Bahamas and Nova Scota operatons to various coastal ports. These contracts have varying expiraton dates ranging from 2023 to 2027 and generally contain renewal optons. Our inability to renew these agreements or enter into new ones with other shipping companies could afect our ability to transport our products.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Some of our products are distributed by barges along rivers in Ohio and West Virginia. We may experience, to a lesser degree, risks associated with distributng our products by barges, including signifcant delays, disruptons or the non-availability of our barge transportaton system that could negatvely afect our operatons, water levels that could afect our ability to transport our products by barge, and barges that may not be available in quanttes that we might need from tme to tme to support our operatons.</w:t>
      </w:r>
    </w:p>
    <w:p>
      <w:pPr>
        <w:spacing w:after="0" w:line="216"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Our artcles of incorporaton and bylaws and North Carolina law may inhibit a change in control that you may favor</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restated artcles of incorporaton and restated bylaws and North Carolina law contain provisions that may delay, deter or inhibit a future acquisiton of us not approved by our Board of Directors. This could occur even if our shareholders are ofered an atractve value for their shares or if many or even a majority of our shareholders believe the takeover is in their best interest. These provisions are intended to encourage any person interested in acquiring us to negotate with and obtain the approval of our Board of Directors in connecton with the transacton. Provisions that could delay, deter or inhibit a future acquisiton include the following:</w:t>
      </w:r>
    </w:p>
    <w:p>
      <w:pPr>
        <w:spacing w:after="0" w:line="67" w:lineRule="exact"/>
        <w:rPr>
          <w:sz w:val="20"/>
          <w:szCs w:val="20"/>
          <w:color w:val="auto"/>
        </w:rPr>
      </w:pPr>
    </w:p>
    <w:p>
      <w:pPr>
        <w:ind w:left="800" w:hanging="397"/>
        <w:spacing w:after="0"/>
        <w:tabs>
          <w:tab w:leader="none" w:pos="80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ability of our Board of Directors to establish the terms of, and issue, preferred stock without shareholder approval;</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requirement that our shareholders may only remove directors for cause;</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inability of our shareholders to call special meetngs of shareholders;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super-majority shareholder approval requirements for business combinaton transactons with certain fve percent shareholders; and</w:t>
      </w:r>
    </w:p>
    <w:p>
      <w:pPr>
        <w:spacing w:after="0" w:line="68" w:lineRule="exact"/>
        <w:rPr>
          <w:rFonts w:ascii="Times New Roman" w:cs="Times New Roman" w:eastAsia="Times New Roman" w:hAnsi="Times New Roman"/>
          <w:sz w:val="18"/>
          <w:szCs w:val="18"/>
          <w:color w:val="auto"/>
        </w:rPr>
      </w:pPr>
    </w:p>
    <w:p>
      <w:pPr>
        <w:ind w:left="800" w:hanging="397"/>
        <w:spacing w:after="0" w:line="235" w:lineRule="auto"/>
        <w:tabs>
          <w:tab w:leader="none" w:pos="80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advance notce requirements for nominatons for electon to our board or for proposing maters that can be acted upon by our shareholders at shareholder meetngs.</w:t>
      </w:r>
    </w:p>
    <w:p>
      <w:pPr>
        <w:spacing w:after="0" w:line="110" w:lineRule="exact"/>
        <w:rPr>
          <w:sz w:val="20"/>
          <w:szCs w:val="20"/>
          <w:color w:val="auto"/>
        </w:rPr>
      </w:pPr>
    </w:p>
    <w:p>
      <w:pPr>
        <w:spacing w:after="0"/>
        <w:rPr>
          <w:sz w:val="20"/>
          <w:szCs w:val="20"/>
          <w:color w:val="auto"/>
        </w:rPr>
      </w:pPr>
      <w:r>
        <w:rPr>
          <w:rFonts w:ascii="Calibri" w:cs="Calibri" w:eastAsia="Calibri" w:hAnsi="Calibri"/>
          <w:sz w:val="17"/>
          <w:szCs w:val="17"/>
          <w:color w:val="auto"/>
        </w:rPr>
        <w:t>Additonally, the occurrence of certain change-of-control events could result in an event of default under certain of our existng or future debt instruments.</w:t>
      </w:r>
    </w:p>
    <w:p>
      <w:pPr>
        <w:spacing w:after="0" w:line="220"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1B – UNRESOLVED STAFF COMMENTS</w:t>
      </w:r>
    </w:p>
    <w:p>
      <w:pPr>
        <w:spacing w:after="0" w:line="118"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There are no unresolved writen comments that were received from the staf of the SEC one hundred and eighty (180) days or more before the end of the Company's fscal year relatng to its periodic or current reports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92710</wp:posOffset>
            </wp:positionV>
            <wp:extent cx="325755" cy="1968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8" w:name="page29"/>
    <w:bookmarkEnd w:id="28"/>
    <w:p>
      <w:pPr>
        <w:jc w:val="right"/>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2 – Propertes</w:t>
      </w:r>
    </w:p>
    <w:p>
      <w:pPr>
        <w:spacing w:after="0" w:line="209"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2 – PROPERTIES</w:t>
      </w:r>
    </w:p>
    <w:p>
      <w:pPr>
        <w:spacing w:after="0" w:line="113"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Building Materials Business</w:t>
      </w:r>
    </w:p>
    <w:p>
      <w:pPr>
        <w:spacing w:after="0" w:line="64"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As of December 31, 2022, the Company processed or shipped aggregates from 344 quarries, mines and distributon terminals in 28 states, Canada and The Bahamas. No individual quarry or mine is material to the Company’s business or fnancial conditon. The Company’s aggregates reserves, on average, represent approximately 75 years at the 2022 annual producton level. However, certain locatons may be subject to more limited reserves and may not be able to expand. As of December 31, 2022, the Company operated 78 aggregates distributon terminals. In total, aggregates locatons (quarries, mines and distributon terminals) include 154 located on land owned by the Company free of major encumbrances, 63 on land owned in part and leased in part, 114 on leased land, and 13 on facilites neither owned nor leased where raw materials are removed under an agreement. In additon, as of December 31, 2022, the Company processed and shipped ready mixed concrete and asphalt products from 132 propertes in fve states, of which 98 are located on land owned by the Company free of major encumbrances, 3 are on land owned in part and leased in part, 28 are on leased land and 3 are at facilites neither owned nor leased.</w:t>
      </w:r>
    </w:p>
    <w:p>
      <w:pPr>
        <w:spacing w:after="0" w:line="100"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An overview of the Company’s quarrying and mining operatons is included in “</w:t>
      </w:r>
      <w:r>
        <w:rPr>
          <w:rFonts w:ascii="Calibri" w:cs="Calibri" w:eastAsia="Calibri" w:hAnsi="Calibri"/>
          <w:sz w:val="17"/>
          <w:szCs w:val="17"/>
          <w:u w:val="single" w:color="auto"/>
          <w:color w:val="007DC6"/>
        </w:rPr>
        <w:t>Business—Building Materials Business</w:t>
      </w:r>
      <w:r>
        <w:rPr>
          <w:rFonts w:ascii="Calibri" w:cs="Calibri" w:eastAsia="Calibri" w:hAnsi="Calibri"/>
          <w:sz w:val="17"/>
          <w:szCs w:val="17"/>
          <w:color w:val="auto"/>
        </w:rPr>
        <w:t>” and “</w:t>
      </w:r>
      <w:r>
        <w:rPr>
          <w:rFonts w:ascii="Calibri" w:cs="Calibri" w:eastAsia="Calibri" w:hAnsi="Calibri"/>
          <w:sz w:val="17"/>
          <w:szCs w:val="17"/>
          <w:u w:val="single" w:color="auto"/>
          <w:color w:val="007DC6"/>
        </w:rPr>
        <w:t>Business—Environmental and</w:t>
      </w:r>
      <w:r>
        <w:rPr>
          <w:rFonts w:ascii="Calibri" w:cs="Calibri" w:eastAsia="Calibri" w:hAnsi="Calibri"/>
          <w:sz w:val="17"/>
          <w:szCs w:val="17"/>
          <w:color w:val="auto"/>
        </w:rPr>
        <w:t xml:space="preserve"> </w:t>
      </w:r>
      <w:r>
        <w:rPr>
          <w:rFonts w:ascii="Calibri" w:cs="Calibri" w:eastAsia="Calibri" w:hAnsi="Calibri"/>
          <w:sz w:val="17"/>
          <w:szCs w:val="17"/>
          <w:u w:val="single" w:color="auto"/>
          <w:color w:val="007DC6"/>
        </w:rPr>
        <w:t>Governmental Regulatons</w:t>
      </w:r>
      <w:r>
        <w:rPr>
          <w:rFonts w:ascii="Calibri" w:cs="Calibri" w:eastAsia="Calibri" w:hAnsi="Calibri"/>
          <w:sz w:val="17"/>
          <w:szCs w:val="17"/>
          <w:color w:val="000000"/>
        </w:rPr>
        <w:t>,” included in</w:t>
      </w:r>
      <w:r>
        <w:rPr>
          <w:rFonts w:ascii="Calibri" w:cs="Calibri" w:eastAsia="Calibri" w:hAnsi="Calibri"/>
          <w:sz w:val="17"/>
          <w:szCs w:val="17"/>
          <w:color w:val="007DC6"/>
        </w:rPr>
        <w:t xml:space="preserve"> </w:t>
      </w:r>
      <w:r>
        <w:rPr>
          <w:rFonts w:ascii="Calibri" w:cs="Calibri" w:eastAsia="Calibri" w:hAnsi="Calibri"/>
          <w:sz w:val="17"/>
          <w:szCs w:val="17"/>
          <w:u w:val="single" w:color="auto"/>
          <w:color w:val="007DC6"/>
        </w:rPr>
        <w:t>Item 1, “Business”</w:t>
      </w:r>
      <w:r>
        <w:rPr>
          <w:rFonts w:ascii="Calibri" w:cs="Calibri" w:eastAsia="Calibri" w:hAnsi="Calibri"/>
          <w:sz w:val="17"/>
          <w:szCs w:val="17"/>
          <w:color w:val="007DC6"/>
        </w:rPr>
        <w:t xml:space="preserve"> </w:t>
      </w:r>
      <w:r>
        <w:rPr>
          <w:rFonts w:ascii="Calibri" w:cs="Calibri" w:eastAsia="Calibri" w:hAnsi="Calibri"/>
          <w:sz w:val="17"/>
          <w:szCs w:val="17"/>
          <w:color w:val="000000"/>
        </w:rPr>
        <w:t>of this Form 10-K, which is incorporated herein by reference. The following map presents the</w:t>
      </w:r>
      <w:r>
        <w:rPr>
          <w:rFonts w:ascii="Calibri" w:cs="Calibri" w:eastAsia="Calibri" w:hAnsi="Calibri"/>
          <w:sz w:val="17"/>
          <w:szCs w:val="17"/>
          <w:color w:val="007DC6"/>
        </w:rPr>
        <w:t xml:space="preserve"> </w:t>
      </w:r>
      <w:r>
        <w:rPr>
          <w:rFonts w:ascii="Calibri" w:cs="Calibri" w:eastAsia="Calibri" w:hAnsi="Calibri"/>
          <w:sz w:val="17"/>
          <w:szCs w:val="17"/>
          <w:color w:val="000000"/>
        </w:rPr>
        <w:t>locatons of these quarries and underground mines, including the limestone reserves adjacent to the California cement plant that is classifed as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3698875</wp:posOffset>
            </wp:positionH>
            <wp:positionV relativeFrom="paragraph">
              <wp:posOffset>-300355</wp:posOffset>
            </wp:positionV>
            <wp:extent cx="343154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34315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6480810" cy="33775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6480810" cy="337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Mineral reserves and mineral resources for the Company’s aggregates and cement businesses have been prepared in accordance with the disclosure requirements of subpart 1300 of U.S. Securites and Exchange Commission Regulaton S-K. Mineral resources represent concentratons or occurrences of material of economic interest in or on the Earth's crust in such form, grade or quality, and quantty that there are reasonable prospects for economic extracton. A mineral resource is a reasonable estmate of mineralizaton, taking into account relevant factors such as cut-of grade, likely mining dimensions, locaton or contnuity, that, with the assumed and justfable technical and economic conditons, is likely to, in whole or in part, become economically extractable. A measured mineral resource is that part of the mineral resource for which quantty and grade or quality are estmated on the basis of conclusive geological evidence and sampling in sufcient detail to support detailed extracton planning and fnal evaluaton of the economic viability of the deposit to be quarried or mined. An indicated mineral resource is that part of a mineral resource for which quantty and grade or quality are estmated on the basis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86360</wp:posOffset>
            </wp:positionV>
            <wp:extent cx="325755" cy="1968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9" w:name="page30"/>
    <w:bookmarkEnd w:id="29"/>
    <w:p>
      <w:pPr>
        <w:ind w:left="922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2 – Propertes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adequate geological evidence and sampling in sufcient detail to support mine planning and evaluaton of the economic viability of the deposit of the material to be quarried or mined. Inferred mineral resources are that part of a mineral resource for which quantty and grade or quality are estmated on the basis of limited geological evidence and sampling. The Company has no inferred resources as of December 31, 2022.</w:t>
      </w:r>
    </w:p>
    <w:p>
      <w:pPr>
        <w:spacing w:after="0" w:line="1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mineral reserve is an estmate of tonnage and grade or quality of indicated and measured mineral resources that, in the opinion of the qualifed person, can be the basis of an economically viable project. More specifcally, it is the economically mineable part of a measured or indicated mineral resource, which includes dilutng materials and allowances for losses that may occur when the material is mined or extracted. A probable mineral reserve is the economically mineable part of an indicated and, in some cases, a measured mineral resource. A proven mineral reserve is the economically mineable part of a measured mineral resource and can only result from the conversion of a measured mineral resource. The Company estmates proven and probable mineral reserves based on the results of drilling and testng completed by or under the supervision of qualifed persons.</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uses various exploratory drilling methods, depending on the type of deposit, to estmate mineral reserves that are economically mineable. The extent of drilling varies depending on the complexity of the mineral deposit and whether the locaton is a potental new site (greensite), an existng locaton or a potental acquisiton. More extensive drilling is performed for potental greensites and acquisitons, and, in rare cases, the Company may rely on existng geological data or results of prior drilling by reputable third partes. Subsequent to drilling, selected drill samples are tested by an accredited laboratory for soundness, abrasion resistance and other physical propertes relevant to the aggregates industry. If the mineral reserves meet the Company’s standards and are economically mineable, they are either leased or purchased. Once in operaton, routne quality control testng is performed to ensure the quality grade of aggregates contnues to meet specifcatons.</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determining the amount of reserves, evaluatons are completed by or under the supervision of qualifed Company personnel using industry best practces and internal controls defned by the Company. Reserve estmates represent net tons afer consideraton of applicable losses incurred during mining and plant processing. The Company’s policy is to exclude from reserve estmates the portons of a mineral deposit that are not available due to property boundaries, set-backs and plant confguratons, as deemed appropriate when estmatng reserves. The Company uses the same methods of analysis to evaluate and estmate the amount of its mineral reserves used in the cement manufacturing process for its cement operatons as it does for its aggregates operatons. For additonal informaton on the Company’s assessment of reserves, see “</w:t>
      </w:r>
      <w:r>
        <w:rPr>
          <w:rFonts w:ascii="Calibri" w:cs="Calibri" w:eastAsia="Calibri" w:hAnsi="Calibri"/>
          <w:sz w:val="18"/>
          <w:szCs w:val="18"/>
          <w:u w:val="single" w:color="auto"/>
          <w:color w:val="007DC6"/>
        </w:rPr>
        <w:t>Management’s Discussion and Analysis of Financial Conditon and Results of</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007DC6"/>
        </w:rPr>
        <w:t>Operatons – Other Financial Informaton - Critcal Accountng Policies and Estmates - Property, Plant and Equipment</w:t>
      </w:r>
      <w:r>
        <w:rPr>
          <w:rFonts w:ascii="Calibri" w:cs="Calibri" w:eastAsia="Calibri" w:hAnsi="Calibri"/>
          <w:sz w:val="18"/>
          <w:szCs w:val="18"/>
          <w:color w:val="000000"/>
        </w:rPr>
        <w:t>” included under Item 7, “</w:t>
      </w:r>
      <w:r>
        <w:rPr>
          <w:rFonts w:ascii="Calibri" w:cs="Calibri" w:eastAsia="Calibri" w:hAnsi="Calibri"/>
          <w:sz w:val="18"/>
          <w:szCs w:val="18"/>
          <w:u w:val="single" w:color="auto"/>
          <w:color w:val="007DC6"/>
        </w:rPr>
        <w:t>Management’s</w:t>
      </w:r>
      <w:r>
        <w:rPr>
          <w:rFonts w:ascii="Calibri" w:cs="Calibri" w:eastAsia="Calibri" w:hAnsi="Calibri"/>
          <w:sz w:val="18"/>
          <w:szCs w:val="18"/>
          <w:color w:val="007DC6"/>
        </w:rPr>
        <w:t xml:space="preserve"> </w:t>
      </w:r>
      <w:r>
        <w:rPr>
          <w:rFonts w:ascii="Calibri" w:cs="Calibri" w:eastAsia="Calibri" w:hAnsi="Calibri"/>
          <w:sz w:val="18"/>
          <w:szCs w:val="18"/>
          <w:u w:val="single" w:color="auto"/>
          <w:color w:val="007DC6"/>
        </w:rPr>
        <w:t>Discussion and Analysis of Financial Conditon and Results of Operatons</w:t>
      </w:r>
      <w:r>
        <w:rPr>
          <w:rFonts w:ascii="Calibri" w:cs="Calibri" w:eastAsia="Calibri" w:hAnsi="Calibri"/>
          <w:sz w:val="18"/>
          <w:szCs w:val="18"/>
          <w:color w:val="000000"/>
        </w:rPr>
        <w:t>,” of this Form 10-K. While the mineral reserve and resource classifcaton categories</w:t>
      </w:r>
      <w:r>
        <w:rPr>
          <w:rFonts w:ascii="Calibri" w:cs="Calibri" w:eastAsia="Calibri" w:hAnsi="Calibri"/>
          <w:sz w:val="18"/>
          <w:szCs w:val="18"/>
          <w:color w:val="007DC6"/>
        </w:rPr>
        <w:t xml:space="preserve"> </w:t>
      </w:r>
      <w:r>
        <w:rPr>
          <w:rFonts w:ascii="Calibri" w:cs="Calibri" w:eastAsia="Calibri" w:hAnsi="Calibri"/>
          <w:sz w:val="18"/>
          <w:szCs w:val="18"/>
          <w:color w:val="000000"/>
        </w:rPr>
        <w:t>(proven and probable) identfy relatve confdence of reserve estmates, there is inherent risk associated with such estmates. The Company bases estmates on the informaton known at the tme of determinaton and regularly reevaluates reserves whenever new informaton indicates a material change in reserves at one of the Company’s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3455035</wp:posOffset>
            </wp:positionH>
            <wp:positionV relativeFrom="paragraph">
              <wp:posOffset>-699135</wp:posOffset>
            </wp:positionV>
            <wp:extent cx="36766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36766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-561975</wp:posOffset>
            </wp:positionV>
            <wp:extent cx="71304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04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32867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3286760" cy="8890"/>
                    </a:xfrm>
                    <a:prstGeom prst="rect">
                      <a:avLst/>
                    </a:prstGeom>
                    <a:noFill/>
                  </pic:spPr>
                </pic:pic>
              </a:graphicData>
            </a:graphic>
          </wp:anchor>
        </w:drawing>
      </w:r>
    </w:p>
    <w:p>
      <w:pPr>
        <w:spacing w:after="0" w:line="9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general, quarry and mining facilites must comply with air quality, water quality, noise regulatons, zoning and special-use permitng requirements, applicable mining regulatons, and federal health and safety requirements. As new quarry and mining sites are located and acquired, the Company works closely with local authorites during the zoning and permitng processes to design new quarries and mines in such a way as to minimize disturbances. The Company frequently acquires large tracts of land so that quarry, mine and producton facilites can be situated substantal distances from surrounding property owners.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Set forth in the tables below are the Company’s estmates as of December 31, 2022 of proven and probable mineral reserves of aggregates (crushed stone and sand and gravel) and measured, indicated and inferred mineral resources of aggregates (exclusive of proven and probable reserves), shown on a geographic division basis. The East Division includes Alabama, Florida, Georgia, Maryland, North Carolina, Pennsylvania, South Carolina, Tennessee, Virginia, Canada and The Bahamas. The Central Division includes Indiana, Iowa, Kansas, Kentucky, Minnesota, Missouri, Nebraska, Ohio and West Virginia. The Southwest Division includes Arkansas, Louisiana, Oklahoma and Texas. The West Division includes Arizona, California, Colorado, Utah, Washington and Wyoming. The reserve estmates shown were determined to be economically mineable using a reasonable and justfable price for salable product as of December 31, 2021 with respect to each division for each product category of aggregates resources. The Company’s estmate of resources and reserves of aggregates shown in the tables below includes resources and reserves that would be devoted for use in the Company’s cement product line and Magnesia Specialtes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96520</wp:posOffset>
            </wp:positionV>
            <wp:extent cx="325755" cy="1968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4"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0" w:name="page31"/>
    <w:bookmarkEnd w:id="30"/>
    <w:p>
      <w:pPr>
        <w:ind w:left="922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2 – Propertes</w:t>
      </w:r>
    </w:p>
    <w:p>
      <w:pPr>
        <w:spacing w:after="0" w:line="302"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FFFFFF"/>
        </w:rPr>
        <w:t>Summary Mineral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3689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jc w:val="center"/>
        <w:spacing w:after="0" w:line="213" w:lineRule="auto"/>
        <w:rPr>
          <w:sz w:val="20"/>
          <w:szCs w:val="20"/>
          <w:color w:val="auto"/>
        </w:rPr>
      </w:pPr>
      <w:r>
        <w:rPr>
          <w:rFonts w:ascii="Calibri" w:cs="Calibri" w:eastAsia="Calibri" w:hAnsi="Calibri"/>
          <w:sz w:val="14"/>
          <w:szCs w:val="14"/>
          <w:b w:val="1"/>
          <w:bCs w:val="1"/>
          <w:color w:val="FFFFFF"/>
        </w:rPr>
        <w:t>At End of Fiscal Year Ended December 31, 2022</w:t>
      </w:r>
      <w:r>
        <w:rPr>
          <w:rFonts w:ascii="Calibri" w:cs="Calibri" w:eastAsia="Calibri" w:hAnsi="Calibri"/>
          <w:sz w:val="19"/>
          <w:szCs w:val="19"/>
          <w:b w:val="1"/>
          <w:bCs w:val="1"/>
          <w:color w:val="FFFFFF"/>
          <w:vertAlign w:val="superscript"/>
        </w:rPr>
        <w:t>1,2</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Borders>
              <w:right w:val="single" w:sz="8" w:color="007CBA"/>
            </w:tcBorders>
            <w:shd w:val="clear" w:color="auto" w:fill="007CBA"/>
          </w:tcPr>
          <w:p>
            <w:pPr>
              <w:spacing w:after="0"/>
              <w:rPr>
                <w:sz w:val="16"/>
                <w:szCs w:val="16"/>
                <w:color w:val="auto"/>
              </w:rPr>
            </w:pPr>
          </w:p>
        </w:tc>
        <w:tc>
          <w:tcPr>
            <w:tcW w:w="2380" w:type="dxa"/>
            <w:vAlign w:val="bottom"/>
            <w:gridSpan w:val="2"/>
          </w:tcPr>
          <w:p>
            <w:pPr>
              <w:ind w:left="320"/>
              <w:spacing w:after="0"/>
              <w:rPr>
                <w:sz w:val="20"/>
                <w:szCs w:val="20"/>
                <w:color w:val="auto"/>
              </w:rPr>
            </w:pPr>
            <w:r>
              <w:rPr>
                <w:rFonts w:ascii="Calibri" w:cs="Calibri" w:eastAsia="Calibri" w:hAnsi="Calibri"/>
                <w:sz w:val="14"/>
                <w:szCs w:val="14"/>
                <w:b w:val="1"/>
                <w:bCs w:val="1"/>
                <w:color w:val="FFFFFF"/>
              </w:rPr>
              <w:t>Measured Mineral Resources</w:t>
            </w:r>
          </w:p>
        </w:tc>
        <w:tc>
          <w:tcPr>
            <w:tcW w:w="2480" w:type="dxa"/>
            <w:vAlign w:val="bottom"/>
            <w:gridSpan w:val="2"/>
          </w:tcPr>
          <w:p>
            <w:pPr>
              <w:ind w:left="380"/>
              <w:spacing w:after="0"/>
              <w:rPr>
                <w:sz w:val="20"/>
                <w:szCs w:val="20"/>
                <w:color w:val="auto"/>
              </w:rPr>
            </w:pPr>
            <w:r>
              <w:rPr>
                <w:rFonts w:ascii="Calibri" w:cs="Calibri" w:eastAsia="Calibri" w:hAnsi="Calibri"/>
                <w:sz w:val="14"/>
                <w:szCs w:val="14"/>
                <w:b w:val="1"/>
                <w:bCs w:val="1"/>
                <w:color w:val="FFFFFF"/>
              </w:rPr>
              <w:t>Indicated Mineral Resources</w:t>
            </w:r>
          </w:p>
        </w:tc>
        <w:tc>
          <w:tcPr>
            <w:tcW w:w="2640" w:type="dxa"/>
            <w:vAlign w:val="bottom"/>
            <w:gridSpan w:val="2"/>
          </w:tcPr>
          <w:p>
            <w:pPr>
              <w:ind w:left="100"/>
              <w:spacing w:after="0"/>
              <w:rPr>
                <w:sz w:val="20"/>
                <w:szCs w:val="20"/>
                <w:color w:val="auto"/>
              </w:rPr>
            </w:pPr>
            <w:r>
              <w:rPr>
                <w:rFonts w:ascii="Calibri" w:cs="Calibri" w:eastAsia="Calibri" w:hAnsi="Calibri"/>
                <w:sz w:val="14"/>
                <w:szCs w:val="14"/>
                <w:b w:val="1"/>
                <w:bCs w:val="1"/>
                <w:color w:val="FFFFFF"/>
              </w:rPr>
              <w:t>Measured + Indicated Mineral Resources</w:t>
            </w:r>
          </w:p>
        </w:tc>
        <w:tc>
          <w:tcPr>
            <w:tcW w:w="2240" w:type="dxa"/>
            <w:vAlign w:val="bottom"/>
            <w:gridSpan w:val="2"/>
          </w:tcPr>
          <w:p>
            <w:pPr>
              <w:ind w:left="300"/>
              <w:spacing w:after="0"/>
              <w:rPr>
                <w:sz w:val="20"/>
                <w:szCs w:val="20"/>
                <w:color w:val="auto"/>
              </w:rPr>
            </w:pPr>
            <w:r>
              <w:rPr>
                <w:rFonts w:ascii="Calibri" w:cs="Calibri" w:eastAsia="Calibri" w:hAnsi="Calibri"/>
                <w:sz w:val="14"/>
                <w:szCs w:val="14"/>
                <w:b w:val="1"/>
                <w:bCs w:val="1"/>
                <w:color w:val="FFFFFF"/>
              </w:rPr>
              <w:t>Inferred Mineral Resources</w:t>
            </w:r>
          </w:p>
        </w:tc>
      </w:tr>
      <w:tr>
        <w:trPr>
          <w:trHeight w:val="170"/>
        </w:trPr>
        <w:tc>
          <w:tcPr>
            <w:tcW w:w="1500" w:type="dxa"/>
            <w:vAlign w:val="bottom"/>
            <w:tcBorders>
              <w:right w:val="single" w:sz="8" w:color="007CBA"/>
            </w:tcBorders>
            <w:shd w:val="clear" w:color="auto" w:fill="007CBA"/>
          </w:tcPr>
          <w:p>
            <w:pPr>
              <w:spacing w:after="0"/>
              <w:rPr>
                <w:sz w:val="14"/>
                <w:szCs w:val="14"/>
                <w:color w:val="auto"/>
              </w:rPr>
            </w:pPr>
          </w:p>
        </w:tc>
        <w:tc>
          <w:tcPr>
            <w:tcW w:w="1120" w:type="dxa"/>
            <w:vAlign w:val="bottom"/>
            <w:tcBorders>
              <w:right w:val="single" w:sz="8" w:color="007CBA"/>
            </w:tcBorders>
            <w:shd w:val="clear" w:color="auto" w:fill="007CBA"/>
          </w:tcPr>
          <w:p>
            <w:pPr>
              <w:jc w:val="right"/>
              <w:ind w:right="428"/>
              <w:spacing w:after="0"/>
              <w:rPr>
                <w:sz w:val="20"/>
                <w:szCs w:val="20"/>
                <w:color w:val="auto"/>
              </w:rPr>
            </w:pPr>
            <w:r>
              <w:rPr>
                <w:rFonts w:ascii="Calibri" w:cs="Calibri" w:eastAsia="Calibri" w:hAnsi="Calibri"/>
                <w:sz w:val="14"/>
                <w:szCs w:val="14"/>
                <w:b w:val="1"/>
                <w:bCs w:val="1"/>
                <w:color w:val="FFFFFF"/>
              </w:rPr>
              <w:t>Tons</w:t>
            </w:r>
          </w:p>
        </w:tc>
        <w:tc>
          <w:tcPr>
            <w:tcW w:w="1260" w:type="dxa"/>
            <w:vAlign w:val="bottom"/>
            <w:tcBorders>
              <w:right w:val="single" w:sz="8" w:color="007CBA"/>
            </w:tcBorders>
            <w:shd w:val="clear" w:color="auto" w:fill="007CBA"/>
          </w:tcPr>
          <w:p>
            <w:pPr>
              <w:spacing w:after="0"/>
              <w:rPr>
                <w:sz w:val="14"/>
                <w:szCs w:val="14"/>
                <w:color w:val="auto"/>
              </w:rPr>
            </w:pPr>
          </w:p>
        </w:tc>
        <w:tc>
          <w:tcPr>
            <w:tcW w:w="1240" w:type="dxa"/>
            <w:vAlign w:val="bottom"/>
            <w:tcBorders>
              <w:right w:val="single" w:sz="8" w:color="007CBA"/>
            </w:tcBorders>
            <w:shd w:val="clear" w:color="auto" w:fill="007CBA"/>
          </w:tcPr>
          <w:p>
            <w:pPr>
              <w:jc w:val="right"/>
              <w:ind w:right="468"/>
              <w:spacing w:after="0"/>
              <w:rPr>
                <w:sz w:val="20"/>
                <w:szCs w:val="20"/>
                <w:color w:val="auto"/>
              </w:rPr>
            </w:pPr>
            <w:r>
              <w:rPr>
                <w:rFonts w:ascii="Calibri" w:cs="Calibri" w:eastAsia="Calibri" w:hAnsi="Calibri"/>
                <w:sz w:val="14"/>
                <w:szCs w:val="14"/>
                <w:b w:val="1"/>
                <w:bCs w:val="1"/>
                <w:color w:val="FFFFFF"/>
              </w:rPr>
              <w:t>Tons</w:t>
            </w:r>
          </w:p>
        </w:tc>
        <w:tc>
          <w:tcPr>
            <w:tcW w:w="1240" w:type="dxa"/>
            <w:vAlign w:val="bottom"/>
            <w:tcBorders>
              <w:right w:val="single" w:sz="8" w:color="007CBA"/>
            </w:tcBorders>
            <w:shd w:val="clear" w:color="auto" w:fill="007CBA"/>
          </w:tcPr>
          <w:p>
            <w:pPr>
              <w:spacing w:after="0"/>
              <w:rPr>
                <w:sz w:val="14"/>
                <w:szCs w:val="14"/>
                <w:color w:val="auto"/>
              </w:rPr>
            </w:pPr>
          </w:p>
        </w:tc>
        <w:tc>
          <w:tcPr>
            <w:tcW w:w="1380" w:type="dxa"/>
            <w:vAlign w:val="bottom"/>
            <w:tcBorders>
              <w:right w:val="single" w:sz="8" w:color="007CBA"/>
            </w:tcBorders>
            <w:shd w:val="clear" w:color="auto" w:fill="007CBA"/>
          </w:tcPr>
          <w:p>
            <w:pPr>
              <w:jc w:val="right"/>
              <w:ind w:right="548"/>
              <w:spacing w:after="0"/>
              <w:rPr>
                <w:sz w:val="20"/>
                <w:szCs w:val="20"/>
                <w:color w:val="auto"/>
              </w:rPr>
            </w:pPr>
            <w:r>
              <w:rPr>
                <w:rFonts w:ascii="Calibri" w:cs="Calibri" w:eastAsia="Calibri" w:hAnsi="Calibri"/>
                <w:sz w:val="14"/>
                <w:szCs w:val="14"/>
                <w:b w:val="1"/>
                <w:bCs w:val="1"/>
                <w:color w:val="FFFFFF"/>
              </w:rPr>
              <w:t>Tons</w:t>
            </w:r>
          </w:p>
        </w:tc>
        <w:tc>
          <w:tcPr>
            <w:tcW w:w="1260" w:type="dxa"/>
            <w:vAlign w:val="bottom"/>
            <w:tcBorders>
              <w:right w:val="single" w:sz="8" w:color="007CBA"/>
            </w:tcBorders>
            <w:shd w:val="clear" w:color="auto" w:fill="007CBA"/>
          </w:tcPr>
          <w:p>
            <w:pPr>
              <w:spacing w:after="0"/>
              <w:rPr>
                <w:sz w:val="14"/>
                <w:szCs w:val="14"/>
                <w:color w:val="auto"/>
              </w:rPr>
            </w:pPr>
          </w:p>
        </w:tc>
        <w:tc>
          <w:tcPr>
            <w:tcW w:w="1000" w:type="dxa"/>
            <w:vAlign w:val="bottom"/>
            <w:tcBorders>
              <w:right w:val="single" w:sz="8" w:color="007CBA"/>
            </w:tcBorders>
            <w:shd w:val="clear" w:color="auto" w:fill="007CBA"/>
          </w:tcPr>
          <w:p>
            <w:pPr>
              <w:ind w:left="300"/>
              <w:spacing w:after="0"/>
              <w:rPr>
                <w:sz w:val="20"/>
                <w:szCs w:val="20"/>
                <w:color w:val="auto"/>
              </w:rPr>
            </w:pPr>
            <w:r>
              <w:rPr>
                <w:rFonts w:ascii="Calibri" w:cs="Calibri" w:eastAsia="Calibri" w:hAnsi="Calibri"/>
                <w:sz w:val="14"/>
                <w:szCs w:val="14"/>
                <w:b w:val="1"/>
                <w:bCs w:val="1"/>
                <w:color w:val="FFFFFF"/>
              </w:rPr>
              <w:t>Tons</w:t>
            </w:r>
          </w:p>
        </w:tc>
        <w:tc>
          <w:tcPr>
            <w:tcW w:w="1240" w:type="dxa"/>
            <w:vAlign w:val="bottom"/>
            <w:shd w:val="clear" w:color="auto" w:fill="007CBA"/>
          </w:tcPr>
          <w:p>
            <w:pPr>
              <w:spacing w:after="0"/>
              <w:rPr>
                <w:sz w:val="14"/>
                <w:szCs w:val="14"/>
                <w:color w:val="auto"/>
              </w:rPr>
            </w:pPr>
          </w:p>
        </w:tc>
      </w:tr>
      <w:tr>
        <w:trPr>
          <w:trHeight w:val="188"/>
        </w:trPr>
        <w:tc>
          <w:tcPr>
            <w:tcW w:w="1500" w:type="dxa"/>
            <w:vAlign w:val="bottom"/>
            <w:tcBorders>
              <w:bottom w:val="single" w:sz="8" w:color="007CBA"/>
              <w:right w:val="single" w:sz="8" w:color="007CBA"/>
            </w:tcBorders>
            <w:shd w:val="clear" w:color="auto" w:fill="007CBA"/>
          </w:tcPr>
          <w:p>
            <w:pPr>
              <w:spacing w:after="0"/>
              <w:rPr>
                <w:sz w:val="16"/>
                <w:szCs w:val="16"/>
                <w:color w:val="auto"/>
              </w:rPr>
            </w:pPr>
          </w:p>
        </w:tc>
        <w:tc>
          <w:tcPr>
            <w:tcW w:w="1120" w:type="dxa"/>
            <w:vAlign w:val="bottom"/>
            <w:tcBorders>
              <w:bottom w:val="single" w:sz="8" w:color="007CBA"/>
              <w:right w:val="single" w:sz="8" w:color="007CBA"/>
            </w:tcBorders>
            <w:shd w:val="clear" w:color="auto" w:fill="007CBA"/>
          </w:tcPr>
          <w:p>
            <w:pPr>
              <w:jc w:val="right"/>
              <w:ind w:right="128"/>
              <w:spacing w:after="0"/>
              <w:rPr>
                <w:sz w:val="20"/>
                <w:szCs w:val="20"/>
                <w:color w:val="auto"/>
              </w:rPr>
            </w:pPr>
            <w:r>
              <w:rPr>
                <w:rFonts w:ascii="Calibri" w:cs="Calibri" w:eastAsia="Calibri" w:hAnsi="Calibri"/>
                <w:sz w:val="14"/>
                <w:szCs w:val="14"/>
                <w:b w:val="1"/>
                <w:bCs w:val="1"/>
                <w:color w:val="FFFFFF"/>
              </w:rPr>
              <w:t>(in thousands)</w:t>
            </w:r>
          </w:p>
        </w:tc>
        <w:tc>
          <w:tcPr>
            <w:tcW w:w="126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Calibri" w:cs="Calibri" w:eastAsia="Calibri" w:hAnsi="Calibri"/>
                <w:sz w:val="14"/>
                <w:szCs w:val="14"/>
                <w:b w:val="1"/>
                <w:bCs w:val="1"/>
                <w:color w:val="FFFFFF"/>
              </w:rPr>
              <w:t>Grades/Qualites</w:t>
            </w:r>
          </w:p>
        </w:tc>
        <w:tc>
          <w:tcPr>
            <w:tcW w:w="1240" w:type="dxa"/>
            <w:vAlign w:val="bottom"/>
            <w:tcBorders>
              <w:bottom w:val="single" w:sz="8" w:color="007CBA"/>
              <w:right w:val="single" w:sz="8" w:color="007CBA"/>
            </w:tcBorders>
            <w:shd w:val="clear" w:color="auto" w:fill="007CBA"/>
          </w:tcPr>
          <w:p>
            <w:pPr>
              <w:jc w:val="right"/>
              <w:ind w:right="188"/>
              <w:spacing w:after="0"/>
              <w:rPr>
                <w:sz w:val="20"/>
                <w:szCs w:val="20"/>
                <w:color w:val="auto"/>
              </w:rPr>
            </w:pPr>
            <w:r>
              <w:rPr>
                <w:rFonts w:ascii="Calibri" w:cs="Calibri" w:eastAsia="Calibri" w:hAnsi="Calibri"/>
                <w:sz w:val="14"/>
                <w:szCs w:val="14"/>
                <w:b w:val="1"/>
                <w:bCs w:val="1"/>
                <w:color w:val="FFFFFF"/>
              </w:rPr>
              <w:t>(in thousands)</w:t>
            </w:r>
          </w:p>
        </w:tc>
        <w:tc>
          <w:tcPr>
            <w:tcW w:w="124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Calibri" w:cs="Calibri" w:eastAsia="Calibri" w:hAnsi="Calibri"/>
                <w:sz w:val="14"/>
                <w:szCs w:val="14"/>
                <w:b w:val="1"/>
                <w:bCs w:val="1"/>
                <w:color w:val="FFFFFF"/>
              </w:rPr>
              <w:t>Grades/Qualites</w:t>
            </w:r>
          </w:p>
        </w:tc>
        <w:tc>
          <w:tcPr>
            <w:tcW w:w="1380" w:type="dxa"/>
            <w:vAlign w:val="bottom"/>
            <w:tcBorders>
              <w:bottom w:val="single" w:sz="8" w:color="007CBA"/>
              <w:right w:val="single" w:sz="8" w:color="007CBA"/>
            </w:tcBorders>
            <w:shd w:val="clear" w:color="auto" w:fill="007CBA"/>
          </w:tcPr>
          <w:p>
            <w:pPr>
              <w:jc w:val="right"/>
              <w:ind w:right="248"/>
              <w:spacing w:after="0"/>
              <w:rPr>
                <w:sz w:val="20"/>
                <w:szCs w:val="20"/>
                <w:color w:val="auto"/>
              </w:rPr>
            </w:pPr>
            <w:r>
              <w:rPr>
                <w:rFonts w:ascii="Calibri" w:cs="Calibri" w:eastAsia="Calibri" w:hAnsi="Calibri"/>
                <w:sz w:val="14"/>
                <w:szCs w:val="14"/>
                <w:b w:val="1"/>
                <w:bCs w:val="1"/>
                <w:color w:val="FFFFFF"/>
              </w:rPr>
              <w:t>(in thousands)</w:t>
            </w:r>
          </w:p>
        </w:tc>
        <w:tc>
          <w:tcPr>
            <w:tcW w:w="126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Calibri" w:cs="Calibri" w:eastAsia="Calibri" w:hAnsi="Calibri"/>
                <w:sz w:val="14"/>
                <w:szCs w:val="14"/>
                <w:b w:val="1"/>
                <w:bCs w:val="1"/>
                <w:color w:val="FFFFFF"/>
              </w:rPr>
              <w:t>Grades/Qualites</w:t>
            </w:r>
          </w:p>
        </w:tc>
        <w:tc>
          <w:tcPr>
            <w:tcW w:w="1000" w:type="dxa"/>
            <w:vAlign w:val="bottom"/>
            <w:tcBorders>
              <w:bottom w:val="single" w:sz="8" w:color="007CBA"/>
              <w:right w:val="single" w:sz="8" w:color="007CBA"/>
            </w:tcBorders>
            <w:shd w:val="clear" w:color="auto" w:fill="007CBA"/>
          </w:tcPr>
          <w:p>
            <w:pPr>
              <w:spacing w:after="0"/>
              <w:rPr>
                <w:sz w:val="20"/>
                <w:szCs w:val="20"/>
                <w:color w:val="auto"/>
              </w:rPr>
            </w:pPr>
            <w:r>
              <w:rPr>
                <w:rFonts w:ascii="Calibri" w:cs="Calibri" w:eastAsia="Calibri" w:hAnsi="Calibri"/>
                <w:sz w:val="14"/>
                <w:szCs w:val="14"/>
                <w:b w:val="1"/>
                <w:bCs w:val="1"/>
                <w:color w:val="FFFFFF"/>
              </w:rPr>
              <w:t>(in thousands)</w:t>
            </w:r>
          </w:p>
        </w:tc>
        <w:tc>
          <w:tcPr>
            <w:tcW w:w="1240" w:type="dxa"/>
            <w:vAlign w:val="bottom"/>
            <w:tcBorders>
              <w:bottom w:val="single" w:sz="8" w:color="007CBA"/>
            </w:tcBorders>
            <w:shd w:val="clear" w:color="auto" w:fill="007CBA"/>
          </w:tcPr>
          <w:p>
            <w:pPr>
              <w:jc w:val="center"/>
              <w:spacing w:after="0"/>
              <w:rPr>
                <w:sz w:val="20"/>
                <w:szCs w:val="20"/>
                <w:color w:val="auto"/>
              </w:rPr>
            </w:pPr>
            <w:r>
              <w:rPr>
                <w:rFonts w:ascii="Calibri" w:cs="Calibri" w:eastAsia="Calibri" w:hAnsi="Calibri"/>
                <w:sz w:val="14"/>
                <w:szCs w:val="14"/>
                <w:b w:val="1"/>
                <w:bCs w:val="1"/>
                <w:color w:val="FFFFFF"/>
              </w:rPr>
              <w:t>Grades/Qualites</w:t>
            </w:r>
          </w:p>
        </w:tc>
      </w:tr>
      <w:tr>
        <w:trPr>
          <w:trHeight w:val="170"/>
        </w:trPr>
        <w:tc>
          <w:tcPr>
            <w:tcW w:w="1500" w:type="dxa"/>
            <w:vAlign w:val="bottom"/>
            <w:tcBorders>
              <w:right w:val="single" w:sz="8" w:color="007CBA"/>
            </w:tcBorders>
          </w:tcPr>
          <w:p>
            <w:pPr>
              <w:ind w:left="20"/>
              <w:spacing w:after="0"/>
              <w:rPr>
                <w:sz w:val="20"/>
                <w:szCs w:val="20"/>
                <w:color w:val="auto"/>
              </w:rPr>
            </w:pPr>
            <w:r>
              <w:rPr>
                <w:rFonts w:ascii="Calibri" w:cs="Calibri" w:eastAsia="Calibri" w:hAnsi="Calibri"/>
                <w:sz w:val="14"/>
                <w:szCs w:val="14"/>
                <w:b w:val="1"/>
                <w:bCs w:val="1"/>
                <w:color w:val="auto"/>
              </w:rPr>
              <w:t>Crushed Stone</w:t>
            </w:r>
          </w:p>
        </w:tc>
        <w:tc>
          <w:tcPr>
            <w:tcW w:w="1120" w:type="dxa"/>
            <w:vAlign w:val="bottom"/>
            <w:tcBorders>
              <w:right w:val="single" w:sz="8" w:color="007CBA"/>
            </w:tcBorders>
          </w:tcPr>
          <w:p>
            <w:pPr>
              <w:spacing w:after="0"/>
              <w:rPr>
                <w:sz w:val="14"/>
                <w:szCs w:val="14"/>
                <w:color w:val="auto"/>
              </w:rPr>
            </w:pPr>
          </w:p>
        </w:tc>
        <w:tc>
          <w:tcPr>
            <w:tcW w:w="1260" w:type="dxa"/>
            <w:vAlign w:val="bottom"/>
            <w:tcBorders>
              <w:right w:val="single" w:sz="8" w:color="007CBA"/>
            </w:tcBorders>
          </w:tcPr>
          <w:p>
            <w:pPr>
              <w:spacing w:after="0"/>
              <w:rPr>
                <w:sz w:val="14"/>
                <w:szCs w:val="14"/>
                <w:color w:val="auto"/>
              </w:rPr>
            </w:pPr>
          </w:p>
        </w:tc>
        <w:tc>
          <w:tcPr>
            <w:tcW w:w="1240" w:type="dxa"/>
            <w:vAlign w:val="bottom"/>
            <w:tcBorders>
              <w:right w:val="single" w:sz="8" w:color="007CBA"/>
            </w:tcBorders>
          </w:tcPr>
          <w:p>
            <w:pPr>
              <w:spacing w:after="0"/>
              <w:rPr>
                <w:sz w:val="14"/>
                <w:szCs w:val="14"/>
                <w:color w:val="auto"/>
              </w:rPr>
            </w:pPr>
          </w:p>
        </w:tc>
        <w:tc>
          <w:tcPr>
            <w:tcW w:w="1240" w:type="dxa"/>
            <w:vAlign w:val="bottom"/>
            <w:tcBorders>
              <w:right w:val="single" w:sz="8" w:color="007CBA"/>
            </w:tcBorders>
          </w:tcPr>
          <w:p>
            <w:pPr>
              <w:spacing w:after="0"/>
              <w:rPr>
                <w:sz w:val="14"/>
                <w:szCs w:val="14"/>
                <w:color w:val="auto"/>
              </w:rPr>
            </w:pPr>
          </w:p>
        </w:tc>
        <w:tc>
          <w:tcPr>
            <w:tcW w:w="1380" w:type="dxa"/>
            <w:vAlign w:val="bottom"/>
            <w:tcBorders>
              <w:right w:val="single" w:sz="8" w:color="007CBA"/>
            </w:tcBorders>
          </w:tcPr>
          <w:p>
            <w:pPr>
              <w:spacing w:after="0"/>
              <w:rPr>
                <w:sz w:val="14"/>
                <w:szCs w:val="14"/>
                <w:color w:val="auto"/>
              </w:rPr>
            </w:pPr>
          </w:p>
        </w:tc>
        <w:tc>
          <w:tcPr>
            <w:tcW w:w="1260" w:type="dxa"/>
            <w:vAlign w:val="bottom"/>
            <w:tcBorders>
              <w:right w:val="single" w:sz="8" w:color="007CBA"/>
            </w:tcBorders>
          </w:tcPr>
          <w:p>
            <w:pPr>
              <w:spacing w:after="0"/>
              <w:rPr>
                <w:sz w:val="14"/>
                <w:szCs w:val="14"/>
                <w:color w:val="auto"/>
              </w:rPr>
            </w:pPr>
          </w:p>
        </w:tc>
        <w:tc>
          <w:tcPr>
            <w:tcW w:w="1000" w:type="dxa"/>
            <w:vAlign w:val="bottom"/>
            <w:tcBorders>
              <w:right w:val="single" w:sz="8" w:color="007CBA"/>
            </w:tcBorders>
          </w:tcPr>
          <w:p>
            <w:pPr>
              <w:spacing w:after="0"/>
              <w:rPr>
                <w:sz w:val="14"/>
                <w:szCs w:val="14"/>
                <w:color w:val="auto"/>
              </w:rPr>
            </w:pPr>
          </w:p>
        </w:tc>
        <w:tc>
          <w:tcPr>
            <w:tcW w:w="1240" w:type="dxa"/>
            <w:vAlign w:val="bottom"/>
          </w:tcPr>
          <w:p>
            <w:pPr>
              <w:spacing w:after="0"/>
              <w:rPr>
                <w:sz w:val="14"/>
                <w:szCs w:val="14"/>
                <w:color w:val="auto"/>
              </w:rPr>
            </w:pPr>
          </w:p>
        </w:tc>
      </w:tr>
      <w:tr>
        <w:trPr>
          <w:trHeight w:val="33"/>
        </w:trPr>
        <w:tc>
          <w:tcPr>
            <w:tcW w:w="1500" w:type="dxa"/>
            <w:vAlign w:val="bottom"/>
            <w:tcBorders>
              <w:right w:val="single" w:sz="8" w:color="007CBA"/>
            </w:tcBorders>
          </w:tcPr>
          <w:p>
            <w:pPr>
              <w:spacing w:after="0"/>
              <w:rPr>
                <w:sz w:val="2"/>
                <w:szCs w:val="2"/>
                <w:color w:val="auto"/>
              </w:rPr>
            </w:pPr>
          </w:p>
        </w:tc>
        <w:tc>
          <w:tcPr>
            <w:tcW w:w="1120" w:type="dxa"/>
            <w:vAlign w:val="bottom"/>
            <w:tcBorders>
              <w:right w:val="single" w:sz="8" w:color="007CBA"/>
            </w:tcBorders>
          </w:tcPr>
          <w:p>
            <w:pPr>
              <w:spacing w:after="0"/>
              <w:rPr>
                <w:sz w:val="2"/>
                <w:szCs w:val="2"/>
                <w:color w:val="auto"/>
              </w:rPr>
            </w:pPr>
          </w:p>
        </w:tc>
        <w:tc>
          <w:tcPr>
            <w:tcW w:w="1260" w:type="dxa"/>
            <w:vAlign w:val="bottom"/>
            <w:tcBorders>
              <w:right w:val="single" w:sz="8" w:color="007CBA"/>
            </w:tcBorders>
          </w:tcPr>
          <w:p>
            <w:pPr>
              <w:spacing w:after="0"/>
              <w:rPr>
                <w:sz w:val="2"/>
                <w:szCs w:val="2"/>
                <w:color w:val="auto"/>
              </w:rPr>
            </w:pPr>
          </w:p>
        </w:tc>
        <w:tc>
          <w:tcPr>
            <w:tcW w:w="1240" w:type="dxa"/>
            <w:vAlign w:val="bottom"/>
            <w:tcBorders>
              <w:right w:val="single" w:sz="8" w:color="007CBA"/>
            </w:tcBorders>
          </w:tcPr>
          <w:p>
            <w:pPr>
              <w:spacing w:after="0"/>
              <w:rPr>
                <w:sz w:val="2"/>
                <w:szCs w:val="2"/>
                <w:color w:val="auto"/>
              </w:rPr>
            </w:pPr>
          </w:p>
        </w:tc>
        <w:tc>
          <w:tcPr>
            <w:tcW w:w="1240" w:type="dxa"/>
            <w:vAlign w:val="bottom"/>
            <w:tcBorders>
              <w:right w:val="single" w:sz="8" w:color="007CBA"/>
            </w:tcBorders>
          </w:tcPr>
          <w:p>
            <w:pPr>
              <w:spacing w:after="0"/>
              <w:rPr>
                <w:sz w:val="2"/>
                <w:szCs w:val="2"/>
                <w:color w:val="auto"/>
              </w:rPr>
            </w:pPr>
          </w:p>
        </w:tc>
        <w:tc>
          <w:tcPr>
            <w:tcW w:w="1380" w:type="dxa"/>
            <w:vAlign w:val="bottom"/>
            <w:tcBorders>
              <w:right w:val="single" w:sz="8" w:color="007CBA"/>
            </w:tcBorders>
          </w:tcPr>
          <w:p>
            <w:pPr>
              <w:spacing w:after="0"/>
              <w:rPr>
                <w:sz w:val="2"/>
                <w:szCs w:val="2"/>
                <w:color w:val="auto"/>
              </w:rPr>
            </w:pPr>
          </w:p>
        </w:tc>
        <w:tc>
          <w:tcPr>
            <w:tcW w:w="1260" w:type="dxa"/>
            <w:vAlign w:val="bottom"/>
            <w:tcBorders>
              <w:right w:val="single" w:sz="8" w:color="007CBA"/>
            </w:tcBorders>
          </w:tcPr>
          <w:p>
            <w:pPr>
              <w:spacing w:after="0"/>
              <w:rPr>
                <w:sz w:val="2"/>
                <w:szCs w:val="2"/>
                <w:color w:val="auto"/>
              </w:rPr>
            </w:pPr>
          </w:p>
        </w:tc>
        <w:tc>
          <w:tcPr>
            <w:tcW w:w="1000" w:type="dxa"/>
            <w:vAlign w:val="bottom"/>
            <w:tcBorders>
              <w:right w:val="single" w:sz="8" w:color="007CBA"/>
            </w:tcBorders>
          </w:tcPr>
          <w:p>
            <w:pPr>
              <w:spacing w:after="0"/>
              <w:rPr>
                <w:sz w:val="2"/>
                <w:szCs w:val="2"/>
                <w:color w:val="auto"/>
              </w:rPr>
            </w:pPr>
          </w:p>
        </w:tc>
        <w:tc>
          <w:tcPr>
            <w:tcW w:w="1240" w:type="dxa"/>
            <w:vAlign w:val="bottom"/>
          </w:tcPr>
          <w:p>
            <w:pPr>
              <w:spacing w:after="0"/>
              <w:rPr>
                <w:sz w:val="2"/>
                <w:szCs w:val="2"/>
                <w:color w:val="auto"/>
              </w:rPr>
            </w:pPr>
          </w:p>
        </w:tc>
      </w:tr>
      <w:tr>
        <w:trPr>
          <w:trHeight w:val="183"/>
        </w:trPr>
        <w:tc>
          <w:tcPr>
            <w:tcW w:w="1500" w:type="dxa"/>
            <w:vAlign w:val="bottom"/>
            <w:tcBorders>
              <w:bottom w:val="single" w:sz="8" w:color="DEEBF7"/>
              <w:right w:val="single" w:sz="8" w:color="007CBA"/>
            </w:tcBorders>
            <w:shd w:val="clear" w:color="auto" w:fill="DEEBF7"/>
          </w:tcPr>
          <w:p>
            <w:pPr>
              <w:ind w:left="20"/>
              <w:spacing w:after="0"/>
              <w:rPr>
                <w:sz w:val="20"/>
                <w:szCs w:val="20"/>
                <w:color w:val="auto"/>
              </w:rPr>
            </w:pPr>
            <w:r>
              <w:rPr>
                <w:rFonts w:ascii="Calibri" w:cs="Calibri" w:eastAsia="Calibri" w:hAnsi="Calibri"/>
                <w:sz w:val="14"/>
                <w:szCs w:val="14"/>
                <w:color w:val="auto"/>
              </w:rPr>
              <w:t>East Division</w:t>
            </w:r>
          </w:p>
        </w:tc>
        <w:tc>
          <w:tcPr>
            <w:tcW w:w="1120" w:type="dxa"/>
            <w:vAlign w:val="bottom"/>
            <w:tcBorders>
              <w:bottom w:val="single" w:sz="8" w:color="DEEBF7"/>
              <w:right w:val="single" w:sz="8" w:color="007CBA"/>
            </w:tcBorders>
            <w:shd w:val="clear" w:color="auto" w:fill="DEEBF7"/>
          </w:tcPr>
          <w:p>
            <w:pPr>
              <w:jc w:val="right"/>
              <w:ind w:right="68"/>
              <w:spacing w:after="0"/>
              <w:rPr>
                <w:sz w:val="20"/>
                <w:szCs w:val="20"/>
                <w:color w:val="auto"/>
              </w:rPr>
            </w:pPr>
            <w:r>
              <w:rPr>
                <w:rFonts w:ascii="Calibri" w:cs="Calibri" w:eastAsia="Calibri" w:hAnsi="Calibri"/>
                <w:sz w:val="14"/>
                <w:szCs w:val="14"/>
                <w:color w:val="auto"/>
              </w:rPr>
              <w:t>144,299</w:t>
            </w:r>
          </w:p>
        </w:tc>
        <w:tc>
          <w:tcPr>
            <w:tcW w:w="1260" w:type="dxa"/>
            <w:vAlign w:val="bottom"/>
            <w:tcBorders>
              <w:bottom w:val="single" w:sz="8" w:color="DEEBF7"/>
              <w:right w:val="single" w:sz="8" w:color="007CBA"/>
            </w:tcBorders>
            <w:shd w:val="clear" w:color="auto" w:fill="DEEBF7"/>
          </w:tcPr>
          <w:p>
            <w:pPr>
              <w:jc w:val="center"/>
              <w:spacing w:after="0"/>
              <w:rPr>
                <w:sz w:val="20"/>
                <w:szCs w:val="20"/>
                <w:color w:val="auto"/>
              </w:rPr>
            </w:pPr>
            <w:r>
              <w:rPr>
                <w:rFonts w:ascii="Calibri" w:cs="Calibri" w:eastAsia="Calibri" w:hAnsi="Calibri"/>
                <w:sz w:val="14"/>
                <w:szCs w:val="14"/>
                <w:color w:val="auto"/>
              </w:rPr>
              <w:t>Crushed Stone</w:t>
            </w:r>
          </w:p>
        </w:tc>
        <w:tc>
          <w:tcPr>
            <w:tcW w:w="1240" w:type="dxa"/>
            <w:vAlign w:val="bottom"/>
            <w:tcBorders>
              <w:bottom w:val="single" w:sz="8" w:color="DEEBF7"/>
              <w:right w:val="single" w:sz="8" w:color="007CBA"/>
            </w:tcBorders>
            <w:shd w:val="clear" w:color="auto" w:fill="DEEBF7"/>
          </w:tcPr>
          <w:p>
            <w:pPr>
              <w:jc w:val="right"/>
              <w:ind w:right="68"/>
              <w:spacing w:after="0"/>
              <w:rPr>
                <w:sz w:val="20"/>
                <w:szCs w:val="20"/>
                <w:color w:val="auto"/>
              </w:rPr>
            </w:pPr>
            <w:r>
              <w:rPr>
                <w:rFonts w:ascii="Calibri" w:cs="Calibri" w:eastAsia="Calibri" w:hAnsi="Calibri"/>
                <w:sz w:val="14"/>
                <w:szCs w:val="14"/>
                <w:color w:val="auto"/>
              </w:rPr>
              <w:t>30,584</w:t>
            </w:r>
          </w:p>
        </w:tc>
        <w:tc>
          <w:tcPr>
            <w:tcW w:w="1240" w:type="dxa"/>
            <w:vAlign w:val="bottom"/>
            <w:tcBorders>
              <w:bottom w:val="single" w:sz="8" w:color="DEEBF7"/>
              <w:right w:val="single" w:sz="8" w:color="007CBA"/>
            </w:tcBorders>
            <w:shd w:val="clear" w:color="auto" w:fill="DEEBF7"/>
          </w:tcPr>
          <w:p>
            <w:pPr>
              <w:jc w:val="center"/>
              <w:spacing w:after="0"/>
              <w:rPr>
                <w:sz w:val="20"/>
                <w:szCs w:val="20"/>
                <w:color w:val="auto"/>
              </w:rPr>
            </w:pPr>
            <w:r>
              <w:rPr>
                <w:rFonts w:ascii="Calibri" w:cs="Calibri" w:eastAsia="Calibri" w:hAnsi="Calibri"/>
                <w:sz w:val="14"/>
                <w:szCs w:val="14"/>
                <w:color w:val="auto"/>
              </w:rPr>
              <w:t>Crushed Stone</w:t>
            </w:r>
          </w:p>
        </w:tc>
        <w:tc>
          <w:tcPr>
            <w:tcW w:w="1380" w:type="dxa"/>
            <w:vAlign w:val="bottom"/>
            <w:tcBorders>
              <w:bottom w:val="single" w:sz="8" w:color="DEEBF7"/>
              <w:right w:val="single" w:sz="8" w:color="007CBA"/>
            </w:tcBorders>
            <w:shd w:val="clear" w:color="auto" w:fill="DEEBF7"/>
          </w:tcPr>
          <w:p>
            <w:pPr>
              <w:jc w:val="right"/>
              <w:ind w:right="48"/>
              <w:spacing w:after="0"/>
              <w:rPr>
                <w:sz w:val="20"/>
                <w:szCs w:val="20"/>
                <w:color w:val="auto"/>
              </w:rPr>
            </w:pPr>
            <w:r>
              <w:rPr>
                <w:rFonts w:ascii="Calibri" w:cs="Calibri" w:eastAsia="Calibri" w:hAnsi="Calibri"/>
                <w:sz w:val="14"/>
                <w:szCs w:val="14"/>
                <w:color w:val="auto"/>
              </w:rPr>
              <w:t>174,883</w:t>
            </w:r>
          </w:p>
        </w:tc>
        <w:tc>
          <w:tcPr>
            <w:tcW w:w="1260" w:type="dxa"/>
            <w:vAlign w:val="bottom"/>
            <w:tcBorders>
              <w:bottom w:val="single" w:sz="8" w:color="DEEBF7"/>
              <w:right w:val="single" w:sz="8" w:color="007CBA"/>
            </w:tcBorders>
            <w:shd w:val="clear" w:color="auto" w:fill="DEEBF7"/>
          </w:tcPr>
          <w:p>
            <w:pPr>
              <w:jc w:val="center"/>
              <w:spacing w:after="0"/>
              <w:rPr>
                <w:sz w:val="20"/>
                <w:szCs w:val="20"/>
                <w:color w:val="auto"/>
              </w:rPr>
            </w:pPr>
            <w:r>
              <w:rPr>
                <w:rFonts w:ascii="Calibri" w:cs="Calibri" w:eastAsia="Calibri" w:hAnsi="Calibri"/>
                <w:sz w:val="14"/>
                <w:szCs w:val="14"/>
                <w:color w:val="auto"/>
              </w:rPr>
              <w:t>Crushed Stone</w:t>
            </w:r>
          </w:p>
        </w:tc>
        <w:tc>
          <w:tcPr>
            <w:tcW w:w="1000" w:type="dxa"/>
            <w:vAlign w:val="bottom"/>
            <w:tcBorders>
              <w:bottom w:val="single" w:sz="8" w:color="DEEBF7"/>
              <w:right w:val="single" w:sz="8" w:color="007CBA"/>
            </w:tcBorders>
            <w:shd w:val="clear" w:color="auto" w:fill="DEEBF7"/>
          </w:tcPr>
          <w:p>
            <w:pPr>
              <w:ind w:left="740"/>
              <w:spacing w:after="0"/>
              <w:rPr>
                <w:sz w:val="20"/>
                <w:szCs w:val="20"/>
                <w:color w:val="auto"/>
              </w:rPr>
            </w:pPr>
            <w:r>
              <w:rPr>
                <w:rFonts w:ascii="Calibri" w:cs="Calibri" w:eastAsia="Calibri" w:hAnsi="Calibri"/>
                <w:sz w:val="14"/>
                <w:szCs w:val="14"/>
                <w:color w:val="auto"/>
              </w:rPr>
              <w:t>—</w:t>
            </w:r>
          </w:p>
        </w:tc>
        <w:tc>
          <w:tcPr>
            <w:tcW w:w="1240" w:type="dxa"/>
            <w:vAlign w:val="bottom"/>
            <w:tcBorders>
              <w:bottom w:val="single" w:sz="8" w:color="DEEBF7"/>
            </w:tcBorders>
            <w:shd w:val="clear" w:color="auto" w:fill="DEEBF7"/>
          </w:tcPr>
          <w:p>
            <w:pPr>
              <w:jc w:val="center"/>
              <w:spacing w:after="0"/>
              <w:rPr>
                <w:sz w:val="20"/>
                <w:szCs w:val="20"/>
                <w:color w:val="auto"/>
              </w:rPr>
            </w:pPr>
            <w:r>
              <w:rPr>
                <w:rFonts w:ascii="Calibri" w:cs="Calibri" w:eastAsia="Calibri" w:hAnsi="Calibri"/>
                <w:sz w:val="14"/>
                <w:szCs w:val="14"/>
                <w:color w:val="auto"/>
              </w:rPr>
              <w:t>Crushed Stone</w:t>
            </w:r>
          </w:p>
        </w:tc>
      </w:tr>
      <w:tr>
        <w:trPr>
          <w:trHeight w:val="170"/>
        </w:trPr>
        <w:tc>
          <w:tcPr>
            <w:tcW w:w="1500" w:type="dxa"/>
            <w:vAlign w:val="bottom"/>
            <w:tcBorders>
              <w:right w:val="single" w:sz="8" w:color="007CBA"/>
            </w:tcBorders>
          </w:tcPr>
          <w:p>
            <w:pPr>
              <w:ind w:left="20"/>
              <w:spacing w:after="0"/>
              <w:rPr>
                <w:sz w:val="20"/>
                <w:szCs w:val="20"/>
                <w:color w:val="auto"/>
              </w:rPr>
            </w:pPr>
            <w:r>
              <w:rPr>
                <w:rFonts w:ascii="Calibri" w:cs="Calibri" w:eastAsia="Calibri" w:hAnsi="Calibri"/>
                <w:sz w:val="14"/>
                <w:szCs w:val="14"/>
                <w:color w:val="auto"/>
              </w:rPr>
              <w:t>Central Division</w:t>
            </w:r>
          </w:p>
        </w:tc>
        <w:tc>
          <w:tcPr>
            <w:tcW w:w="1120" w:type="dxa"/>
            <w:vAlign w:val="bottom"/>
            <w:tcBorders>
              <w:right w:val="single" w:sz="8" w:color="007CBA"/>
            </w:tcBorders>
          </w:tcPr>
          <w:p>
            <w:pPr>
              <w:jc w:val="right"/>
              <w:ind w:right="68"/>
              <w:spacing w:after="0"/>
              <w:rPr>
                <w:sz w:val="20"/>
                <w:szCs w:val="20"/>
                <w:color w:val="auto"/>
              </w:rPr>
            </w:pPr>
            <w:r>
              <w:rPr>
                <w:rFonts w:ascii="Calibri" w:cs="Calibri" w:eastAsia="Calibri" w:hAnsi="Calibri"/>
                <w:sz w:val="14"/>
                <w:szCs w:val="14"/>
                <w:color w:val="auto"/>
              </w:rPr>
              <w:t>—</w:t>
            </w:r>
          </w:p>
        </w:tc>
        <w:tc>
          <w:tcPr>
            <w:tcW w:w="1260" w:type="dxa"/>
            <w:vAlign w:val="bottom"/>
            <w:tcBorders>
              <w:right w:val="single" w:sz="8" w:color="007CBA"/>
            </w:tcBorders>
          </w:tcPr>
          <w:p>
            <w:pPr>
              <w:jc w:val="center"/>
              <w:spacing w:after="0"/>
              <w:rPr>
                <w:sz w:val="20"/>
                <w:szCs w:val="20"/>
                <w:color w:val="auto"/>
              </w:rPr>
            </w:pPr>
            <w:r>
              <w:rPr>
                <w:rFonts w:ascii="Calibri" w:cs="Calibri" w:eastAsia="Calibri" w:hAnsi="Calibri"/>
                <w:sz w:val="14"/>
                <w:szCs w:val="14"/>
                <w:color w:val="auto"/>
              </w:rPr>
              <w:t>Crushed Stone</w:t>
            </w:r>
          </w:p>
        </w:tc>
        <w:tc>
          <w:tcPr>
            <w:tcW w:w="1240" w:type="dxa"/>
            <w:vAlign w:val="bottom"/>
            <w:tcBorders>
              <w:right w:val="single" w:sz="8" w:color="007CBA"/>
            </w:tcBorders>
          </w:tcPr>
          <w:p>
            <w:pPr>
              <w:jc w:val="right"/>
              <w:ind w:right="68"/>
              <w:spacing w:after="0"/>
              <w:rPr>
                <w:sz w:val="20"/>
                <w:szCs w:val="20"/>
                <w:color w:val="auto"/>
              </w:rPr>
            </w:pPr>
            <w:r>
              <w:rPr>
                <w:rFonts w:ascii="Calibri" w:cs="Calibri" w:eastAsia="Calibri" w:hAnsi="Calibri"/>
                <w:sz w:val="14"/>
                <w:szCs w:val="14"/>
                <w:color w:val="auto"/>
              </w:rPr>
              <w:t>22,730</w:t>
            </w:r>
          </w:p>
        </w:tc>
        <w:tc>
          <w:tcPr>
            <w:tcW w:w="1240" w:type="dxa"/>
            <w:vAlign w:val="bottom"/>
            <w:tcBorders>
              <w:right w:val="single" w:sz="8" w:color="007CBA"/>
            </w:tcBorders>
          </w:tcPr>
          <w:p>
            <w:pPr>
              <w:jc w:val="center"/>
              <w:spacing w:after="0"/>
              <w:rPr>
                <w:sz w:val="20"/>
                <w:szCs w:val="20"/>
                <w:color w:val="auto"/>
              </w:rPr>
            </w:pPr>
            <w:r>
              <w:rPr>
                <w:rFonts w:ascii="Calibri" w:cs="Calibri" w:eastAsia="Calibri" w:hAnsi="Calibri"/>
                <w:sz w:val="14"/>
                <w:szCs w:val="14"/>
                <w:color w:val="auto"/>
              </w:rPr>
              <w:t>Crushed Stone</w:t>
            </w:r>
          </w:p>
        </w:tc>
        <w:tc>
          <w:tcPr>
            <w:tcW w:w="1380" w:type="dxa"/>
            <w:vAlign w:val="bottom"/>
            <w:tcBorders>
              <w:right w:val="single" w:sz="8" w:color="007CBA"/>
            </w:tcBorders>
          </w:tcPr>
          <w:p>
            <w:pPr>
              <w:jc w:val="right"/>
              <w:ind w:right="48"/>
              <w:spacing w:after="0"/>
              <w:rPr>
                <w:sz w:val="20"/>
                <w:szCs w:val="20"/>
                <w:color w:val="auto"/>
              </w:rPr>
            </w:pPr>
            <w:r>
              <w:rPr>
                <w:rFonts w:ascii="Calibri" w:cs="Calibri" w:eastAsia="Calibri" w:hAnsi="Calibri"/>
                <w:sz w:val="14"/>
                <w:szCs w:val="14"/>
                <w:color w:val="auto"/>
              </w:rPr>
              <w:t>22,730</w:t>
            </w:r>
          </w:p>
        </w:tc>
        <w:tc>
          <w:tcPr>
            <w:tcW w:w="1260" w:type="dxa"/>
            <w:vAlign w:val="bottom"/>
            <w:tcBorders>
              <w:right w:val="single" w:sz="8" w:color="007CBA"/>
            </w:tcBorders>
          </w:tcPr>
          <w:p>
            <w:pPr>
              <w:jc w:val="center"/>
              <w:spacing w:after="0"/>
              <w:rPr>
                <w:sz w:val="20"/>
                <w:szCs w:val="20"/>
                <w:color w:val="auto"/>
              </w:rPr>
            </w:pPr>
            <w:r>
              <w:rPr>
                <w:rFonts w:ascii="Calibri" w:cs="Calibri" w:eastAsia="Calibri" w:hAnsi="Calibri"/>
                <w:sz w:val="14"/>
                <w:szCs w:val="14"/>
                <w:color w:val="auto"/>
              </w:rPr>
              <w:t>Crushed Stone</w:t>
            </w:r>
          </w:p>
        </w:tc>
        <w:tc>
          <w:tcPr>
            <w:tcW w:w="1000" w:type="dxa"/>
            <w:vAlign w:val="bottom"/>
            <w:tcBorders>
              <w:right w:val="single" w:sz="8" w:color="007CBA"/>
            </w:tcBorders>
          </w:tcPr>
          <w:p>
            <w:pPr>
              <w:ind w:left="740"/>
              <w:spacing w:after="0"/>
              <w:rPr>
                <w:sz w:val="20"/>
                <w:szCs w:val="20"/>
                <w:color w:val="auto"/>
              </w:rPr>
            </w:pPr>
            <w:r>
              <w:rPr>
                <w:rFonts w:ascii="Calibri" w:cs="Calibri" w:eastAsia="Calibri" w:hAnsi="Calibri"/>
                <w:sz w:val="14"/>
                <w:szCs w:val="14"/>
                <w:color w:val="auto"/>
              </w:rPr>
              <w:t>—</w:t>
            </w:r>
          </w:p>
        </w:tc>
        <w:tc>
          <w:tcPr>
            <w:tcW w:w="1240" w:type="dxa"/>
            <w:vAlign w:val="bottom"/>
          </w:tcPr>
          <w:p>
            <w:pPr>
              <w:jc w:val="center"/>
              <w:spacing w:after="0"/>
              <w:rPr>
                <w:sz w:val="20"/>
                <w:szCs w:val="20"/>
                <w:color w:val="auto"/>
              </w:rPr>
            </w:pPr>
            <w:r>
              <w:rPr>
                <w:rFonts w:ascii="Calibri" w:cs="Calibri" w:eastAsia="Calibri" w:hAnsi="Calibri"/>
                <w:sz w:val="14"/>
                <w:szCs w:val="14"/>
                <w:color w:val="auto"/>
              </w:rPr>
              <w:t>Crushed Stone</w:t>
            </w:r>
          </w:p>
        </w:tc>
      </w:tr>
      <w:tr>
        <w:trPr>
          <w:trHeight w:val="33"/>
        </w:trPr>
        <w:tc>
          <w:tcPr>
            <w:tcW w:w="1500" w:type="dxa"/>
            <w:vAlign w:val="bottom"/>
            <w:tcBorders>
              <w:right w:val="single" w:sz="8" w:color="007CBA"/>
            </w:tcBorders>
          </w:tcPr>
          <w:p>
            <w:pPr>
              <w:spacing w:after="0"/>
              <w:rPr>
                <w:sz w:val="2"/>
                <w:szCs w:val="2"/>
                <w:color w:val="auto"/>
              </w:rPr>
            </w:pPr>
          </w:p>
        </w:tc>
        <w:tc>
          <w:tcPr>
            <w:tcW w:w="1120" w:type="dxa"/>
            <w:vAlign w:val="bottom"/>
            <w:tcBorders>
              <w:right w:val="single" w:sz="8" w:color="007CBA"/>
            </w:tcBorders>
          </w:tcPr>
          <w:p>
            <w:pPr>
              <w:spacing w:after="0"/>
              <w:rPr>
                <w:sz w:val="2"/>
                <w:szCs w:val="2"/>
                <w:color w:val="auto"/>
              </w:rPr>
            </w:pPr>
          </w:p>
        </w:tc>
        <w:tc>
          <w:tcPr>
            <w:tcW w:w="1260" w:type="dxa"/>
            <w:vAlign w:val="bottom"/>
            <w:tcBorders>
              <w:right w:val="single" w:sz="8" w:color="007CBA"/>
            </w:tcBorders>
          </w:tcPr>
          <w:p>
            <w:pPr>
              <w:spacing w:after="0"/>
              <w:rPr>
                <w:sz w:val="2"/>
                <w:szCs w:val="2"/>
                <w:color w:val="auto"/>
              </w:rPr>
            </w:pPr>
          </w:p>
        </w:tc>
        <w:tc>
          <w:tcPr>
            <w:tcW w:w="1240" w:type="dxa"/>
            <w:vAlign w:val="bottom"/>
            <w:tcBorders>
              <w:right w:val="single" w:sz="8" w:color="007CBA"/>
            </w:tcBorders>
          </w:tcPr>
          <w:p>
            <w:pPr>
              <w:spacing w:after="0"/>
              <w:rPr>
                <w:sz w:val="2"/>
                <w:szCs w:val="2"/>
                <w:color w:val="auto"/>
              </w:rPr>
            </w:pPr>
          </w:p>
        </w:tc>
        <w:tc>
          <w:tcPr>
            <w:tcW w:w="1240" w:type="dxa"/>
            <w:vAlign w:val="bottom"/>
            <w:tcBorders>
              <w:right w:val="single" w:sz="8" w:color="007CBA"/>
            </w:tcBorders>
          </w:tcPr>
          <w:p>
            <w:pPr>
              <w:spacing w:after="0"/>
              <w:rPr>
                <w:sz w:val="2"/>
                <w:szCs w:val="2"/>
                <w:color w:val="auto"/>
              </w:rPr>
            </w:pPr>
          </w:p>
        </w:tc>
        <w:tc>
          <w:tcPr>
            <w:tcW w:w="1380" w:type="dxa"/>
            <w:vAlign w:val="bottom"/>
            <w:tcBorders>
              <w:right w:val="single" w:sz="8" w:color="007CBA"/>
            </w:tcBorders>
          </w:tcPr>
          <w:p>
            <w:pPr>
              <w:spacing w:after="0"/>
              <w:rPr>
                <w:sz w:val="2"/>
                <w:szCs w:val="2"/>
                <w:color w:val="auto"/>
              </w:rPr>
            </w:pPr>
          </w:p>
        </w:tc>
        <w:tc>
          <w:tcPr>
            <w:tcW w:w="1260" w:type="dxa"/>
            <w:vAlign w:val="bottom"/>
            <w:tcBorders>
              <w:right w:val="single" w:sz="8" w:color="007CBA"/>
            </w:tcBorders>
          </w:tcPr>
          <w:p>
            <w:pPr>
              <w:spacing w:after="0"/>
              <w:rPr>
                <w:sz w:val="2"/>
                <w:szCs w:val="2"/>
                <w:color w:val="auto"/>
              </w:rPr>
            </w:pPr>
          </w:p>
        </w:tc>
        <w:tc>
          <w:tcPr>
            <w:tcW w:w="1000" w:type="dxa"/>
            <w:vAlign w:val="bottom"/>
            <w:tcBorders>
              <w:right w:val="single" w:sz="8" w:color="007CBA"/>
            </w:tcBorders>
          </w:tcPr>
          <w:p>
            <w:pPr>
              <w:spacing w:after="0"/>
              <w:rPr>
                <w:sz w:val="2"/>
                <w:szCs w:val="2"/>
                <w:color w:val="auto"/>
              </w:rPr>
            </w:pPr>
          </w:p>
        </w:tc>
        <w:tc>
          <w:tcPr>
            <w:tcW w:w="1240" w:type="dxa"/>
            <w:vAlign w:val="bottom"/>
          </w:tcPr>
          <w:p>
            <w:pPr>
              <w:spacing w:after="0"/>
              <w:rPr>
                <w:sz w:val="2"/>
                <w:szCs w:val="2"/>
                <w:color w:val="auto"/>
              </w:rPr>
            </w:pPr>
          </w:p>
        </w:tc>
      </w:tr>
      <w:tr>
        <w:trPr>
          <w:trHeight w:val="183"/>
        </w:trPr>
        <w:tc>
          <w:tcPr>
            <w:tcW w:w="1500" w:type="dxa"/>
            <w:vAlign w:val="bottom"/>
            <w:tcBorders>
              <w:bottom w:val="single" w:sz="8" w:color="DEEBF7"/>
              <w:right w:val="single" w:sz="8" w:color="007CBA"/>
            </w:tcBorders>
            <w:shd w:val="clear" w:color="auto" w:fill="DEEBF7"/>
          </w:tcPr>
          <w:p>
            <w:pPr>
              <w:ind w:left="20"/>
              <w:spacing w:after="0"/>
              <w:rPr>
                <w:sz w:val="20"/>
                <w:szCs w:val="20"/>
                <w:color w:val="auto"/>
              </w:rPr>
            </w:pPr>
            <w:r>
              <w:rPr>
                <w:rFonts w:ascii="Calibri" w:cs="Calibri" w:eastAsia="Calibri" w:hAnsi="Calibri"/>
                <w:sz w:val="14"/>
                <w:szCs w:val="14"/>
                <w:color w:val="auto"/>
              </w:rPr>
              <w:t>Southwest Division</w:t>
            </w:r>
          </w:p>
        </w:tc>
        <w:tc>
          <w:tcPr>
            <w:tcW w:w="1120" w:type="dxa"/>
            <w:vAlign w:val="bottom"/>
            <w:tcBorders>
              <w:bottom w:val="single" w:sz="8" w:color="DEEBF7"/>
              <w:right w:val="single" w:sz="8" w:color="007CBA"/>
            </w:tcBorders>
            <w:shd w:val="clear" w:color="auto" w:fill="DEEBF7"/>
          </w:tcPr>
          <w:p>
            <w:pPr>
              <w:jc w:val="right"/>
              <w:ind w:right="68"/>
              <w:spacing w:after="0"/>
              <w:rPr>
                <w:sz w:val="20"/>
                <w:szCs w:val="20"/>
                <w:color w:val="auto"/>
              </w:rPr>
            </w:pPr>
            <w:r>
              <w:rPr>
                <w:rFonts w:ascii="Calibri" w:cs="Calibri" w:eastAsia="Calibri" w:hAnsi="Calibri"/>
                <w:sz w:val="14"/>
                <w:szCs w:val="14"/>
                <w:color w:val="auto"/>
              </w:rPr>
              <w:t>—</w:t>
            </w:r>
          </w:p>
        </w:tc>
        <w:tc>
          <w:tcPr>
            <w:tcW w:w="1260" w:type="dxa"/>
            <w:vAlign w:val="bottom"/>
            <w:tcBorders>
              <w:bottom w:val="single" w:sz="8" w:color="DEEBF7"/>
              <w:right w:val="single" w:sz="8" w:color="007CBA"/>
            </w:tcBorders>
            <w:shd w:val="clear" w:color="auto" w:fill="DEEBF7"/>
          </w:tcPr>
          <w:p>
            <w:pPr>
              <w:jc w:val="center"/>
              <w:spacing w:after="0"/>
              <w:rPr>
                <w:sz w:val="20"/>
                <w:szCs w:val="20"/>
                <w:color w:val="auto"/>
              </w:rPr>
            </w:pPr>
            <w:r>
              <w:rPr>
                <w:rFonts w:ascii="Calibri" w:cs="Calibri" w:eastAsia="Calibri" w:hAnsi="Calibri"/>
                <w:sz w:val="14"/>
                <w:szCs w:val="14"/>
                <w:color w:val="auto"/>
              </w:rPr>
              <w:t>Crushed Stone</w:t>
            </w:r>
          </w:p>
        </w:tc>
        <w:tc>
          <w:tcPr>
            <w:tcW w:w="1240" w:type="dxa"/>
            <w:vAlign w:val="bottom"/>
            <w:tcBorders>
              <w:bottom w:val="single" w:sz="8" w:color="DEEBF7"/>
              <w:right w:val="single" w:sz="8" w:color="007CBA"/>
            </w:tcBorders>
            <w:shd w:val="clear" w:color="auto" w:fill="DEEBF7"/>
          </w:tcPr>
          <w:p>
            <w:pPr>
              <w:jc w:val="right"/>
              <w:ind w:right="68"/>
              <w:spacing w:after="0"/>
              <w:rPr>
                <w:sz w:val="20"/>
                <w:szCs w:val="20"/>
                <w:color w:val="auto"/>
              </w:rPr>
            </w:pPr>
            <w:r>
              <w:rPr>
                <w:rFonts w:ascii="Calibri" w:cs="Calibri" w:eastAsia="Calibri" w:hAnsi="Calibri"/>
                <w:sz w:val="14"/>
                <w:szCs w:val="14"/>
                <w:color w:val="auto"/>
              </w:rPr>
              <w:t>—</w:t>
            </w:r>
          </w:p>
        </w:tc>
        <w:tc>
          <w:tcPr>
            <w:tcW w:w="1240" w:type="dxa"/>
            <w:vAlign w:val="bottom"/>
            <w:tcBorders>
              <w:bottom w:val="single" w:sz="8" w:color="DEEBF7"/>
              <w:right w:val="single" w:sz="8" w:color="007CBA"/>
            </w:tcBorders>
            <w:shd w:val="clear" w:color="auto" w:fill="DEEBF7"/>
          </w:tcPr>
          <w:p>
            <w:pPr>
              <w:jc w:val="center"/>
              <w:spacing w:after="0"/>
              <w:rPr>
                <w:sz w:val="20"/>
                <w:szCs w:val="20"/>
                <w:color w:val="auto"/>
              </w:rPr>
            </w:pPr>
            <w:r>
              <w:rPr>
                <w:rFonts w:ascii="Calibri" w:cs="Calibri" w:eastAsia="Calibri" w:hAnsi="Calibri"/>
                <w:sz w:val="14"/>
                <w:szCs w:val="14"/>
                <w:color w:val="auto"/>
              </w:rPr>
              <w:t>Crushed Stone</w:t>
            </w:r>
          </w:p>
        </w:tc>
        <w:tc>
          <w:tcPr>
            <w:tcW w:w="1380" w:type="dxa"/>
            <w:vAlign w:val="bottom"/>
            <w:tcBorders>
              <w:bottom w:val="single" w:sz="8" w:color="DEEBF7"/>
              <w:right w:val="single" w:sz="8" w:color="007CBA"/>
            </w:tcBorders>
            <w:shd w:val="clear" w:color="auto" w:fill="DEEBF7"/>
          </w:tcPr>
          <w:p>
            <w:pPr>
              <w:jc w:val="right"/>
              <w:ind w:right="48"/>
              <w:spacing w:after="0"/>
              <w:rPr>
                <w:sz w:val="20"/>
                <w:szCs w:val="20"/>
                <w:color w:val="auto"/>
              </w:rPr>
            </w:pPr>
            <w:r>
              <w:rPr>
                <w:rFonts w:ascii="Calibri" w:cs="Calibri" w:eastAsia="Calibri" w:hAnsi="Calibri"/>
                <w:sz w:val="14"/>
                <w:szCs w:val="14"/>
                <w:color w:val="auto"/>
              </w:rPr>
              <w:t>—</w:t>
            </w:r>
          </w:p>
        </w:tc>
        <w:tc>
          <w:tcPr>
            <w:tcW w:w="1260" w:type="dxa"/>
            <w:vAlign w:val="bottom"/>
            <w:tcBorders>
              <w:bottom w:val="single" w:sz="8" w:color="DEEBF7"/>
              <w:right w:val="single" w:sz="8" w:color="007CBA"/>
            </w:tcBorders>
            <w:shd w:val="clear" w:color="auto" w:fill="DEEBF7"/>
          </w:tcPr>
          <w:p>
            <w:pPr>
              <w:jc w:val="center"/>
              <w:spacing w:after="0"/>
              <w:rPr>
                <w:sz w:val="20"/>
                <w:szCs w:val="20"/>
                <w:color w:val="auto"/>
              </w:rPr>
            </w:pPr>
            <w:r>
              <w:rPr>
                <w:rFonts w:ascii="Calibri" w:cs="Calibri" w:eastAsia="Calibri" w:hAnsi="Calibri"/>
                <w:sz w:val="14"/>
                <w:szCs w:val="14"/>
                <w:color w:val="auto"/>
              </w:rPr>
              <w:t>Crushed Stone</w:t>
            </w:r>
          </w:p>
        </w:tc>
        <w:tc>
          <w:tcPr>
            <w:tcW w:w="1000" w:type="dxa"/>
            <w:vAlign w:val="bottom"/>
            <w:tcBorders>
              <w:bottom w:val="single" w:sz="8" w:color="DEEBF7"/>
              <w:right w:val="single" w:sz="8" w:color="007CBA"/>
            </w:tcBorders>
            <w:shd w:val="clear" w:color="auto" w:fill="DEEBF7"/>
          </w:tcPr>
          <w:p>
            <w:pPr>
              <w:ind w:left="740"/>
              <w:spacing w:after="0"/>
              <w:rPr>
                <w:sz w:val="20"/>
                <w:szCs w:val="20"/>
                <w:color w:val="auto"/>
              </w:rPr>
            </w:pPr>
            <w:r>
              <w:rPr>
                <w:rFonts w:ascii="Calibri" w:cs="Calibri" w:eastAsia="Calibri" w:hAnsi="Calibri"/>
                <w:sz w:val="14"/>
                <w:szCs w:val="14"/>
                <w:color w:val="auto"/>
              </w:rPr>
              <w:t>—</w:t>
            </w:r>
          </w:p>
        </w:tc>
        <w:tc>
          <w:tcPr>
            <w:tcW w:w="1240" w:type="dxa"/>
            <w:vAlign w:val="bottom"/>
            <w:tcBorders>
              <w:bottom w:val="single" w:sz="8" w:color="DEEBF7"/>
            </w:tcBorders>
            <w:shd w:val="clear" w:color="auto" w:fill="DEEBF7"/>
          </w:tcPr>
          <w:p>
            <w:pPr>
              <w:jc w:val="center"/>
              <w:spacing w:after="0"/>
              <w:rPr>
                <w:sz w:val="20"/>
                <w:szCs w:val="20"/>
                <w:color w:val="auto"/>
              </w:rPr>
            </w:pPr>
            <w:r>
              <w:rPr>
                <w:rFonts w:ascii="Calibri" w:cs="Calibri" w:eastAsia="Calibri" w:hAnsi="Calibri"/>
                <w:sz w:val="14"/>
                <w:szCs w:val="14"/>
                <w:color w:val="auto"/>
              </w:rPr>
              <w:t>Crushed Stone</w:t>
            </w:r>
          </w:p>
        </w:tc>
      </w:tr>
      <w:tr>
        <w:trPr>
          <w:trHeight w:val="170"/>
        </w:trPr>
        <w:tc>
          <w:tcPr>
            <w:tcW w:w="1500" w:type="dxa"/>
            <w:vAlign w:val="bottom"/>
          </w:tcPr>
          <w:p>
            <w:pPr>
              <w:ind w:left="20"/>
              <w:spacing w:after="0"/>
              <w:rPr>
                <w:sz w:val="20"/>
                <w:szCs w:val="20"/>
                <w:color w:val="auto"/>
              </w:rPr>
            </w:pPr>
            <w:r>
              <w:rPr>
                <w:rFonts w:ascii="Calibri" w:cs="Calibri" w:eastAsia="Calibri" w:hAnsi="Calibri"/>
                <w:sz w:val="14"/>
                <w:szCs w:val="14"/>
                <w:color w:val="auto"/>
              </w:rPr>
              <w:t>West Division</w:t>
            </w:r>
          </w:p>
        </w:tc>
        <w:tc>
          <w:tcPr>
            <w:tcW w:w="1120" w:type="dxa"/>
            <w:vAlign w:val="bottom"/>
          </w:tcPr>
          <w:p>
            <w:pPr>
              <w:jc w:val="right"/>
              <w:ind w:right="68"/>
              <w:spacing w:after="0"/>
              <w:rPr>
                <w:sz w:val="20"/>
                <w:szCs w:val="20"/>
                <w:color w:val="auto"/>
              </w:rPr>
            </w:pPr>
            <w:r>
              <w:rPr>
                <w:rFonts w:ascii="Calibri" w:cs="Calibri" w:eastAsia="Calibri" w:hAnsi="Calibri"/>
                <w:sz w:val="14"/>
                <w:szCs w:val="14"/>
                <w:color w:val="auto"/>
              </w:rPr>
              <w:t>61,320</w:t>
            </w:r>
          </w:p>
        </w:tc>
        <w:tc>
          <w:tcPr>
            <w:tcW w:w="1260" w:type="dxa"/>
            <w:vAlign w:val="bottom"/>
          </w:tcPr>
          <w:p>
            <w:pPr>
              <w:jc w:val="center"/>
              <w:spacing w:after="0"/>
              <w:rPr>
                <w:sz w:val="20"/>
                <w:szCs w:val="20"/>
                <w:color w:val="auto"/>
              </w:rPr>
            </w:pPr>
            <w:r>
              <w:rPr>
                <w:rFonts w:ascii="Calibri" w:cs="Calibri" w:eastAsia="Calibri" w:hAnsi="Calibri"/>
                <w:sz w:val="14"/>
                <w:szCs w:val="14"/>
                <w:color w:val="auto"/>
              </w:rPr>
              <w:t>Crushed Stone</w:t>
            </w:r>
          </w:p>
        </w:tc>
        <w:tc>
          <w:tcPr>
            <w:tcW w:w="1240" w:type="dxa"/>
            <w:vAlign w:val="bottom"/>
          </w:tcPr>
          <w:p>
            <w:pPr>
              <w:jc w:val="right"/>
              <w:ind w:right="68"/>
              <w:spacing w:after="0"/>
              <w:rPr>
                <w:sz w:val="20"/>
                <w:szCs w:val="20"/>
                <w:color w:val="auto"/>
              </w:rPr>
            </w:pPr>
            <w:r>
              <w:rPr>
                <w:rFonts w:ascii="Calibri" w:cs="Calibri" w:eastAsia="Calibri" w:hAnsi="Calibri"/>
                <w:sz w:val="14"/>
                <w:szCs w:val="14"/>
                <w:color w:val="auto"/>
              </w:rPr>
              <w:t>152,137</w:t>
            </w:r>
          </w:p>
        </w:tc>
        <w:tc>
          <w:tcPr>
            <w:tcW w:w="1240" w:type="dxa"/>
            <w:vAlign w:val="bottom"/>
          </w:tcPr>
          <w:p>
            <w:pPr>
              <w:jc w:val="center"/>
              <w:spacing w:after="0"/>
              <w:rPr>
                <w:sz w:val="20"/>
                <w:szCs w:val="20"/>
                <w:color w:val="auto"/>
              </w:rPr>
            </w:pPr>
            <w:r>
              <w:rPr>
                <w:rFonts w:ascii="Calibri" w:cs="Calibri" w:eastAsia="Calibri" w:hAnsi="Calibri"/>
                <w:sz w:val="14"/>
                <w:szCs w:val="14"/>
                <w:color w:val="auto"/>
              </w:rPr>
              <w:t>Crushed Stone</w:t>
            </w:r>
          </w:p>
        </w:tc>
        <w:tc>
          <w:tcPr>
            <w:tcW w:w="1380" w:type="dxa"/>
            <w:vAlign w:val="bottom"/>
          </w:tcPr>
          <w:p>
            <w:pPr>
              <w:jc w:val="right"/>
              <w:ind w:right="48"/>
              <w:spacing w:after="0"/>
              <w:rPr>
                <w:sz w:val="20"/>
                <w:szCs w:val="20"/>
                <w:color w:val="auto"/>
              </w:rPr>
            </w:pPr>
            <w:r>
              <w:rPr>
                <w:rFonts w:ascii="Calibri" w:cs="Calibri" w:eastAsia="Calibri" w:hAnsi="Calibri"/>
                <w:sz w:val="14"/>
                <w:szCs w:val="14"/>
                <w:color w:val="auto"/>
              </w:rPr>
              <w:t>213,457</w:t>
            </w:r>
          </w:p>
        </w:tc>
        <w:tc>
          <w:tcPr>
            <w:tcW w:w="1260" w:type="dxa"/>
            <w:vAlign w:val="bottom"/>
          </w:tcPr>
          <w:p>
            <w:pPr>
              <w:jc w:val="center"/>
              <w:spacing w:after="0"/>
              <w:rPr>
                <w:sz w:val="20"/>
                <w:szCs w:val="20"/>
                <w:color w:val="auto"/>
              </w:rPr>
            </w:pPr>
            <w:r>
              <w:rPr>
                <w:rFonts w:ascii="Calibri" w:cs="Calibri" w:eastAsia="Calibri" w:hAnsi="Calibri"/>
                <w:sz w:val="14"/>
                <w:szCs w:val="14"/>
                <w:color w:val="auto"/>
              </w:rPr>
              <w:t>Crushed Stone</w:t>
            </w:r>
          </w:p>
        </w:tc>
        <w:tc>
          <w:tcPr>
            <w:tcW w:w="1000" w:type="dxa"/>
            <w:vAlign w:val="bottom"/>
          </w:tcPr>
          <w:p>
            <w:pPr>
              <w:ind w:left="740"/>
              <w:spacing w:after="0"/>
              <w:rPr>
                <w:sz w:val="20"/>
                <w:szCs w:val="20"/>
                <w:color w:val="auto"/>
              </w:rPr>
            </w:pPr>
            <w:r>
              <w:rPr>
                <w:rFonts w:ascii="Calibri" w:cs="Calibri" w:eastAsia="Calibri" w:hAnsi="Calibri"/>
                <w:sz w:val="14"/>
                <w:szCs w:val="14"/>
                <w:color w:val="auto"/>
              </w:rPr>
              <w:t>—</w:t>
            </w:r>
          </w:p>
        </w:tc>
        <w:tc>
          <w:tcPr>
            <w:tcW w:w="1240" w:type="dxa"/>
            <w:vAlign w:val="bottom"/>
          </w:tcPr>
          <w:p>
            <w:pPr>
              <w:jc w:val="center"/>
              <w:spacing w:after="0"/>
              <w:rPr>
                <w:sz w:val="20"/>
                <w:szCs w:val="20"/>
                <w:color w:val="auto"/>
              </w:rPr>
            </w:pPr>
            <w:r>
              <w:rPr>
                <w:rFonts w:ascii="Calibri" w:cs="Calibri" w:eastAsia="Calibri" w:hAnsi="Calibri"/>
                <w:sz w:val="14"/>
                <w:szCs w:val="14"/>
                <w:color w:val="auto"/>
              </w:rPr>
              <w:t>Crushed Stone</w:t>
            </w:r>
          </w:p>
        </w:tc>
      </w:tr>
      <w:tr>
        <w:trPr>
          <w:trHeight w:val="33"/>
        </w:trPr>
        <w:tc>
          <w:tcPr>
            <w:tcW w:w="1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1"/>
        </w:trPr>
        <w:tc>
          <w:tcPr>
            <w:tcW w:w="1500" w:type="dxa"/>
            <w:vAlign w:val="bottom"/>
            <w:tcBorders>
              <w:bottom w:val="single" w:sz="8" w:color="DEEBF7"/>
              <w:right w:val="single" w:sz="8" w:color="DEEBF7"/>
            </w:tcBorders>
            <w:shd w:val="clear" w:color="auto" w:fill="DEEBF7"/>
          </w:tcPr>
          <w:p>
            <w:pPr>
              <w:ind w:left="20"/>
              <w:spacing w:after="0" w:line="164" w:lineRule="exact"/>
              <w:rPr>
                <w:sz w:val="20"/>
                <w:szCs w:val="20"/>
                <w:color w:val="auto"/>
              </w:rPr>
            </w:pPr>
            <w:r>
              <w:rPr>
                <w:rFonts w:ascii="Calibri" w:cs="Calibri" w:eastAsia="Calibri" w:hAnsi="Calibri"/>
                <w:sz w:val="14"/>
                <w:szCs w:val="14"/>
                <w:color w:val="auto"/>
              </w:rPr>
              <w:t>Total crushed stone</w:t>
            </w:r>
          </w:p>
        </w:tc>
        <w:tc>
          <w:tcPr>
            <w:tcW w:w="1120" w:type="dxa"/>
            <w:vAlign w:val="bottom"/>
            <w:tcBorders>
              <w:bottom w:val="single" w:sz="8" w:color="DEEBF7"/>
              <w:right w:val="single" w:sz="8" w:color="DEEBF7"/>
            </w:tcBorders>
            <w:shd w:val="clear" w:color="auto" w:fill="DEEBF7"/>
          </w:tcPr>
          <w:p>
            <w:pPr>
              <w:jc w:val="right"/>
              <w:ind w:right="68"/>
              <w:spacing w:after="0" w:line="164" w:lineRule="exact"/>
              <w:rPr>
                <w:sz w:val="20"/>
                <w:szCs w:val="20"/>
                <w:color w:val="auto"/>
              </w:rPr>
            </w:pPr>
            <w:r>
              <w:rPr>
                <w:rFonts w:ascii="Calibri" w:cs="Calibri" w:eastAsia="Calibri" w:hAnsi="Calibri"/>
                <w:sz w:val="14"/>
                <w:szCs w:val="14"/>
                <w:color w:val="auto"/>
              </w:rPr>
              <w:t>205,619</w:t>
            </w:r>
          </w:p>
        </w:tc>
        <w:tc>
          <w:tcPr>
            <w:tcW w:w="1260" w:type="dxa"/>
            <w:vAlign w:val="bottom"/>
            <w:tcBorders>
              <w:bottom w:val="single" w:sz="8" w:color="DEEBF7"/>
              <w:right w:val="single" w:sz="8" w:color="DEEBF7"/>
            </w:tcBorders>
            <w:shd w:val="clear" w:color="auto" w:fill="DEEBF7"/>
          </w:tcPr>
          <w:p>
            <w:pPr>
              <w:spacing w:after="0"/>
              <w:rPr>
                <w:sz w:val="17"/>
                <w:szCs w:val="17"/>
                <w:color w:val="auto"/>
              </w:rPr>
            </w:pPr>
          </w:p>
        </w:tc>
        <w:tc>
          <w:tcPr>
            <w:tcW w:w="1240" w:type="dxa"/>
            <w:vAlign w:val="bottom"/>
            <w:tcBorders>
              <w:bottom w:val="single" w:sz="8" w:color="DEEBF7"/>
              <w:right w:val="single" w:sz="8" w:color="DEEBF7"/>
            </w:tcBorders>
            <w:shd w:val="clear" w:color="auto" w:fill="DEEBF7"/>
          </w:tcPr>
          <w:p>
            <w:pPr>
              <w:jc w:val="right"/>
              <w:ind w:right="68"/>
              <w:spacing w:after="0" w:line="164" w:lineRule="exact"/>
              <w:rPr>
                <w:sz w:val="20"/>
                <w:szCs w:val="20"/>
                <w:color w:val="auto"/>
              </w:rPr>
            </w:pPr>
            <w:r>
              <w:rPr>
                <w:rFonts w:ascii="Calibri" w:cs="Calibri" w:eastAsia="Calibri" w:hAnsi="Calibri"/>
                <w:sz w:val="14"/>
                <w:szCs w:val="14"/>
                <w:color w:val="auto"/>
              </w:rPr>
              <w:t>205,451</w:t>
            </w:r>
          </w:p>
        </w:tc>
        <w:tc>
          <w:tcPr>
            <w:tcW w:w="1240" w:type="dxa"/>
            <w:vAlign w:val="bottom"/>
            <w:tcBorders>
              <w:bottom w:val="single" w:sz="8" w:color="DEEBF7"/>
              <w:right w:val="single" w:sz="8" w:color="DEEBF7"/>
            </w:tcBorders>
            <w:shd w:val="clear" w:color="auto" w:fill="DEEBF7"/>
          </w:tcPr>
          <w:p>
            <w:pPr>
              <w:spacing w:after="0"/>
              <w:rPr>
                <w:sz w:val="17"/>
                <w:szCs w:val="17"/>
                <w:color w:val="auto"/>
              </w:rPr>
            </w:pPr>
          </w:p>
        </w:tc>
        <w:tc>
          <w:tcPr>
            <w:tcW w:w="1380" w:type="dxa"/>
            <w:vAlign w:val="bottom"/>
            <w:tcBorders>
              <w:bottom w:val="single" w:sz="8" w:color="DEEBF7"/>
              <w:right w:val="single" w:sz="8" w:color="DEEBF7"/>
            </w:tcBorders>
            <w:shd w:val="clear" w:color="auto" w:fill="DEEBF7"/>
          </w:tcPr>
          <w:p>
            <w:pPr>
              <w:jc w:val="right"/>
              <w:ind w:right="48"/>
              <w:spacing w:after="0" w:line="164" w:lineRule="exact"/>
              <w:rPr>
                <w:sz w:val="20"/>
                <w:szCs w:val="20"/>
                <w:color w:val="auto"/>
              </w:rPr>
            </w:pPr>
            <w:r>
              <w:rPr>
                <w:rFonts w:ascii="Calibri" w:cs="Calibri" w:eastAsia="Calibri" w:hAnsi="Calibri"/>
                <w:sz w:val="14"/>
                <w:szCs w:val="14"/>
                <w:color w:val="auto"/>
              </w:rPr>
              <w:t>411,070</w:t>
            </w:r>
          </w:p>
        </w:tc>
        <w:tc>
          <w:tcPr>
            <w:tcW w:w="1260" w:type="dxa"/>
            <w:vAlign w:val="bottom"/>
            <w:tcBorders>
              <w:bottom w:val="single" w:sz="8" w:color="DEEBF7"/>
              <w:right w:val="single" w:sz="8" w:color="DEEBF7"/>
            </w:tcBorders>
            <w:shd w:val="clear" w:color="auto" w:fill="DEEBF7"/>
          </w:tcPr>
          <w:p>
            <w:pPr>
              <w:spacing w:after="0"/>
              <w:rPr>
                <w:sz w:val="17"/>
                <w:szCs w:val="17"/>
                <w:color w:val="auto"/>
              </w:rPr>
            </w:pPr>
          </w:p>
        </w:tc>
        <w:tc>
          <w:tcPr>
            <w:tcW w:w="1000" w:type="dxa"/>
            <w:vAlign w:val="bottom"/>
            <w:tcBorders>
              <w:bottom w:val="single" w:sz="8" w:color="DEEBF7"/>
              <w:right w:val="single" w:sz="8" w:color="DEEBF7"/>
            </w:tcBorders>
            <w:shd w:val="clear" w:color="auto" w:fill="DEEBF7"/>
          </w:tcPr>
          <w:p>
            <w:pPr>
              <w:ind w:left="740"/>
              <w:spacing w:after="0" w:line="164" w:lineRule="exact"/>
              <w:rPr>
                <w:sz w:val="20"/>
                <w:szCs w:val="20"/>
                <w:color w:val="auto"/>
              </w:rPr>
            </w:pPr>
            <w:r>
              <w:rPr>
                <w:rFonts w:ascii="Calibri" w:cs="Calibri" w:eastAsia="Calibri" w:hAnsi="Calibri"/>
                <w:sz w:val="14"/>
                <w:szCs w:val="14"/>
                <w:color w:val="auto"/>
              </w:rPr>
              <w:t>—</w:t>
            </w:r>
          </w:p>
        </w:tc>
        <w:tc>
          <w:tcPr>
            <w:tcW w:w="1240" w:type="dxa"/>
            <w:vAlign w:val="bottom"/>
            <w:tcBorders>
              <w:bottom w:val="single" w:sz="8" w:color="DEEBF7"/>
            </w:tcBorders>
            <w:shd w:val="clear" w:color="auto" w:fill="DEEBF7"/>
          </w:tcPr>
          <w:p>
            <w:pPr>
              <w:spacing w:after="0"/>
              <w:rPr>
                <w:sz w:val="17"/>
                <w:szCs w:val="17"/>
                <w:color w:val="auto"/>
              </w:rPr>
            </w:pPr>
          </w:p>
        </w:tc>
      </w:tr>
      <w:tr>
        <w:trPr>
          <w:trHeight w:val="163"/>
        </w:trPr>
        <w:tc>
          <w:tcPr>
            <w:tcW w:w="1500" w:type="dxa"/>
            <w:vAlign w:val="bottom"/>
            <w:tcBorders>
              <w:top w:val="single" w:sz="8" w:color="auto"/>
              <w:right w:val="single" w:sz="8" w:color="007CBA"/>
            </w:tcBorders>
          </w:tcPr>
          <w:p>
            <w:pPr>
              <w:ind w:left="20"/>
              <w:spacing w:after="0" w:line="164" w:lineRule="exact"/>
              <w:rPr>
                <w:sz w:val="20"/>
                <w:szCs w:val="20"/>
                <w:color w:val="auto"/>
              </w:rPr>
            </w:pPr>
            <w:r>
              <w:rPr>
                <w:rFonts w:ascii="Calibri" w:cs="Calibri" w:eastAsia="Calibri" w:hAnsi="Calibri"/>
                <w:sz w:val="14"/>
                <w:szCs w:val="14"/>
                <w:b w:val="1"/>
                <w:bCs w:val="1"/>
                <w:color w:val="auto"/>
              </w:rPr>
              <w:t>Sand and Gravel</w:t>
            </w:r>
          </w:p>
        </w:tc>
        <w:tc>
          <w:tcPr>
            <w:tcW w:w="1120" w:type="dxa"/>
            <w:vAlign w:val="bottom"/>
            <w:tcBorders>
              <w:top w:val="single" w:sz="8" w:color="auto"/>
              <w:right w:val="single" w:sz="8" w:color="007CBA"/>
            </w:tcBorders>
          </w:tcPr>
          <w:p>
            <w:pPr>
              <w:spacing w:after="0"/>
              <w:rPr>
                <w:sz w:val="14"/>
                <w:szCs w:val="14"/>
                <w:color w:val="auto"/>
              </w:rPr>
            </w:pPr>
          </w:p>
        </w:tc>
        <w:tc>
          <w:tcPr>
            <w:tcW w:w="1260" w:type="dxa"/>
            <w:vAlign w:val="bottom"/>
            <w:tcBorders>
              <w:top w:val="single" w:sz="8" w:color="auto"/>
              <w:right w:val="single" w:sz="8" w:color="007CBA"/>
            </w:tcBorders>
          </w:tcPr>
          <w:p>
            <w:pPr>
              <w:spacing w:after="0"/>
              <w:rPr>
                <w:sz w:val="14"/>
                <w:szCs w:val="14"/>
                <w:color w:val="auto"/>
              </w:rPr>
            </w:pPr>
          </w:p>
        </w:tc>
        <w:tc>
          <w:tcPr>
            <w:tcW w:w="1240" w:type="dxa"/>
            <w:vAlign w:val="bottom"/>
            <w:tcBorders>
              <w:top w:val="single" w:sz="8" w:color="auto"/>
              <w:right w:val="single" w:sz="8" w:color="007CBA"/>
            </w:tcBorders>
          </w:tcPr>
          <w:p>
            <w:pPr>
              <w:spacing w:after="0"/>
              <w:rPr>
                <w:sz w:val="14"/>
                <w:szCs w:val="14"/>
                <w:color w:val="auto"/>
              </w:rPr>
            </w:pPr>
          </w:p>
        </w:tc>
        <w:tc>
          <w:tcPr>
            <w:tcW w:w="1240" w:type="dxa"/>
            <w:vAlign w:val="bottom"/>
            <w:tcBorders>
              <w:top w:val="single" w:sz="8" w:color="auto"/>
              <w:right w:val="single" w:sz="8" w:color="007CBA"/>
            </w:tcBorders>
          </w:tcPr>
          <w:p>
            <w:pPr>
              <w:spacing w:after="0"/>
              <w:rPr>
                <w:sz w:val="14"/>
                <w:szCs w:val="14"/>
                <w:color w:val="auto"/>
              </w:rPr>
            </w:pPr>
          </w:p>
        </w:tc>
        <w:tc>
          <w:tcPr>
            <w:tcW w:w="1380" w:type="dxa"/>
            <w:vAlign w:val="bottom"/>
            <w:tcBorders>
              <w:top w:val="single" w:sz="8" w:color="auto"/>
              <w:right w:val="single" w:sz="8" w:color="007CBA"/>
            </w:tcBorders>
          </w:tcPr>
          <w:p>
            <w:pPr>
              <w:spacing w:after="0"/>
              <w:rPr>
                <w:sz w:val="14"/>
                <w:szCs w:val="14"/>
                <w:color w:val="auto"/>
              </w:rPr>
            </w:pPr>
          </w:p>
        </w:tc>
        <w:tc>
          <w:tcPr>
            <w:tcW w:w="1260" w:type="dxa"/>
            <w:vAlign w:val="bottom"/>
            <w:tcBorders>
              <w:top w:val="single" w:sz="8" w:color="auto"/>
              <w:right w:val="single" w:sz="8" w:color="007CBA"/>
            </w:tcBorders>
          </w:tcPr>
          <w:p>
            <w:pPr>
              <w:spacing w:after="0"/>
              <w:rPr>
                <w:sz w:val="14"/>
                <w:szCs w:val="14"/>
                <w:color w:val="auto"/>
              </w:rPr>
            </w:pPr>
          </w:p>
        </w:tc>
        <w:tc>
          <w:tcPr>
            <w:tcW w:w="1000" w:type="dxa"/>
            <w:vAlign w:val="bottom"/>
            <w:tcBorders>
              <w:top w:val="single" w:sz="8" w:color="auto"/>
              <w:right w:val="single" w:sz="8" w:color="007CBA"/>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r>
      <w:tr>
        <w:trPr>
          <w:trHeight w:val="33"/>
        </w:trPr>
        <w:tc>
          <w:tcPr>
            <w:tcW w:w="1500" w:type="dxa"/>
            <w:vAlign w:val="bottom"/>
            <w:tcBorders>
              <w:right w:val="single" w:sz="8" w:color="007CBA"/>
            </w:tcBorders>
          </w:tcPr>
          <w:p>
            <w:pPr>
              <w:spacing w:after="0"/>
              <w:rPr>
                <w:sz w:val="2"/>
                <w:szCs w:val="2"/>
                <w:color w:val="auto"/>
              </w:rPr>
            </w:pPr>
          </w:p>
        </w:tc>
        <w:tc>
          <w:tcPr>
            <w:tcW w:w="1120" w:type="dxa"/>
            <w:vAlign w:val="bottom"/>
            <w:tcBorders>
              <w:right w:val="single" w:sz="8" w:color="007CBA"/>
            </w:tcBorders>
          </w:tcPr>
          <w:p>
            <w:pPr>
              <w:spacing w:after="0"/>
              <w:rPr>
                <w:sz w:val="2"/>
                <w:szCs w:val="2"/>
                <w:color w:val="auto"/>
              </w:rPr>
            </w:pPr>
          </w:p>
        </w:tc>
        <w:tc>
          <w:tcPr>
            <w:tcW w:w="1260" w:type="dxa"/>
            <w:vAlign w:val="bottom"/>
            <w:tcBorders>
              <w:right w:val="single" w:sz="8" w:color="007CBA"/>
            </w:tcBorders>
          </w:tcPr>
          <w:p>
            <w:pPr>
              <w:spacing w:after="0"/>
              <w:rPr>
                <w:sz w:val="2"/>
                <w:szCs w:val="2"/>
                <w:color w:val="auto"/>
              </w:rPr>
            </w:pPr>
          </w:p>
        </w:tc>
        <w:tc>
          <w:tcPr>
            <w:tcW w:w="1240" w:type="dxa"/>
            <w:vAlign w:val="bottom"/>
            <w:tcBorders>
              <w:right w:val="single" w:sz="8" w:color="007CBA"/>
            </w:tcBorders>
          </w:tcPr>
          <w:p>
            <w:pPr>
              <w:spacing w:after="0"/>
              <w:rPr>
                <w:sz w:val="2"/>
                <w:szCs w:val="2"/>
                <w:color w:val="auto"/>
              </w:rPr>
            </w:pPr>
          </w:p>
        </w:tc>
        <w:tc>
          <w:tcPr>
            <w:tcW w:w="1240" w:type="dxa"/>
            <w:vAlign w:val="bottom"/>
            <w:tcBorders>
              <w:right w:val="single" w:sz="8" w:color="007CBA"/>
            </w:tcBorders>
          </w:tcPr>
          <w:p>
            <w:pPr>
              <w:spacing w:after="0"/>
              <w:rPr>
                <w:sz w:val="2"/>
                <w:szCs w:val="2"/>
                <w:color w:val="auto"/>
              </w:rPr>
            </w:pPr>
          </w:p>
        </w:tc>
        <w:tc>
          <w:tcPr>
            <w:tcW w:w="1380" w:type="dxa"/>
            <w:vAlign w:val="bottom"/>
            <w:tcBorders>
              <w:right w:val="single" w:sz="8" w:color="007CBA"/>
            </w:tcBorders>
          </w:tcPr>
          <w:p>
            <w:pPr>
              <w:spacing w:after="0"/>
              <w:rPr>
                <w:sz w:val="2"/>
                <w:szCs w:val="2"/>
                <w:color w:val="auto"/>
              </w:rPr>
            </w:pPr>
          </w:p>
        </w:tc>
        <w:tc>
          <w:tcPr>
            <w:tcW w:w="1260" w:type="dxa"/>
            <w:vAlign w:val="bottom"/>
            <w:tcBorders>
              <w:right w:val="single" w:sz="8" w:color="007CBA"/>
            </w:tcBorders>
          </w:tcPr>
          <w:p>
            <w:pPr>
              <w:spacing w:after="0"/>
              <w:rPr>
                <w:sz w:val="2"/>
                <w:szCs w:val="2"/>
                <w:color w:val="auto"/>
              </w:rPr>
            </w:pPr>
          </w:p>
        </w:tc>
        <w:tc>
          <w:tcPr>
            <w:tcW w:w="1000" w:type="dxa"/>
            <w:vAlign w:val="bottom"/>
            <w:tcBorders>
              <w:right w:val="single" w:sz="8" w:color="007CBA"/>
            </w:tcBorders>
          </w:tcPr>
          <w:p>
            <w:pPr>
              <w:spacing w:after="0"/>
              <w:rPr>
                <w:sz w:val="2"/>
                <w:szCs w:val="2"/>
                <w:color w:val="auto"/>
              </w:rPr>
            </w:pPr>
          </w:p>
        </w:tc>
        <w:tc>
          <w:tcPr>
            <w:tcW w:w="1240" w:type="dxa"/>
            <w:vAlign w:val="bottom"/>
          </w:tcPr>
          <w:p>
            <w:pPr>
              <w:spacing w:after="0"/>
              <w:rPr>
                <w:sz w:val="2"/>
                <w:szCs w:val="2"/>
                <w:color w:val="auto"/>
              </w:rPr>
            </w:pPr>
          </w:p>
        </w:tc>
      </w:tr>
      <w:tr>
        <w:trPr>
          <w:trHeight w:val="183"/>
        </w:trPr>
        <w:tc>
          <w:tcPr>
            <w:tcW w:w="1500" w:type="dxa"/>
            <w:vAlign w:val="bottom"/>
            <w:tcBorders>
              <w:bottom w:val="single" w:sz="8" w:color="DEEBF7"/>
              <w:right w:val="single" w:sz="8" w:color="007CBA"/>
            </w:tcBorders>
            <w:shd w:val="clear" w:color="auto" w:fill="DEEBF7"/>
          </w:tcPr>
          <w:p>
            <w:pPr>
              <w:ind w:left="20"/>
              <w:spacing w:after="0"/>
              <w:rPr>
                <w:sz w:val="20"/>
                <w:szCs w:val="20"/>
                <w:color w:val="auto"/>
              </w:rPr>
            </w:pPr>
            <w:r>
              <w:rPr>
                <w:rFonts w:ascii="Calibri" w:cs="Calibri" w:eastAsia="Calibri" w:hAnsi="Calibri"/>
                <w:sz w:val="14"/>
                <w:szCs w:val="14"/>
                <w:color w:val="auto"/>
              </w:rPr>
              <w:t>East Division</w:t>
            </w:r>
          </w:p>
        </w:tc>
        <w:tc>
          <w:tcPr>
            <w:tcW w:w="1120" w:type="dxa"/>
            <w:vAlign w:val="bottom"/>
            <w:tcBorders>
              <w:bottom w:val="single" w:sz="8" w:color="DEEBF7"/>
              <w:right w:val="single" w:sz="8" w:color="007CBA"/>
            </w:tcBorders>
            <w:shd w:val="clear" w:color="auto" w:fill="DEEBF7"/>
          </w:tcPr>
          <w:p>
            <w:pPr>
              <w:jc w:val="right"/>
              <w:ind w:right="68"/>
              <w:spacing w:after="0"/>
              <w:rPr>
                <w:sz w:val="20"/>
                <w:szCs w:val="20"/>
                <w:color w:val="auto"/>
              </w:rPr>
            </w:pPr>
            <w:r>
              <w:rPr>
                <w:rFonts w:ascii="Calibri" w:cs="Calibri" w:eastAsia="Calibri" w:hAnsi="Calibri"/>
                <w:sz w:val="14"/>
                <w:szCs w:val="14"/>
                <w:color w:val="auto"/>
              </w:rPr>
              <w:t>—</w:t>
            </w:r>
          </w:p>
        </w:tc>
        <w:tc>
          <w:tcPr>
            <w:tcW w:w="1260" w:type="dxa"/>
            <w:vAlign w:val="bottom"/>
            <w:tcBorders>
              <w:bottom w:val="single" w:sz="8" w:color="DEEBF7"/>
              <w:right w:val="single" w:sz="8" w:color="007CBA"/>
            </w:tcBorders>
            <w:shd w:val="clear" w:color="auto" w:fill="DEEBF7"/>
          </w:tcPr>
          <w:p>
            <w:pPr>
              <w:jc w:val="center"/>
              <w:spacing w:after="0"/>
              <w:rPr>
                <w:sz w:val="20"/>
                <w:szCs w:val="20"/>
                <w:color w:val="auto"/>
              </w:rPr>
            </w:pPr>
            <w:r>
              <w:rPr>
                <w:rFonts w:ascii="Calibri" w:cs="Calibri" w:eastAsia="Calibri" w:hAnsi="Calibri"/>
                <w:sz w:val="14"/>
                <w:szCs w:val="14"/>
                <w:color w:val="auto"/>
              </w:rPr>
              <w:t>Sand &amp; Gravel</w:t>
            </w:r>
          </w:p>
        </w:tc>
        <w:tc>
          <w:tcPr>
            <w:tcW w:w="1240" w:type="dxa"/>
            <w:vAlign w:val="bottom"/>
            <w:tcBorders>
              <w:bottom w:val="single" w:sz="8" w:color="DEEBF7"/>
              <w:right w:val="single" w:sz="8" w:color="007CBA"/>
            </w:tcBorders>
            <w:shd w:val="clear" w:color="auto" w:fill="DEEBF7"/>
          </w:tcPr>
          <w:p>
            <w:pPr>
              <w:jc w:val="right"/>
              <w:ind w:right="68"/>
              <w:spacing w:after="0"/>
              <w:rPr>
                <w:sz w:val="20"/>
                <w:szCs w:val="20"/>
                <w:color w:val="auto"/>
              </w:rPr>
            </w:pPr>
            <w:r>
              <w:rPr>
                <w:rFonts w:ascii="Calibri" w:cs="Calibri" w:eastAsia="Calibri" w:hAnsi="Calibri"/>
                <w:sz w:val="14"/>
                <w:szCs w:val="14"/>
                <w:color w:val="auto"/>
              </w:rPr>
              <w:t>—</w:t>
            </w:r>
          </w:p>
        </w:tc>
        <w:tc>
          <w:tcPr>
            <w:tcW w:w="1240" w:type="dxa"/>
            <w:vAlign w:val="bottom"/>
            <w:tcBorders>
              <w:bottom w:val="single" w:sz="8" w:color="DEEBF7"/>
              <w:right w:val="single" w:sz="8" w:color="007CBA"/>
            </w:tcBorders>
            <w:shd w:val="clear" w:color="auto" w:fill="DEEBF7"/>
          </w:tcPr>
          <w:p>
            <w:pPr>
              <w:jc w:val="center"/>
              <w:spacing w:after="0"/>
              <w:rPr>
                <w:sz w:val="20"/>
                <w:szCs w:val="20"/>
                <w:color w:val="auto"/>
              </w:rPr>
            </w:pPr>
            <w:r>
              <w:rPr>
                <w:rFonts w:ascii="Calibri" w:cs="Calibri" w:eastAsia="Calibri" w:hAnsi="Calibri"/>
                <w:sz w:val="14"/>
                <w:szCs w:val="14"/>
                <w:color w:val="auto"/>
              </w:rPr>
              <w:t>Sand &amp; Gravel</w:t>
            </w:r>
          </w:p>
        </w:tc>
        <w:tc>
          <w:tcPr>
            <w:tcW w:w="1380" w:type="dxa"/>
            <w:vAlign w:val="bottom"/>
            <w:tcBorders>
              <w:bottom w:val="single" w:sz="8" w:color="DEEBF7"/>
              <w:right w:val="single" w:sz="8" w:color="007CBA"/>
            </w:tcBorders>
            <w:shd w:val="clear" w:color="auto" w:fill="DEEBF7"/>
          </w:tcPr>
          <w:p>
            <w:pPr>
              <w:jc w:val="right"/>
              <w:ind w:right="48"/>
              <w:spacing w:after="0"/>
              <w:rPr>
                <w:sz w:val="20"/>
                <w:szCs w:val="20"/>
                <w:color w:val="auto"/>
              </w:rPr>
            </w:pPr>
            <w:r>
              <w:rPr>
                <w:rFonts w:ascii="Calibri" w:cs="Calibri" w:eastAsia="Calibri" w:hAnsi="Calibri"/>
                <w:sz w:val="14"/>
                <w:szCs w:val="14"/>
                <w:color w:val="auto"/>
              </w:rPr>
              <w:t>—</w:t>
            </w:r>
          </w:p>
        </w:tc>
        <w:tc>
          <w:tcPr>
            <w:tcW w:w="1260" w:type="dxa"/>
            <w:vAlign w:val="bottom"/>
            <w:tcBorders>
              <w:bottom w:val="single" w:sz="8" w:color="DEEBF7"/>
              <w:right w:val="single" w:sz="8" w:color="007CBA"/>
            </w:tcBorders>
            <w:shd w:val="clear" w:color="auto" w:fill="DEEBF7"/>
          </w:tcPr>
          <w:p>
            <w:pPr>
              <w:jc w:val="center"/>
              <w:spacing w:after="0"/>
              <w:rPr>
                <w:sz w:val="20"/>
                <w:szCs w:val="20"/>
                <w:color w:val="auto"/>
              </w:rPr>
            </w:pPr>
            <w:r>
              <w:rPr>
                <w:rFonts w:ascii="Calibri" w:cs="Calibri" w:eastAsia="Calibri" w:hAnsi="Calibri"/>
                <w:sz w:val="14"/>
                <w:szCs w:val="14"/>
                <w:color w:val="auto"/>
              </w:rPr>
              <w:t>Sand &amp; Gravel</w:t>
            </w:r>
          </w:p>
        </w:tc>
        <w:tc>
          <w:tcPr>
            <w:tcW w:w="1000" w:type="dxa"/>
            <w:vAlign w:val="bottom"/>
            <w:tcBorders>
              <w:bottom w:val="single" w:sz="8" w:color="DEEBF7"/>
              <w:right w:val="single" w:sz="8" w:color="007CBA"/>
            </w:tcBorders>
            <w:shd w:val="clear" w:color="auto" w:fill="DEEBF7"/>
          </w:tcPr>
          <w:p>
            <w:pPr>
              <w:ind w:left="740"/>
              <w:spacing w:after="0"/>
              <w:rPr>
                <w:sz w:val="20"/>
                <w:szCs w:val="20"/>
                <w:color w:val="auto"/>
              </w:rPr>
            </w:pPr>
            <w:r>
              <w:rPr>
                <w:rFonts w:ascii="Calibri" w:cs="Calibri" w:eastAsia="Calibri" w:hAnsi="Calibri"/>
                <w:sz w:val="14"/>
                <w:szCs w:val="14"/>
                <w:color w:val="auto"/>
              </w:rPr>
              <w:t>—</w:t>
            </w:r>
          </w:p>
        </w:tc>
        <w:tc>
          <w:tcPr>
            <w:tcW w:w="1240" w:type="dxa"/>
            <w:vAlign w:val="bottom"/>
            <w:tcBorders>
              <w:bottom w:val="single" w:sz="8" w:color="DEEBF7"/>
            </w:tcBorders>
            <w:shd w:val="clear" w:color="auto" w:fill="DEEBF7"/>
          </w:tcPr>
          <w:p>
            <w:pPr>
              <w:jc w:val="center"/>
              <w:spacing w:after="0"/>
              <w:rPr>
                <w:sz w:val="20"/>
                <w:szCs w:val="20"/>
                <w:color w:val="auto"/>
              </w:rPr>
            </w:pPr>
            <w:r>
              <w:rPr>
                <w:rFonts w:ascii="Calibri" w:cs="Calibri" w:eastAsia="Calibri" w:hAnsi="Calibri"/>
                <w:sz w:val="14"/>
                <w:szCs w:val="14"/>
                <w:color w:val="auto"/>
              </w:rPr>
              <w:t>Sand &amp; Gravel</w:t>
            </w:r>
          </w:p>
        </w:tc>
      </w:tr>
      <w:tr>
        <w:trPr>
          <w:trHeight w:val="170"/>
        </w:trPr>
        <w:tc>
          <w:tcPr>
            <w:tcW w:w="1500" w:type="dxa"/>
            <w:vAlign w:val="bottom"/>
            <w:tcBorders>
              <w:right w:val="single" w:sz="8" w:color="007CBA"/>
            </w:tcBorders>
          </w:tcPr>
          <w:p>
            <w:pPr>
              <w:ind w:left="20"/>
              <w:spacing w:after="0"/>
              <w:rPr>
                <w:sz w:val="20"/>
                <w:szCs w:val="20"/>
                <w:color w:val="auto"/>
              </w:rPr>
            </w:pPr>
            <w:r>
              <w:rPr>
                <w:rFonts w:ascii="Calibri" w:cs="Calibri" w:eastAsia="Calibri" w:hAnsi="Calibri"/>
                <w:sz w:val="14"/>
                <w:szCs w:val="14"/>
                <w:color w:val="auto"/>
              </w:rPr>
              <w:t>Central Division</w:t>
            </w:r>
          </w:p>
        </w:tc>
        <w:tc>
          <w:tcPr>
            <w:tcW w:w="1120" w:type="dxa"/>
            <w:vAlign w:val="bottom"/>
            <w:tcBorders>
              <w:right w:val="single" w:sz="8" w:color="007CBA"/>
            </w:tcBorders>
          </w:tcPr>
          <w:p>
            <w:pPr>
              <w:jc w:val="right"/>
              <w:ind w:right="68"/>
              <w:spacing w:after="0"/>
              <w:rPr>
                <w:sz w:val="20"/>
                <w:szCs w:val="20"/>
                <w:color w:val="auto"/>
              </w:rPr>
            </w:pPr>
            <w:r>
              <w:rPr>
                <w:rFonts w:ascii="Calibri" w:cs="Calibri" w:eastAsia="Calibri" w:hAnsi="Calibri"/>
                <w:sz w:val="14"/>
                <w:szCs w:val="14"/>
                <w:color w:val="auto"/>
              </w:rPr>
              <w:t>1,102</w:t>
            </w:r>
          </w:p>
        </w:tc>
        <w:tc>
          <w:tcPr>
            <w:tcW w:w="1260" w:type="dxa"/>
            <w:vAlign w:val="bottom"/>
            <w:tcBorders>
              <w:right w:val="single" w:sz="8" w:color="007CBA"/>
            </w:tcBorders>
          </w:tcPr>
          <w:p>
            <w:pPr>
              <w:jc w:val="center"/>
              <w:spacing w:after="0"/>
              <w:rPr>
                <w:sz w:val="20"/>
                <w:szCs w:val="20"/>
                <w:color w:val="auto"/>
              </w:rPr>
            </w:pPr>
            <w:r>
              <w:rPr>
                <w:rFonts w:ascii="Calibri" w:cs="Calibri" w:eastAsia="Calibri" w:hAnsi="Calibri"/>
                <w:sz w:val="14"/>
                <w:szCs w:val="14"/>
                <w:color w:val="auto"/>
              </w:rPr>
              <w:t>Sand &amp; Gravel</w:t>
            </w:r>
          </w:p>
        </w:tc>
        <w:tc>
          <w:tcPr>
            <w:tcW w:w="1240" w:type="dxa"/>
            <w:vAlign w:val="bottom"/>
            <w:tcBorders>
              <w:right w:val="single" w:sz="8" w:color="007CBA"/>
            </w:tcBorders>
          </w:tcPr>
          <w:p>
            <w:pPr>
              <w:jc w:val="right"/>
              <w:ind w:right="68"/>
              <w:spacing w:after="0"/>
              <w:rPr>
                <w:sz w:val="20"/>
                <w:szCs w:val="20"/>
                <w:color w:val="auto"/>
              </w:rPr>
            </w:pPr>
            <w:r>
              <w:rPr>
                <w:rFonts w:ascii="Calibri" w:cs="Calibri" w:eastAsia="Calibri" w:hAnsi="Calibri"/>
                <w:sz w:val="14"/>
                <w:szCs w:val="14"/>
                <w:color w:val="auto"/>
              </w:rPr>
              <w:t>35,390</w:t>
            </w:r>
          </w:p>
        </w:tc>
        <w:tc>
          <w:tcPr>
            <w:tcW w:w="1240" w:type="dxa"/>
            <w:vAlign w:val="bottom"/>
            <w:tcBorders>
              <w:right w:val="single" w:sz="8" w:color="007CBA"/>
            </w:tcBorders>
          </w:tcPr>
          <w:p>
            <w:pPr>
              <w:jc w:val="center"/>
              <w:spacing w:after="0"/>
              <w:rPr>
                <w:sz w:val="20"/>
                <w:szCs w:val="20"/>
                <w:color w:val="auto"/>
              </w:rPr>
            </w:pPr>
            <w:r>
              <w:rPr>
                <w:rFonts w:ascii="Calibri" w:cs="Calibri" w:eastAsia="Calibri" w:hAnsi="Calibri"/>
                <w:sz w:val="14"/>
                <w:szCs w:val="14"/>
                <w:color w:val="auto"/>
              </w:rPr>
              <w:t>Sand &amp; Gravel</w:t>
            </w:r>
          </w:p>
        </w:tc>
        <w:tc>
          <w:tcPr>
            <w:tcW w:w="1380" w:type="dxa"/>
            <w:vAlign w:val="bottom"/>
            <w:tcBorders>
              <w:right w:val="single" w:sz="8" w:color="007CBA"/>
            </w:tcBorders>
          </w:tcPr>
          <w:p>
            <w:pPr>
              <w:jc w:val="right"/>
              <w:ind w:right="48"/>
              <w:spacing w:after="0"/>
              <w:rPr>
                <w:sz w:val="20"/>
                <w:szCs w:val="20"/>
                <w:color w:val="auto"/>
              </w:rPr>
            </w:pPr>
            <w:r>
              <w:rPr>
                <w:rFonts w:ascii="Calibri" w:cs="Calibri" w:eastAsia="Calibri" w:hAnsi="Calibri"/>
                <w:sz w:val="14"/>
                <w:szCs w:val="14"/>
                <w:color w:val="auto"/>
              </w:rPr>
              <w:t>36,492</w:t>
            </w:r>
          </w:p>
        </w:tc>
        <w:tc>
          <w:tcPr>
            <w:tcW w:w="1260" w:type="dxa"/>
            <w:vAlign w:val="bottom"/>
            <w:tcBorders>
              <w:right w:val="single" w:sz="8" w:color="007CBA"/>
            </w:tcBorders>
          </w:tcPr>
          <w:p>
            <w:pPr>
              <w:jc w:val="center"/>
              <w:spacing w:after="0"/>
              <w:rPr>
                <w:sz w:val="20"/>
                <w:szCs w:val="20"/>
                <w:color w:val="auto"/>
              </w:rPr>
            </w:pPr>
            <w:r>
              <w:rPr>
                <w:rFonts w:ascii="Calibri" w:cs="Calibri" w:eastAsia="Calibri" w:hAnsi="Calibri"/>
                <w:sz w:val="14"/>
                <w:szCs w:val="14"/>
                <w:color w:val="auto"/>
              </w:rPr>
              <w:t>Sand &amp; Gravel</w:t>
            </w:r>
          </w:p>
        </w:tc>
        <w:tc>
          <w:tcPr>
            <w:tcW w:w="1000" w:type="dxa"/>
            <w:vAlign w:val="bottom"/>
            <w:tcBorders>
              <w:right w:val="single" w:sz="8" w:color="007CBA"/>
            </w:tcBorders>
          </w:tcPr>
          <w:p>
            <w:pPr>
              <w:ind w:left="740"/>
              <w:spacing w:after="0"/>
              <w:rPr>
                <w:sz w:val="20"/>
                <w:szCs w:val="20"/>
                <w:color w:val="auto"/>
              </w:rPr>
            </w:pPr>
            <w:r>
              <w:rPr>
                <w:rFonts w:ascii="Calibri" w:cs="Calibri" w:eastAsia="Calibri" w:hAnsi="Calibri"/>
                <w:sz w:val="14"/>
                <w:szCs w:val="14"/>
                <w:color w:val="auto"/>
              </w:rPr>
              <w:t>—</w:t>
            </w:r>
          </w:p>
        </w:tc>
        <w:tc>
          <w:tcPr>
            <w:tcW w:w="1240" w:type="dxa"/>
            <w:vAlign w:val="bottom"/>
          </w:tcPr>
          <w:p>
            <w:pPr>
              <w:jc w:val="center"/>
              <w:spacing w:after="0"/>
              <w:rPr>
                <w:sz w:val="20"/>
                <w:szCs w:val="20"/>
                <w:color w:val="auto"/>
              </w:rPr>
            </w:pPr>
            <w:r>
              <w:rPr>
                <w:rFonts w:ascii="Calibri" w:cs="Calibri" w:eastAsia="Calibri" w:hAnsi="Calibri"/>
                <w:sz w:val="14"/>
                <w:szCs w:val="14"/>
                <w:color w:val="auto"/>
              </w:rPr>
              <w:t>Sand &amp; Gravel</w:t>
            </w:r>
          </w:p>
        </w:tc>
      </w:tr>
      <w:tr>
        <w:trPr>
          <w:trHeight w:val="33"/>
        </w:trPr>
        <w:tc>
          <w:tcPr>
            <w:tcW w:w="1500" w:type="dxa"/>
            <w:vAlign w:val="bottom"/>
            <w:tcBorders>
              <w:right w:val="single" w:sz="8" w:color="007CBA"/>
            </w:tcBorders>
          </w:tcPr>
          <w:p>
            <w:pPr>
              <w:spacing w:after="0"/>
              <w:rPr>
                <w:sz w:val="2"/>
                <w:szCs w:val="2"/>
                <w:color w:val="auto"/>
              </w:rPr>
            </w:pPr>
          </w:p>
        </w:tc>
        <w:tc>
          <w:tcPr>
            <w:tcW w:w="1120" w:type="dxa"/>
            <w:vAlign w:val="bottom"/>
            <w:tcBorders>
              <w:right w:val="single" w:sz="8" w:color="007CBA"/>
            </w:tcBorders>
          </w:tcPr>
          <w:p>
            <w:pPr>
              <w:spacing w:after="0"/>
              <w:rPr>
                <w:sz w:val="2"/>
                <w:szCs w:val="2"/>
                <w:color w:val="auto"/>
              </w:rPr>
            </w:pPr>
          </w:p>
        </w:tc>
        <w:tc>
          <w:tcPr>
            <w:tcW w:w="1260" w:type="dxa"/>
            <w:vAlign w:val="bottom"/>
            <w:tcBorders>
              <w:right w:val="single" w:sz="8" w:color="007CBA"/>
            </w:tcBorders>
          </w:tcPr>
          <w:p>
            <w:pPr>
              <w:spacing w:after="0"/>
              <w:rPr>
                <w:sz w:val="2"/>
                <w:szCs w:val="2"/>
                <w:color w:val="auto"/>
              </w:rPr>
            </w:pPr>
          </w:p>
        </w:tc>
        <w:tc>
          <w:tcPr>
            <w:tcW w:w="1240" w:type="dxa"/>
            <w:vAlign w:val="bottom"/>
            <w:tcBorders>
              <w:right w:val="single" w:sz="8" w:color="007CBA"/>
            </w:tcBorders>
          </w:tcPr>
          <w:p>
            <w:pPr>
              <w:spacing w:after="0"/>
              <w:rPr>
                <w:sz w:val="2"/>
                <w:szCs w:val="2"/>
                <w:color w:val="auto"/>
              </w:rPr>
            </w:pPr>
          </w:p>
        </w:tc>
        <w:tc>
          <w:tcPr>
            <w:tcW w:w="1240" w:type="dxa"/>
            <w:vAlign w:val="bottom"/>
            <w:tcBorders>
              <w:right w:val="single" w:sz="8" w:color="007CBA"/>
            </w:tcBorders>
          </w:tcPr>
          <w:p>
            <w:pPr>
              <w:spacing w:after="0"/>
              <w:rPr>
                <w:sz w:val="2"/>
                <w:szCs w:val="2"/>
                <w:color w:val="auto"/>
              </w:rPr>
            </w:pPr>
          </w:p>
        </w:tc>
        <w:tc>
          <w:tcPr>
            <w:tcW w:w="1380" w:type="dxa"/>
            <w:vAlign w:val="bottom"/>
            <w:tcBorders>
              <w:right w:val="single" w:sz="8" w:color="007CBA"/>
            </w:tcBorders>
          </w:tcPr>
          <w:p>
            <w:pPr>
              <w:spacing w:after="0"/>
              <w:rPr>
                <w:sz w:val="2"/>
                <w:szCs w:val="2"/>
                <w:color w:val="auto"/>
              </w:rPr>
            </w:pPr>
          </w:p>
        </w:tc>
        <w:tc>
          <w:tcPr>
            <w:tcW w:w="1260" w:type="dxa"/>
            <w:vAlign w:val="bottom"/>
            <w:tcBorders>
              <w:right w:val="single" w:sz="8" w:color="007CBA"/>
            </w:tcBorders>
          </w:tcPr>
          <w:p>
            <w:pPr>
              <w:spacing w:after="0"/>
              <w:rPr>
                <w:sz w:val="2"/>
                <w:szCs w:val="2"/>
                <w:color w:val="auto"/>
              </w:rPr>
            </w:pPr>
          </w:p>
        </w:tc>
        <w:tc>
          <w:tcPr>
            <w:tcW w:w="1000" w:type="dxa"/>
            <w:vAlign w:val="bottom"/>
            <w:tcBorders>
              <w:right w:val="single" w:sz="8" w:color="007CBA"/>
            </w:tcBorders>
          </w:tcPr>
          <w:p>
            <w:pPr>
              <w:spacing w:after="0"/>
              <w:rPr>
                <w:sz w:val="2"/>
                <w:szCs w:val="2"/>
                <w:color w:val="auto"/>
              </w:rPr>
            </w:pPr>
          </w:p>
        </w:tc>
        <w:tc>
          <w:tcPr>
            <w:tcW w:w="1240" w:type="dxa"/>
            <w:vAlign w:val="bottom"/>
          </w:tcPr>
          <w:p>
            <w:pPr>
              <w:spacing w:after="0"/>
              <w:rPr>
                <w:sz w:val="2"/>
                <w:szCs w:val="2"/>
                <w:color w:val="auto"/>
              </w:rPr>
            </w:pPr>
          </w:p>
        </w:tc>
      </w:tr>
      <w:tr>
        <w:trPr>
          <w:trHeight w:val="183"/>
        </w:trPr>
        <w:tc>
          <w:tcPr>
            <w:tcW w:w="1500" w:type="dxa"/>
            <w:vAlign w:val="bottom"/>
            <w:tcBorders>
              <w:bottom w:val="single" w:sz="8" w:color="DEEBF7"/>
              <w:right w:val="single" w:sz="8" w:color="007CBA"/>
            </w:tcBorders>
            <w:shd w:val="clear" w:color="auto" w:fill="DEEBF7"/>
          </w:tcPr>
          <w:p>
            <w:pPr>
              <w:ind w:left="20"/>
              <w:spacing w:after="0"/>
              <w:rPr>
                <w:sz w:val="20"/>
                <w:szCs w:val="20"/>
                <w:color w:val="auto"/>
              </w:rPr>
            </w:pPr>
            <w:r>
              <w:rPr>
                <w:rFonts w:ascii="Calibri" w:cs="Calibri" w:eastAsia="Calibri" w:hAnsi="Calibri"/>
                <w:sz w:val="14"/>
                <w:szCs w:val="14"/>
                <w:color w:val="auto"/>
              </w:rPr>
              <w:t>Southwest Division</w:t>
            </w:r>
          </w:p>
        </w:tc>
        <w:tc>
          <w:tcPr>
            <w:tcW w:w="1120" w:type="dxa"/>
            <w:vAlign w:val="bottom"/>
            <w:tcBorders>
              <w:bottom w:val="single" w:sz="8" w:color="DEEBF7"/>
              <w:right w:val="single" w:sz="8" w:color="007CBA"/>
            </w:tcBorders>
            <w:shd w:val="clear" w:color="auto" w:fill="DEEBF7"/>
          </w:tcPr>
          <w:p>
            <w:pPr>
              <w:jc w:val="right"/>
              <w:ind w:right="68"/>
              <w:spacing w:after="0"/>
              <w:rPr>
                <w:sz w:val="20"/>
                <w:szCs w:val="20"/>
                <w:color w:val="auto"/>
              </w:rPr>
            </w:pPr>
            <w:r>
              <w:rPr>
                <w:rFonts w:ascii="Calibri" w:cs="Calibri" w:eastAsia="Calibri" w:hAnsi="Calibri"/>
                <w:sz w:val="14"/>
                <w:szCs w:val="14"/>
                <w:color w:val="auto"/>
              </w:rPr>
              <w:t>—</w:t>
            </w:r>
          </w:p>
        </w:tc>
        <w:tc>
          <w:tcPr>
            <w:tcW w:w="1260" w:type="dxa"/>
            <w:vAlign w:val="bottom"/>
            <w:tcBorders>
              <w:bottom w:val="single" w:sz="8" w:color="DEEBF7"/>
              <w:right w:val="single" w:sz="8" w:color="007CBA"/>
            </w:tcBorders>
            <w:shd w:val="clear" w:color="auto" w:fill="DEEBF7"/>
          </w:tcPr>
          <w:p>
            <w:pPr>
              <w:jc w:val="center"/>
              <w:spacing w:after="0"/>
              <w:rPr>
                <w:sz w:val="20"/>
                <w:szCs w:val="20"/>
                <w:color w:val="auto"/>
              </w:rPr>
            </w:pPr>
            <w:r>
              <w:rPr>
                <w:rFonts w:ascii="Calibri" w:cs="Calibri" w:eastAsia="Calibri" w:hAnsi="Calibri"/>
                <w:sz w:val="14"/>
                <w:szCs w:val="14"/>
                <w:color w:val="auto"/>
              </w:rPr>
              <w:t>Sand &amp; Gravel</w:t>
            </w:r>
          </w:p>
        </w:tc>
        <w:tc>
          <w:tcPr>
            <w:tcW w:w="1240" w:type="dxa"/>
            <w:vAlign w:val="bottom"/>
            <w:tcBorders>
              <w:bottom w:val="single" w:sz="8" w:color="DEEBF7"/>
              <w:right w:val="single" w:sz="8" w:color="007CBA"/>
            </w:tcBorders>
            <w:shd w:val="clear" w:color="auto" w:fill="DEEBF7"/>
          </w:tcPr>
          <w:p>
            <w:pPr>
              <w:jc w:val="right"/>
              <w:ind w:right="68"/>
              <w:spacing w:after="0"/>
              <w:rPr>
                <w:sz w:val="20"/>
                <w:szCs w:val="20"/>
                <w:color w:val="auto"/>
              </w:rPr>
            </w:pPr>
            <w:r>
              <w:rPr>
                <w:rFonts w:ascii="Calibri" w:cs="Calibri" w:eastAsia="Calibri" w:hAnsi="Calibri"/>
                <w:sz w:val="14"/>
                <w:szCs w:val="14"/>
                <w:color w:val="auto"/>
              </w:rPr>
              <w:t>—</w:t>
            </w:r>
          </w:p>
        </w:tc>
        <w:tc>
          <w:tcPr>
            <w:tcW w:w="1240" w:type="dxa"/>
            <w:vAlign w:val="bottom"/>
            <w:tcBorders>
              <w:bottom w:val="single" w:sz="8" w:color="DEEBF7"/>
              <w:right w:val="single" w:sz="8" w:color="007CBA"/>
            </w:tcBorders>
            <w:shd w:val="clear" w:color="auto" w:fill="DEEBF7"/>
          </w:tcPr>
          <w:p>
            <w:pPr>
              <w:jc w:val="center"/>
              <w:spacing w:after="0"/>
              <w:rPr>
                <w:sz w:val="20"/>
                <w:szCs w:val="20"/>
                <w:color w:val="auto"/>
              </w:rPr>
            </w:pPr>
            <w:r>
              <w:rPr>
                <w:rFonts w:ascii="Calibri" w:cs="Calibri" w:eastAsia="Calibri" w:hAnsi="Calibri"/>
                <w:sz w:val="14"/>
                <w:szCs w:val="14"/>
                <w:color w:val="auto"/>
              </w:rPr>
              <w:t>Sand &amp; Gravel</w:t>
            </w:r>
          </w:p>
        </w:tc>
        <w:tc>
          <w:tcPr>
            <w:tcW w:w="1380" w:type="dxa"/>
            <w:vAlign w:val="bottom"/>
            <w:tcBorders>
              <w:bottom w:val="single" w:sz="8" w:color="DEEBF7"/>
              <w:right w:val="single" w:sz="8" w:color="007CBA"/>
            </w:tcBorders>
            <w:shd w:val="clear" w:color="auto" w:fill="DEEBF7"/>
          </w:tcPr>
          <w:p>
            <w:pPr>
              <w:jc w:val="right"/>
              <w:ind w:right="48"/>
              <w:spacing w:after="0"/>
              <w:rPr>
                <w:sz w:val="20"/>
                <w:szCs w:val="20"/>
                <w:color w:val="auto"/>
              </w:rPr>
            </w:pPr>
            <w:r>
              <w:rPr>
                <w:rFonts w:ascii="Calibri" w:cs="Calibri" w:eastAsia="Calibri" w:hAnsi="Calibri"/>
                <w:sz w:val="14"/>
                <w:szCs w:val="14"/>
                <w:color w:val="auto"/>
              </w:rPr>
              <w:t>—</w:t>
            </w:r>
          </w:p>
        </w:tc>
        <w:tc>
          <w:tcPr>
            <w:tcW w:w="1260" w:type="dxa"/>
            <w:vAlign w:val="bottom"/>
            <w:tcBorders>
              <w:bottom w:val="single" w:sz="8" w:color="DEEBF7"/>
              <w:right w:val="single" w:sz="8" w:color="007CBA"/>
            </w:tcBorders>
            <w:shd w:val="clear" w:color="auto" w:fill="DEEBF7"/>
          </w:tcPr>
          <w:p>
            <w:pPr>
              <w:jc w:val="center"/>
              <w:spacing w:after="0"/>
              <w:rPr>
                <w:sz w:val="20"/>
                <w:szCs w:val="20"/>
                <w:color w:val="auto"/>
              </w:rPr>
            </w:pPr>
            <w:r>
              <w:rPr>
                <w:rFonts w:ascii="Calibri" w:cs="Calibri" w:eastAsia="Calibri" w:hAnsi="Calibri"/>
                <w:sz w:val="14"/>
                <w:szCs w:val="14"/>
                <w:color w:val="auto"/>
              </w:rPr>
              <w:t>Sand &amp; Gravel</w:t>
            </w:r>
          </w:p>
        </w:tc>
        <w:tc>
          <w:tcPr>
            <w:tcW w:w="1000" w:type="dxa"/>
            <w:vAlign w:val="bottom"/>
            <w:tcBorders>
              <w:bottom w:val="single" w:sz="8" w:color="DEEBF7"/>
              <w:right w:val="single" w:sz="8" w:color="007CBA"/>
            </w:tcBorders>
            <w:shd w:val="clear" w:color="auto" w:fill="DEEBF7"/>
          </w:tcPr>
          <w:p>
            <w:pPr>
              <w:ind w:left="740"/>
              <w:spacing w:after="0"/>
              <w:rPr>
                <w:sz w:val="20"/>
                <w:szCs w:val="20"/>
                <w:color w:val="auto"/>
              </w:rPr>
            </w:pPr>
            <w:r>
              <w:rPr>
                <w:rFonts w:ascii="Calibri" w:cs="Calibri" w:eastAsia="Calibri" w:hAnsi="Calibri"/>
                <w:sz w:val="14"/>
                <w:szCs w:val="14"/>
                <w:color w:val="auto"/>
              </w:rPr>
              <w:t>—</w:t>
            </w:r>
          </w:p>
        </w:tc>
        <w:tc>
          <w:tcPr>
            <w:tcW w:w="1240" w:type="dxa"/>
            <w:vAlign w:val="bottom"/>
            <w:tcBorders>
              <w:bottom w:val="single" w:sz="8" w:color="DEEBF7"/>
            </w:tcBorders>
            <w:shd w:val="clear" w:color="auto" w:fill="DEEBF7"/>
          </w:tcPr>
          <w:p>
            <w:pPr>
              <w:jc w:val="center"/>
              <w:spacing w:after="0"/>
              <w:rPr>
                <w:sz w:val="20"/>
                <w:szCs w:val="20"/>
                <w:color w:val="auto"/>
              </w:rPr>
            </w:pPr>
            <w:r>
              <w:rPr>
                <w:rFonts w:ascii="Calibri" w:cs="Calibri" w:eastAsia="Calibri" w:hAnsi="Calibri"/>
                <w:sz w:val="14"/>
                <w:szCs w:val="14"/>
                <w:color w:val="auto"/>
              </w:rPr>
              <w:t>Sand &amp; Gravel</w:t>
            </w:r>
          </w:p>
        </w:tc>
      </w:tr>
      <w:tr>
        <w:trPr>
          <w:trHeight w:val="170"/>
        </w:trPr>
        <w:tc>
          <w:tcPr>
            <w:tcW w:w="1500" w:type="dxa"/>
            <w:vAlign w:val="bottom"/>
          </w:tcPr>
          <w:p>
            <w:pPr>
              <w:ind w:left="20"/>
              <w:spacing w:after="0"/>
              <w:rPr>
                <w:sz w:val="20"/>
                <w:szCs w:val="20"/>
                <w:color w:val="auto"/>
              </w:rPr>
            </w:pPr>
            <w:r>
              <w:rPr>
                <w:rFonts w:ascii="Calibri" w:cs="Calibri" w:eastAsia="Calibri" w:hAnsi="Calibri"/>
                <w:sz w:val="14"/>
                <w:szCs w:val="14"/>
                <w:color w:val="auto"/>
              </w:rPr>
              <w:t>West Division</w:t>
            </w:r>
          </w:p>
        </w:tc>
        <w:tc>
          <w:tcPr>
            <w:tcW w:w="1120" w:type="dxa"/>
            <w:vAlign w:val="bottom"/>
          </w:tcPr>
          <w:p>
            <w:pPr>
              <w:jc w:val="right"/>
              <w:ind w:right="68"/>
              <w:spacing w:after="0"/>
              <w:rPr>
                <w:sz w:val="20"/>
                <w:szCs w:val="20"/>
                <w:color w:val="auto"/>
              </w:rPr>
            </w:pPr>
            <w:r>
              <w:rPr>
                <w:rFonts w:ascii="Calibri" w:cs="Calibri" w:eastAsia="Calibri" w:hAnsi="Calibri"/>
                <w:sz w:val="14"/>
                <w:szCs w:val="14"/>
                <w:color w:val="auto"/>
              </w:rPr>
              <w:t>59,839</w:t>
            </w:r>
          </w:p>
        </w:tc>
        <w:tc>
          <w:tcPr>
            <w:tcW w:w="1260" w:type="dxa"/>
            <w:vAlign w:val="bottom"/>
          </w:tcPr>
          <w:p>
            <w:pPr>
              <w:jc w:val="center"/>
              <w:spacing w:after="0"/>
              <w:rPr>
                <w:sz w:val="20"/>
                <w:szCs w:val="20"/>
                <w:color w:val="auto"/>
              </w:rPr>
            </w:pPr>
            <w:r>
              <w:rPr>
                <w:rFonts w:ascii="Calibri" w:cs="Calibri" w:eastAsia="Calibri" w:hAnsi="Calibri"/>
                <w:sz w:val="14"/>
                <w:szCs w:val="14"/>
                <w:color w:val="auto"/>
              </w:rPr>
              <w:t>Sand &amp; Gravel</w:t>
            </w:r>
          </w:p>
        </w:tc>
        <w:tc>
          <w:tcPr>
            <w:tcW w:w="1240" w:type="dxa"/>
            <w:vAlign w:val="bottom"/>
          </w:tcPr>
          <w:p>
            <w:pPr>
              <w:jc w:val="right"/>
              <w:ind w:right="68"/>
              <w:spacing w:after="0"/>
              <w:rPr>
                <w:sz w:val="20"/>
                <w:szCs w:val="20"/>
                <w:color w:val="auto"/>
              </w:rPr>
            </w:pPr>
            <w:r>
              <w:rPr>
                <w:rFonts w:ascii="Calibri" w:cs="Calibri" w:eastAsia="Calibri" w:hAnsi="Calibri"/>
                <w:sz w:val="14"/>
                <w:szCs w:val="14"/>
                <w:color w:val="auto"/>
              </w:rPr>
              <w:t>143,191</w:t>
            </w:r>
          </w:p>
        </w:tc>
        <w:tc>
          <w:tcPr>
            <w:tcW w:w="1240" w:type="dxa"/>
            <w:vAlign w:val="bottom"/>
          </w:tcPr>
          <w:p>
            <w:pPr>
              <w:jc w:val="center"/>
              <w:spacing w:after="0"/>
              <w:rPr>
                <w:sz w:val="20"/>
                <w:szCs w:val="20"/>
                <w:color w:val="auto"/>
              </w:rPr>
            </w:pPr>
            <w:r>
              <w:rPr>
                <w:rFonts w:ascii="Calibri" w:cs="Calibri" w:eastAsia="Calibri" w:hAnsi="Calibri"/>
                <w:sz w:val="14"/>
                <w:szCs w:val="14"/>
                <w:color w:val="auto"/>
              </w:rPr>
              <w:t>Sand &amp; Gravel</w:t>
            </w:r>
          </w:p>
        </w:tc>
        <w:tc>
          <w:tcPr>
            <w:tcW w:w="1380" w:type="dxa"/>
            <w:vAlign w:val="bottom"/>
          </w:tcPr>
          <w:p>
            <w:pPr>
              <w:jc w:val="right"/>
              <w:ind w:right="48"/>
              <w:spacing w:after="0"/>
              <w:rPr>
                <w:sz w:val="20"/>
                <w:szCs w:val="20"/>
                <w:color w:val="auto"/>
              </w:rPr>
            </w:pPr>
            <w:r>
              <w:rPr>
                <w:rFonts w:ascii="Calibri" w:cs="Calibri" w:eastAsia="Calibri" w:hAnsi="Calibri"/>
                <w:sz w:val="14"/>
                <w:szCs w:val="14"/>
                <w:color w:val="auto"/>
              </w:rPr>
              <w:t>203,030</w:t>
            </w:r>
          </w:p>
        </w:tc>
        <w:tc>
          <w:tcPr>
            <w:tcW w:w="1260" w:type="dxa"/>
            <w:vAlign w:val="bottom"/>
          </w:tcPr>
          <w:p>
            <w:pPr>
              <w:jc w:val="center"/>
              <w:spacing w:after="0"/>
              <w:rPr>
                <w:sz w:val="20"/>
                <w:szCs w:val="20"/>
                <w:color w:val="auto"/>
              </w:rPr>
            </w:pPr>
            <w:r>
              <w:rPr>
                <w:rFonts w:ascii="Calibri" w:cs="Calibri" w:eastAsia="Calibri" w:hAnsi="Calibri"/>
                <w:sz w:val="14"/>
                <w:szCs w:val="14"/>
                <w:color w:val="auto"/>
              </w:rPr>
              <w:t>Sand &amp; Gravel</w:t>
            </w:r>
          </w:p>
        </w:tc>
        <w:tc>
          <w:tcPr>
            <w:tcW w:w="1000" w:type="dxa"/>
            <w:vAlign w:val="bottom"/>
          </w:tcPr>
          <w:p>
            <w:pPr>
              <w:ind w:left="740"/>
              <w:spacing w:after="0"/>
              <w:rPr>
                <w:sz w:val="20"/>
                <w:szCs w:val="20"/>
                <w:color w:val="auto"/>
              </w:rPr>
            </w:pPr>
            <w:r>
              <w:rPr>
                <w:rFonts w:ascii="Calibri" w:cs="Calibri" w:eastAsia="Calibri" w:hAnsi="Calibri"/>
                <w:sz w:val="14"/>
                <w:szCs w:val="14"/>
                <w:color w:val="auto"/>
              </w:rPr>
              <w:t>—</w:t>
            </w:r>
          </w:p>
        </w:tc>
        <w:tc>
          <w:tcPr>
            <w:tcW w:w="1240" w:type="dxa"/>
            <w:vAlign w:val="bottom"/>
          </w:tcPr>
          <w:p>
            <w:pPr>
              <w:jc w:val="center"/>
              <w:spacing w:after="0"/>
              <w:rPr>
                <w:sz w:val="20"/>
                <w:szCs w:val="20"/>
                <w:color w:val="auto"/>
              </w:rPr>
            </w:pPr>
            <w:r>
              <w:rPr>
                <w:rFonts w:ascii="Calibri" w:cs="Calibri" w:eastAsia="Calibri" w:hAnsi="Calibri"/>
                <w:sz w:val="14"/>
                <w:szCs w:val="14"/>
                <w:color w:val="auto"/>
              </w:rPr>
              <w:t>Sand &amp; Gravel</w:t>
            </w:r>
          </w:p>
        </w:tc>
      </w:tr>
      <w:tr>
        <w:trPr>
          <w:trHeight w:val="33"/>
        </w:trPr>
        <w:tc>
          <w:tcPr>
            <w:tcW w:w="1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40" w:type="dxa"/>
            <w:vAlign w:val="bottom"/>
            <w:tcBorders>
              <w:bottom w:val="single" w:sz="8" w:color="181717"/>
            </w:tcBorders>
          </w:tcPr>
          <w:p>
            <w:pPr>
              <w:spacing w:after="0"/>
              <w:rPr>
                <w:sz w:val="2"/>
                <w:szCs w:val="2"/>
                <w:color w:val="auto"/>
              </w:rPr>
            </w:pPr>
          </w:p>
        </w:tc>
      </w:tr>
      <w:tr>
        <w:trPr>
          <w:trHeight w:val="176"/>
        </w:trPr>
        <w:tc>
          <w:tcPr>
            <w:tcW w:w="1500" w:type="dxa"/>
            <w:vAlign w:val="bottom"/>
            <w:tcBorders>
              <w:bottom w:val="single" w:sz="8" w:color="DEEBF7"/>
              <w:right w:val="single" w:sz="8" w:color="DEEBF7"/>
            </w:tcBorders>
            <w:shd w:val="clear" w:color="auto" w:fill="DEEBF7"/>
          </w:tcPr>
          <w:p>
            <w:pPr>
              <w:ind w:left="20"/>
              <w:spacing w:after="0" w:line="164" w:lineRule="exact"/>
              <w:rPr>
                <w:sz w:val="20"/>
                <w:szCs w:val="20"/>
                <w:color w:val="auto"/>
              </w:rPr>
            </w:pPr>
            <w:r>
              <w:rPr>
                <w:rFonts w:ascii="Calibri" w:cs="Calibri" w:eastAsia="Calibri" w:hAnsi="Calibri"/>
                <w:sz w:val="14"/>
                <w:szCs w:val="14"/>
                <w:color w:val="auto"/>
              </w:rPr>
              <w:t>Total sand and gravel</w:t>
            </w:r>
          </w:p>
        </w:tc>
        <w:tc>
          <w:tcPr>
            <w:tcW w:w="1120" w:type="dxa"/>
            <w:vAlign w:val="bottom"/>
            <w:tcBorders>
              <w:bottom w:val="single" w:sz="8" w:color="DEEBF7"/>
              <w:right w:val="single" w:sz="8" w:color="DEEBF7"/>
            </w:tcBorders>
            <w:shd w:val="clear" w:color="auto" w:fill="DEEBF7"/>
          </w:tcPr>
          <w:p>
            <w:pPr>
              <w:jc w:val="right"/>
              <w:ind w:right="68"/>
              <w:spacing w:after="0" w:line="164" w:lineRule="exact"/>
              <w:rPr>
                <w:sz w:val="20"/>
                <w:szCs w:val="20"/>
                <w:color w:val="auto"/>
              </w:rPr>
            </w:pPr>
            <w:r>
              <w:rPr>
                <w:rFonts w:ascii="Calibri" w:cs="Calibri" w:eastAsia="Calibri" w:hAnsi="Calibri"/>
                <w:sz w:val="14"/>
                <w:szCs w:val="14"/>
                <w:color w:val="auto"/>
              </w:rPr>
              <w:t>60,941</w:t>
            </w:r>
          </w:p>
        </w:tc>
        <w:tc>
          <w:tcPr>
            <w:tcW w:w="1260" w:type="dxa"/>
            <w:vAlign w:val="bottom"/>
            <w:tcBorders>
              <w:bottom w:val="single" w:sz="8" w:color="DEEBF7"/>
              <w:right w:val="single" w:sz="8" w:color="DEEBF7"/>
            </w:tcBorders>
            <w:shd w:val="clear" w:color="auto" w:fill="DEEBF7"/>
          </w:tcPr>
          <w:p>
            <w:pPr>
              <w:spacing w:after="0"/>
              <w:rPr>
                <w:sz w:val="15"/>
                <w:szCs w:val="15"/>
                <w:color w:val="auto"/>
              </w:rPr>
            </w:pPr>
          </w:p>
        </w:tc>
        <w:tc>
          <w:tcPr>
            <w:tcW w:w="1240" w:type="dxa"/>
            <w:vAlign w:val="bottom"/>
            <w:tcBorders>
              <w:bottom w:val="single" w:sz="8" w:color="DEEBF7"/>
              <w:right w:val="single" w:sz="8" w:color="DEEBF7"/>
            </w:tcBorders>
            <w:shd w:val="clear" w:color="auto" w:fill="DEEBF7"/>
          </w:tcPr>
          <w:p>
            <w:pPr>
              <w:jc w:val="right"/>
              <w:ind w:right="68"/>
              <w:spacing w:after="0" w:line="164" w:lineRule="exact"/>
              <w:rPr>
                <w:sz w:val="20"/>
                <w:szCs w:val="20"/>
                <w:color w:val="auto"/>
              </w:rPr>
            </w:pPr>
            <w:r>
              <w:rPr>
                <w:rFonts w:ascii="Calibri" w:cs="Calibri" w:eastAsia="Calibri" w:hAnsi="Calibri"/>
                <w:sz w:val="14"/>
                <w:szCs w:val="14"/>
                <w:color w:val="auto"/>
              </w:rPr>
              <w:t>178,581</w:t>
            </w:r>
          </w:p>
        </w:tc>
        <w:tc>
          <w:tcPr>
            <w:tcW w:w="1240" w:type="dxa"/>
            <w:vAlign w:val="bottom"/>
            <w:tcBorders>
              <w:bottom w:val="single" w:sz="8" w:color="DEEBF7"/>
              <w:right w:val="single" w:sz="8" w:color="DEEBF7"/>
            </w:tcBorders>
            <w:shd w:val="clear" w:color="auto" w:fill="DEEBF7"/>
          </w:tcPr>
          <w:p>
            <w:pPr>
              <w:spacing w:after="0"/>
              <w:rPr>
                <w:sz w:val="15"/>
                <w:szCs w:val="15"/>
                <w:color w:val="auto"/>
              </w:rPr>
            </w:pPr>
          </w:p>
        </w:tc>
        <w:tc>
          <w:tcPr>
            <w:tcW w:w="1380" w:type="dxa"/>
            <w:vAlign w:val="bottom"/>
            <w:tcBorders>
              <w:bottom w:val="single" w:sz="8" w:color="DEEBF7"/>
              <w:right w:val="single" w:sz="8" w:color="DEEBF7"/>
            </w:tcBorders>
            <w:shd w:val="clear" w:color="auto" w:fill="DEEBF7"/>
          </w:tcPr>
          <w:p>
            <w:pPr>
              <w:jc w:val="right"/>
              <w:ind w:right="48"/>
              <w:spacing w:after="0" w:line="164" w:lineRule="exact"/>
              <w:rPr>
                <w:sz w:val="20"/>
                <w:szCs w:val="20"/>
                <w:color w:val="auto"/>
              </w:rPr>
            </w:pPr>
            <w:r>
              <w:rPr>
                <w:rFonts w:ascii="Calibri" w:cs="Calibri" w:eastAsia="Calibri" w:hAnsi="Calibri"/>
                <w:sz w:val="14"/>
                <w:szCs w:val="14"/>
                <w:color w:val="auto"/>
              </w:rPr>
              <w:t>239,522</w:t>
            </w:r>
          </w:p>
        </w:tc>
        <w:tc>
          <w:tcPr>
            <w:tcW w:w="1260" w:type="dxa"/>
            <w:vAlign w:val="bottom"/>
            <w:tcBorders>
              <w:bottom w:val="single" w:sz="8" w:color="DEEBF7"/>
              <w:right w:val="single" w:sz="8" w:color="DEEBF7"/>
            </w:tcBorders>
            <w:shd w:val="clear" w:color="auto" w:fill="DEEBF7"/>
          </w:tcPr>
          <w:p>
            <w:pPr>
              <w:spacing w:after="0"/>
              <w:rPr>
                <w:sz w:val="15"/>
                <w:szCs w:val="15"/>
                <w:color w:val="auto"/>
              </w:rPr>
            </w:pPr>
          </w:p>
        </w:tc>
        <w:tc>
          <w:tcPr>
            <w:tcW w:w="1000" w:type="dxa"/>
            <w:vAlign w:val="bottom"/>
            <w:tcBorders>
              <w:bottom w:val="single" w:sz="8" w:color="DEEBF7"/>
              <w:right w:val="single" w:sz="8" w:color="DEEBF7"/>
            </w:tcBorders>
            <w:shd w:val="clear" w:color="auto" w:fill="DEEBF7"/>
          </w:tcPr>
          <w:p>
            <w:pPr>
              <w:ind w:left="740"/>
              <w:spacing w:after="0" w:line="164" w:lineRule="exact"/>
              <w:rPr>
                <w:sz w:val="20"/>
                <w:szCs w:val="20"/>
                <w:color w:val="auto"/>
              </w:rPr>
            </w:pPr>
            <w:r>
              <w:rPr>
                <w:rFonts w:ascii="Calibri" w:cs="Calibri" w:eastAsia="Calibri" w:hAnsi="Calibri"/>
                <w:sz w:val="14"/>
                <w:szCs w:val="14"/>
                <w:color w:val="auto"/>
              </w:rPr>
              <w:t>—</w:t>
            </w:r>
          </w:p>
        </w:tc>
        <w:tc>
          <w:tcPr>
            <w:tcW w:w="1240" w:type="dxa"/>
            <w:vAlign w:val="bottom"/>
            <w:tcBorders>
              <w:bottom w:val="single" w:sz="8" w:color="DEEBF7"/>
            </w:tcBorders>
            <w:shd w:val="clear" w:color="auto" w:fill="DEEBF7"/>
          </w:tcPr>
          <w:p>
            <w:pPr>
              <w:spacing w:after="0"/>
              <w:rPr>
                <w:sz w:val="15"/>
                <w:szCs w:val="15"/>
                <w:color w:val="auto"/>
              </w:rPr>
            </w:pPr>
          </w:p>
        </w:tc>
      </w:tr>
      <w:tr>
        <w:trPr>
          <w:trHeight w:val="20"/>
        </w:trPr>
        <w:tc>
          <w:tcPr>
            <w:tcW w:w="1500" w:type="dxa"/>
            <w:vAlign w:val="bottom"/>
            <w:tcBorders>
              <w:right w:val="single" w:sz="8" w:color="auto"/>
            </w:tcBorders>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240" w:type="dxa"/>
            <w:vAlign w:val="bottom"/>
            <w:shd w:val="clear" w:color="auto" w:fill="181717"/>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-1075055</wp:posOffset>
            </wp:positionV>
            <wp:extent cx="7132320" cy="4159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415925"/>
                    </a:xfrm>
                    <a:prstGeom prst="rect">
                      <a:avLst/>
                    </a:prstGeom>
                    <a:noFill/>
                  </pic:spPr>
                </pic:pic>
              </a:graphicData>
            </a:graphic>
          </wp:anchor>
        </w:drawing>
        <w:drawing>
          <wp:anchor simplePos="0" relativeHeight="251657728" behindDoc="1" locked="0" layoutInCell="0" allowOverlap="1">
            <wp:simplePos x="0" y="0"/>
            <wp:positionH relativeFrom="column">
              <wp:posOffset>926465</wp:posOffset>
            </wp:positionH>
            <wp:positionV relativeFrom="paragraph">
              <wp:posOffset>-286385</wp:posOffset>
            </wp:positionV>
            <wp:extent cx="6210300" cy="2997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6210300" cy="299720"/>
                    </a:xfrm>
                    <a:prstGeom prst="rect">
                      <a:avLst/>
                    </a:prstGeom>
                    <a:noFill/>
                  </pic:spPr>
                </pic:pic>
              </a:graphicData>
            </a:graphic>
          </wp:anchor>
        </w:drawing>
      </w:r>
    </w:p>
    <w:p>
      <w:pPr>
        <w:spacing w:after="0" w:line="208"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FFFFFF"/>
        </w:rPr>
        <w:t>Summary Mineral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3689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jc w:val="center"/>
        <w:spacing w:after="0" w:line="213" w:lineRule="auto"/>
        <w:rPr>
          <w:sz w:val="20"/>
          <w:szCs w:val="20"/>
          <w:color w:val="auto"/>
        </w:rPr>
      </w:pPr>
      <w:r>
        <w:rPr>
          <w:rFonts w:ascii="Calibri" w:cs="Calibri" w:eastAsia="Calibri" w:hAnsi="Calibri"/>
          <w:sz w:val="14"/>
          <w:szCs w:val="14"/>
          <w:b w:val="1"/>
          <w:bCs w:val="1"/>
          <w:color w:val="FFFFFF"/>
        </w:rPr>
        <w:t xml:space="preserve">At End of Fiscal Year Ended December 31, 2022 </w:t>
      </w:r>
      <w:r>
        <w:rPr>
          <w:rFonts w:ascii="Calibri" w:cs="Calibri" w:eastAsia="Calibri" w:hAnsi="Calibri"/>
          <w:sz w:val="19"/>
          <w:szCs w:val="19"/>
          <w:b w:val="1"/>
          <w:bCs w:val="1"/>
          <w:color w:val="FFFFFF"/>
          <w:vertAlign w:val="superscript"/>
        </w:rPr>
        <w:t>1,2</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80" w:type="dxa"/>
            <w:vAlign w:val="bottom"/>
            <w:tcBorders>
              <w:right w:val="single" w:sz="8" w:color="007CBA"/>
            </w:tcBorders>
            <w:shd w:val="clear" w:color="auto" w:fill="007CBA"/>
          </w:tcPr>
          <w:p>
            <w:pPr>
              <w:spacing w:after="0"/>
              <w:rPr>
                <w:sz w:val="16"/>
                <w:szCs w:val="16"/>
                <w:color w:val="auto"/>
              </w:rPr>
            </w:pPr>
          </w:p>
        </w:tc>
        <w:tc>
          <w:tcPr>
            <w:tcW w:w="2860" w:type="dxa"/>
            <w:vAlign w:val="bottom"/>
            <w:gridSpan w:val="2"/>
          </w:tcPr>
          <w:p>
            <w:pPr>
              <w:ind w:left="700"/>
              <w:spacing w:after="0"/>
              <w:rPr>
                <w:sz w:val="20"/>
                <w:szCs w:val="20"/>
                <w:color w:val="auto"/>
              </w:rPr>
            </w:pPr>
            <w:r>
              <w:rPr>
                <w:rFonts w:ascii="Calibri" w:cs="Calibri" w:eastAsia="Calibri" w:hAnsi="Calibri"/>
                <w:sz w:val="14"/>
                <w:szCs w:val="14"/>
                <w:b w:val="1"/>
                <w:bCs w:val="1"/>
                <w:color w:val="FFFFFF"/>
              </w:rPr>
              <w:t>Proven Mineral Reserves</w:t>
            </w:r>
          </w:p>
        </w:tc>
        <w:tc>
          <w:tcPr>
            <w:tcW w:w="3060" w:type="dxa"/>
            <w:vAlign w:val="bottom"/>
            <w:gridSpan w:val="2"/>
          </w:tcPr>
          <w:p>
            <w:pPr>
              <w:ind w:left="720"/>
              <w:spacing w:after="0"/>
              <w:rPr>
                <w:sz w:val="20"/>
                <w:szCs w:val="20"/>
                <w:color w:val="auto"/>
              </w:rPr>
            </w:pPr>
            <w:r>
              <w:rPr>
                <w:rFonts w:ascii="Calibri" w:cs="Calibri" w:eastAsia="Calibri" w:hAnsi="Calibri"/>
                <w:sz w:val="14"/>
                <w:szCs w:val="14"/>
                <w:b w:val="1"/>
                <w:bCs w:val="1"/>
                <w:color w:val="FFFFFF"/>
              </w:rPr>
              <w:t>Probable Mineral Reserves</w:t>
            </w:r>
          </w:p>
        </w:tc>
        <w:tc>
          <w:tcPr>
            <w:tcW w:w="3340" w:type="dxa"/>
            <w:vAlign w:val="bottom"/>
            <w:gridSpan w:val="2"/>
          </w:tcPr>
          <w:p>
            <w:pPr>
              <w:ind w:left="1000"/>
              <w:spacing w:after="0"/>
              <w:rPr>
                <w:sz w:val="20"/>
                <w:szCs w:val="20"/>
                <w:color w:val="auto"/>
              </w:rPr>
            </w:pPr>
            <w:r>
              <w:rPr>
                <w:rFonts w:ascii="Calibri" w:cs="Calibri" w:eastAsia="Calibri" w:hAnsi="Calibri"/>
                <w:sz w:val="14"/>
                <w:szCs w:val="14"/>
                <w:b w:val="1"/>
                <w:bCs w:val="1"/>
                <w:color w:val="FFFFFF"/>
              </w:rPr>
              <w:t>Total Mineral Reserves</w:t>
            </w:r>
          </w:p>
        </w:tc>
      </w:tr>
      <w:tr>
        <w:trPr>
          <w:trHeight w:val="152"/>
        </w:trPr>
        <w:tc>
          <w:tcPr>
            <w:tcW w:w="1980" w:type="dxa"/>
            <w:vAlign w:val="bottom"/>
            <w:tcBorders>
              <w:right w:val="single" w:sz="8" w:color="007CBA"/>
            </w:tcBorders>
            <w:shd w:val="clear" w:color="auto" w:fill="007CBA"/>
          </w:tcPr>
          <w:p>
            <w:pPr>
              <w:spacing w:after="0"/>
              <w:rPr>
                <w:sz w:val="13"/>
                <w:szCs w:val="13"/>
                <w:color w:val="auto"/>
              </w:rPr>
            </w:pPr>
          </w:p>
        </w:tc>
        <w:tc>
          <w:tcPr>
            <w:tcW w:w="1500" w:type="dxa"/>
            <w:vAlign w:val="bottom"/>
            <w:tcBorders>
              <w:right w:val="single" w:sz="8" w:color="007CBA"/>
            </w:tcBorders>
            <w:shd w:val="clear" w:color="auto" w:fill="007CBA"/>
          </w:tcPr>
          <w:p>
            <w:pPr>
              <w:jc w:val="right"/>
              <w:ind w:right="629"/>
              <w:spacing w:after="0" w:line="152" w:lineRule="exact"/>
              <w:rPr>
                <w:sz w:val="20"/>
                <w:szCs w:val="20"/>
                <w:color w:val="auto"/>
              </w:rPr>
            </w:pPr>
            <w:r>
              <w:rPr>
                <w:rFonts w:ascii="Calibri" w:cs="Calibri" w:eastAsia="Calibri" w:hAnsi="Calibri"/>
                <w:sz w:val="13"/>
                <w:szCs w:val="13"/>
                <w:b w:val="1"/>
                <w:bCs w:val="1"/>
                <w:color w:val="FFFFFF"/>
              </w:rPr>
              <w:t>Tons</w:t>
            </w:r>
          </w:p>
        </w:tc>
        <w:tc>
          <w:tcPr>
            <w:tcW w:w="1360" w:type="dxa"/>
            <w:vAlign w:val="bottom"/>
            <w:tcBorders>
              <w:right w:val="single" w:sz="8" w:color="007CBA"/>
            </w:tcBorders>
            <w:shd w:val="clear" w:color="auto" w:fill="007CBA"/>
          </w:tcPr>
          <w:p>
            <w:pPr>
              <w:spacing w:after="0"/>
              <w:rPr>
                <w:sz w:val="13"/>
                <w:szCs w:val="13"/>
                <w:color w:val="auto"/>
              </w:rPr>
            </w:pPr>
          </w:p>
        </w:tc>
        <w:tc>
          <w:tcPr>
            <w:tcW w:w="1640" w:type="dxa"/>
            <w:vAlign w:val="bottom"/>
            <w:tcBorders>
              <w:right w:val="single" w:sz="8" w:color="007CBA"/>
            </w:tcBorders>
            <w:shd w:val="clear" w:color="auto" w:fill="007CBA"/>
          </w:tcPr>
          <w:p>
            <w:pPr>
              <w:jc w:val="right"/>
              <w:ind w:right="689"/>
              <w:spacing w:after="0" w:line="152" w:lineRule="exact"/>
              <w:rPr>
                <w:sz w:val="20"/>
                <w:szCs w:val="20"/>
                <w:color w:val="auto"/>
              </w:rPr>
            </w:pPr>
            <w:r>
              <w:rPr>
                <w:rFonts w:ascii="Calibri" w:cs="Calibri" w:eastAsia="Calibri" w:hAnsi="Calibri"/>
                <w:sz w:val="13"/>
                <w:szCs w:val="13"/>
                <w:b w:val="1"/>
                <w:bCs w:val="1"/>
                <w:color w:val="FFFFFF"/>
              </w:rPr>
              <w:t>Tons</w:t>
            </w:r>
          </w:p>
        </w:tc>
        <w:tc>
          <w:tcPr>
            <w:tcW w:w="1420" w:type="dxa"/>
            <w:vAlign w:val="bottom"/>
            <w:tcBorders>
              <w:right w:val="single" w:sz="8" w:color="007CBA"/>
            </w:tcBorders>
            <w:shd w:val="clear" w:color="auto" w:fill="007CBA"/>
          </w:tcPr>
          <w:p>
            <w:pPr>
              <w:spacing w:after="0"/>
              <w:rPr>
                <w:sz w:val="13"/>
                <w:szCs w:val="13"/>
                <w:color w:val="auto"/>
              </w:rPr>
            </w:pPr>
          </w:p>
        </w:tc>
        <w:tc>
          <w:tcPr>
            <w:tcW w:w="1840" w:type="dxa"/>
            <w:vAlign w:val="bottom"/>
            <w:tcBorders>
              <w:right w:val="single" w:sz="8" w:color="007CBA"/>
            </w:tcBorders>
            <w:shd w:val="clear" w:color="auto" w:fill="007CBA"/>
          </w:tcPr>
          <w:p>
            <w:pPr>
              <w:jc w:val="right"/>
              <w:ind w:right="789"/>
              <w:spacing w:after="0" w:line="152" w:lineRule="exact"/>
              <w:rPr>
                <w:sz w:val="20"/>
                <w:szCs w:val="20"/>
                <w:color w:val="auto"/>
              </w:rPr>
            </w:pPr>
            <w:r>
              <w:rPr>
                <w:rFonts w:ascii="Calibri" w:cs="Calibri" w:eastAsia="Calibri" w:hAnsi="Calibri"/>
                <w:sz w:val="13"/>
                <w:szCs w:val="13"/>
                <w:b w:val="1"/>
                <w:bCs w:val="1"/>
                <w:color w:val="FFFFFF"/>
              </w:rPr>
              <w:t>Tons</w:t>
            </w:r>
          </w:p>
        </w:tc>
        <w:tc>
          <w:tcPr>
            <w:tcW w:w="1500" w:type="dxa"/>
            <w:vAlign w:val="bottom"/>
            <w:shd w:val="clear" w:color="auto" w:fill="007CBA"/>
          </w:tcPr>
          <w:p>
            <w:pPr>
              <w:spacing w:after="0"/>
              <w:rPr>
                <w:sz w:val="13"/>
                <w:szCs w:val="13"/>
                <w:color w:val="auto"/>
              </w:rPr>
            </w:pPr>
          </w:p>
        </w:tc>
      </w:tr>
      <w:tr>
        <w:trPr>
          <w:trHeight w:val="153"/>
        </w:trPr>
        <w:tc>
          <w:tcPr>
            <w:tcW w:w="1980" w:type="dxa"/>
            <w:vAlign w:val="bottom"/>
            <w:tcBorders>
              <w:bottom w:val="single" w:sz="8" w:color="007CBA"/>
              <w:right w:val="single" w:sz="8" w:color="007CBA"/>
            </w:tcBorders>
            <w:shd w:val="clear" w:color="auto" w:fill="007CBA"/>
          </w:tcPr>
          <w:p>
            <w:pPr>
              <w:spacing w:after="0"/>
              <w:rPr>
                <w:sz w:val="13"/>
                <w:szCs w:val="13"/>
                <w:color w:val="auto"/>
              </w:rPr>
            </w:pPr>
          </w:p>
        </w:tc>
        <w:tc>
          <w:tcPr>
            <w:tcW w:w="1500" w:type="dxa"/>
            <w:vAlign w:val="bottom"/>
            <w:tcBorders>
              <w:bottom w:val="single" w:sz="8" w:color="007CBA"/>
              <w:right w:val="single" w:sz="8" w:color="007CBA"/>
            </w:tcBorders>
            <w:shd w:val="clear" w:color="auto" w:fill="007CBA"/>
          </w:tcPr>
          <w:p>
            <w:pPr>
              <w:jc w:val="right"/>
              <w:ind w:right="369"/>
              <w:spacing w:after="0" w:line="149" w:lineRule="exact"/>
              <w:rPr>
                <w:sz w:val="20"/>
                <w:szCs w:val="20"/>
                <w:color w:val="auto"/>
              </w:rPr>
            </w:pPr>
            <w:r>
              <w:rPr>
                <w:rFonts w:ascii="Calibri" w:cs="Calibri" w:eastAsia="Calibri" w:hAnsi="Calibri"/>
                <w:sz w:val="13"/>
                <w:szCs w:val="13"/>
                <w:b w:val="1"/>
                <w:bCs w:val="1"/>
                <w:color w:val="FFFFFF"/>
              </w:rPr>
              <w:t>(in thousands)</w:t>
            </w:r>
          </w:p>
        </w:tc>
        <w:tc>
          <w:tcPr>
            <w:tcW w:w="1360" w:type="dxa"/>
            <w:vAlign w:val="bottom"/>
            <w:tcBorders>
              <w:bottom w:val="single" w:sz="8" w:color="007CBA"/>
              <w:right w:val="single" w:sz="8" w:color="007CBA"/>
            </w:tcBorders>
            <w:shd w:val="clear" w:color="auto" w:fill="007CBA"/>
          </w:tcPr>
          <w:p>
            <w:pPr>
              <w:ind w:left="240"/>
              <w:spacing w:after="0" w:line="149" w:lineRule="exact"/>
              <w:rPr>
                <w:sz w:val="20"/>
                <w:szCs w:val="20"/>
                <w:color w:val="auto"/>
              </w:rPr>
            </w:pPr>
            <w:r>
              <w:rPr>
                <w:rFonts w:ascii="Calibri" w:cs="Calibri" w:eastAsia="Calibri" w:hAnsi="Calibri"/>
                <w:sz w:val="13"/>
                <w:szCs w:val="13"/>
                <w:b w:val="1"/>
                <w:bCs w:val="1"/>
                <w:color w:val="FFFFFF"/>
              </w:rPr>
              <w:t>Grades/Qualites</w:t>
            </w:r>
          </w:p>
        </w:tc>
        <w:tc>
          <w:tcPr>
            <w:tcW w:w="1640" w:type="dxa"/>
            <w:vAlign w:val="bottom"/>
            <w:tcBorders>
              <w:bottom w:val="single" w:sz="8" w:color="007CBA"/>
              <w:right w:val="single" w:sz="8" w:color="007CBA"/>
            </w:tcBorders>
            <w:shd w:val="clear" w:color="auto" w:fill="007CBA"/>
          </w:tcPr>
          <w:p>
            <w:pPr>
              <w:jc w:val="right"/>
              <w:ind w:right="429"/>
              <w:spacing w:after="0" w:line="149" w:lineRule="exact"/>
              <w:rPr>
                <w:sz w:val="20"/>
                <w:szCs w:val="20"/>
                <w:color w:val="auto"/>
              </w:rPr>
            </w:pPr>
            <w:r>
              <w:rPr>
                <w:rFonts w:ascii="Calibri" w:cs="Calibri" w:eastAsia="Calibri" w:hAnsi="Calibri"/>
                <w:sz w:val="13"/>
                <w:szCs w:val="13"/>
                <w:b w:val="1"/>
                <w:bCs w:val="1"/>
                <w:color w:val="FFFFFF"/>
              </w:rPr>
              <w:t>(in thousands)</w:t>
            </w:r>
          </w:p>
        </w:tc>
        <w:tc>
          <w:tcPr>
            <w:tcW w:w="1420" w:type="dxa"/>
            <w:vAlign w:val="bottom"/>
            <w:tcBorders>
              <w:bottom w:val="single" w:sz="8" w:color="007CBA"/>
              <w:right w:val="single" w:sz="8" w:color="007CBA"/>
            </w:tcBorders>
            <w:shd w:val="clear" w:color="auto" w:fill="007CBA"/>
          </w:tcPr>
          <w:p>
            <w:pPr>
              <w:ind w:left="260"/>
              <w:spacing w:after="0" w:line="149" w:lineRule="exact"/>
              <w:rPr>
                <w:sz w:val="20"/>
                <w:szCs w:val="20"/>
                <w:color w:val="auto"/>
              </w:rPr>
            </w:pPr>
            <w:r>
              <w:rPr>
                <w:rFonts w:ascii="Calibri" w:cs="Calibri" w:eastAsia="Calibri" w:hAnsi="Calibri"/>
                <w:sz w:val="13"/>
                <w:szCs w:val="13"/>
                <w:b w:val="1"/>
                <w:bCs w:val="1"/>
                <w:color w:val="FFFFFF"/>
              </w:rPr>
              <w:t>Grades/Qualites</w:t>
            </w:r>
          </w:p>
        </w:tc>
        <w:tc>
          <w:tcPr>
            <w:tcW w:w="1840" w:type="dxa"/>
            <w:vAlign w:val="bottom"/>
            <w:tcBorders>
              <w:bottom w:val="single" w:sz="8" w:color="007CBA"/>
              <w:right w:val="single" w:sz="8" w:color="007CBA"/>
            </w:tcBorders>
            <w:shd w:val="clear" w:color="auto" w:fill="007CBA"/>
          </w:tcPr>
          <w:p>
            <w:pPr>
              <w:jc w:val="right"/>
              <w:ind w:right="529"/>
              <w:spacing w:after="0" w:line="149" w:lineRule="exact"/>
              <w:rPr>
                <w:sz w:val="20"/>
                <w:szCs w:val="20"/>
                <w:color w:val="auto"/>
              </w:rPr>
            </w:pPr>
            <w:r>
              <w:rPr>
                <w:rFonts w:ascii="Calibri" w:cs="Calibri" w:eastAsia="Calibri" w:hAnsi="Calibri"/>
                <w:sz w:val="13"/>
                <w:szCs w:val="13"/>
                <w:b w:val="1"/>
                <w:bCs w:val="1"/>
                <w:color w:val="FFFFFF"/>
              </w:rPr>
              <w:t>(in thousands)</w:t>
            </w:r>
          </w:p>
        </w:tc>
        <w:tc>
          <w:tcPr>
            <w:tcW w:w="1500" w:type="dxa"/>
            <w:vAlign w:val="bottom"/>
            <w:tcBorders>
              <w:bottom w:val="single" w:sz="8" w:color="007CBA"/>
            </w:tcBorders>
            <w:shd w:val="clear" w:color="auto" w:fill="007CBA"/>
          </w:tcPr>
          <w:p>
            <w:pPr>
              <w:jc w:val="center"/>
              <w:spacing w:after="0" w:line="149" w:lineRule="exact"/>
              <w:rPr>
                <w:sz w:val="20"/>
                <w:szCs w:val="20"/>
                <w:color w:val="auto"/>
              </w:rPr>
            </w:pPr>
            <w:r>
              <w:rPr>
                <w:rFonts w:ascii="Calibri" w:cs="Calibri" w:eastAsia="Calibri" w:hAnsi="Calibri"/>
                <w:sz w:val="13"/>
                <w:szCs w:val="13"/>
                <w:b w:val="1"/>
                <w:bCs w:val="1"/>
                <w:color w:val="FFFFFF"/>
                <w:w w:val="99"/>
              </w:rPr>
              <w:t>Grades/Qualites</w:t>
            </w:r>
          </w:p>
        </w:tc>
      </w:tr>
      <w:tr>
        <w:trPr>
          <w:trHeight w:val="183"/>
        </w:trPr>
        <w:tc>
          <w:tcPr>
            <w:tcW w:w="1980" w:type="dxa"/>
            <w:vAlign w:val="bottom"/>
            <w:tcBorders>
              <w:bottom w:val="single" w:sz="8" w:color="DEEBF7"/>
              <w:right w:val="single" w:sz="8" w:color="007CBA"/>
            </w:tcBorders>
            <w:shd w:val="clear" w:color="auto" w:fill="DEEBF7"/>
          </w:tcPr>
          <w:p>
            <w:pPr>
              <w:ind w:left="20"/>
              <w:spacing w:after="0"/>
              <w:rPr>
                <w:sz w:val="20"/>
                <w:szCs w:val="20"/>
                <w:color w:val="auto"/>
              </w:rPr>
            </w:pPr>
            <w:r>
              <w:rPr>
                <w:rFonts w:ascii="Calibri" w:cs="Calibri" w:eastAsia="Calibri" w:hAnsi="Calibri"/>
                <w:sz w:val="14"/>
                <w:szCs w:val="14"/>
                <w:b w:val="1"/>
                <w:bCs w:val="1"/>
                <w:color w:val="auto"/>
              </w:rPr>
              <w:t>Crushed Stone</w:t>
            </w:r>
          </w:p>
        </w:tc>
        <w:tc>
          <w:tcPr>
            <w:tcW w:w="1500" w:type="dxa"/>
            <w:vAlign w:val="bottom"/>
            <w:tcBorders>
              <w:bottom w:val="single" w:sz="8" w:color="DEEBF7"/>
              <w:right w:val="single" w:sz="8" w:color="007CBA"/>
            </w:tcBorders>
            <w:shd w:val="clear" w:color="auto" w:fill="DEEBF7"/>
          </w:tcPr>
          <w:p>
            <w:pPr>
              <w:spacing w:after="0"/>
              <w:rPr>
                <w:sz w:val="15"/>
                <w:szCs w:val="15"/>
                <w:color w:val="auto"/>
              </w:rPr>
            </w:pPr>
          </w:p>
        </w:tc>
        <w:tc>
          <w:tcPr>
            <w:tcW w:w="1360" w:type="dxa"/>
            <w:vAlign w:val="bottom"/>
            <w:tcBorders>
              <w:bottom w:val="single" w:sz="8" w:color="DEEBF7"/>
              <w:right w:val="single" w:sz="8" w:color="007CBA"/>
            </w:tcBorders>
            <w:shd w:val="clear" w:color="auto" w:fill="DEEBF7"/>
          </w:tcPr>
          <w:p>
            <w:pPr>
              <w:spacing w:after="0"/>
              <w:rPr>
                <w:sz w:val="15"/>
                <w:szCs w:val="15"/>
                <w:color w:val="auto"/>
              </w:rPr>
            </w:pPr>
          </w:p>
        </w:tc>
        <w:tc>
          <w:tcPr>
            <w:tcW w:w="1640" w:type="dxa"/>
            <w:vAlign w:val="bottom"/>
            <w:tcBorders>
              <w:bottom w:val="single" w:sz="8" w:color="DEEBF7"/>
              <w:right w:val="single" w:sz="8" w:color="007CBA"/>
            </w:tcBorders>
            <w:shd w:val="clear" w:color="auto" w:fill="DEEBF7"/>
          </w:tcPr>
          <w:p>
            <w:pPr>
              <w:spacing w:after="0"/>
              <w:rPr>
                <w:sz w:val="15"/>
                <w:szCs w:val="15"/>
                <w:color w:val="auto"/>
              </w:rPr>
            </w:pPr>
          </w:p>
        </w:tc>
        <w:tc>
          <w:tcPr>
            <w:tcW w:w="1420" w:type="dxa"/>
            <w:vAlign w:val="bottom"/>
            <w:tcBorders>
              <w:bottom w:val="single" w:sz="8" w:color="DEEBF7"/>
              <w:right w:val="single" w:sz="8" w:color="007CBA"/>
            </w:tcBorders>
            <w:shd w:val="clear" w:color="auto" w:fill="DEEBF7"/>
          </w:tcPr>
          <w:p>
            <w:pPr>
              <w:spacing w:after="0"/>
              <w:rPr>
                <w:sz w:val="15"/>
                <w:szCs w:val="15"/>
                <w:color w:val="auto"/>
              </w:rPr>
            </w:pPr>
          </w:p>
        </w:tc>
        <w:tc>
          <w:tcPr>
            <w:tcW w:w="1840" w:type="dxa"/>
            <w:vAlign w:val="bottom"/>
            <w:tcBorders>
              <w:bottom w:val="single" w:sz="8" w:color="DEEBF7"/>
              <w:right w:val="single" w:sz="8" w:color="007CBA"/>
            </w:tcBorders>
            <w:shd w:val="clear" w:color="auto" w:fill="DEEBF7"/>
          </w:tcPr>
          <w:p>
            <w:pPr>
              <w:spacing w:after="0"/>
              <w:rPr>
                <w:sz w:val="15"/>
                <w:szCs w:val="15"/>
                <w:color w:val="auto"/>
              </w:rPr>
            </w:pPr>
          </w:p>
        </w:tc>
        <w:tc>
          <w:tcPr>
            <w:tcW w:w="1500" w:type="dxa"/>
            <w:vAlign w:val="bottom"/>
            <w:tcBorders>
              <w:bottom w:val="single" w:sz="8" w:color="DEEBF7"/>
            </w:tcBorders>
            <w:shd w:val="clear" w:color="auto" w:fill="DEEBF7"/>
          </w:tcPr>
          <w:p>
            <w:pPr>
              <w:spacing w:after="0"/>
              <w:rPr>
                <w:sz w:val="15"/>
                <w:szCs w:val="15"/>
                <w:color w:val="auto"/>
              </w:rPr>
            </w:pPr>
          </w:p>
        </w:tc>
      </w:tr>
      <w:tr>
        <w:trPr>
          <w:trHeight w:val="170"/>
        </w:trPr>
        <w:tc>
          <w:tcPr>
            <w:tcW w:w="1980" w:type="dxa"/>
            <w:vAlign w:val="bottom"/>
            <w:tcBorders>
              <w:right w:val="single" w:sz="8" w:color="007CBA"/>
            </w:tcBorders>
          </w:tcPr>
          <w:p>
            <w:pPr>
              <w:ind w:left="20"/>
              <w:spacing w:after="0"/>
              <w:rPr>
                <w:sz w:val="20"/>
                <w:szCs w:val="20"/>
                <w:color w:val="auto"/>
              </w:rPr>
            </w:pPr>
            <w:r>
              <w:rPr>
                <w:rFonts w:ascii="Calibri" w:cs="Calibri" w:eastAsia="Calibri" w:hAnsi="Calibri"/>
                <w:sz w:val="14"/>
                <w:szCs w:val="14"/>
                <w:color w:val="auto"/>
              </w:rPr>
              <w:t>East Division</w:t>
            </w:r>
          </w:p>
        </w:tc>
        <w:tc>
          <w:tcPr>
            <w:tcW w:w="1500" w:type="dxa"/>
            <w:vAlign w:val="bottom"/>
            <w:tcBorders>
              <w:right w:val="single" w:sz="8" w:color="007CBA"/>
            </w:tcBorders>
          </w:tcPr>
          <w:p>
            <w:pPr>
              <w:jc w:val="right"/>
              <w:ind w:right="69"/>
              <w:spacing w:after="0"/>
              <w:rPr>
                <w:sz w:val="20"/>
                <w:szCs w:val="20"/>
                <w:color w:val="auto"/>
              </w:rPr>
            </w:pPr>
            <w:r>
              <w:rPr>
                <w:rFonts w:ascii="Calibri" w:cs="Calibri" w:eastAsia="Calibri" w:hAnsi="Calibri"/>
                <w:sz w:val="14"/>
                <w:szCs w:val="14"/>
                <w:color w:val="auto"/>
              </w:rPr>
              <w:t>4,608,483</w:t>
            </w:r>
          </w:p>
        </w:tc>
        <w:tc>
          <w:tcPr>
            <w:tcW w:w="1360" w:type="dxa"/>
            <w:vAlign w:val="bottom"/>
            <w:tcBorders>
              <w:right w:val="single" w:sz="8" w:color="007CBA"/>
            </w:tcBorders>
          </w:tcPr>
          <w:p>
            <w:pPr>
              <w:jc w:val="center"/>
              <w:spacing w:after="0"/>
              <w:rPr>
                <w:sz w:val="20"/>
                <w:szCs w:val="20"/>
                <w:color w:val="auto"/>
              </w:rPr>
            </w:pPr>
            <w:r>
              <w:rPr>
                <w:rFonts w:ascii="Calibri" w:cs="Calibri" w:eastAsia="Calibri" w:hAnsi="Calibri"/>
                <w:sz w:val="14"/>
                <w:szCs w:val="14"/>
                <w:color w:val="auto"/>
              </w:rPr>
              <w:t>Crushed Stone</w:t>
            </w:r>
          </w:p>
        </w:tc>
        <w:tc>
          <w:tcPr>
            <w:tcW w:w="1640" w:type="dxa"/>
            <w:vAlign w:val="bottom"/>
            <w:tcBorders>
              <w:right w:val="single" w:sz="8" w:color="007CBA"/>
            </w:tcBorders>
          </w:tcPr>
          <w:p>
            <w:pPr>
              <w:jc w:val="right"/>
              <w:ind w:right="49"/>
              <w:spacing w:after="0"/>
              <w:rPr>
                <w:sz w:val="20"/>
                <w:szCs w:val="20"/>
                <w:color w:val="auto"/>
              </w:rPr>
            </w:pPr>
            <w:r>
              <w:rPr>
                <w:rFonts w:ascii="Calibri" w:cs="Calibri" w:eastAsia="Calibri" w:hAnsi="Calibri"/>
                <w:sz w:val="14"/>
                <w:szCs w:val="14"/>
                <w:color w:val="auto"/>
              </w:rPr>
              <w:t>3,643,381</w:t>
            </w:r>
          </w:p>
        </w:tc>
        <w:tc>
          <w:tcPr>
            <w:tcW w:w="1420" w:type="dxa"/>
            <w:vAlign w:val="bottom"/>
            <w:tcBorders>
              <w:right w:val="single" w:sz="8" w:color="007CBA"/>
            </w:tcBorders>
          </w:tcPr>
          <w:p>
            <w:pPr>
              <w:jc w:val="center"/>
              <w:spacing w:after="0"/>
              <w:rPr>
                <w:sz w:val="20"/>
                <w:szCs w:val="20"/>
                <w:color w:val="auto"/>
              </w:rPr>
            </w:pPr>
            <w:r>
              <w:rPr>
                <w:rFonts w:ascii="Calibri" w:cs="Calibri" w:eastAsia="Calibri" w:hAnsi="Calibri"/>
                <w:sz w:val="14"/>
                <w:szCs w:val="14"/>
                <w:color w:val="auto"/>
              </w:rPr>
              <w:t>Crushed Stone</w:t>
            </w:r>
          </w:p>
        </w:tc>
        <w:tc>
          <w:tcPr>
            <w:tcW w:w="1840" w:type="dxa"/>
            <w:vAlign w:val="bottom"/>
            <w:tcBorders>
              <w:right w:val="single" w:sz="8" w:color="007CBA"/>
            </w:tcBorders>
          </w:tcPr>
          <w:p>
            <w:pPr>
              <w:jc w:val="right"/>
              <w:ind w:right="69"/>
              <w:spacing w:after="0"/>
              <w:rPr>
                <w:sz w:val="20"/>
                <w:szCs w:val="20"/>
                <w:color w:val="auto"/>
              </w:rPr>
            </w:pPr>
            <w:r>
              <w:rPr>
                <w:rFonts w:ascii="Calibri" w:cs="Calibri" w:eastAsia="Calibri" w:hAnsi="Calibri"/>
                <w:sz w:val="14"/>
                <w:szCs w:val="14"/>
                <w:color w:val="auto"/>
              </w:rPr>
              <w:t>8,251,864</w:t>
            </w:r>
          </w:p>
        </w:tc>
        <w:tc>
          <w:tcPr>
            <w:tcW w:w="1500" w:type="dxa"/>
            <w:vAlign w:val="bottom"/>
          </w:tcPr>
          <w:p>
            <w:pPr>
              <w:jc w:val="center"/>
              <w:spacing w:after="0"/>
              <w:rPr>
                <w:sz w:val="20"/>
                <w:szCs w:val="20"/>
                <w:color w:val="auto"/>
              </w:rPr>
            </w:pPr>
            <w:r>
              <w:rPr>
                <w:rFonts w:ascii="Calibri" w:cs="Calibri" w:eastAsia="Calibri" w:hAnsi="Calibri"/>
                <w:sz w:val="14"/>
                <w:szCs w:val="14"/>
                <w:color w:val="auto"/>
              </w:rPr>
              <w:t>Crushed Stone</w:t>
            </w:r>
          </w:p>
        </w:tc>
      </w:tr>
      <w:tr>
        <w:trPr>
          <w:trHeight w:val="33"/>
        </w:trPr>
        <w:tc>
          <w:tcPr>
            <w:tcW w:w="1980" w:type="dxa"/>
            <w:vAlign w:val="bottom"/>
            <w:tcBorders>
              <w:right w:val="single" w:sz="8" w:color="007CBA"/>
            </w:tcBorders>
          </w:tcPr>
          <w:p>
            <w:pPr>
              <w:spacing w:after="0"/>
              <w:rPr>
                <w:sz w:val="2"/>
                <w:szCs w:val="2"/>
                <w:color w:val="auto"/>
              </w:rPr>
            </w:pPr>
          </w:p>
        </w:tc>
        <w:tc>
          <w:tcPr>
            <w:tcW w:w="1500" w:type="dxa"/>
            <w:vAlign w:val="bottom"/>
            <w:tcBorders>
              <w:right w:val="single" w:sz="8" w:color="007CBA"/>
            </w:tcBorders>
          </w:tcPr>
          <w:p>
            <w:pPr>
              <w:spacing w:after="0"/>
              <w:rPr>
                <w:sz w:val="2"/>
                <w:szCs w:val="2"/>
                <w:color w:val="auto"/>
              </w:rPr>
            </w:pPr>
          </w:p>
        </w:tc>
        <w:tc>
          <w:tcPr>
            <w:tcW w:w="1360" w:type="dxa"/>
            <w:vAlign w:val="bottom"/>
            <w:tcBorders>
              <w:right w:val="single" w:sz="8" w:color="007CBA"/>
            </w:tcBorders>
          </w:tcPr>
          <w:p>
            <w:pPr>
              <w:spacing w:after="0"/>
              <w:rPr>
                <w:sz w:val="2"/>
                <w:szCs w:val="2"/>
                <w:color w:val="auto"/>
              </w:rPr>
            </w:pPr>
          </w:p>
        </w:tc>
        <w:tc>
          <w:tcPr>
            <w:tcW w:w="1640" w:type="dxa"/>
            <w:vAlign w:val="bottom"/>
            <w:tcBorders>
              <w:right w:val="single" w:sz="8" w:color="007CBA"/>
            </w:tcBorders>
          </w:tcPr>
          <w:p>
            <w:pPr>
              <w:spacing w:after="0"/>
              <w:rPr>
                <w:sz w:val="2"/>
                <w:szCs w:val="2"/>
                <w:color w:val="auto"/>
              </w:rPr>
            </w:pPr>
          </w:p>
        </w:tc>
        <w:tc>
          <w:tcPr>
            <w:tcW w:w="1420" w:type="dxa"/>
            <w:vAlign w:val="bottom"/>
            <w:tcBorders>
              <w:right w:val="single" w:sz="8" w:color="007CBA"/>
            </w:tcBorders>
          </w:tcPr>
          <w:p>
            <w:pPr>
              <w:spacing w:after="0"/>
              <w:rPr>
                <w:sz w:val="2"/>
                <w:szCs w:val="2"/>
                <w:color w:val="auto"/>
              </w:rPr>
            </w:pPr>
          </w:p>
        </w:tc>
        <w:tc>
          <w:tcPr>
            <w:tcW w:w="1840" w:type="dxa"/>
            <w:vAlign w:val="bottom"/>
            <w:tcBorders>
              <w:right w:val="single" w:sz="8" w:color="007CBA"/>
            </w:tcBorders>
          </w:tcPr>
          <w:p>
            <w:pPr>
              <w:spacing w:after="0"/>
              <w:rPr>
                <w:sz w:val="2"/>
                <w:szCs w:val="2"/>
                <w:color w:val="auto"/>
              </w:rPr>
            </w:pPr>
          </w:p>
        </w:tc>
        <w:tc>
          <w:tcPr>
            <w:tcW w:w="1500" w:type="dxa"/>
            <w:vAlign w:val="bottom"/>
          </w:tcPr>
          <w:p>
            <w:pPr>
              <w:spacing w:after="0"/>
              <w:rPr>
                <w:sz w:val="2"/>
                <w:szCs w:val="2"/>
                <w:color w:val="auto"/>
              </w:rPr>
            </w:pPr>
          </w:p>
        </w:tc>
      </w:tr>
      <w:tr>
        <w:trPr>
          <w:trHeight w:val="183"/>
        </w:trPr>
        <w:tc>
          <w:tcPr>
            <w:tcW w:w="1980" w:type="dxa"/>
            <w:vAlign w:val="bottom"/>
            <w:tcBorders>
              <w:bottom w:val="single" w:sz="8" w:color="DEEBF7"/>
              <w:right w:val="single" w:sz="8" w:color="007CBA"/>
            </w:tcBorders>
            <w:shd w:val="clear" w:color="auto" w:fill="DEEBF7"/>
          </w:tcPr>
          <w:p>
            <w:pPr>
              <w:ind w:left="20"/>
              <w:spacing w:after="0"/>
              <w:rPr>
                <w:sz w:val="20"/>
                <w:szCs w:val="20"/>
                <w:color w:val="auto"/>
              </w:rPr>
            </w:pPr>
            <w:r>
              <w:rPr>
                <w:rFonts w:ascii="Calibri" w:cs="Calibri" w:eastAsia="Calibri" w:hAnsi="Calibri"/>
                <w:sz w:val="14"/>
                <w:szCs w:val="14"/>
                <w:color w:val="auto"/>
              </w:rPr>
              <w:t>Central Division</w:t>
            </w:r>
          </w:p>
        </w:tc>
        <w:tc>
          <w:tcPr>
            <w:tcW w:w="1500" w:type="dxa"/>
            <w:vAlign w:val="bottom"/>
            <w:tcBorders>
              <w:bottom w:val="single" w:sz="8" w:color="DEEBF7"/>
              <w:right w:val="single" w:sz="8" w:color="007CBA"/>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1,472,296</w:t>
            </w:r>
          </w:p>
        </w:tc>
        <w:tc>
          <w:tcPr>
            <w:tcW w:w="1360" w:type="dxa"/>
            <w:vAlign w:val="bottom"/>
            <w:tcBorders>
              <w:bottom w:val="single" w:sz="8" w:color="DEEBF7"/>
              <w:right w:val="single" w:sz="8" w:color="007CBA"/>
            </w:tcBorders>
            <w:shd w:val="clear" w:color="auto" w:fill="DEEBF7"/>
          </w:tcPr>
          <w:p>
            <w:pPr>
              <w:jc w:val="center"/>
              <w:spacing w:after="0"/>
              <w:rPr>
                <w:sz w:val="20"/>
                <w:szCs w:val="20"/>
                <w:color w:val="auto"/>
              </w:rPr>
            </w:pPr>
            <w:r>
              <w:rPr>
                <w:rFonts w:ascii="Calibri" w:cs="Calibri" w:eastAsia="Calibri" w:hAnsi="Calibri"/>
                <w:sz w:val="14"/>
                <w:szCs w:val="14"/>
                <w:color w:val="auto"/>
              </w:rPr>
              <w:t>Crushed Stone</w:t>
            </w:r>
          </w:p>
        </w:tc>
        <w:tc>
          <w:tcPr>
            <w:tcW w:w="1640" w:type="dxa"/>
            <w:vAlign w:val="bottom"/>
            <w:tcBorders>
              <w:bottom w:val="single" w:sz="8" w:color="DEEBF7"/>
              <w:right w:val="single" w:sz="8" w:color="007CBA"/>
            </w:tcBorders>
            <w:shd w:val="clear" w:color="auto" w:fill="DEEBF7"/>
          </w:tcPr>
          <w:p>
            <w:pPr>
              <w:jc w:val="right"/>
              <w:ind w:right="49"/>
              <w:spacing w:after="0"/>
              <w:rPr>
                <w:sz w:val="20"/>
                <w:szCs w:val="20"/>
                <w:color w:val="auto"/>
              </w:rPr>
            </w:pPr>
            <w:r>
              <w:rPr>
                <w:rFonts w:ascii="Calibri" w:cs="Calibri" w:eastAsia="Calibri" w:hAnsi="Calibri"/>
                <w:sz w:val="14"/>
                <w:szCs w:val="14"/>
                <w:color w:val="auto"/>
              </w:rPr>
              <w:t>1,418,537</w:t>
            </w:r>
          </w:p>
        </w:tc>
        <w:tc>
          <w:tcPr>
            <w:tcW w:w="1420" w:type="dxa"/>
            <w:vAlign w:val="bottom"/>
            <w:tcBorders>
              <w:bottom w:val="single" w:sz="8" w:color="DEEBF7"/>
              <w:right w:val="single" w:sz="8" w:color="007CBA"/>
            </w:tcBorders>
            <w:shd w:val="clear" w:color="auto" w:fill="DEEBF7"/>
          </w:tcPr>
          <w:p>
            <w:pPr>
              <w:jc w:val="center"/>
              <w:spacing w:after="0"/>
              <w:rPr>
                <w:sz w:val="20"/>
                <w:szCs w:val="20"/>
                <w:color w:val="auto"/>
              </w:rPr>
            </w:pPr>
            <w:r>
              <w:rPr>
                <w:rFonts w:ascii="Calibri" w:cs="Calibri" w:eastAsia="Calibri" w:hAnsi="Calibri"/>
                <w:sz w:val="14"/>
                <w:szCs w:val="14"/>
                <w:color w:val="auto"/>
              </w:rPr>
              <w:t>Crushed Stone</w:t>
            </w:r>
          </w:p>
        </w:tc>
        <w:tc>
          <w:tcPr>
            <w:tcW w:w="1840" w:type="dxa"/>
            <w:vAlign w:val="bottom"/>
            <w:tcBorders>
              <w:bottom w:val="single" w:sz="8" w:color="DEEBF7"/>
              <w:right w:val="single" w:sz="8" w:color="007CBA"/>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2,890,833</w:t>
            </w:r>
          </w:p>
        </w:tc>
        <w:tc>
          <w:tcPr>
            <w:tcW w:w="1500" w:type="dxa"/>
            <w:vAlign w:val="bottom"/>
            <w:tcBorders>
              <w:bottom w:val="single" w:sz="8" w:color="DEEBF7"/>
            </w:tcBorders>
            <w:shd w:val="clear" w:color="auto" w:fill="DEEBF7"/>
          </w:tcPr>
          <w:p>
            <w:pPr>
              <w:jc w:val="center"/>
              <w:spacing w:after="0"/>
              <w:rPr>
                <w:sz w:val="20"/>
                <w:szCs w:val="20"/>
                <w:color w:val="auto"/>
              </w:rPr>
            </w:pPr>
            <w:r>
              <w:rPr>
                <w:rFonts w:ascii="Calibri" w:cs="Calibri" w:eastAsia="Calibri" w:hAnsi="Calibri"/>
                <w:sz w:val="14"/>
                <w:szCs w:val="14"/>
                <w:color w:val="auto"/>
              </w:rPr>
              <w:t>Crushed Stone</w:t>
            </w:r>
          </w:p>
        </w:tc>
      </w:tr>
      <w:tr>
        <w:trPr>
          <w:trHeight w:val="203"/>
        </w:trPr>
        <w:tc>
          <w:tcPr>
            <w:tcW w:w="1980" w:type="dxa"/>
            <w:vAlign w:val="bottom"/>
            <w:tcBorders>
              <w:right w:val="single" w:sz="8" w:color="007CBA"/>
            </w:tcBorders>
          </w:tcPr>
          <w:p>
            <w:pPr>
              <w:ind w:left="20"/>
              <w:spacing w:after="0"/>
              <w:rPr>
                <w:sz w:val="20"/>
                <w:szCs w:val="20"/>
                <w:color w:val="auto"/>
              </w:rPr>
            </w:pPr>
            <w:r>
              <w:rPr>
                <w:rFonts w:ascii="Calibri" w:cs="Calibri" w:eastAsia="Calibri" w:hAnsi="Calibri"/>
                <w:sz w:val="14"/>
                <w:szCs w:val="14"/>
                <w:color w:val="auto"/>
              </w:rPr>
              <w:t>Southwest Division</w:t>
            </w:r>
          </w:p>
        </w:tc>
        <w:tc>
          <w:tcPr>
            <w:tcW w:w="1500" w:type="dxa"/>
            <w:vAlign w:val="bottom"/>
            <w:tcBorders>
              <w:right w:val="single" w:sz="8" w:color="007CBA"/>
            </w:tcBorders>
          </w:tcPr>
          <w:p>
            <w:pPr>
              <w:jc w:val="right"/>
              <w:ind w:right="69"/>
              <w:spacing w:after="0"/>
              <w:rPr>
                <w:sz w:val="20"/>
                <w:szCs w:val="20"/>
                <w:color w:val="auto"/>
              </w:rPr>
            </w:pPr>
            <w:r>
              <w:rPr>
                <w:rFonts w:ascii="Calibri" w:cs="Calibri" w:eastAsia="Calibri" w:hAnsi="Calibri"/>
                <w:sz w:val="14"/>
                <w:szCs w:val="14"/>
                <w:color w:val="auto"/>
              </w:rPr>
              <w:t>2,253,444</w:t>
            </w:r>
          </w:p>
        </w:tc>
        <w:tc>
          <w:tcPr>
            <w:tcW w:w="1360" w:type="dxa"/>
            <w:vAlign w:val="bottom"/>
            <w:tcBorders>
              <w:right w:val="single" w:sz="8" w:color="007CBA"/>
            </w:tcBorders>
          </w:tcPr>
          <w:p>
            <w:pPr>
              <w:jc w:val="center"/>
              <w:spacing w:after="0"/>
              <w:rPr>
                <w:sz w:val="20"/>
                <w:szCs w:val="20"/>
                <w:color w:val="auto"/>
              </w:rPr>
            </w:pPr>
            <w:r>
              <w:rPr>
                <w:rFonts w:ascii="Calibri" w:cs="Calibri" w:eastAsia="Calibri" w:hAnsi="Calibri"/>
                <w:sz w:val="14"/>
                <w:szCs w:val="14"/>
                <w:color w:val="auto"/>
              </w:rPr>
              <w:t>Crushed Stone</w:t>
            </w:r>
          </w:p>
        </w:tc>
        <w:tc>
          <w:tcPr>
            <w:tcW w:w="1640" w:type="dxa"/>
            <w:vAlign w:val="bottom"/>
            <w:tcBorders>
              <w:right w:val="single" w:sz="8" w:color="007CBA"/>
            </w:tcBorders>
          </w:tcPr>
          <w:p>
            <w:pPr>
              <w:jc w:val="right"/>
              <w:ind w:right="49"/>
              <w:spacing w:after="0"/>
              <w:rPr>
                <w:sz w:val="20"/>
                <w:szCs w:val="20"/>
                <w:color w:val="auto"/>
              </w:rPr>
            </w:pPr>
            <w:r>
              <w:rPr>
                <w:rFonts w:ascii="Calibri" w:cs="Calibri" w:eastAsia="Calibri" w:hAnsi="Calibri"/>
                <w:sz w:val="14"/>
                <w:szCs w:val="14"/>
                <w:color w:val="auto"/>
              </w:rPr>
              <w:t>1,711,836</w:t>
            </w:r>
          </w:p>
        </w:tc>
        <w:tc>
          <w:tcPr>
            <w:tcW w:w="1420" w:type="dxa"/>
            <w:vAlign w:val="bottom"/>
            <w:tcBorders>
              <w:right w:val="single" w:sz="8" w:color="007CBA"/>
            </w:tcBorders>
          </w:tcPr>
          <w:p>
            <w:pPr>
              <w:jc w:val="center"/>
              <w:spacing w:after="0"/>
              <w:rPr>
                <w:sz w:val="20"/>
                <w:szCs w:val="20"/>
                <w:color w:val="auto"/>
              </w:rPr>
            </w:pPr>
            <w:r>
              <w:rPr>
                <w:rFonts w:ascii="Calibri" w:cs="Calibri" w:eastAsia="Calibri" w:hAnsi="Calibri"/>
                <w:sz w:val="14"/>
                <w:szCs w:val="14"/>
                <w:color w:val="auto"/>
              </w:rPr>
              <w:t>Crushed Stone</w:t>
            </w:r>
          </w:p>
        </w:tc>
        <w:tc>
          <w:tcPr>
            <w:tcW w:w="1840" w:type="dxa"/>
            <w:vAlign w:val="bottom"/>
            <w:tcBorders>
              <w:right w:val="single" w:sz="8" w:color="007CBA"/>
            </w:tcBorders>
          </w:tcPr>
          <w:p>
            <w:pPr>
              <w:jc w:val="right"/>
              <w:ind w:right="69"/>
              <w:spacing w:after="0"/>
              <w:rPr>
                <w:sz w:val="20"/>
                <w:szCs w:val="20"/>
                <w:color w:val="auto"/>
              </w:rPr>
            </w:pPr>
            <w:r>
              <w:rPr>
                <w:rFonts w:ascii="Calibri" w:cs="Calibri" w:eastAsia="Calibri" w:hAnsi="Calibri"/>
                <w:sz w:val="14"/>
                <w:szCs w:val="14"/>
                <w:color w:val="auto"/>
              </w:rPr>
              <w:t>3,965,280</w:t>
            </w:r>
          </w:p>
        </w:tc>
        <w:tc>
          <w:tcPr>
            <w:tcW w:w="1500" w:type="dxa"/>
            <w:vAlign w:val="bottom"/>
          </w:tcPr>
          <w:p>
            <w:pPr>
              <w:jc w:val="center"/>
              <w:spacing w:after="0"/>
              <w:rPr>
                <w:sz w:val="20"/>
                <w:szCs w:val="20"/>
                <w:color w:val="auto"/>
              </w:rPr>
            </w:pPr>
            <w:r>
              <w:rPr>
                <w:rFonts w:ascii="Calibri" w:cs="Calibri" w:eastAsia="Calibri" w:hAnsi="Calibri"/>
                <w:sz w:val="14"/>
                <w:szCs w:val="14"/>
                <w:color w:val="auto"/>
              </w:rPr>
              <w:t>Crushed Stone</w:t>
            </w:r>
          </w:p>
        </w:tc>
      </w:tr>
      <w:tr>
        <w:trPr>
          <w:trHeight w:val="208"/>
        </w:trPr>
        <w:tc>
          <w:tcPr>
            <w:tcW w:w="1980" w:type="dxa"/>
            <w:vAlign w:val="bottom"/>
            <w:tcBorders>
              <w:bottom w:val="single" w:sz="8" w:color="DEEBF7"/>
              <w:right w:val="single" w:sz="8" w:color="DEEBF7"/>
            </w:tcBorders>
            <w:shd w:val="clear" w:color="auto" w:fill="DEEBF7"/>
          </w:tcPr>
          <w:p>
            <w:pPr>
              <w:ind w:left="20"/>
              <w:spacing w:after="0"/>
              <w:rPr>
                <w:sz w:val="20"/>
                <w:szCs w:val="20"/>
                <w:color w:val="auto"/>
              </w:rPr>
            </w:pPr>
            <w:r>
              <w:rPr>
                <w:rFonts w:ascii="Calibri" w:cs="Calibri" w:eastAsia="Calibri" w:hAnsi="Calibri"/>
                <w:sz w:val="14"/>
                <w:szCs w:val="14"/>
                <w:color w:val="auto"/>
              </w:rPr>
              <w:t>West Division</w:t>
            </w:r>
          </w:p>
        </w:tc>
        <w:tc>
          <w:tcPr>
            <w:tcW w:w="1500" w:type="dxa"/>
            <w:vAlign w:val="bottom"/>
            <w:tcBorders>
              <w:bottom w:val="single" w:sz="8" w:color="DEEBF7"/>
              <w:right w:val="single" w:sz="8" w:color="DEEBF7"/>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351,196</w:t>
            </w:r>
          </w:p>
        </w:tc>
        <w:tc>
          <w:tcPr>
            <w:tcW w:w="1360" w:type="dxa"/>
            <w:vAlign w:val="bottom"/>
            <w:tcBorders>
              <w:bottom w:val="single" w:sz="8" w:color="DEEBF7"/>
              <w:right w:val="single" w:sz="8" w:color="DEEBF7"/>
            </w:tcBorders>
            <w:shd w:val="clear" w:color="auto" w:fill="DEEBF7"/>
          </w:tcPr>
          <w:p>
            <w:pPr>
              <w:jc w:val="center"/>
              <w:spacing w:after="0"/>
              <w:rPr>
                <w:sz w:val="20"/>
                <w:szCs w:val="20"/>
                <w:color w:val="auto"/>
              </w:rPr>
            </w:pPr>
            <w:r>
              <w:rPr>
                <w:rFonts w:ascii="Calibri" w:cs="Calibri" w:eastAsia="Calibri" w:hAnsi="Calibri"/>
                <w:sz w:val="14"/>
                <w:szCs w:val="14"/>
                <w:color w:val="auto"/>
              </w:rPr>
              <w:t>Crushed Stone</w:t>
            </w:r>
          </w:p>
        </w:tc>
        <w:tc>
          <w:tcPr>
            <w:tcW w:w="1640" w:type="dxa"/>
            <w:vAlign w:val="bottom"/>
            <w:tcBorders>
              <w:bottom w:val="single" w:sz="8" w:color="DEEBF7"/>
              <w:right w:val="single" w:sz="8" w:color="DEEBF7"/>
            </w:tcBorders>
            <w:shd w:val="clear" w:color="auto" w:fill="DEEBF7"/>
          </w:tcPr>
          <w:p>
            <w:pPr>
              <w:jc w:val="right"/>
              <w:ind w:right="49"/>
              <w:spacing w:after="0"/>
              <w:rPr>
                <w:sz w:val="20"/>
                <w:szCs w:val="20"/>
                <w:color w:val="auto"/>
              </w:rPr>
            </w:pPr>
            <w:r>
              <w:rPr>
                <w:rFonts w:ascii="Calibri" w:cs="Calibri" w:eastAsia="Calibri" w:hAnsi="Calibri"/>
                <w:sz w:val="14"/>
                <w:szCs w:val="14"/>
                <w:color w:val="auto"/>
              </w:rPr>
              <w:t>600,000</w:t>
            </w:r>
          </w:p>
        </w:tc>
        <w:tc>
          <w:tcPr>
            <w:tcW w:w="1420" w:type="dxa"/>
            <w:vAlign w:val="bottom"/>
            <w:tcBorders>
              <w:bottom w:val="single" w:sz="8" w:color="DEEBF7"/>
              <w:right w:val="single" w:sz="8" w:color="DEEBF7"/>
            </w:tcBorders>
            <w:shd w:val="clear" w:color="auto" w:fill="DEEBF7"/>
          </w:tcPr>
          <w:p>
            <w:pPr>
              <w:jc w:val="center"/>
              <w:spacing w:after="0"/>
              <w:rPr>
                <w:sz w:val="20"/>
                <w:szCs w:val="20"/>
                <w:color w:val="auto"/>
              </w:rPr>
            </w:pPr>
            <w:r>
              <w:rPr>
                <w:rFonts w:ascii="Calibri" w:cs="Calibri" w:eastAsia="Calibri" w:hAnsi="Calibri"/>
                <w:sz w:val="14"/>
                <w:szCs w:val="14"/>
                <w:color w:val="auto"/>
              </w:rPr>
              <w:t>Crushed Stone</w:t>
            </w:r>
          </w:p>
        </w:tc>
        <w:tc>
          <w:tcPr>
            <w:tcW w:w="1840" w:type="dxa"/>
            <w:vAlign w:val="bottom"/>
            <w:tcBorders>
              <w:bottom w:val="single" w:sz="8" w:color="DEEBF7"/>
              <w:right w:val="single" w:sz="8" w:color="DEEBF7"/>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951,196</w:t>
            </w:r>
          </w:p>
        </w:tc>
        <w:tc>
          <w:tcPr>
            <w:tcW w:w="1500" w:type="dxa"/>
            <w:vAlign w:val="bottom"/>
            <w:tcBorders>
              <w:bottom w:val="single" w:sz="8" w:color="DEEBF7"/>
            </w:tcBorders>
            <w:shd w:val="clear" w:color="auto" w:fill="DEEBF7"/>
          </w:tcPr>
          <w:p>
            <w:pPr>
              <w:jc w:val="center"/>
              <w:spacing w:after="0"/>
              <w:rPr>
                <w:sz w:val="20"/>
                <w:szCs w:val="20"/>
                <w:color w:val="auto"/>
              </w:rPr>
            </w:pPr>
            <w:r>
              <w:rPr>
                <w:rFonts w:ascii="Calibri" w:cs="Calibri" w:eastAsia="Calibri" w:hAnsi="Calibri"/>
                <w:sz w:val="14"/>
                <w:szCs w:val="14"/>
                <w:color w:val="auto"/>
              </w:rPr>
              <w:t>Crushed Stone</w:t>
            </w:r>
          </w:p>
        </w:tc>
      </w:tr>
      <w:tr>
        <w:trPr>
          <w:trHeight w:val="163"/>
        </w:trPr>
        <w:tc>
          <w:tcPr>
            <w:tcW w:w="1980" w:type="dxa"/>
            <w:vAlign w:val="bottom"/>
            <w:tcBorders>
              <w:top w:val="single" w:sz="8" w:color="auto"/>
            </w:tcBorders>
          </w:tcPr>
          <w:p>
            <w:pPr>
              <w:ind w:left="20"/>
              <w:spacing w:after="0" w:line="164" w:lineRule="exact"/>
              <w:rPr>
                <w:sz w:val="20"/>
                <w:szCs w:val="20"/>
                <w:color w:val="auto"/>
              </w:rPr>
            </w:pPr>
            <w:r>
              <w:rPr>
                <w:rFonts w:ascii="Calibri" w:cs="Calibri" w:eastAsia="Calibri" w:hAnsi="Calibri"/>
                <w:sz w:val="14"/>
                <w:szCs w:val="14"/>
                <w:color w:val="auto"/>
              </w:rPr>
              <w:t>Total crushed stone</w:t>
            </w:r>
          </w:p>
        </w:tc>
        <w:tc>
          <w:tcPr>
            <w:tcW w:w="1500" w:type="dxa"/>
            <w:vAlign w:val="bottom"/>
            <w:tcBorders>
              <w:top w:val="single" w:sz="8" w:color="auto"/>
            </w:tcBorders>
          </w:tcPr>
          <w:p>
            <w:pPr>
              <w:jc w:val="right"/>
              <w:ind w:right="69"/>
              <w:spacing w:after="0" w:line="164" w:lineRule="exact"/>
              <w:rPr>
                <w:sz w:val="20"/>
                <w:szCs w:val="20"/>
                <w:color w:val="auto"/>
              </w:rPr>
            </w:pPr>
            <w:r>
              <w:rPr>
                <w:rFonts w:ascii="Calibri" w:cs="Calibri" w:eastAsia="Calibri" w:hAnsi="Calibri"/>
                <w:sz w:val="14"/>
                <w:szCs w:val="14"/>
                <w:color w:val="auto"/>
              </w:rPr>
              <w:t>8,685,419</w:t>
            </w:r>
          </w:p>
        </w:tc>
        <w:tc>
          <w:tcPr>
            <w:tcW w:w="136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jc w:val="right"/>
              <w:ind w:right="49"/>
              <w:spacing w:after="0" w:line="164" w:lineRule="exact"/>
              <w:rPr>
                <w:sz w:val="20"/>
                <w:szCs w:val="20"/>
                <w:color w:val="auto"/>
              </w:rPr>
            </w:pPr>
            <w:r>
              <w:rPr>
                <w:rFonts w:ascii="Calibri" w:cs="Calibri" w:eastAsia="Calibri" w:hAnsi="Calibri"/>
                <w:sz w:val="14"/>
                <w:szCs w:val="14"/>
                <w:color w:val="auto"/>
              </w:rPr>
              <w:t>7,373,754</w:t>
            </w:r>
          </w:p>
        </w:tc>
        <w:tc>
          <w:tcPr>
            <w:tcW w:w="142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tcPr>
          <w:p>
            <w:pPr>
              <w:jc w:val="right"/>
              <w:ind w:right="69"/>
              <w:spacing w:after="0" w:line="164" w:lineRule="exact"/>
              <w:rPr>
                <w:sz w:val="20"/>
                <w:szCs w:val="20"/>
                <w:color w:val="auto"/>
              </w:rPr>
            </w:pPr>
            <w:r>
              <w:rPr>
                <w:rFonts w:ascii="Calibri" w:cs="Calibri" w:eastAsia="Calibri" w:hAnsi="Calibri"/>
                <w:sz w:val="14"/>
                <w:szCs w:val="14"/>
                <w:color w:val="auto"/>
              </w:rPr>
              <w:t>16,059,173</w:t>
            </w:r>
          </w:p>
        </w:tc>
        <w:tc>
          <w:tcPr>
            <w:tcW w:w="1500" w:type="dxa"/>
            <w:vAlign w:val="bottom"/>
            <w:tcBorders>
              <w:top w:val="single" w:sz="8" w:color="auto"/>
            </w:tcBorders>
          </w:tcPr>
          <w:p>
            <w:pPr>
              <w:spacing w:after="0"/>
              <w:rPr>
                <w:sz w:val="14"/>
                <w:szCs w:val="14"/>
                <w:color w:val="auto"/>
              </w:rPr>
            </w:pPr>
          </w:p>
        </w:tc>
      </w:tr>
      <w:tr>
        <w:trPr>
          <w:trHeight w:val="33"/>
        </w:trPr>
        <w:tc>
          <w:tcPr>
            <w:tcW w:w="19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76"/>
        </w:trPr>
        <w:tc>
          <w:tcPr>
            <w:tcW w:w="1980" w:type="dxa"/>
            <w:vAlign w:val="bottom"/>
            <w:tcBorders>
              <w:bottom w:val="single" w:sz="8" w:color="DEEBF7"/>
              <w:right w:val="single" w:sz="8" w:color="007CBA"/>
            </w:tcBorders>
            <w:shd w:val="clear" w:color="auto" w:fill="DEEBF7"/>
          </w:tcPr>
          <w:p>
            <w:pPr>
              <w:ind w:left="20"/>
              <w:spacing w:after="0" w:line="164" w:lineRule="exact"/>
              <w:rPr>
                <w:sz w:val="20"/>
                <w:szCs w:val="20"/>
                <w:color w:val="auto"/>
              </w:rPr>
            </w:pPr>
            <w:r>
              <w:rPr>
                <w:rFonts w:ascii="Calibri" w:cs="Calibri" w:eastAsia="Calibri" w:hAnsi="Calibri"/>
                <w:sz w:val="14"/>
                <w:szCs w:val="14"/>
                <w:b w:val="1"/>
                <w:bCs w:val="1"/>
                <w:color w:val="auto"/>
              </w:rPr>
              <w:t>Sand and Gravel</w:t>
            </w:r>
          </w:p>
        </w:tc>
        <w:tc>
          <w:tcPr>
            <w:tcW w:w="1500" w:type="dxa"/>
            <w:vAlign w:val="bottom"/>
            <w:tcBorders>
              <w:bottom w:val="single" w:sz="8" w:color="DEEBF7"/>
              <w:right w:val="single" w:sz="8" w:color="007CBA"/>
            </w:tcBorders>
            <w:shd w:val="clear" w:color="auto" w:fill="DEEBF7"/>
          </w:tcPr>
          <w:p>
            <w:pPr>
              <w:spacing w:after="0"/>
              <w:rPr>
                <w:sz w:val="15"/>
                <w:szCs w:val="15"/>
                <w:color w:val="auto"/>
              </w:rPr>
            </w:pPr>
          </w:p>
        </w:tc>
        <w:tc>
          <w:tcPr>
            <w:tcW w:w="1360" w:type="dxa"/>
            <w:vAlign w:val="bottom"/>
            <w:tcBorders>
              <w:bottom w:val="single" w:sz="8" w:color="DEEBF7"/>
              <w:right w:val="single" w:sz="8" w:color="007CBA"/>
            </w:tcBorders>
            <w:shd w:val="clear" w:color="auto" w:fill="DEEBF7"/>
          </w:tcPr>
          <w:p>
            <w:pPr>
              <w:spacing w:after="0"/>
              <w:rPr>
                <w:sz w:val="15"/>
                <w:szCs w:val="15"/>
                <w:color w:val="auto"/>
              </w:rPr>
            </w:pPr>
          </w:p>
        </w:tc>
        <w:tc>
          <w:tcPr>
            <w:tcW w:w="1640" w:type="dxa"/>
            <w:vAlign w:val="bottom"/>
            <w:tcBorders>
              <w:bottom w:val="single" w:sz="8" w:color="DEEBF7"/>
              <w:right w:val="single" w:sz="8" w:color="007CBA"/>
            </w:tcBorders>
            <w:shd w:val="clear" w:color="auto" w:fill="DEEBF7"/>
          </w:tcPr>
          <w:p>
            <w:pPr>
              <w:spacing w:after="0"/>
              <w:rPr>
                <w:sz w:val="15"/>
                <w:szCs w:val="15"/>
                <w:color w:val="auto"/>
              </w:rPr>
            </w:pPr>
          </w:p>
        </w:tc>
        <w:tc>
          <w:tcPr>
            <w:tcW w:w="1420" w:type="dxa"/>
            <w:vAlign w:val="bottom"/>
            <w:tcBorders>
              <w:bottom w:val="single" w:sz="8" w:color="DEEBF7"/>
              <w:right w:val="single" w:sz="8" w:color="007CBA"/>
            </w:tcBorders>
            <w:shd w:val="clear" w:color="auto" w:fill="DEEBF7"/>
          </w:tcPr>
          <w:p>
            <w:pPr>
              <w:spacing w:after="0"/>
              <w:rPr>
                <w:sz w:val="15"/>
                <w:szCs w:val="15"/>
                <w:color w:val="auto"/>
              </w:rPr>
            </w:pPr>
          </w:p>
        </w:tc>
        <w:tc>
          <w:tcPr>
            <w:tcW w:w="1840" w:type="dxa"/>
            <w:vAlign w:val="bottom"/>
            <w:tcBorders>
              <w:bottom w:val="single" w:sz="8" w:color="DEEBF7"/>
              <w:right w:val="single" w:sz="8" w:color="007CBA"/>
            </w:tcBorders>
            <w:shd w:val="clear" w:color="auto" w:fill="DEEBF7"/>
          </w:tcPr>
          <w:p>
            <w:pPr>
              <w:spacing w:after="0"/>
              <w:rPr>
                <w:sz w:val="15"/>
                <w:szCs w:val="15"/>
                <w:color w:val="auto"/>
              </w:rPr>
            </w:pPr>
          </w:p>
        </w:tc>
        <w:tc>
          <w:tcPr>
            <w:tcW w:w="1500" w:type="dxa"/>
            <w:vAlign w:val="bottom"/>
            <w:tcBorders>
              <w:bottom w:val="single" w:sz="8" w:color="DEEBF7"/>
            </w:tcBorders>
            <w:shd w:val="clear" w:color="auto" w:fill="DEEBF7"/>
          </w:tcPr>
          <w:p>
            <w:pPr>
              <w:spacing w:after="0"/>
              <w:rPr>
                <w:sz w:val="15"/>
                <w:szCs w:val="15"/>
                <w:color w:val="auto"/>
              </w:rPr>
            </w:pPr>
          </w:p>
        </w:tc>
      </w:tr>
      <w:tr>
        <w:trPr>
          <w:trHeight w:val="170"/>
        </w:trPr>
        <w:tc>
          <w:tcPr>
            <w:tcW w:w="1980" w:type="dxa"/>
            <w:vAlign w:val="bottom"/>
            <w:tcBorders>
              <w:right w:val="single" w:sz="8" w:color="007CBA"/>
            </w:tcBorders>
          </w:tcPr>
          <w:p>
            <w:pPr>
              <w:ind w:left="20"/>
              <w:spacing w:after="0"/>
              <w:rPr>
                <w:sz w:val="20"/>
                <w:szCs w:val="20"/>
                <w:color w:val="auto"/>
              </w:rPr>
            </w:pPr>
            <w:r>
              <w:rPr>
                <w:rFonts w:ascii="Calibri" w:cs="Calibri" w:eastAsia="Calibri" w:hAnsi="Calibri"/>
                <w:sz w:val="14"/>
                <w:szCs w:val="14"/>
                <w:color w:val="auto"/>
              </w:rPr>
              <w:t>East Division</w:t>
            </w:r>
          </w:p>
        </w:tc>
        <w:tc>
          <w:tcPr>
            <w:tcW w:w="1500" w:type="dxa"/>
            <w:vAlign w:val="bottom"/>
            <w:tcBorders>
              <w:right w:val="single" w:sz="8" w:color="007CBA"/>
            </w:tcBorders>
          </w:tcPr>
          <w:p>
            <w:pPr>
              <w:jc w:val="right"/>
              <w:ind w:right="69"/>
              <w:spacing w:after="0"/>
              <w:rPr>
                <w:sz w:val="20"/>
                <w:szCs w:val="20"/>
                <w:color w:val="auto"/>
              </w:rPr>
            </w:pPr>
            <w:r>
              <w:rPr>
                <w:rFonts w:ascii="Calibri" w:cs="Calibri" w:eastAsia="Calibri" w:hAnsi="Calibri"/>
                <w:sz w:val="14"/>
                <w:szCs w:val="14"/>
                <w:color w:val="auto"/>
              </w:rPr>
              <w:t>63,500</w:t>
            </w:r>
          </w:p>
        </w:tc>
        <w:tc>
          <w:tcPr>
            <w:tcW w:w="1360" w:type="dxa"/>
            <w:vAlign w:val="bottom"/>
            <w:tcBorders>
              <w:right w:val="single" w:sz="8" w:color="007CBA"/>
            </w:tcBorders>
          </w:tcPr>
          <w:p>
            <w:pPr>
              <w:jc w:val="center"/>
              <w:spacing w:after="0"/>
              <w:rPr>
                <w:sz w:val="20"/>
                <w:szCs w:val="20"/>
                <w:color w:val="auto"/>
              </w:rPr>
            </w:pPr>
            <w:r>
              <w:rPr>
                <w:rFonts w:ascii="Calibri" w:cs="Calibri" w:eastAsia="Calibri" w:hAnsi="Calibri"/>
                <w:sz w:val="14"/>
                <w:szCs w:val="14"/>
                <w:color w:val="auto"/>
              </w:rPr>
              <w:t>Sand and Gravel</w:t>
            </w:r>
          </w:p>
        </w:tc>
        <w:tc>
          <w:tcPr>
            <w:tcW w:w="1640" w:type="dxa"/>
            <w:vAlign w:val="bottom"/>
            <w:tcBorders>
              <w:right w:val="single" w:sz="8" w:color="007CBA"/>
            </w:tcBorders>
          </w:tcPr>
          <w:p>
            <w:pPr>
              <w:jc w:val="right"/>
              <w:ind w:right="49"/>
              <w:spacing w:after="0"/>
              <w:rPr>
                <w:sz w:val="20"/>
                <w:szCs w:val="20"/>
                <w:color w:val="auto"/>
              </w:rPr>
            </w:pPr>
            <w:r>
              <w:rPr>
                <w:rFonts w:ascii="Calibri" w:cs="Calibri" w:eastAsia="Calibri" w:hAnsi="Calibri"/>
                <w:sz w:val="14"/>
                <w:szCs w:val="14"/>
                <w:color w:val="auto"/>
              </w:rPr>
              <w:t>110,046</w:t>
            </w:r>
          </w:p>
        </w:tc>
        <w:tc>
          <w:tcPr>
            <w:tcW w:w="1420" w:type="dxa"/>
            <w:vAlign w:val="bottom"/>
            <w:tcBorders>
              <w:right w:val="single" w:sz="8" w:color="007CBA"/>
            </w:tcBorders>
          </w:tcPr>
          <w:p>
            <w:pPr>
              <w:jc w:val="center"/>
              <w:spacing w:after="0"/>
              <w:rPr>
                <w:sz w:val="20"/>
                <w:szCs w:val="20"/>
                <w:color w:val="auto"/>
              </w:rPr>
            </w:pPr>
            <w:r>
              <w:rPr>
                <w:rFonts w:ascii="Calibri" w:cs="Calibri" w:eastAsia="Calibri" w:hAnsi="Calibri"/>
                <w:sz w:val="14"/>
                <w:szCs w:val="14"/>
                <w:color w:val="auto"/>
              </w:rPr>
              <w:t>Sand and Gravel</w:t>
            </w:r>
          </w:p>
        </w:tc>
        <w:tc>
          <w:tcPr>
            <w:tcW w:w="1840" w:type="dxa"/>
            <w:vAlign w:val="bottom"/>
            <w:tcBorders>
              <w:right w:val="single" w:sz="8" w:color="007CBA"/>
            </w:tcBorders>
          </w:tcPr>
          <w:p>
            <w:pPr>
              <w:jc w:val="right"/>
              <w:ind w:right="69"/>
              <w:spacing w:after="0"/>
              <w:rPr>
                <w:sz w:val="20"/>
                <w:szCs w:val="20"/>
                <w:color w:val="auto"/>
              </w:rPr>
            </w:pPr>
            <w:r>
              <w:rPr>
                <w:rFonts w:ascii="Calibri" w:cs="Calibri" w:eastAsia="Calibri" w:hAnsi="Calibri"/>
                <w:sz w:val="14"/>
                <w:szCs w:val="14"/>
                <w:color w:val="auto"/>
              </w:rPr>
              <w:t>173,546</w:t>
            </w:r>
          </w:p>
        </w:tc>
        <w:tc>
          <w:tcPr>
            <w:tcW w:w="1500" w:type="dxa"/>
            <w:vAlign w:val="bottom"/>
          </w:tcPr>
          <w:p>
            <w:pPr>
              <w:jc w:val="center"/>
              <w:spacing w:after="0"/>
              <w:rPr>
                <w:sz w:val="20"/>
                <w:szCs w:val="20"/>
                <w:color w:val="auto"/>
              </w:rPr>
            </w:pPr>
            <w:r>
              <w:rPr>
                <w:rFonts w:ascii="Calibri" w:cs="Calibri" w:eastAsia="Calibri" w:hAnsi="Calibri"/>
                <w:sz w:val="14"/>
                <w:szCs w:val="14"/>
                <w:color w:val="auto"/>
              </w:rPr>
              <w:t>Sand and Gravel</w:t>
            </w:r>
          </w:p>
        </w:tc>
      </w:tr>
      <w:tr>
        <w:trPr>
          <w:trHeight w:val="33"/>
        </w:trPr>
        <w:tc>
          <w:tcPr>
            <w:tcW w:w="1980" w:type="dxa"/>
            <w:vAlign w:val="bottom"/>
            <w:tcBorders>
              <w:right w:val="single" w:sz="8" w:color="007CBA"/>
            </w:tcBorders>
          </w:tcPr>
          <w:p>
            <w:pPr>
              <w:spacing w:after="0"/>
              <w:rPr>
                <w:sz w:val="2"/>
                <w:szCs w:val="2"/>
                <w:color w:val="auto"/>
              </w:rPr>
            </w:pPr>
          </w:p>
        </w:tc>
        <w:tc>
          <w:tcPr>
            <w:tcW w:w="1500" w:type="dxa"/>
            <w:vAlign w:val="bottom"/>
            <w:tcBorders>
              <w:right w:val="single" w:sz="8" w:color="007CBA"/>
            </w:tcBorders>
          </w:tcPr>
          <w:p>
            <w:pPr>
              <w:spacing w:after="0"/>
              <w:rPr>
                <w:sz w:val="2"/>
                <w:szCs w:val="2"/>
                <w:color w:val="auto"/>
              </w:rPr>
            </w:pPr>
          </w:p>
        </w:tc>
        <w:tc>
          <w:tcPr>
            <w:tcW w:w="1360" w:type="dxa"/>
            <w:vAlign w:val="bottom"/>
            <w:tcBorders>
              <w:right w:val="single" w:sz="8" w:color="007CBA"/>
            </w:tcBorders>
          </w:tcPr>
          <w:p>
            <w:pPr>
              <w:spacing w:after="0"/>
              <w:rPr>
                <w:sz w:val="2"/>
                <w:szCs w:val="2"/>
                <w:color w:val="auto"/>
              </w:rPr>
            </w:pPr>
          </w:p>
        </w:tc>
        <w:tc>
          <w:tcPr>
            <w:tcW w:w="1640" w:type="dxa"/>
            <w:vAlign w:val="bottom"/>
            <w:tcBorders>
              <w:right w:val="single" w:sz="8" w:color="007CBA"/>
            </w:tcBorders>
          </w:tcPr>
          <w:p>
            <w:pPr>
              <w:spacing w:after="0"/>
              <w:rPr>
                <w:sz w:val="2"/>
                <w:szCs w:val="2"/>
                <w:color w:val="auto"/>
              </w:rPr>
            </w:pPr>
          </w:p>
        </w:tc>
        <w:tc>
          <w:tcPr>
            <w:tcW w:w="1420" w:type="dxa"/>
            <w:vAlign w:val="bottom"/>
            <w:tcBorders>
              <w:right w:val="single" w:sz="8" w:color="007CBA"/>
            </w:tcBorders>
          </w:tcPr>
          <w:p>
            <w:pPr>
              <w:spacing w:after="0"/>
              <w:rPr>
                <w:sz w:val="2"/>
                <w:szCs w:val="2"/>
                <w:color w:val="auto"/>
              </w:rPr>
            </w:pPr>
          </w:p>
        </w:tc>
        <w:tc>
          <w:tcPr>
            <w:tcW w:w="1840" w:type="dxa"/>
            <w:vAlign w:val="bottom"/>
            <w:tcBorders>
              <w:right w:val="single" w:sz="8" w:color="007CBA"/>
            </w:tcBorders>
          </w:tcPr>
          <w:p>
            <w:pPr>
              <w:spacing w:after="0"/>
              <w:rPr>
                <w:sz w:val="2"/>
                <w:szCs w:val="2"/>
                <w:color w:val="auto"/>
              </w:rPr>
            </w:pPr>
          </w:p>
        </w:tc>
        <w:tc>
          <w:tcPr>
            <w:tcW w:w="1500" w:type="dxa"/>
            <w:vAlign w:val="bottom"/>
          </w:tcPr>
          <w:p>
            <w:pPr>
              <w:spacing w:after="0"/>
              <w:rPr>
                <w:sz w:val="2"/>
                <w:szCs w:val="2"/>
                <w:color w:val="auto"/>
              </w:rPr>
            </w:pPr>
          </w:p>
        </w:tc>
      </w:tr>
      <w:tr>
        <w:trPr>
          <w:trHeight w:val="183"/>
        </w:trPr>
        <w:tc>
          <w:tcPr>
            <w:tcW w:w="1980" w:type="dxa"/>
            <w:vAlign w:val="bottom"/>
            <w:tcBorders>
              <w:bottom w:val="single" w:sz="8" w:color="DEEBF7"/>
              <w:right w:val="single" w:sz="8" w:color="007CBA"/>
            </w:tcBorders>
            <w:shd w:val="clear" w:color="auto" w:fill="DEEBF7"/>
          </w:tcPr>
          <w:p>
            <w:pPr>
              <w:ind w:left="20"/>
              <w:spacing w:after="0"/>
              <w:rPr>
                <w:sz w:val="20"/>
                <w:szCs w:val="20"/>
                <w:color w:val="auto"/>
              </w:rPr>
            </w:pPr>
            <w:r>
              <w:rPr>
                <w:rFonts w:ascii="Calibri" w:cs="Calibri" w:eastAsia="Calibri" w:hAnsi="Calibri"/>
                <w:sz w:val="14"/>
                <w:szCs w:val="14"/>
                <w:color w:val="auto"/>
              </w:rPr>
              <w:t>Central Division</w:t>
            </w:r>
          </w:p>
        </w:tc>
        <w:tc>
          <w:tcPr>
            <w:tcW w:w="1500" w:type="dxa"/>
            <w:vAlign w:val="bottom"/>
            <w:tcBorders>
              <w:bottom w:val="single" w:sz="8" w:color="DEEBF7"/>
              <w:right w:val="single" w:sz="8" w:color="007CBA"/>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226,350</w:t>
            </w:r>
          </w:p>
        </w:tc>
        <w:tc>
          <w:tcPr>
            <w:tcW w:w="1360" w:type="dxa"/>
            <w:vAlign w:val="bottom"/>
            <w:tcBorders>
              <w:bottom w:val="single" w:sz="8" w:color="DEEBF7"/>
              <w:right w:val="single" w:sz="8" w:color="007CBA"/>
            </w:tcBorders>
            <w:shd w:val="clear" w:color="auto" w:fill="DEEBF7"/>
          </w:tcPr>
          <w:p>
            <w:pPr>
              <w:jc w:val="center"/>
              <w:spacing w:after="0"/>
              <w:rPr>
                <w:sz w:val="20"/>
                <w:szCs w:val="20"/>
                <w:color w:val="auto"/>
              </w:rPr>
            </w:pPr>
            <w:r>
              <w:rPr>
                <w:rFonts w:ascii="Calibri" w:cs="Calibri" w:eastAsia="Calibri" w:hAnsi="Calibri"/>
                <w:sz w:val="14"/>
                <w:szCs w:val="14"/>
                <w:color w:val="auto"/>
              </w:rPr>
              <w:t>Sand and Gravel</w:t>
            </w:r>
          </w:p>
        </w:tc>
        <w:tc>
          <w:tcPr>
            <w:tcW w:w="1640" w:type="dxa"/>
            <w:vAlign w:val="bottom"/>
            <w:tcBorders>
              <w:bottom w:val="single" w:sz="8" w:color="DEEBF7"/>
              <w:right w:val="single" w:sz="8" w:color="007CBA"/>
            </w:tcBorders>
            <w:shd w:val="clear" w:color="auto" w:fill="DEEBF7"/>
          </w:tcPr>
          <w:p>
            <w:pPr>
              <w:jc w:val="right"/>
              <w:ind w:right="49"/>
              <w:spacing w:after="0"/>
              <w:rPr>
                <w:sz w:val="20"/>
                <w:szCs w:val="20"/>
                <w:color w:val="auto"/>
              </w:rPr>
            </w:pPr>
            <w:r>
              <w:rPr>
                <w:rFonts w:ascii="Calibri" w:cs="Calibri" w:eastAsia="Calibri" w:hAnsi="Calibri"/>
                <w:sz w:val="14"/>
                <w:szCs w:val="14"/>
                <w:color w:val="auto"/>
              </w:rPr>
              <w:t>69,562</w:t>
            </w:r>
          </w:p>
        </w:tc>
        <w:tc>
          <w:tcPr>
            <w:tcW w:w="1420" w:type="dxa"/>
            <w:vAlign w:val="bottom"/>
            <w:tcBorders>
              <w:bottom w:val="single" w:sz="8" w:color="DEEBF7"/>
              <w:right w:val="single" w:sz="8" w:color="007CBA"/>
            </w:tcBorders>
            <w:shd w:val="clear" w:color="auto" w:fill="DEEBF7"/>
          </w:tcPr>
          <w:p>
            <w:pPr>
              <w:jc w:val="center"/>
              <w:spacing w:after="0"/>
              <w:rPr>
                <w:sz w:val="20"/>
                <w:szCs w:val="20"/>
                <w:color w:val="auto"/>
              </w:rPr>
            </w:pPr>
            <w:r>
              <w:rPr>
                <w:rFonts w:ascii="Calibri" w:cs="Calibri" w:eastAsia="Calibri" w:hAnsi="Calibri"/>
                <w:sz w:val="14"/>
                <w:szCs w:val="14"/>
                <w:color w:val="auto"/>
              </w:rPr>
              <w:t>Sand and Gravel</w:t>
            </w:r>
          </w:p>
        </w:tc>
        <w:tc>
          <w:tcPr>
            <w:tcW w:w="1840" w:type="dxa"/>
            <w:vAlign w:val="bottom"/>
            <w:tcBorders>
              <w:bottom w:val="single" w:sz="8" w:color="DEEBF7"/>
              <w:right w:val="single" w:sz="8" w:color="007CBA"/>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295,912</w:t>
            </w:r>
          </w:p>
        </w:tc>
        <w:tc>
          <w:tcPr>
            <w:tcW w:w="1500" w:type="dxa"/>
            <w:vAlign w:val="bottom"/>
            <w:tcBorders>
              <w:bottom w:val="single" w:sz="8" w:color="DEEBF7"/>
            </w:tcBorders>
            <w:shd w:val="clear" w:color="auto" w:fill="DEEBF7"/>
          </w:tcPr>
          <w:p>
            <w:pPr>
              <w:jc w:val="center"/>
              <w:spacing w:after="0"/>
              <w:rPr>
                <w:sz w:val="20"/>
                <w:szCs w:val="20"/>
                <w:color w:val="auto"/>
              </w:rPr>
            </w:pPr>
            <w:r>
              <w:rPr>
                <w:rFonts w:ascii="Calibri" w:cs="Calibri" w:eastAsia="Calibri" w:hAnsi="Calibri"/>
                <w:sz w:val="14"/>
                <w:szCs w:val="14"/>
                <w:color w:val="auto"/>
              </w:rPr>
              <w:t>Sand and Gravel</w:t>
            </w:r>
          </w:p>
        </w:tc>
      </w:tr>
      <w:tr>
        <w:trPr>
          <w:trHeight w:val="203"/>
        </w:trPr>
        <w:tc>
          <w:tcPr>
            <w:tcW w:w="1980" w:type="dxa"/>
            <w:vAlign w:val="bottom"/>
            <w:tcBorders>
              <w:right w:val="single" w:sz="8" w:color="007CBA"/>
            </w:tcBorders>
          </w:tcPr>
          <w:p>
            <w:pPr>
              <w:ind w:left="20"/>
              <w:spacing w:after="0"/>
              <w:rPr>
                <w:sz w:val="20"/>
                <w:szCs w:val="20"/>
                <w:color w:val="auto"/>
              </w:rPr>
            </w:pPr>
            <w:r>
              <w:rPr>
                <w:rFonts w:ascii="Calibri" w:cs="Calibri" w:eastAsia="Calibri" w:hAnsi="Calibri"/>
                <w:sz w:val="14"/>
                <w:szCs w:val="14"/>
                <w:color w:val="auto"/>
              </w:rPr>
              <w:t>Southwest Division</w:t>
            </w:r>
          </w:p>
        </w:tc>
        <w:tc>
          <w:tcPr>
            <w:tcW w:w="1500" w:type="dxa"/>
            <w:vAlign w:val="bottom"/>
            <w:tcBorders>
              <w:right w:val="single" w:sz="8" w:color="007CBA"/>
            </w:tcBorders>
          </w:tcPr>
          <w:p>
            <w:pPr>
              <w:jc w:val="right"/>
              <w:ind w:right="69"/>
              <w:spacing w:after="0"/>
              <w:rPr>
                <w:sz w:val="20"/>
                <w:szCs w:val="20"/>
                <w:color w:val="auto"/>
              </w:rPr>
            </w:pPr>
            <w:r>
              <w:rPr>
                <w:rFonts w:ascii="Calibri" w:cs="Calibri" w:eastAsia="Calibri" w:hAnsi="Calibri"/>
                <w:sz w:val="14"/>
                <w:szCs w:val="14"/>
                <w:color w:val="auto"/>
              </w:rPr>
              <w:t>55,196</w:t>
            </w:r>
          </w:p>
        </w:tc>
        <w:tc>
          <w:tcPr>
            <w:tcW w:w="1360" w:type="dxa"/>
            <w:vAlign w:val="bottom"/>
            <w:tcBorders>
              <w:right w:val="single" w:sz="8" w:color="007CBA"/>
            </w:tcBorders>
          </w:tcPr>
          <w:p>
            <w:pPr>
              <w:jc w:val="center"/>
              <w:spacing w:after="0"/>
              <w:rPr>
                <w:sz w:val="20"/>
                <w:szCs w:val="20"/>
                <w:color w:val="auto"/>
              </w:rPr>
            </w:pPr>
            <w:r>
              <w:rPr>
                <w:rFonts w:ascii="Calibri" w:cs="Calibri" w:eastAsia="Calibri" w:hAnsi="Calibri"/>
                <w:sz w:val="14"/>
                <w:szCs w:val="14"/>
                <w:color w:val="auto"/>
              </w:rPr>
              <w:t>Sand and Gravel</w:t>
            </w:r>
          </w:p>
        </w:tc>
        <w:tc>
          <w:tcPr>
            <w:tcW w:w="1640" w:type="dxa"/>
            <w:vAlign w:val="bottom"/>
            <w:tcBorders>
              <w:right w:val="single" w:sz="8" w:color="007CBA"/>
            </w:tcBorders>
          </w:tcPr>
          <w:p>
            <w:pPr>
              <w:jc w:val="right"/>
              <w:ind w:right="49"/>
              <w:spacing w:after="0"/>
              <w:rPr>
                <w:sz w:val="20"/>
                <w:szCs w:val="20"/>
                <w:color w:val="auto"/>
              </w:rPr>
            </w:pPr>
            <w:r>
              <w:rPr>
                <w:rFonts w:ascii="Calibri" w:cs="Calibri" w:eastAsia="Calibri" w:hAnsi="Calibri"/>
                <w:sz w:val="14"/>
                <w:szCs w:val="14"/>
                <w:color w:val="auto"/>
              </w:rPr>
              <w:t>80,557</w:t>
            </w:r>
          </w:p>
        </w:tc>
        <w:tc>
          <w:tcPr>
            <w:tcW w:w="1420" w:type="dxa"/>
            <w:vAlign w:val="bottom"/>
            <w:tcBorders>
              <w:right w:val="single" w:sz="8" w:color="007CBA"/>
            </w:tcBorders>
          </w:tcPr>
          <w:p>
            <w:pPr>
              <w:jc w:val="center"/>
              <w:spacing w:after="0"/>
              <w:rPr>
                <w:sz w:val="20"/>
                <w:szCs w:val="20"/>
                <w:color w:val="auto"/>
              </w:rPr>
            </w:pPr>
            <w:r>
              <w:rPr>
                <w:rFonts w:ascii="Calibri" w:cs="Calibri" w:eastAsia="Calibri" w:hAnsi="Calibri"/>
                <w:sz w:val="14"/>
                <w:szCs w:val="14"/>
                <w:color w:val="auto"/>
              </w:rPr>
              <w:t>Sand and Gravel</w:t>
            </w:r>
          </w:p>
        </w:tc>
        <w:tc>
          <w:tcPr>
            <w:tcW w:w="1840" w:type="dxa"/>
            <w:vAlign w:val="bottom"/>
            <w:tcBorders>
              <w:right w:val="single" w:sz="8" w:color="007CBA"/>
            </w:tcBorders>
          </w:tcPr>
          <w:p>
            <w:pPr>
              <w:jc w:val="right"/>
              <w:ind w:right="69"/>
              <w:spacing w:after="0"/>
              <w:rPr>
                <w:sz w:val="20"/>
                <w:szCs w:val="20"/>
                <w:color w:val="auto"/>
              </w:rPr>
            </w:pPr>
            <w:r>
              <w:rPr>
                <w:rFonts w:ascii="Calibri" w:cs="Calibri" w:eastAsia="Calibri" w:hAnsi="Calibri"/>
                <w:sz w:val="14"/>
                <w:szCs w:val="14"/>
                <w:color w:val="auto"/>
              </w:rPr>
              <w:t>135,753</w:t>
            </w:r>
          </w:p>
        </w:tc>
        <w:tc>
          <w:tcPr>
            <w:tcW w:w="1500" w:type="dxa"/>
            <w:vAlign w:val="bottom"/>
          </w:tcPr>
          <w:p>
            <w:pPr>
              <w:jc w:val="center"/>
              <w:spacing w:after="0"/>
              <w:rPr>
                <w:sz w:val="20"/>
                <w:szCs w:val="20"/>
                <w:color w:val="auto"/>
              </w:rPr>
            </w:pPr>
            <w:r>
              <w:rPr>
                <w:rFonts w:ascii="Calibri" w:cs="Calibri" w:eastAsia="Calibri" w:hAnsi="Calibri"/>
                <w:sz w:val="14"/>
                <w:szCs w:val="14"/>
                <w:color w:val="auto"/>
              </w:rPr>
              <w:t>Sand and Gravel</w:t>
            </w:r>
          </w:p>
        </w:tc>
      </w:tr>
      <w:tr>
        <w:trPr>
          <w:trHeight w:val="208"/>
        </w:trPr>
        <w:tc>
          <w:tcPr>
            <w:tcW w:w="1980" w:type="dxa"/>
            <w:vAlign w:val="bottom"/>
            <w:tcBorders>
              <w:bottom w:val="single" w:sz="8" w:color="DEEBF7"/>
              <w:right w:val="single" w:sz="8" w:color="DEEBF7"/>
            </w:tcBorders>
            <w:shd w:val="clear" w:color="auto" w:fill="DEEBF7"/>
          </w:tcPr>
          <w:p>
            <w:pPr>
              <w:ind w:left="20"/>
              <w:spacing w:after="0"/>
              <w:rPr>
                <w:sz w:val="20"/>
                <w:szCs w:val="20"/>
                <w:color w:val="auto"/>
              </w:rPr>
            </w:pPr>
            <w:r>
              <w:rPr>
                <w:rFonts w:ascii="Calibri" w:cs="Calibri" w:eastAsia="Calibri" w:hAnsi="Calibri"/>
                <w:sz w:val="14"/>
                <w:szCs w:val="14"/>
                <w:color w:val="auto"/>
              </w:rPr>
              <w:t>West Division</w:t>
            </w:r>
          </w:p>
        </w:tc>
        <w:tc>
          <w:tcPr>
            <w:tcW w:w="1500" w:type="dxa"/>
            <w:vAlign w:val="bottom"/>
            <w:tcBorders>
              <w:bottom w:val="single" w:sz="8" w:color="DEEBF7"/>
              <w:right w:val="single" w:sz="8" w:color="DEEBF7"/>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170,288</w:t>
            </w:r>
          </w:p>
        </w:tc>
        <w:tc>
          <w:tcPr>
            <w:tcW w:w="1360" w:type="dxa"/>
            <w:vAlign w:val="bottom"/>
            <w:tcBorders>
              <w:bottom w:val="single" w:sz="8" w:color="DEEBF7"/>
              <w:right w:val="single" w:sz="8" w:color="DEEBF7"/>
            </w:tcBorders>
            <w:shd w:val="clear" w:color="auto" w:fill="DEEBF7"/>
          </w:tcPr>
          <w:p>
            <w:pPr>
              <w:jc w:val="center"/>
              <w:spacing w:after="0"/>
              <w:rPr>
                <w:sz w:val="20"/>
                <w:szCs w:val="20"/>
                <w:color w:val="auto"/>
              </w:rPr>
            </w:pPr>
            <w:r>
              <w:rPr>
                <w:rFonts w:ascii="Calibri" w:cs="Calibri" w:eastAsia="Calibri" w:hAnsi="Calibri"/>
                <w:sz w:val="14"/>
                <w:szCs w:val="14"/>
                <w:color w:val="auto"/>
              </w:rPr>
              <w:t>Sand and Gravel</w:t>
            </w:r>
          </w:p>
        </w:tc>
        <w:tc>
          <w:tcPr>
            <w:tcW w:w="1640" w:type="dxa"/>
            <w:vAlign w:val="bottom"/>
            <w:tcBorders>
              <w:bottom w:val="single" w:sz="8" w:color="DEEBF7"/>
              <w:right w:val="single" w:sz="8" w:color="DEEBF7"/>
            </w:tcBorders>
            <w:shd w:val="clear" w:color="auto" w:fill="DEEBF7"/>
          </w:tcPr>
          <w:p>
            <w:pPr>
              <w:jc w:val="right"/>
              <w:ind w:right="49"/>
              <w:spacing w:after="0"/>
              <w:rPr>
                <w:sz w:val="20"/>
                <w:szCs w:val="20"/>
                <w:color w:val="auto"/>
              </w:rPr>
            </w:pPr>
            <w:r>
              <w:rPr>
                <w:rFonts w:ascii="Calibri" w:cs="Calibri" w:eastAsia="Calibri" w:hAnsi="Calibri"/>
                <w:sz w:val="14"/>
                <w:szCs w:val="14"/>
                <w:color w:val="auto"/>
              </w:rPr>
              <w:t>41,436</w:t>
            </w:r>
          </w:p>
        </w:tc>
        <w:tc>
          <w:tcPr>
            <w:tcW w:w="1420" w:type="dxa"/>
            <w:vAlign w:val="bottom"/>
            <w:tcBorders>
              <w:bottom w:val="single" w:sz="8" w:color="DEEBF7"/>
              <w:right w:val="single" w:sz="8" w:color="DEEBF7"/>
            </w:tcBorders>
            <w:shd w:val="clear" w:color="auto" w:fill="DEEBF7"/>
          </w:tcPr>
          <w:p>
            <w:pPr>
              <w:jc w:val="center"/>
              <w:spacing w:after="0"/>
              <w:rPr>
                <w:sz w:val="20"/>
                <w:szCs w:val="20"/>
                <w:color w:val="auto"/>
              </w:rPr>
            </w:pPr>
            <w:r>
              <w:rPr>
                <w:rFonts w:ascii="Calibri" w:cs="Calibri" w:eastAsia="Calibri" w:hAnsi="Calibri"/>
                <w:sz w:val="14"/>
                <w:szCs w:val="14"/>
                <w:color w:val="auto"/>
              </w:rPr>
              <w:t>Sand and Gravel</w:t>
            </w:r>
          </w:p>
        </w:tc>
        <w:tc>
          <w:tcPr>
            <w:tcW w:w="1840" w:type="dxa"/>
            <w:vAlign w:val="bottom"/>
            <w:tcBorders>
              <w:bottom w:val="single" w:sz="8" w:color="DEEBF7"/>
              <w:right w:val="single" w:sz="8" w:color="DEEBF7"/>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211,724</w:t>
            </w:r>
          </w:p>
        </w:tc>
        <w:tc>
          <w:tcPr>
            <w:tcW w:w="1500" w:type="dxa"/>
            <w:vAlign w:val="bottom"/>
            <w:tcBorders>
              <w:bottom w:val="single" w:sz="8" w:color="DEEBF7"/>
            </w:tcBorders>
            <w:shd w:val="clear" w:color="auto" w:fill="DEEBF7"/>
          </w:tcPr>
          <w:p>
            <w:pPr>
              <w:jc w:val="center"/>
              <w:spacing w:after="0"/>
              <w:rPr>
                <w:sz w:val="20"/>
                <w:szCs w:val="20"/>
                <w:color w:val="auto"/>
              </w:rPr>
            </w:pPr>
            <w:r>
              <w:rPr>
                <w:rFonts w:ascii="Calibri" w:cs="Calibri" w:eastAsia="Calibri" w:hAnsi="Calibri"/>
                <w:sz w:val="14"/>
                <w:szCs w:val="14"/>
                <w:color w:val="auto"/>
              </w:rPr>
              <w:t>Sand and Gravel</w:t>
            </w:r>
          </w:p>
        </w:tc>
      </w:tr>
      <w:tr>
        <w:trPr>
          <w:trHeight w:val="163"/>
        </w:trPr>
        <w:tc>
          <w:tcPr>
            <w:tcW w:w="1980" w:type="dxa"/>
            <w:vAlign w:val="bottom"/>
            <w:tcBorders>
              <w:top w:val="single" w:sz="8" w:color="auto"/>
            </w:tcBorders>
          </w:tcPr>
          <w:p>
            <w:pPr>
              <w:ind w:left="20"/>
              <w:spacing w:after="0" w:line="164" w:lineRule="exact"/>
              <w:rPr>
                <w:sz w:val="20"/>
                <w:szCs w:val="20"/>
                <w:color w:val="auto"/>
              </w:rPr>
            </w:pPr>
            <w:r>
              <w:rPr>
                <w:rFonts w:ascii="Calibri" w:cs="Calibri" w:eastAsia="Calibri" w:hAnsi="Calibri"/>
                <w:sz w:val="14"/>
                <w:szCs w:val="14"/>
                <w:color w:val="auto"/>
              </w:rPr>
              <w:t>Total sand and gravel</w:t>
            </w:r>
          </w:p>
        </w:tc>
        <w:tc>
          <w:tcPr>
            <w:tcW w:w="1500" w:type="dxa"/>
            <w:vAlign w:val="bottom"/>
            <w:tcBorders>
              <w:top w:val="single" w:sz="8" w:color="auto"/>
            </w:tcBorders>
          </w:tcPr>
          <w:p>
            <w:pPr>
              <w:jc w:val="right"/>
              <w:ind w:right="69"/>
              <w:spacing w:after="0" w:line="164" w:lineRule="exact"/>
              <w:rPr>
                <w:sz w:val="20"/>
                <w:szCs w:val="20"/>
                <w:color w:val="auto"/>
              </w:rPr>
            </w:pPr>
            <w:r>
              <w:rPr>
                <w:rFonts w:ascii="Calibri" w:cs="Calibri" w:eastAsia="Calibri" w:hAnsi="Calibri"/>
                <w:sz w:val="14"/>
                <w:szCs w:val="14"/>
                <w:color w:val="auto"/>
              </w:rPr>
              <w:t>515,334</w:t>
            </w:r>
          </w:p>
        </w:tc>
        <w:tc>
          <w:tcPr>
            <w:tcW w:w="136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jc w:val="right"/>
              <w:ind w:right="49"/>
              <w:spacing w:after="0" w:line="164" w:lineRule="exact"/>
              <w:rPr>
                <w:sz w:val="20"/>
                <w:szCs w:val="20"/>
                <w:color w:val="auto"/>
              </w:rPr>
            </w:pPr>
            <w:r>
              <w:rPr>
                <w:rFonts w:ascii="Calibri" w:cs="Calibri" w:eastAsia="Calibri" w:hAnsi="Calibri"/>
                <w:sz w:val="14"/>
                <w:szCs w:val="14"/>
                <w:color w:val="auto"/>
              </w:rPr>
              <w:t>301,601</w:t>
            </w:r>
          </w:p>
        </w:tc>
        <w:tc>
          <w:tcPr>
            <w:tcW w:w="142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tcPr>
          <w:p>
            <w:pPr>
              <w:jc w:val="right"/>
              <w:ind w:right="69"/>
              <w:spacing w:after="0" w:line="164" w:lineRule="exact"/>
              <w:rPr>
                <w:sz w:val="20"/>
                <w:szCs w:val="20"/>
                <w:color w:val="auto"/>
              </w:rPr>
            </w:pPr>
            <w:r>
              <w:rPr>
                <w:rFonts w:ascii="Calibri" w:cs="Calibri" w:eastAsia="Calibri" w:hAnsi="Calibri"/>
                <w:sz w:val="14"/>
                <w:szCs w:val="14"/>
                <w:color w:val="auto"/>
              </w:rPr>
              <w:t>816,935</w:t>
            </w:r>
          </w:p>
        </w:tc>
        <w:tc>
          <w:tcPr>
            <w:tcW w:w="1500" w:type="dxa"/>
            <w:vAlign w:val="bottom"/>
            <w:tcBorders>
              <w:top w:val="single" w:sz="8" w:color="auto"/>
            </w:tcBorders>
          </w:tcPr>
          <w:p>
            <w:pPr>
              <w:spacing w:after="0"/>
              <w:rPr>
                <w:sz w:val="14"/>
                <w:szCs w:val="14"/>
                <w:color w:val="auto"/>
              </w:rPr>
            </w:pPr>
          </w:p>
        </w:tc>
      </w:tr>
      <w:tr>
        <w:trPr>
          <w:trHeight w:val="33"/>
        </w:trPr>
        <w:tc>
          <w:tcPr>
            <w:tcW w:w="19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-1075055</wp:posOffset>
            </wp:positionV>
            <wp:extent cx="7132320" cy="2997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2997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-286385</wp:posOffset>
            </wp:positionV>
            <wp:extent cx="7132320" cy="2997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299720"/>
                    </a:xfrm>
                    <a:prstGeom prst="rect">
                      <a:avLst/>
                    </a:prstGeom>
                    <a:noFill/>
                  </pic:spPr>
                </pic:pic>
              </a:graphicData>
            </a:graphic>
          </wp:anchor>
        </w:drawing>
      </w:r>
    </w:p>
    <w:p>
      <w:pPr>
        <w:spacing w:after="0" w:line="20" w:lineRule="exact"/>
        <w:rPr>
          <w:sz w:val="20"/>
          <w:szCs w:val="20"/>
          <w:color w:val="auto"/>
        </w:rPr>
      </w:pPr>
    </w:p>
    <w:p>
      <w:pPr>
        <w:jc w:val="both"/>
        <w:ind w:left="800" w:hanging="401"/>
        <w:spacing w:after="0"/>
        <w:tabs>
          <w:tab w:leader="none" w:pos="800" w:val="left"/>
        </w:tabs>
        <w:numPr>
          <w:ilvl w:val="0"/>
          <w:numId w:val="11"/>
        </w:numPr>
        <w:rPr>
          <w:rFonts w:ascii="Calibri" w:cs="Calibri" w:eastAsia="Calibri" w:hAnsi="Calibri"/>
          <w:sz w:val="19"/>
          <w:szCs w:val="19"/>
          <w:color w:val="auto"/>
          <w:vertAlign w:val="superscript"/>
        </w:rPr>
      </w:pPr>
      <w:r>
        <w:rPr>
          <w:rFonts w:ascii="Calibri" w:cs="Calibri" w:eastAsia="Calibri" w:hAnsi="Calibri"/>
          <w:sz w:val="14"/>
          <w:szCs w:val="14"/>
          <w:color w:val="auto"/>
        </w:rPr>
        <w:t>The tons presented were determined to be economically mineable using the 2021 average selling price per ton for that product category in that geographic division. There is a range of selling prices for each product category and each geography that depend on the type of product, whether it is washed or not, and its end use. The average selling price per ton used for crushed stone for the East Division, Central Division, Southwest Division and West Division was $15.65, $14.08, $10.46 and $11.53, respectvely. The average selling price per ton used for sand and gravel for the East Division, Central Division, Southwest Division and West Division was $10.66, $10.73, $13.28 and $13.52, respectvely. These prices exclude any porton of revenues allocated to freight, including internal freight to ship products from a producing quarry to a distributon terminal and third-party freight to deliver product to a customer.</w:t>
      </w:r>
    </w:p>
    <w:p>
      <w:pPr>
        <w:spacing w:after="0" w:line="191" w:lineRule="exact"/>
        <w:rPr>
          <w:rFonts w:ascii="Calibri" w:cs="Calibri" w:eastAsia="Calibri" w:hAnsi="Calibri"/>
          <w:sz w:val="19"/>
          <w:szCs w:val="19"/>
          <w:color w:val="auto"/>
          <w:vertAlign w:val="superscript"/>
        </w:rPr>
      </w:pPr>
    </w:p>
    <w:p>
      <w:pPr>
        <w:jc w:val="both"/>
        <w:ind w:left="800" w:hanging="401"/>
        <w:spacing w:after="0" w:line="217" w:lineRule="auto"/>
        <w:tabs>
          <w:tab w:leader="none" w:pos="800" w:val="left"/>
        </w:tabs>
        <w:numPr>
          <w:ilvl w:val="0"/>
          <w:numId w:val="11"/>
        </w:numPr>
        <w:rPr>
          <w:rFonts w:ascii="Calibri" w:cs="Calibri" w:eastAsia="Calibri" w:hAnsi="Calibri"/>
          <w:sz w:val="19"/>
          <w:szCs w:val="19"/>
          <w:color w:val="auto"/>
          <w:vertAlign w:val="superscript"/>
        </w:rPr>
      </w:pPr>
      <w:r>
        <w:rPr>
          <w:rFonts w:ascii="Calibri" w:cs="Calibri" w:eastAsia="Calibri" w:hAnsi="Calibri"/>
          <w:sz w:val="14"/>
          <w:szCs w:val="14"/>
          <w:color w:val="auto"/>
        </w:rPr>
        <w:t>For the purposes of this table, the Company calculates its mineral reserves based on land that has been zoned for quarrying and land for which the Company has determined zoning is not required. The Company's reserves presented in the Central Division include dolomitc limestone reserves used in the Magnesia Specialtes business. The Company's reserves presented in the Southwest Division and the West Division include limestone reserves used in the business of the cement product line.</w:t>
      </w:r>
    </w:p>
    <w:p>
      <w:pPr>
        <w:spacing w:after="0" w:line="103"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presents the Company’s total annual producton for the last three years, shown on a product line-by-product line basis.</w:t>
      </w:r>
    </w:p>
    <w:p>
      <w:pPr>
        <w:spacing w:after="0" w:line="130" w:lineRule="exact"/>
        <w:rPr>
          <w:sz w:val="20"/>
          <w:szCs w:val="20"/>
          <w:color w:val="auto"/>
        </w:rPr>
      </w:pPr>
    </w:p>
    <w:p>
      <w:pPr>
        <w:jc w:val="center"/>
        <w:ind w:left="5420"/>
        <w:spacing w:after="0"/>
        <w:rPr>
          <w:sz w:val="20"/>
          <w:szCs w:val="20"/>
          <w:color w:val="auto"/>
        </w:rPr>
      </w:pPr>
      <w:r>
        <w:rPr>
          <w:rFonts w:ascii="Calibri" w:cs="Calibri" w:eastAsia="Calibri" w:hAnsi="Calibri"/>
          <w:sz w:val="14"/>
          <w:szCs w:val="14"/>
          <w:b w:val="1"/>
          <w:bCs w:val="1"/>
          <w:color w:val="FFFFFF"/>
        </w:rPr>
        <w:t>Total Annual Producton (tons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3771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jc w:val="center"/>
        <w:ind w:left="5420"/>
        <w:spacing w:after="0"/>
        <w:rPr>
          <w:sz w:val="20"/>
          <w:szCs w:val="20"/>
          <w:color w:val="auto"/>
        </w:rPr>
      </w:pPr>
      <w:r>
        <w:rPr>
          <w:rFonts w:ascii="Calibri" w:cs="Calibri" w:eastAsia="Calibri" w:hAnsi="Calibri"/>
          <w:sz w:val="14"/>
          <w:szCs w:val="14"/>
          <w:i w:val="1"/>
          <w:iCs w:val="1"/>
          <w:color w:val="FFFFFF"/>
        </w:rPr>
        <w:t>For year ended December 31</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320" w:type="dxa"/>
            <w:vAlign w:val="bottom"/>
            <w:shd w:val="clear" w:color="auto" w:fill="007CBA"/>
          </w:tcPr>
          <w:p>
            <w:pPr>
              <w:jc w:val="right"/>
              <w:ind w:right="88"/>
              <w:spacing w:after="0"/>
              <w:rPr>
                <w:sz w:val="20"/>
                <w:szCs w:val="20"/>
                <w:color w:val="auto"/>
              </w:rPr>
            </w:pPr>
            <w:r>
              <w:rPr>
                <w:rFonts w:ascii="Calibri" w:cs="Calibri" w:eastAsia="Calibri" w:hAnsi="Calibri"/>
                <w:sz w:val="14"/>
                <w:szCs w:val="14"/>
                <w:b w:val="1"/>
                <w:bCs w:val="1"/>
                <w:color w:val="FFFFFF"/>
              </w:rPr>
              <w:t>2022</w:t>
            </w:r>
          </w:p>
        </w:tc>
        <w:tc>
          <w:tcPr>
            <w:tcW w:w="660" w:type="dxa"/>
            <w:vAlign w:val="bottom"/>
            <w:tcBorders>
              <w:right w:val="single" w:sz="8" w:color="007CBA"/>
            </w:tcBorders>
            <w:shd w:val="clear" w:color="auto" w:fill="007CBA"/>
          </w:tcPr>
          <w:p>
            <w:pPr>
              <w:spacing w:after="0"/>
              <w:rPr>
                <w:sz w:val="17"/>
                <w:szCs w:val="17"/>
                <w:color w:val="auto"/>
              </w:rPr>
            </w:pPr>
          </w:p>
        </w:tc>
        <w:tc>
          <w:tcPr>
            <w:tcW w:w="1920" w:type="dxa"/>
            <w:vAlign w:val="bottom"/>
            <w:tcBorders>
              <w:right w:val="single" w:sz="8" w:color="007CBA"/>
            </w:tcBorders>
            <w:shd w:val="clear" w:color="auto" w:fill="007CBA"/>
          </w:tcPr>
          <w:p>
            <w:pPr>
              <w:jc w:val="right"/>
              <w:ind w:right="701"/>
              <w:spacing w:after="0"/>
              <w:rPr>
                <w:sz w:val="20"/>
                <w:szCs w:val="20"/>
                <w:color w:val="auto"/>
              </w:rPr>
            </w:pPr>
            <w:r>
              <w:rPr>
                <w:rFonts w:ascii="Calibri" w:cs="Calibri" w:eastAsia="Calibri" w:hAnsi="Calibri"/>
                <w:sz w:val="14"/>
                <w:szCs w:val="14"/>
                <w:b w:val="1"/>
                <w:bCs w:val="1"/>
                <w:color w:val="FFFFFF"/>
              </w:rPr>
              <w:t>2021</w:t>
            </w:r>
          </w:p>
        </w:tc>
        <w:tc>
          <w:tcPr>
            <w:tcW w:w="1960" w:type="dxa"/>
            <w:vAlign w:val="bottom"/>
            <w:shd w:val="clear" w:color="auto" w:fill="007CBA"/>
          </w:tcPr>
          <w:p>
            <w:pPr>
              <w:jc w:val="right"/>
              <w:ind w:right="721"/>
              <w:spacing w:after="0"/>
              <w:rPr>
                <w:sz w:val="20"/>
                <w:szCs w:val="20"/>
                <w:color w:val="auto"/>
              </w:rPr>
            </w:pPr>
            <w:r>
              <w:rPr>
                <w:rFonts w:ascii="Calibri" w:cs="Calibri" w:eastAsia="Calibri" w:hAnsi="Calibri"/>
                <w:sz w:val="14"/>
                <w:szCs w:val="14"/>
                <w:b w:val="1"/>
                <w:bCs w:val="1"/>
                <w:color w:val="FFFFFF"/>
              </w:rPr>
              <w:t>2020</w:t>
            </w:r>
          </w:p>
        </w:tc>
      </w:tr>
      <w:tr>
        <w:trPr>
          <w:trHeight w:val="209"/>
        </w:trPr>
        <w:tc>
          <w:tcPr>
            <w:tcW w:w="5380" w:type="dxa"/>
            <w:vAlign w:val="bottom"/>
            <w:tcBorders>
              <w:bottom w:val="single" w:sz="8" w:color="E5F1F8"/>
              <w:right w:val="single" w:sz="8" w:color="007CBA"/>
            </w:tcBorders>
            <w:shd w:val="clear" w:color="auto" w:fill="E5F1F8"/>
          </w:tcPr>
          <w:p>
            <w:pPr>
              <w:ind w:left="120"/>
              <w:spacing w:after="0" w:line="193" w:lineRule="exact"/>
              <w:rPr>
                <w:sz w:val="20"/>
                <w:szCs w:val="20"/>
                <w:color w:val="auto"/>
              </w:rPr>
            </w:pPr>
            <w:r>
              <w:rPr>
                <w:rFonts w:ascii="Calibri" w:cs="Calibri" w:eastAsia="Calibri" w:hAnsi="Calibri"/>
                <w:sz w:val="16"/>
                <w:szCs w:val="16"/>
                <w:color w:val="auto"/>
              </w:rPr>
              <w:t>Aggregates</w:t>
            </w:r>
          </w:p>
        </w:tc>
        <w:tc>
          <w:tcPr>
            <w:tcW w:w="1320" w:type="dxa"/>
            <w:vAlign w:val="bottom"/>
            <w:tcBorders>
              <w:bottom w:val="single" w:sz="8" w:color="E5F1F8"/>
            </w:tcBorders>
            <w:shd w:val="clear" w:color="auto" w:fill="E5F1F8"/>
          </w:tcPr>
          <w:p>
            <w:pPr>
              <w:spacing w:after="0"/>
              <w:rPr>
                <w:sz w:val="18"/>
                <w:szCs w:val="18"/>
                <w:color w:val="auto"/>
              </w:rPr>
            </w:pPr>
          </w:p>
        </w:tc>
        <w:tc>
          <w:tcPr>
            <w:tcW w:w="660" w:type="dxa"/>
            <w:vAlign w:val="bottom"/>
            <w:tcBorders>
              <w:bottom w:val="single" w:sz="8" w:color="E5F1F8"/>
              <w:right w:val="single" w:sz="8" w:color="007CBA"/>
            </w:tcBorders>
            <w:shd w:val="clear" w:color="auto" w:fill="E5F1F8"/>
          </w:tcPr>
          <w:p>
            <w:pPr>
              <w:jc w:val="right"/>
              <w:ind w:right="39"/>
              <w:spacing w:after="0" w:line="193" w:lineRule="exact"/>
              <w:rPr>
                <w:sz w:val="20"/>
                <w:szCs w:val="20"/>
                <w:color w:val="auto"/>
              </w:rPr>
            </w:pPr>
            <w:r>
              <w:rPr>
                <w:rFonts w:ascii="Calibri" w:cs="Calibri" w:eastAsia="Calibri" w:hAnsi="Calibri"/>
                <w:sz w:val="16"/>
                <w:szCs w:val="16"/>
                <w:b w:val="1"/>
                <w:bCs w:val="1"/>
                <w:color w:val="auto"/>
              </w:rPr>
              <w:t>214.5</w:t>
            </w:r>
          </w:p>
        </w:tc>
        <w:tc>
          <w:tcPr>
            <w:tcW w:w="1920" w:type="dxa"/>
            <w:vAlign w:val="bottom"/>
            <w:tcBorders>
              <w:bottom w:val="single" w:sz="8" w:color="E5F1F8"/>
              <w:right w:val="single" w:sz="8" w:color="007CBA"/>
            </w:tcBorders>
            <w:shd w:val="clear" w:color="auto" w:fill="E5F1F8"/>
          </w:tcPr>
          <w:p>
            <w:pPr>
              <w:jc w:val="right"/>
              <w:ind w:right="41"/>
              <w:spacing w:after="0" w:line="193" w:lineRule="exact"/>
              <w:rPr>
                <w:sz w:val="20"/>
                <w:szCs w:val="20"/>
                <w:color w:val="auto"/>
              </w:rPr>
            </w:pPr>
            <w:r>
              <w:rPr>
                <w:rFonts w:ascii="Calibri" w:cs="Calibri" w:eastAsia="Calibri" w:hAnsi="Calibri"/>
                <w:sz w:val="16"/>
                <w:szCs w:val="16"/>
                <w:color w:val="auto"/>
              </w:rPr>
              <w:t>199.6</w:t>
            </w:r>
          </w:p>
        </w:tc>
        <w:tc>
          <w:tcPr>
            <w:tcW w:w="1960" w:type="dxa"/>
            <w:vAlign w:val="bottom"/>
            <w:tcBorders>
              <w:bottom w:val="single" w:sz="8" w:color="E5F1F8"/>
            </w:tcBorders>
            <w:shd w:val="clear" w:color="auto" w:fill="E5F1F8"/>
          </w:tcPr>
          <w:p>
            <w:pPr>
              <w:jc w:val="right"/>
              <w:ind w:right="41"/>
              <w:spacing w:after="0" w:line="193" w:lineRule="exact"/>
              <w:rPr>
                <w:sz w:val="20"/>
                <w:szCs w:val="20"/>
                <w:color w:val="auto"/>
              </w:rPr>
            </w:pPr>
            <w:r>
              <w:rPr>
                <w:rFonts w:ascii="Calibri" w:cs="Calibri" w:eastAsia="Calibri" w:hAnsi="Calibri"/>
                <w:sz w:val="16"/>
                <w:szCs w:val="16"/>
                <w:color w:val="auto"/>
              </w:rPr>
              <w:t>191.2</w:t>
            </w:r>
          </w:p>
        </w:tc>
      </w:tr>
      <w:tr>
        <w:trPr>
          <w:trHeight w:val="230"/>
        </w:trPr>
        <w:tc>
          <w:tcPr>
            <w:tcW w:w="5380" w:type="dxa"/>
            <w:vAlign w:val="bottom"/>
            <w:tcBorders>
              <w:right w:val="single" w:sz="8" w:color="007CBA"/>
            </w:tcBorders>
          </w:tcPr>
          <w:p>
            <w:pPr>
              <w:ind w:left="120"/>
              <w:spacing w:after="0" w:line="193" w:lineRule="exact"/>
              <w:rPr>
                <w:sz w:val="20"/>
                <w:szCs w:val="20"/>
                <w:color w:val="auto"/>
              </w:rPr>
            </w:pPr>
            <w:r>
              <w:rPr>
                <w:rFonts w:ascii="Calibri" w:cs="Calibri" w:eastAsia="Calibri" w:hAnsi="Calibri"/>
                <w:sz w:val="16"/>
                <w:szCs w:val="16"/>
                <w:color w:val="auto"/>
              </w:rPr>
              <w:t>Cement limestone</w:t>
            </w:r>
          </w:p>
        </w:tc>
        <w:tc>
          <w:tcPr>
            <w:tcW w:w="1320" w:type="dxa"/>
            <w:vAlign w:val="bottom"/>
          </w:tcPr>
          <w:p>
            <w:pPr>
              <w:spacing w:after="0"/>
              <w:rPr>
                <w:sz w:val="19"/>
                <w:szCs w:val="19"/>
                <w:color w:val="auto"/>
              </w:rPr>
            </w:pPr>
          </w:p>
        </w:tc>
        <w:tc>
          <w:tcPr>
            <w:tcW w:w="660" w:type="dxa"/>
            <w:vAlign w:val="bottom"/>
            <w:tcBorders>
              <w:right w:val="single" w:sz="8" w:color="007CBA"/>
            </w:tcBorders>
          </w:tcPr>
          <w:p>
            <w:pPr>
              <w:jc w:val="right"/>
              <w:ind w:right="39"/>
              <w:spacing w:after="0" w:line="193" w:lineRule="exact"/>
              <w:rPr>
                <w:sz w:val="20"/>
                <w:szCs w:val="20"/>
                <w:color w:val="auto"/>
              </w:rPr>
            </w:pPr>
            <w:r>
              <w:rPr>
                <w:rFonts w:ascii="Calibri" w:cs="Calibri" w:eastAsia="Calibri" w:hAnsi="Calibri"/>
                <w:sz w:val="16"/>
                <w:szCs w:val="16"/>
                <w:b w:val="1"/>
                <w:bCs w:val="1"/>
                <w:color w:val="auto"/>
              </w:rPr>
              <w:t>6.6</w:t>
            </w:r>
          </w:p>
        </w:tc>
        <w:tc>
          <w:tcPr>
            <w:tcW w:w="1920" w:type="dxa"/>
            <w:vAlign w:val="bottom"/>
            <w:tcBorders>
              <w:right w:val="single" w:sz="8" w:color="007CBA"/>
            </w:tcBorders>
          </w:tcPr>
          <w:p>
            <w:pPr>
              <w:jc w:val="right"/>
              <w:ind w:right="41"/>
              <w:spacing w:after="0" w:line="193" w:lineRule="exact"/>
              <w:rPr>
                <w:sz w:val="20"/>
                <w:szCs w:val="20"/>
                <w:color w:val="auto"/>
              </w:rPr>
            </w:pPr>
            <w:r>
              <w:rPr>
                <w:rFonts w:ascii="Calibri" w:cs="Calibri" w:eastAsia="Calibri" w:hAnsi="Calibri"/>
                <w:sz w:val="16"/>
                <w:szCs w:val="16"/>
                <w:color w:val="auto"/>
              </w:rPr>
              <w:t>5.4</w:t>
            </w:r>
          </w:p>
        </w:tc>
        <w:tc>
          <w:tcPr>
            <w:tcW w:w="1960" w:type="dxa"/>
            <w:vAlign w:val="bottom"/>
          </w:tcPr>
          <w:p>
            <w:pPr>
              <w:jc w:val="right"/>
              <w:ind w:right="41"/>
              <w:spacing w:after="0" w:line="193" w:lineRule="exact"/>
              <w:rPr>
                <w:sz w:val="20"/>
                <w:szCs w:val="20"/>
                <w:color w:val="auto"/>
              </w:rPr>
            </w:pPr>
            <w:r>
              <w:rPr>
                <w:rFonts w:ascii="Calibri" w:cs="Calibri" w:eastAsia="Calibri" w:hAnsi="Calibri"/>
                <w:sz w:val="16"/>
                <w:szCs w:val="16"/>
                <w:color w:val="auto"/>
              </w:rPr>
              <w:t>5.1</w:t>
            </w:r>
          </w:p>
        </w:tc>
      </w:tr>
      <w:tr>
        <w:trPr>
          <w:trHeight w:val="235"/>
        </w:trPr>
        <w:tc>
          <w:tcPr>
            <w:tcW w:w="5380" w:type="dxa"/>
            <w:vAlign w:val="bottom"/>
            <w:tcBorders>
              <w:bottom w:val="single" w:sz="8" w:color="E5F1F8"/>
              <w:right w:val="single" w:sz="8" w:color="E5F1F8"/>
            </w:tcBorders>
            <w:shd w:val="clear" w:color="auto" w:fill="E5F1F8"/>
          </w:tcPr>
          <w:p>
            <w:pPr>
              <w:ind w:left="120"/>
              <w:spacing w:after="0" w:line="193" w:lineRule="exact"/>
              <w:rPr>
                <w:sz w:val="20"/>
                <w:szCs w:val="20"/>
                <w:color w:val="auto"/>
              </w:rPr>
            </w:pPr>
            <w:r>
              <w:rPr>
                <w:rFonts w:ascii="Calibri" w:cs="Calibri" w:eastAsia="Calibri" w:hAnsi="Calibri"/>
                <w:sz w:val="16"/>
                <w:szCs w:val="16"/>
                <w:color w:val="auto"/>
              </w:rPr>
              <w:t>Magnesia Specialtes limestone</w:t>
            </w:r>
          </w:p>
        </w:tc>
        <w:tc>
          <w:tcPr>
            <w:tcW w:w="1320" w:type="dxa"/>
            <w:vAlign w:val="bottom"/>
            <w:tcBorders>
              <w:bottom w:val="single" w:sz="8" w:color="E5F1F8"/>
            </w:tcBorders>
            <w:shd w:val="clear" w:color="auto" w:fill="E5F1F8"/>
          </w:tcPr>
          <w:p>
            <w:pPr>
              <w:spacing w:after="0"/>
              <w:rPr>
                <w:sz w:val="19"/>
                <w:szCs w:val="19"/>
                <w:color w:val="auto"/>
              </w:rPr>
            </w:pPr>
          </w:p>
        </w:tc>
        <w:tc>
          <w:tcPr>
            <w:tcW w:w="660" w:type="dxa"/>
            <w:vAlign w:val="bottom"/>
            <w:tcBorders>
              <w:bottom w:val="single" w:sz="8" w:color="E5F1F8"/>
              <w:right w:val="single" w:sz="8" w:color="E5F1F8"/>
            </w:tcBorders>
            <w:shd w:val="clear" w:color="auto" w:fill="E5F1F8"/>
          </w:tcPr>
          <w:p>
            <w:pPr>
              <w:jc w:val="right"/>
              <w:ind w:right="39"/>
              <w:spacing w:after="0" w:line="193" w:lineRule="exact"/>
              <w:rPr>
                <w:sz w:val="20"/>
                <w:szCs w:val="20"/>
                <w:color w:val="auto"/>
              </w:rPr>
            </w:pPr>
            <w:r>
              <w:rPr>
                <w:rFonts w:ascii="Calibri" w:cs="Calibri" w:eastAsia="Calibri" w:hAnsi="Calibri"/>
                <w:sz w:val="16"/>
                <w:szCs w:val="16"/>
                <w:b w:val="1"/>
                <w:bCs w:val="1"/>
                <w:color w:val="auto"/>
              </w:rPr>
              <w:t>2.9</w:t>
            </w:r>
          </w:p>
        </w:tc>
        <w:tc>
          <w:tcPr>
            <w:tcW w:w="1920" w:type="dxa"/>
            <w:vAlign w:val="bottom"/>
            <w:tcBorders>
              <w:bottom w:val="single" w:sz="8" w:color="E5F1F8"/>
              <w:right w:val="single" w:sz="8" w:color="E5F1F8"/>
            </w:tcBorders>
            <w:shd w:val="clear" w:color="auto" w:fill="E5F1F8"/>
          </w:tcPr>
          <w:p>
            <w:pPr>
              <w:jc w:val="right"/>
              <w:ind w:right="41"/>
              <w:spacing w:after="0" w:line="193" w:lineRule="exact"/>
              <w:rPr>
                <w:sz w:val="20"/>
                <w:szCs w:val="20"/>
                <w:color w:val="auto"/>
              </w:rPr>
            </w:pPr>
            <w:r>
              <w:rPr>
                <w:rFonts w:ascii="Calibri" w:cs="Calibri" w:eastAsia="Calibri" w:hAnsi="Calibri"/>
                <w:sz w:val="16"/>
                <w:szCs w:val="16"/>
                <w:color w:val="auto"/>
              </w:rPr>
              <w:t>3.0</w:t>
            </w:r>
          </w:p>
        </w:tc>
        <w:tc>
          <w:tcPr>
            <w:tcW w:w="1960" w:type="dxa"/>
            <w:vAlign w:val="bottom"/>
            <w:tcBorders>
              <w:bottom w:val="single" w:sz="8" w:color="E5F1F8"/>
            </w:tcBorders>
            <w:shd w:val="clear" w:color="auto" w:fill="E5F1F8"/>
          </w:tcPr>
          <w:p>
            <w:pPr>
              <w:jc w:val="right"/>
              <w:ind w:right="41"/>
              <w:spacing w:after="0" w:line="193" w:lineRule="exact"/>
              <w:rPr>
                <w:sz w:val="20"/>
                <w:szCs w:val="20"/>
                <w:color w:val="auto"/>
              </w:rPr>
            </w:pPr>
            <w:r>
              <w:rPr>
                <w:rFonts w:ascii="Calibri" w:cs="Calibri" w:eastAsia="Calibri" w:hAnsi="Calibri"/>
                <w:sz w:val="16"/>
                <w:szCs w:val="16"/>
                <w:color w:val="auto"/>
              </w:rPr>
              <w:t>2.8</w:t>
            </w:r>
          </w:p>
        </w:tc>
      </w:tr>
      <w:tr>
        <w:trPr>
          <w:trHeight w:val="187"/>
        </w:trPr>
        <w:tc>
          <w:tcPr>
            <w:tcW w:w="5380" w:type="dxa"/>
            <w:vAlign w:val="bottom"/>
            <w:tcBorders>
              <w:top w:val="single" w:sz="8" w:color="auto"/>
            </w:tcBorders>
          </w:tcPr>
          <w:p>
            <w:pPr>
              <w:ind w:left="120"/>
              <w:spacing w:after="0" w:line="187" w:lineRule="exact"/>
              <w:rPr>
                <w:sz w:val="20"/>
                <w:szCs w:val="20"/>
                <w:color w:val="auto"/>
              </w:rPr>
            </w:pPr>
            <w:r>
              <w:rPr>
                <w:rFonts w:ascii="Calibri" w:cs="Calibri" w:eastAsia="Calibri" w:hAnsi="Calibri"/>
                <w:sz w:val="16"/>
                <w:szCs w:val="16"/>
                <w:color w:val="auto"/>
              </w:rPr>
              <w:t>Total</w:t>
            </w:r>
          </w:p>
        </w:tc>
        <w:tc>
          <w:tcPr>
            <w:tcW w:w="13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39"/>
              <w:spacing w:after="0" w:line="187" w:lineRule="exact"/>
              <w:rPr>
                <w:sz w:val="20"/>
                <w:szCs w:val="20"/>
                <w:color w:val="auto"/>
              </w:rPr>
            </w:pPr>
            <w:r>
              <w:rPr>
                <w:rFonts w:ascii="Calibri" w:cs="Calibri" w:eastAsia="Calibri" w:hAnsi="Calibri"/>
                <w:sz w:val="16"/>
                <w:szCs w:val="16"/>
                <w:b w:val="1"/>
                <w:bCs w:val="1"/>
                <w:color w:val="auto"/>
              </w:rPr>
              <w:t>224.0</w:t>
            </w:r>
          </w:p>
        </w:tc>
        <w:tc>
          <w:tcPr>
            <w:tcW w:w="1920" w:type="dxa"/>
            <w:vAlign w:val="bottom"/>
            <w:tcBorders>
              <w:top w:val="single" w:sz="8" w:color="auto"/>
            </w:tcBorders>
          </w:tcPr>
          <w:p>
            <w:pPr>
              <w:jc w:val="right"/>
              <w:ind w:right="41"/>
              <w:spacing w:after="0" w:line="187" w:lineRule="exact"/>
              <w:rPr>
                <w:sz w:val="20"/>
                <w:szCs w:val="20"/>
                <w:color w:val="auto"/>
              </w:rPr>
            </w:pPr>
            <w:r>
              <w:rPr>
                <w:rFonts w:ascii="Calibri" w:cs="Calibri" w:eastAsia="Calibri" w:hAnsi="Calibri"/>
                <w:sz w:val="16"/>
                <w:szCs w:val="16"/>
                <w:color w:val="auto"/>
              </w:rPr>
              <w:t>208.0</w:t>
            </w:r>
          </w:p>
        </w:tc>
        <w:tc>
          <w:tcPr>
            <w:tcW w:w="1960" w:type="dxa"/>
            <w:vAlign w:val="bottom"/>
            <w:tcBorders>
              <w:top w:val="single" w:sz="8" w:color="auto"/>
            </w:tcBorders>
          </w:tcPr>
          <w:p>
            <w:pPr>
              <w:jc w:val="right"/>
              <w:ind w:right="41"/>
              <w:spacing w:after="0" w:line="187" w:lineRule="exact"/>
              <w:rPr>
                <w:sz w:val="20"/>
                <w:szCs w:val="20"/>
                <w:color w:val="auto"/>
              </w:rPr>
            </w:pPr>
            <w:r>
              <w:rPr>
                <w:rFonts w:ascii="Calibri" w:cs="Calibri" w:eastAsia="Calibri" w:hAnsi="Calibri"/>
                <w:sz w:val="16"/>
                <w:szCs w:val="16"/>
                <w:color w:val="auto"/>
              </w:rPr>
              <w:t>199.1</w:t>
            </w:r>
          </w:p>
        </w:tc>
      </w:tr>
      <w:tr>
        <w:trPr>
          <w:trHeight w:val="36"/>
        </w:trPr>
        <w:tc>
          <w:tcPr>
            <w:tcW w:w="53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3340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33401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Cement</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2022, the Company processed or shipped cement from 14 propertes in two states, of which 7 are located on land owned by the Company free of major encumbrances, 1 is located on land owned in part and leased in part and 6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92710</wp:posOffset>
            </wp:positionV>
            <wp:extent cx="325755" cy="1968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1" w:name="page32"/>
    <w:bookmarkEnd w:id="31"/>
    <w:p>
      <w:pPr>
        <w:ind w:left="922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2 – Propertes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leased land. The Company’s cement operatons have producton facilites located at three sites: Midlothian, Texas, south of Dallas/Fort Worth; Hunter, Texas, north of San Antonio; and Tehachapi, California. Tehachapi was acquired on October 1, 2021 in connecton with the Lehigh Hanson West Region acquisiton and is classifed as held for sale as of December 31, 2022. The following table summarizes certain informaton about the Company’s cement manufacturing facilites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7499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32320" cy="749935"/>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20" w:type="dxa"/>
            <w:vAlign w:val="bottom"/>
            <w:tcBorders>
              <w:right w:val="single" w:sz="8" w:color="007CBA"/>
            </w:tcBorders>
            <w:shd w:val="clear" w:color="auto" w:fill="007CBA"/>
          </w:tcPr>
          <w:p>
            <w:pPr>
              <w:spacing w:after="0"/>
              <w:rPr>
                <w:sz w:val="16"/>
                <w:szCs w:val="16"/>
                <w:color w:val="auto"/>
              </w:rPr>
            </w:pPr>
          </w:p>
        </w:tc>
        <w:tc>
          <w:tcPr>
            <w:tcW w:w="180" w:type="dxa"/>
            <w:vAlign w:val="bottom"/>
            <w:shd w:val="clear" w:color="auto" w:fill="007CBA"/>
          </w:tcPr>
          <w:p>
            <w:pPr>
              <w:spacing w:after="0"/>
              <w:rPr>
                <w:sz w:val="16"/>
                <w:szCs w:val="16"/>
                <w:color w:val="auto"/>
              </w:rPr>
            </w:pPr>
          </w:p>
        </w:tc>
        <w:tc>
          <w:tcPr>
            <w:tcW w:w="1120" w:type="dxa"/>
            <w:vAlign w:val="bottom"/>
            <w:shd w:val="clear" w:color="auto" w:fill="007CBA"/>
          </w:tcPr>
          <w:p>
            <w:pPr>
              <w:jc w:val="center"/>
              <w:ind w:left="188"/>
              <w:spacing w:after="0"/>
              <w:rPr>
                <w:sz w:val="20"/>
                <w:szCs w:val="20"/>
                <w:color w:val="auto"/>
              </w:rPr>
            </w:pPr>
            <w:r>
              <w:rPr>
                <w:rFonts w:ascii="Calibri" w:cs="Calibri" w:eastAsia="Calibri" w:hAnsi="Calibri"/>
                <w:sz w:val="14"/>
                <w:szCs w:val="14"/>
                <w:b w:val="1"/>
                <w:bCs w:val="1"/>
                <w:color w:val="FFFFFF"/>
              </w:rPr>
              <w:t>Rated Annual</w:t>
            </w:r>
          </w:p>
        </w:tc>
        <w:tc>
          <w:tcPr>
            <w:tcW w:w="280" w:type="dxa"/>
            <w:vAlign w:val="bottom"/>
            <w:tcBorders>
              <w:right w:val="single" w:sz="8" w:color="007CBA"/>
            </w:tcBorders>
            <w:shd w:val="clear" w:color="auto" w:fill="007CBA"/>
          </w:tcPr>
          <w:p>
            <w:pPr>
              <w:spacing w:after="0"/>
              <w:rPr>
                <w:sz w:val="16"/>
                <w:szCs w:val="16"/>
                <w:color w:val="auto"/>
              </w:rPr>
            </w:pPr>
          </w:p>
        </w:tc>
        <w:tc>
          <w:tcPr>
            <w:tcW w:w="1560" w:type="dxa"/>
            <w:vAlign w:val="bottom"/>
            <w:tcBorders>
              <w:right w:val="single" w:sz="8" w:color="007CBA"/>
            </w:tcBorders>
            <w:shd w:val="clear" w:color="auto" w:fill="007CBA"/>
          </w:tcPr>
          <w:p>
            <w:pPr>
              <w:spacing w:after="0"/>
              <w:rPr>
                <w:sz w:val="16"/>
                <w:szCs w:val="16"/>
                <w:color w:val="auto"/>
              </w:rPr>
            </w:pPr>
          </w:p>
        </w:tc>
        <w:tc>
          <w:tcPr>
            <w:tcW w:w="1840" w:type="dxa"/>
            <w:vAlign w:val="bottom"/>
            <w:tcBorders>
              <w:right w:val="single" w:sz="8" w:color="007CBA"/>
            </w:tcBorders>
            <w:shd w:val="clear" w:color="auto" w:fill="007CBA"/>
          </w:tcPr>
          <w:p>
            <w:pPr>
              <w:spacing w:after="0"/>
              <w:rPr>
                <w:sz w:val="16"/>
                <w:szCs w:val="16"/>
                <w:color w:val="auto"/>
              </w:rPr>
            </w:pPr>
          </w:p>
        </w:tc>
        <w:tc>
          <w:tcPr>
            <w:tcW w:w="1740" w:type="dxa"/>
            <w:vAlign w:val="bottom"/>
            <w:shd w:val="clear" w:color="auto" w:fill="007CBA"/>
          </w:tcPr>
          <w:p>
            <w:pPr>
              <w:spacing w:after="0"/>
              <w:rPr>
                <w:sz w:val="16"/>
                <w:szCs w:val="16"/>
                <w:color w:val="auto"/>
              </w:rPr>
            </w:pPr>
          </w:p>
        </w:tc>
      </w:tr>
      <w:tr>
        <w:trPr>
          <w:trHeight w:val="170"/>
        </w:trPr>
        <w:tc>
          <w:tcPr>
            <w:tcW w:w="4520" w:type="dxa"/>
            <w:vAlign w:val="bottom"/>
            <w:tcBorders>
              <w:right w:val="single" w:sz="8" w:color="007CBA"/>
            </w:tcBorders>
            <w:shd w:val="clear" w:color="auto" w:fill="007CBA"/>
          </w:tcPr>
          <w:p>
            <w:pPr>
              <w:spacing w:after="0"/>
              <w:rPr>
                <w:sz w:val="14"/>
                <w:szCs w:val="14"/>
                <w:color w:val="auto"/>
              </w:rPr>
            </w:pPr>
          </w:p>
        </w:tc>
        <w:tc>
          <w:tcPr>
            <w:tcW w:w="180" w:type="dxa"/>
            <w:vAlign w:val="bottom"/>
            <w:shd w:val="clear" w:color="auto" w:fill="007CBA"/>
          </w:tcPr>
          <w:p>
            <w:pPr>
              <w:spacing w:after="0"/>
              <w:rPr>
                <w:sz w:val="14"/>
                <w:szCs w:val="14"/>
                <w:color w:val="auto"/>
              </w:rPr>
            </w:pPr>
          </w:p>
        </w:tc>
        <w:tc>
          <w:tcPr>
            <w:tcW w:w="1120" w:type="dxa"/>
            <w:vAlign w:val="bottom"/>
            <w:shd w:val="clear" w:color="auto" w:fill="007CBA"/>
          </w:tcPr>
          <w:p>
            <w:pPr>
              <w:jc w:val="center"/>
              <w:ind w:left="168"/>
              <w:spacing w:after="0"/>
              <w:rPr>
                <w:sz w:val="20"/>
                <w:szCs w:val="20"/>
                <w:color w:val="auto"/>
              </w:rPr>
            </w:pPr>
            <w:r>
              <w:rPr>
                <w:rFonts w:ascii="Calibri" w:cs="Calibri" w:eastAsia="Calibri" w:hAnsi="Calibri"/>
                <w:sz w:val="14"/>
                <w:szCs w:val="14"/>
                <w:b w:val="1"/>
                <w:bCs w:val="1"/>
                <w:color w:val="FFFFFF"/>
              </w:rPr>
              <w:t>Productve</w:t>
            </w:r>
          </w:p>
        </w:tc>
        <w:tc>
          <w:tcPr>
            <w:tcW w:w="280" w:type="dxa"/>
            <w:vAlign w:val="bottom"/>
            <w:tcBorders>
              <w:right w:val="single" w:sz="8" w:color="007CBA"/>
            </w:tcBorders>
            <w:shd w:val="clear" w:color="auto" w:fill="007CBA"/>
          </w:tcPr>
          <w:p>
            <w:pPr>
              <w:spacing w:after="0"/>
              <w:rPr>
                <w:sz w:val="14"/>
                <w:szCs w:val="14"/>
                <w:color w:val="auto"/>
              </w:rPr>
            </w:pPr>
          </w:p>
        </w:tc>
        <w:tc>
          <w:tcPr>
            <w:tcW w:w="1560" w:type="dxa"/>
            <w:vAlign w:val="bottom"/>
            <w:tcBorders>
              <w:right w:val="single" w:sz="8" w:color="007CBA"/>
            </w:tcBorders>
            <w:shd w:val="clear" w:color="auto" w:fill="007CBA"/>
          </w:tcPr>
          <w:p>
            <w:pPr>
              <w:spacing w:after="0"/>
              <w:rPr>
                <w:sz w:val="14"/>
                <w:szCs w:val="14"/>
                <w:color w:val="auto"/>
              </w:rPr>
            </w:pPr>
          </w:p>
        </w:tc>
        <w:tc>
          <w:tcPr>
            <w:tcW w:w="1840" w:type="dxa"/>
            <w:vAlign w:val="bottom"/>
            <w:tcBorders>
              <w:right w:val="single" w:sz="8" w:color="007CBA"/>
            </w:tcBorders>
            <w:shd w:val="clear" w:color="auto" w:fill="007CBA"/>
          </w:tcPr>
          <w:p>
            <w:pPr>
              <w:spacing w:after="0"/>
              <w:rPr>
                <w:sz w:val="14"/>
                <w:szCs w:val="14"/>
                <w:color w:val="auto"/>
              </w:rPr>
            </w:pPr>
          </w:p>
        </w:tc>
        <w:tc>
          <w:tcPr>
            <w:tcW w:w="1740" w:type="dxa"/>
            <w:vAlign w:val="bottom"/>
            <w:shd w:val="clear" w:color="auto" w:fill="007CBA"/>
          </w:tcPr>
          <w:p>
            <w:pPr>
              <w:spacing w:after="0"/>
              <w:rPr>
                <w:sz w:val="14"/>
                <w:szCs w:val="14"/>
                <w:color w:val="auto"/>
              </w:rPr>
            </w:pPr>
          </w:p>
        </w:tc>
      </w:tr>
      <w:tr>
        <w:trPr>
          <w:trHeight w:val="181"/>
        </w:trPr>
        <w:tc>
          <w:tcPr>
            <w:tcW w:w="4520" w:type="dxa"/>
            <w:vAlign w:val="bottom"/>
            <w:tcBorders>
              <w:right w:val="single" w:sz="8" w:color="007CBA"/>
            </w:tcBorders>
            <w:shd w:val="clear" w:color="auto" w:fill="007CBA"/>
          </w:tcPr>
          <w:p>
            <w:pPr>
              <w:spacing w:after="0"/>
              <w:rPr>
                <w:sz w:val="15"/>
                <w:szCs w:val="15"/>
                <w:color w:val="auto"/>
              </w:rPr>
            </w:pPr>
          </w:p>
        </w:tc>
        <w:tc>
          <w:tcPr>
            <w:tcW w:w="180" w:type="dxa"/>
            <w:vAlign w:val="bottom"/>
            <w:shd w:val="clear" w:color="auto" w:fill="007CBA"/>
          </w:tcPr>
          <w:p>
            <w:pPr>
              <w:spacing w:after="0"/>
              <w:rPr>
                <w:sz w:val="15"/>
                <w:szCs w:val="15"/>
                <w:color w:val="auto"/>
              </w:rPr>
            </w:pPr>
          </w:p>
        </w:tc>
        <w:tc>
          <w:tcPr>
            <w:tcW w:w="1120" w:type="dxa"/>
            <w:vAlign w:val="bottom"/>
            <w:shd w:val="clear" w:color="auto" w:fill="007CBA"/>
          </w:tcPr>
          <w:p>
            <w:pPr>
              <w:jc w:val="center"/>
              <w:ind w:left="188"/>
              <w:spacing w:after="0"/>
              <w:rPr>
                <w:sz w:val="20"/>
                <w:szCs w:val="20"/>
                <w:color w:val="auto"/>
              </w:rPr>
            </w:pPr>
            <w:r>
              <w:rPr>
                <w:rFonts w:ascii="Calibri" w:cs="Calibri" w:eastAsia="Calibri" w:hAnsi="Calibri"/>
                <w:sz w:val="14"/>
                <w:szCs w:val="14"/>
                <w:b w:val="1"/>
                <w:bCs w:val="1"/>
                <w:color w:val="FFFFFF"/>
              </w:rPr>
              <w:t>Capacity-Tons</w:t>
            </w:r>
          </w:p>
        </w:tc>
        <w:tc>
          <w:tcPr>
            <w:tcW w:w="280" w:type="dxa"/>
            <w:vAlign w:val="bottom"/>
            <w:tcBorders>
              <w:right w:val="single" w:sz="8" w:color="007CBA"/>
            </w:tcBorders>
            <w:shd w:val="clear" w:color="auto" w:fill="007CBA"/>
          </w:tcPr>
          <w:p>
            <w:pPr>
              <w:spacing w:after="0"/>
              <w:rPr>
                <w:sz w:val="15"/>
                <w:szCs w:val="15"/>
                <w:color w:val="auto"/>
              </w:rPr>
            </w:pPr>
          </w:p>
        </w:tc>
        <w:tc>
          <w:tcPr>
            <w:tcW w:w="1560" w:type="dxa"/>
            <w:vAlign w:val="bottom"/>
            <w:tcBorders>
              <w:right w:val="single" w:sz="8" w:color="007CBA"/>
            </w:tcBorders>
            <w:shd w:val="clear" w:color="auto" w:fill="007CBA"/>
          </w:tcPr>
          <w:p>
            <w:pPr>
              <w:spacing w:after="0"/>
              <w:rPr>
                <w:sz w:val="15"/>
                <w:szCs w:val="15"/>
                <w:color w:val="auto"/>
              </w:rPr>
            </w:pPr>
          </w:p>
        </w:tc>
        <w:tc>
          <w:tcPr>
            <w:tcW w:w="1840" w:type="dxa"/>
            <w:vAlign w:val="bottom"/>
            <w:tcBorders>
              <w:right w:val="single" w:sz="8" w:color="007CBA"/>
            </w:tcBorders>
            <w:shd w:val="clear" w:color="auto" w:fill="007CBA"/>
          </w:tcPr>
          <w:p>
            <w:pPr>
              <w:spacing w:after="0"/>
              <w:rPr>
                <w:sz w:val="15"/>
                <w:szCs w:val="15"/>
                <w:color w:val="auto"/>
              </w:rPr>
            </w:pPr>
          </w:p>
        </w:tc>
        <w:tc>
          <w:tcPr>
            <w:tcW w:w="1740" w:type="dxa"/>
            <w:vAlign w:val="bottom"/>
            <w:shd w:val="clear" w:color="auto" w:fill="007CBA"/>
          </w:tcPr>
          <w:p>
            <w:pPr>
              <w:jc w:val="center"/>
              <w:ind w:left="64"/>
              <w:spacing w:after="0"/>
              <w:rPr>
                <w:sz w:val="20"/>
                <w:szCs w:val="20"/>
                <w:color w:val="auto"/>
              </w:rPr>
            </w:pPr>
            <w:r>
              <w:rPr>
                <w:rFonts w:ascii="Calibri" w:cs="Calibri" w:eastAsia="Calibri" w:hAnsi="Calibri"/>
                <w:sz w:val="14"/>
                <w:szCs w:val="14"/>
                <w:b w:val="1"/>
                <w:bCs w:val="1"/>
                <w:color w:val="FFFFFF"/>
                <w:w w:val="99"/>
              </w:rPr>
              <w:t>Internally</w:t>
            </w:r>
          </w:p>
        </w:tc>
      </w:tr>
      <w:tr>
        <w:trPr>
          <w:trHeight w:val="175"/>
        </w:trPr>
        <w:tc>
          <w:tcPr>
            <w:tcW w:w="4520" w:type="dxa"/>
            <w:vAlign w:val="bottom"/>
            <w:tcBorders>
              <w:right w:val="single" w:sz="8" w:color="007CBA"/>
            </w:tcBorders>
            <w:shd w:val="clear" w:color="auto" w:fill="007CBA"/>
          </w:tcPr>
          <w:p>
            <w:pPr>
              <w:spacing w:after="0"/>
              <w:rPr>
                <w:sz w:val="15"/>
                <w:szCs w:val="15"/>
                <w:color w:val="auto"/>
              </w:rPr>
            </w:pPr>
          </w:p>
        </w:tc>
        <w:tc>
          <w:tcPr>
            <w:tcW w:w="180" w:type="dxa"/>
            <w:vAlign w:val="bottom"/>
            <w:shd w:val="clear" w:color="auto" w:fill="007CBA"/>
          </w:tcPr>
          <w:p>
            <w:pPr>
              <w:spacing w:after="0"/>
              <w:rPr>
                <w:sz w:val="15"/>
                <w:szCs w:val="15"/>
                <w:color w:val="auto"/>
              </w:rPr>
            </w:pPr>
          </w:p>
        </w:tc>
        <w:tc>
          <w:tcPr>
            <w:tcW w:w="1120" w:type="dxa"/>
            <w:vAlign w:val="bottom"/>
            <w:shd w:val="clear" w:color="auto" w:fill="007CBA"/>
          </w:tcPr>
          <w:p>
            <w:pPr>
              <w:jc w:val="center"/>
              <w:ind w:left="188"/>
              <w:spacing w:after="0"/>
              <w:rPr>
                <w:sz w:val="20"/>
                <w:szCs w:val="20"/>
                <w:color w:val="auto"/>
              </w:rPr>
            </w:pPr>
            <w:r>
              <w:rPr>
                <w:rFonts w:ascii="Calibri" w:cs="Calibri" w:eastAsia="Calibri" w:hAnsi="Calibri"/>
                <w:sz w:val="14"/>
                <w:szCs w:val="14"/>
                <w:b w:val="1"/>
                <w:bCs w:val="1"/>
                <w:color w:val="FFFFFF"/>
              </w:rPr>
              <w:t>of Clinker</w:t>
            </w:r>
          </w:p>
        </w:tc>
        <w:tc>
          <w:tcPr>
            <w:tcW w:w="280" w:type="dxa"/>
            <w:vAlign w:val="bottom"/>
            <w:tcBorders>
              <w:right w:val="single" w:sz="8" w:color="007CBA"/>
            </w:tcBorders>
            <w:shd w:val="clear" w:color="auto" w:fill="007CBA"/>
          </w:tcPr>
          <w:p>
            <w:pPr>
              <w:spacing w:after="0"/>
              <w:rPr>
                <w:sz w:val="15"/>
                <w:szCs w:val="15"/>
                <w:color w:val="auto"/>
              </w:rPr>
            </w:pPr>
          </w:p>
        </w:tc>
        <w:tc>
          <w:tcPr>
            <w:tcW w:w="1560" w:type="dxa"/>
            <w:vAlign w:val="bottom"/>
            <w:tcBorders>
              <w:right w:val="single" w:sz="8" w:color="007CBA"/>
            </w:tcBorders>
            <w:shd w:val="clear" w:color="auto" w:fill="007CBA"/>
          </w:tcPr>
          <w:p>
            <w:pPr>
              <w:jc w:val="center"/>
              <w:ind w:left="83"/>
              <w:spacing w:after="0"/>
              <w:rPr>
                <w:sz w:val="20"/>
                <w:szCs w:val="20"/>
                <w:color w:val="auto"/>
              </w:rPr>
            </w:pPr>
            <w:r>
              <w:rPr>
                <w:rFonts w:ascii="Calibri" w:cs="Calibri" w:eastAsia="Calibri" w:hAnsi="Calibri"/>
                <w:sz w:val="14"/>
                <w:szCs w:val="14"/>
                <w:b w:val="1"/>
                <w:bCs w:val="1"/>
                <w:color w:val="FFFFFF"/>
              </w:rPr>
              <w:t>Manufacturing</w:t>
            </w:r>
          </w:p>
        </w:tc>
        <w:tc>
          <w:tcPr>
            <w:tcW w:w="1840" w:type="dxa"/>
            <w:vAlign w:val="bottom"/>
            <w:tcBorders>
              <w:right w:val="single" w:sz="8" w:color="007CBA"/>
            </w:tcBorders>
            <w:shd w:val="clear" w:color="auto" w:fill="007CBA"/>
          </w:tcPr>
          <w:p>
            <w:pPr>
              <w:spacing w:after="0"/>
              <w:rPr>
                <w:sz w:val="15"/>
                <w:szCs w:val="15"/>
                <w:color w:val="auto"/>
              </w:rPr>
            </w:pPr>
          </w:p>
        </w:tc>
        <w:tc>
          <w:tcPr>
            <w:tcW w:w="1740" w:type="dxa"/>
            <w:vAlign w:val="bottom"/>
            <w:shd w:val="clear" w:color="auto" w:fill="007CBA"/>
          </w:tcPr>
          <w:p>
            <w:pPr>
              <w:jc w:val="center"/>
              <w:ind w:left="64"/>
              <w:spacing w:after="0"/>
              <w:rPr>
                <w:sz w:val="20"/>
                <w:szCs w:val="20"/>
                <w:color w:val="auto"/>
              </w:rPr>
            </w:pPr>
            <w:r>
              <w:rPr>
                <w:rFonts w:ascii="Calibri" w:cs="Calibri" w:eastAsia="Calibri" w:hAnsi="Calibri"/>
                <w:sz w:val="14"/>
                <w:szCs w:val="14"/>
                <w:b w:val="1"/>
                <w:bCs w:val="1"/>
                <w:color w:val="FFFFFF"/>
              </w:rPr>
              <w:t>Estmated</w:t>
            </w:r>
          </w:p>
        </w:tc>
      </w:tr>
      <w:tr>
        <w:trPr>
          <w:trHeight w:val="197"/>
        </w:trPr>
        <w:tc>
          <w:tcPr>
            <w:tcW w:w="4700" w:type="dxa"/>
            <w:vAlign w:val="bottom"/>
            <w:tcBorders>
              <w:bottom w:val="single" w:sz="8" w:color="007CBA"/>
            </w:tcBorders>
            <w:gridSpan w:val="2"/>
            <w:shd w:val="clear" w:color="auto" w:fill="007CBA"/>
          </w:tcPr>
          <w:p>
            <w:pPr>
              <w:ind w:left="100"/>
              <w:spacing w:after="0"/>
              <w:rPr>
                <w:sz w:val="20"/>
                <w:szCs w:val="20"/>
                <w:color w:val="auto"/>
              </w:rPr>
            </w:pPr>
            <w:r>
              <w:rPr>
                <w:rFonts w:ascii="Calibri" w:cs="Calibri" w:eastAsia="Calibri" w:hAnsi="Calibri"/>
                <w:sz w:val="14"/>
                <w:szCs w:val="14"/>
                <w:b w:val="1"/>
                <w:bCs w:val="1"/>
                <w:color w:val="FFFFFF"/>
              </w:rPr>
              <w:t>Plant</w:t>
            </w:r>
          </w:p>
        </w:tc>
        <w:tc>
          <w:tcPr>
            <w:tcW w:w="1120" w:type="dxa"/>
            <w:vAlign w:val="bottom"/>
            <w:tcBorders>
              <w:bottom w:val="single" w:sz="8" w:color="007CBA"/>
            </w:tcBorders>
            <w:shd w:val="clear" w:color="auto" w:fill="007CBA"/>
          </w:tcPr>
          <w:p>
            <w:pPr>
              <w:jc w:val="center"/>
              <w:ind w:left="188"/>
              <w:spacing w:after="0"/>
              <w:rPr>
                <w:sz w:val="20"/>
                <w:szCs w:val="20"/>
                <w:color w:val="auto"/>
              </w:rPr>
            </w:pPr>
            <w:r>
              <w:rPr>
                <w:rFonts w:ascii="Calibri" w:cs="Calibri" w:eastAsia="Calibri" w:hAnsi="Calibri"/>
                <w:sz w:val="14"/>
                <w:szCs w:val="14"/>
                <w:b w:val="1"/>
                <w:bCs w:val="1"/>
                <w:color w:val="FFFFFF"/>
              </w:rPr>
              <w:t>(in millions)</w:t>
            </w:r>
          </w:p>
        </w:tc>
        <w:tc>
          <w:tcPr>
            <w:tcW w:w="280" w:type="dxa"/>
            <w:vAlign w:val="bottom"/>
            <w:tcBorders>
              <w:bottom w:val="single" w:sz="8" w:color="007CBA"/>
              <w:right w:val="single" w:sz="8" w:color="007CBA"/>
            </w:tcBorders>
            <w:shd w:val="clear" w:color="auto" w:fill="007CBA"/>
          </w:tcPr>
          <w:p>
            <w:pPr>
              <w:spacing w:after="0"/>
              <w:rPr>
                <w:sz w:val="17"/>
                <w:szCs w:val="17"/>
                <w:color w:val="auto"/>
              </w:rPr>
            </w:pPr>
          </w:p>
        </w:tc>
        <w:tc>
          <w:tcPr>
            <w:tcW w:w="1560" w:type="dxa"/>
            <w:vAlign w:val="bottom"/>
            <w:tcBorders>
              <w:bottom w:val="single" w:sz="8" w:color="007CBA"/>
              <w:right w:val="single" w:sz="8" w:color="007CBA"/>
            </w:tcBorders>
            <w:shd w:val="clear" w:color="auto" w:fill="007CBA"/>
          </w:tcPr>
          <w:p>
            <w:pPr>
              <w:jc w:val="center"/>
              <w:ind w:left="83"/>
              <w:spacing w:after="0"/>
              <w:rPr>
                <w:sz w:val="20"/>
                <w:szCs w:val="20"/>
                <w:color w:val="auto"/>
              </w:rPr>
            </w:pPr>
            <w:r>
              <w:rPr>
                <w:rFonts w:ascii="Calibri" w:cs="Calibri" w:eastAsia="Calibri" w:hAnsi="Calibri"/>
                <w:sz w:val="14"/>
                <w:szCs w:val="14"/>
                <w:b w:val="1"/>
                <w:bCs w:val="1"/>
                <w:color w:val="FFFFFF"/>
                <w:w w:val="99"/>
              </w:rPr>
              <w:t>Process</w:t>
            </w:r>
          </w:p>
        </w:tc>
        <w:tc>
          <w:tcPr>
            <w:tcW w:w="1840" w:type="dxa"/>
            <w:vAlign w:val="bottom"/>
            <w:tcBorders>
              <w:bottom w:val="single" w:sz="8" w:color="007CBA"/>
              <w:right w:val="single" w:sz="8" w:color="007CBA"/>
            </w:tcBorders>
            <w:shd w:val="clear" w:color="auto" w:fill="007CBA"/>
          </w:tcPr>
          <w:p>
            <w:pPr>
              <w:ind w:left="620"/>
              <w:spacing w:after="0"/>
              <w:rPr>
                <w:sz w:val="20"/>
                <w:szCs w:val="20"/>
                <w:color w:val="auto"/>
              </w:rPr>
            </w:pPr>
            <w:r>
              <w:rPr>
                <w:rFonts w:ascii="Calibri" w:cs="Calibri" w:eastAsia="Calibri" w:hAnsi="Calibri"/>
                <w:sz w:val="14"/>
                <w:szCs w:val="14"/>
                <w:b w:val="1"/>
                <w:bCs w:val="1"/>
                <w:color w:val="FFFFFF"/>
              </w:rPr>
              <w:t>Service Date</w:t>
            </w:r>
          </w:p>
        </w:tc>
        <w:tc>
          <w:tcPr>
            <w:tcW w:w="1740" w:type="dxa"/>
            <w:vAlign w:val="bottom"/>
            <w:tcBorders>
              <w:bottom w:val="single" w:sz="8" w:color="007CBA"/>
            </w:tcBorders>
            <w:shd w:val="clear" w:color="auto" w:fill="007CBA"/>
          </w:tcPr>
          <w:p>
            <w:pPr>
              <w:jc w:val="center"/>
              <w:ind w:left="64"/>
              <w:spacing w:after="0"/>
              <w:rPr>
                <w:sz w:val="20"/>
                <w:szCs w:val="20"/>
                <w:color w:val="auto"/>
              </w:rPr>
            </w:pPr>
            <w:r>
              <w:rPr>
                <w:rFonts w:ascii="Calibri" w:cs="Calibri" w:eastAsia="Calibri" w:hAnsi="Calibri"/>
                <w:sz w:val="14"/>
                <w:szCs w:val="14"/>
                <w:b w:val="1"/>
                <w:bCs w:val="1"/>
                <w:color w:val="FFFFFF"/>
                <w:w w:val="99"/>
              </w:rPr>
              <w:t>Reserves—Years</w:t>
            </w:r>
          </w:p>
        </w:tc>
      </w:tr>
      <w:tr>
        <w:trPr>
          <w:trHeight w:val="193"/>
        </w:trPr>
        <w:tc>
          <w:tcPr>
            <w:tcW w:w="4520" w:type="dxa"/>
            <w:vAlign w:val="bottom"/>
            <w:tcBorders>
              <w:right w:val="single" w:sz="8" w:color="007CBA"/>
            </w:tcBorders>
          </w:tcPr>
          <w:p>
            <w:pPr>
              <w:ind w:left="120"/>
              <w:spacing w:after="0" w:line="193" w:lineRule="exact"/>
              <w:rPr>
                <w:sz w:val="20"/>
                <w:szCs w:val="20"/>
                <w:color w:val="auto"/>
              </w:rPr>
            </w:pPr>
            <w:r>
              <w:rPr>
                <w:rFonts w:ascii="Calibri" w:cs="Calibri" w:eastAsia="Calibri" w:hAnsi="Calibri"/>
                <w:sz w:val="16"/>
                <w:szCs w:val="16"/>
                <w:color w:val="auto"/>
              </w:rPr>
              <w:t>Midlothian, TX</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Borders>
              <w:right w:val="single" w:sz="8" w:color="007CBA"/>
            </w:tcBorders>
          </w:tcPr>
          <w:p>
            <w:pPr>
              <w:jc w:val="right"/>
              <w:spacing w:after="0" w:line="193" w:lineRule="exact"/>
              <w:rPr>
                <w:sz w:val="20"/>
                <w:szCs w:val="20"/>
                <w:color w:val="auto"/>
              </w:rPr>
            </w:pPr>
            <w:r>
              <w:rPr>
                <w:rFonts w:ascii="Calibri" w:cs="Calibri" w:eastAsia="Calibri" w:hAnsi="Calibri"/>
                <w:sz w:val="16"/>
                <w:szCs w:val="16"/>
                <w:color w:val="auto"/>
                <w:w w:val="98"/>
              </w:rPr>
              <w:t>2.4</w:t>
            </w:r>
          </w:p>
        </w:tc>
        <w:tc>
          <w:tcPr>
            <w:tcW w:w="1560" w:type="dxa"/>
            <w:vAlign w:val="bottom"/>
            <w:tcBorders>
              <w:right w:val="single" w:sz="8" w:color="007CBA"/>
            </w:tcBorders>
          </w:tcPr>
          <w:p>
            <w:pPr>
              <w:jc w:val="center"/>
              <w:ind w:left="63"/>
              <w:spacing w:after="0" w:line="193" w:lineRule="exact"/>
              <w:rPr>
                <w:sz w:val="20"/>
                <w:szCs w:val="20"/>
                <w:color w:val="auto"/>
              </w:rPr>
            </w:pPr>
            <w:r>
              <w:rPr>
                <w:rFonts w:ascii="Calibri" w:cs="Calibri" w:eastAsia="Calibri" w:hAnsi="Calibri"/>
                <w:sz w:val="16"/>
                <w:szCs w:val="16"/>
                <w:color w:val="auto"/>
                <w:w w:val="96"/>
              </w:rPr>
              <w:t>Dry</w:t>
            </w:r>
          </w:p>
        </w:tc>
        <w:tc>
          <w:tcPr>
            <w:tcW w:w="1840" w:type="dxa"/>
            <w:vAlign w:val="bottom"/>
            <w:tcBorders>
              <w:right w:val="single" w:sz="8" w:color="007CBA"/>
            </w:tcBorders>
          </w:tcPr>
          <w:p>
            <w:pPr>
              <w:jc w:val="center"/>
              <w:ind w:left="61"/>
              <w:spacing w:after="0" w:line="193" w:lineRule="exact"/>
              <w:rPr>
                <w:sz w:val="20"/>
                <w:szCs w:val="20"/>
                <w:color w:val="auto"/>
              </w:rPr>
            </w:pPr>
            <w:r>
              <w:rPr>
                <w:rFonts w:ascii="Calibri" w:cs="Calibri" w:eastAsia="Calibri" w:hAnsi="Calibri"/>
                <w:sz w:val="16"/>
                <w:szCs w:val="16"/>
                <w:color w:val="auto"/>
              </w:rPr>
              <w:t>2001</w:t>
            </w:r>
          </w:p>
        </w:tc>
        <w:tc>
          <w:tcPr>
            <w:tcW w:w="1740" w:type="dxa"/>
            <w:vAlign w:val="bottom"/>
          </w:tcPr>
          <w:p>
            <w:pPr>
              <w:jc w:val="center"/>
              <w:ind w:left="24"/>
              <w:spacing w:after="0" w:line="193" w:lineRule="exact"/>
              <w:rPr>
                <w:sz w:val="20"/>
                <w:szCs w:val="20"/>
                <w:color w:val="auto"/>
              </w:rPr>
            </w:pPr>
            <w:r>
              <w:rPr>
                <w:rFonts w:ascii="Calibri" w:cs="Calibri" w:eastAsia="Calibri" w:hAnsi="Calibri"/>
                <w:sz w:val="16"/>
                <w:szCs w:val="16"/>
                <w:color w:val="auto"/>
                <w:w w:val="98"/>
              </w:rPr>
              <w:t>60</w:t>
            </w:r>
          </w:p>
        </w:tc>
      </w:tr>
      <w:tr>
        <w:trPr>
          <w:trHeight w:val="36"/>
        </w:trPr>
        <w:tc>
          <w:tcPr>
            <w:tcW w:w="4520" w:type="dxa"/>
            <w:vAlign w:val="bottom"/>
            <w:tcBorders>
              <w:right w:val="single" w:sz="8" w:color="007CBA"/>
            </w:tcBorders>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80" w:type="dxa"/>
            <w:vAlign w:val="bottom"/>
            <w:tcBorders>
              <w:right w:val="single" w:sz="8" w:color="007CBA"/>
            </w:tcBorders>
          </w:tcPr>
          <w:p>
            <w:pPr>
              <w:spacing w:after="0"/>
              <w:rPr>
                <w:sz w:val="3"/>
                <w:szCs w:val="3"/>
                <w:color w:val="auto"/>
              </w:rPr>
            </w:pPr>
          </w:p>
        </w:tc>
        <w:tc>
          <w:tcPr>
            <w:tcW w:w="1560" w:type="dxa"/>
            <w:vAlign w:val="bottom"/>
            <w:tcBorders>
              <w:right w:val="single" w:sz="8" w:color="007CBA"/>
            </w:tcBorders>
          </w:tcPr>
          <w:p>
            <w:pPr>
              <w:spacing w:after="0"/>
              <w:rPr>
                <w:sz w:val="3"/>
                <w:szCs w:val="3"/>
                <w:color w:val="auto"/>
              </w:rPr>
            </w:pPr>
          </w:p>
        </w:tc>
        <w:tc>
          <w:tcPr>
            <w:tcW w:w="1840" w:type="dxa"/>
            <w:vAlign w:val="bottom"/>
            <w:tcBorders>
              <w:right w:val="single" w:sz="8" w:color="007CBA"/>
            </w:tcBorders>
          </w:tcPr>
          <w:p>
            <w:pPr>
              <w:spacing w:after="0"/>
              <w:rPr>
                <w:sz w:val="3"/>
                <w:szCs w:val="3"/>
                <w:color w:val="auto"/>
              </w:rPr>
            </w:pPr>
          </w:p>
        </w:tc>
        <w:tc>
          <w:tcPr>
            <w:tcW w:w="1740" w:type="dxa"/>
            <w:vAlign w:val="bottom"/>
          </w:tcPr>
          <w:p>
            <w:pPr>
              <w:spacing w:after="0"/>
              <w:rPr>
                <w:sz w:val="3"/>
                <w:szCs w:val="3"/>
                <w:color w:val="auto"/>
              </w:rPr>
            </w:pPr>
          </w:p>
        </w:tc>
      </w:tr>
      <w:tr>
        <w:trPr>
          <w:trHeight w:val="210"/>
        </w:trPr>
        <w:tc>
          <w:tcPr>
            <w:tcW w:w="4520" w:type="dxa"/>
            <w:vAlign w:val="bottom"/>
            <w:tcBorders>
              <w:bottom w:val="single" w:sz="8" w:color="E5F1F8"/>
              <w:right w:val="single" w:sz="8" w:color="007CBA"/>
            </w:tcBorders>
            <w:shd w:val="clear" w:color="auto" w:fill="E5F1F8"/>
          </w:tcPr>
          <w:p>
            <w:pPr>
              <w:ind w:left="120"/>
              <w:spacing w:after="0" w:line="193" w:lineRule="exact"/>
              <w:rPr>
                <w:sz w:val="20"/>
                <w:szCs w:val="20"/>
                <w:color w:val="auto"/>
              </w:rPr>
            </w:pPr>
            <w:r>
              <w:rPr>
                <w:rFonts w:ascii="Calibri" w:cs="Calibri" w:eastAsia="Calibri" w:hAnsi="Calibri"/>
                <w:sz w:val="16"/>
                <w:szCs w:val="16"/>
                <w:color w:val="auto"/>
              </w:rPr>
              <w:t>Hunter, TX</w:t>
            </w:r>
          </w:p>
        </w:tc>
        <w:tc>
          <w:tcPr>
            <w:tcW w:w="180" w:type="dxa"/>
            <w:vAlign w:val="bottom"/>
            <w:tcBorders>
              <w:bottom w:val="single" w:sz="8" w:color="E5F1F8"/>
            </w:tcBorders>
            <w:shd w:val="clear" w:color="auto" w:fill="E5F1F8"/>
          </w:tcPr>
          <w:p>
            <w:pPr>
              <w:spacing w:after="0"/>
              <w:rPr>
                <w:sz w:val="18"/>
                <w:szCs w:val="18"/>
                <w:color w:val="auto"/>
              </w:rPr>
            </w:pPr>
          </w:p>
        </w:tc>
        <w:tc>
          <w:tcPr>
            <w:tcW w:w="1120" w:type="dxa"/>
            <w:vAlign w:val="bottom"/>
            <w:tcBorders>
              <w:bottom w:val="single" w:sz="8" w:color="E5F1F8"/>
            </w:tcBorders>
            <w:shd w:val="clear" w:color="auto" w:fill="E5F1F8"/>
          </w:tcPr>
          <w:p>
            <w:pPr>
              <w:spacing w:after="0"/>
              <w:rPr>
                <w:sz w:val="18"/>
                <w:szCs w:val="18"/>
                <w:color w:val="auto"/>
              </w:rPr>
            </w:pPr>
          </w:p>
        </w:tc>
        <w:tc>
          <w:tcPr>
            <w:tcW w:w="280" w:type="dxa"/>
            <w:vAlign w:val="bottom"/>
            <w:tcBorders>
              <w:bottom w:val="single" w:sz="8" w:color="E5F1F8"/>
              <w:right w:val="single" w:sz="8" w:color="007CBA"/>
            </w:tcBorders>
            <w:shd w:val="clear" w:color="auto" w:fill="E5F1F8"/>
          </w:tcPr>
          <w:p>
            <w:pPr>
              <w:jc w:val="right"/>
              <w:spacing w:after="0" w:line="193" w:lineRule="exact"/>
              <w:rPr>
                <w:sz w:val="20"/>
                <w:szCs w:val="20"/>
                <w:color w:val="auto"/>
              </w:rPr>
            </w:pPr>
            <w:r>
              <w:rPr>
                <w:rFonts w:ascii="Calibri" w:cs="Calibri" w:eastAsia="Calibri" w:hAnsi="Calibri"/>
                <w:sz w:val="16"/>
                <w:szCs w:val="16"/>
                <w:color w:val="auto"/>
                <w:w w:val="98"/>
              </w:rPr>
              <w:t>2.1</w:t>
            </w:r>
          </w:p>
        </w:tc>
        <w:tc>
          <w:tcPr>
            <w:tcW w:w="1560" w:type="dxa"/>
            <w:vAlign w:val="bottom"/>
            <w:tcBorders>
              <w:bottom w:val="single" w:sz="8" w:color="E5F1F8"/>
              <w:right w:val="single" w:sz="8" w:color="007CBA"/>
            </w:tcBorders>
            <w:shd w:val="clear" w:color="auto" w:fill="E5F1F8"/>
          </w:tcPr>
          <w:p>
            <w:pPr>
              <w:jc w:val="center"/>
              <w:ind w:left="63"/>
              <w:spacing w:after="0" w:line="193" w:lineRule="exact"/>
              <w:rPr>
                <w:sz w:val="20"/>
                <w:szCs w:val="20"/>
                <w:color w:val="auto"/>
              </w:rPr>
            </w:pPr>
            <w:r>
              <w:rPr>
                <w:rFonts w:ascii="Calibri" w:cs="Calibri" w:eastAsia="Calibri" w:hAnsi="Calibri"/>
                <w:sz w:val="16"/>
                <w:szCs w:val="16"/>
                <w:color w:val="auto"/>
                <w:w w:val="96"/>
              </w:rPr>
              <w:t>Dry</w:t>
            </w:r>
          </w:p>
        </w:tc>
        <w:tc>
          <w:tcPr>
            <w:tcW w:w="1840" w:type="dxa"/>
            <w:vAlign w:val="bottom"/>
            <w:tcBorders>
              <w:bottom w:val="single" w:sz="8" w:color="E5F1F8"/>
              <w:right w:val="single" w:sz="8" w:color="007CBA"/>
            </w:tcBorders>
            <w:shd w:val="clear" w:color="auto" w:fill="E5F1F8"/>
          </w:tcPr>
          <w:p>
            <w:pPr>
              <w:jc w:val="center"/>
              <w:ind w:left="61"/>
              <w:spacing w:after="0" w:line="193" w:lineRule="exact"/>
              <w:rPr>
                <w:sz w:val="20"/>
                <w:szCs w:val="20"/>
                <w:color w:val="auto"/>
              </w:rPr>
            </w:pPr>
            <w:r>
              <w:rPr>
                <w:rFonts w:ascii="Calibri" w:cs="Calibri" w:eastAsia="Calibri" w:hAnsi="Calibri"/>
                <w:sz w:val="16"/>
                <w:szCs w:val="16"/>
                <w:color w:val="auto"/>
              </w:rPr>
              <w:t>2013, 1981</w:t>
            </w:r>
          </w:p>
        </w:tc>
        <w:tc>
          <w:tcPr>
            <w:tcW w:w="1740" w:type="dxa"/>
            <w:vAlign w:val="bottom"/>
            <w:tcBorders>
              <w:bottom w:val="single" w:sz="8" w:color="E5F1F8"/>
            </w:tcBorders>
            <w:shd w:val="clear" w:color="auto" w:fill="E5F1F8"/>
          </w:tcPr>
          <w:p>
            <w:pPr>
              <w:jc w:val="center"/>
              <w:ind w:left="24"/>
              <w:spacing w:after="0" w:line="193" w:lineRule="exact"/>
              <w:rPr>
                <w:sz w:val="20"/>
                <w:szCs w:val="20"/>
                <w:color w:val="auto"/>
              </w:rPr>
            </w:pPr>
            <w:r>
              <w:rPr>
                <w:rFonts w:ascii="Calibri" w:cs="Calibri" w:eastAsia="Calibri" w:hAnsi="Calibri"/>
                <w:sz w:val="16"/>
                <w:szCs w:val="16"/>
                <w:color w:val="auto"/>
                <w:w w:val="98"/>
              </w:rPr>
              <w:t>140</w:t>
            </w:r>
          </w:p>
        </w:tc>
      </w:tr>
      <w:tr>
        <w:trPr>
          <w:trHeight w:val="202"/>
        </w:trPr>
        <w:tc>
          <w:tcPr>
            <w:tcW w:w="4700" w:type="dxa"/>
            <w:vAlign w:val="bottom"/>
            <w:gridSpan w:val="2"/>
          </w:tcPr>
          <w:p>
            <w:pPr>
              <w:ind w:left="120"/>
              <w:spacing w:after="0" w:line="193" w:lineRule="exact"/>
              <w:rPr>
                <w:sz w:val="20"/>
                <w:szCs w:val="20"/>
                <w:color w:val="auto"/>
              </w:rPr>
            </w:pPr>
            <w:r>
              <w:rPr>
                <w:rFonts w:ascii="Calibri" w:cs="Calibri" w:eastAsia="Calibri" w:hAnsi="Calibri"/>
                <w:sz w:val="16"/>
                <w:szCs w:val="16"/>
                <w:color w:val="auto"/>
              </w:rPr>
              <w:t>Tehachapi, CA</w:t>
            </w:r>
          </w:p>
        </w:tc>
        <w:tc>
          <w:tcPr>
            <w:tcW w:w="1120" w:type="dxa"/>
            <w:vAlign w:val="bottom"/>
          </w:tcPr>
          <w:p>
            <w:pPr>
              <w:spacing w:after="0"/>
              <w:rPr>
                <w:sz w:val="17"/>
                <w:szCs w:val="17"/>
                <w:color w:val="auto"/>
              </w:rPr>
            </w:pPr>
          </w:p>
        </w:tc>
        <w:tc>
          <w:tcPr>
            <w:tcW w:w="280" w:type="dxa"/>
            <w:vAlign w:val="bottom"/>
          </w:tcPr>
          <w:p>
            <w:pPr>
              <w:jc w:val="right"/>
              <w:spacing w:after="0" w:line="193" w:lineRule="exact"/>
              <w:rPr>
                <w:sz w:val="20"/>
                <w:szCs w:val="20"/>
                <w:color w:val="auto"/>
              </w:rPr>
            </w:pPr>
            <w:r>
              <w:rPr>
                <w:rFonts w:ascii="Calibri" w:cs="Calibri" w:eastAsia="Calibri" w:hAnsi="Calibri"/>
                <w:sz w:val="16"/>
                <w:szCs w:val="16"/>
                <w:color w:val="auto"/>
                <w:w w:val="98"/>
              </w:rPr>
              <w:t>0.9</w:t>
            </w:r>
          </w:p>
        </w:tc>
        <w:tc>
          <w:tcPr>
            <w:tcW w:w="1560" w:type="dxa"/>
            <w:vAlign w:val="bottom"/>
            <w:tcBorders>
              <w:right w:val="single" w:sz="8" w:color="007CBA"/>
            </w:tcBorders>
          </w:tcPr>
          <w:p>
            <w:pPr>
              <w:jc w:val="center"/>
              <w:ind w:left="63"/>
              <w:spacing w:after="0"/>
              <w:rPr>
                <w:sz w:val="20"/>
                <w:szCs w:val="20"/>
                <w:color w:val="auto"/>
              </w:rPr>
            </w:pPr>
            <w:r>
              <w:rPr>
                <w:rFonts w:ascii="Calibri" w:cs="Calibri" w:eastAsia="Calibri" w:hAnsi="Calibri"/>
                <w:sz w:val="16"/>
                <w:szCs w:val="16"/>
                <w:color w:val="auto"/>
                <w:w w:val="96"/>
              </w:rPr>
              <w:t>Dry</w:t>
            </w:r>
          </w:p>
        </w:tc>
        <w:tc>
          <w:tcPr>
            <w:tcW w:w="1840" w:type="dxa"/>
            <w:vAlign w:val="bottom"/>
            <w:tcBorders>
              <w:right w:val="single" w:sz="8" w:color="007CBA"/>
            </w:tcBorders>
          </w:tcPr>
          <w:p>
            <w:pPr>
              <w:jc w:val="center"/>
              <w:ind w:left="61"/>
              <w:spacing w:after="0"/>
              <w:rPr>
                <w:sz w:val="20"/>
                <w:szCs w:val="20"/>
                <w:color w:val="auto"/>
              </w:rPr>
            </w:pPr>
            <w:r>
              <w:rPr>
                <w:rFonts w:ascii="Calibri" w:cs="Calibri" w:eastAsia="Calibri" w:hAnsi="Calibri"/>
                <w:sz w:val="16"/>
                <w:szCs w:val="16"/>
                <w:color w:val="auto"/>
              </w:rPr>
              <w:t>2018, 1990, 1908</w:t>
            </w:r>
          </w:p>
        </w:tc>
        <w:tc>
          <w:tcPr>
            <w:tcW w:w="1740" w:type="dxa"/>
            <w:vAlign w:val="bottom"/>
          </w:tcPr>
          <w:p>
            <w:pPr>
              <w:jc w:val="center"/>
              <w:ind w:left="24"/>
              <w:spacing w:after="0"/>
              <w:rPr>
                <w:sz w:val="20"/>
                <w:szCs w:val="20"/>
                <w:color w:val="auto"/>
              </w:rPr>
            </w:pPr>
            <w:r>
              <w:rPr>
                <w:rFonts w:ascii="Calibri" w:cs="Calibri" w:eastAsia="Calibri" w:hAnsi="Calibri"/>
                <w:sz w:val="16"/>
                <w:szCs w:val="16"/>
                <w:color w:val="auto"/>
                <w:w w:val="98"/>
              </w:rPr>
              <w:t>30</w:t>
            </w:r>
          </w:p>
        </w:tc>
      </w:tr>
      <w:tr>
        <w:trPr>
          <w:trHeight w:val="27"/>
        </w:trPr>
        <w:tc>
          <w:tcPr>
            <w:tcW w:w="47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right w:val="single" w:sz="8" w:color="007CBA"/>
            </w:tcBorders>
          </w:tcPr>
          <w:p>
            <w:pPr>
              <w:spacing w:after="0"/>
              <w:rPr>
                <w:sz w:val="2"/>
                <w:szCs w:val="2"/>
                <w:color w:val="auto"/>
              </w:rPr>
            </w:pPr>
          </w:p>
        </w:tc>
        <w:tc>
          <w:tcPr>
            <w:tcW w:w="1840" w:type="dxa"/>
            <w:vAlign w:val="bottom"/>
            <w:tcBorders>
              <w:right w:val="single" w:sz="8" w:color="007CBA"/>
            </w:tcBorders>
          </w:tcPr>
          <w:p>
            <w:pPr>
              <w:spacing w:after="0"/>
              <w:rPr>
                <w:sz w:val="2"/>
                <w:szCs w:val="2"/>
                <w:color w:val="auto"/>
              </w:rPr>
            </w:pPr>
          </w:p>
        </w:tc>
        <w:tc>
          <w:tcPr>
            <w:tcW w:w="1740" w:type="dxa"/>
            <w:vAlign w:val="bottom"/>
          </w:tcPr>
          <w:p>
            <w:pPr>
              <w:spacing w:after="0"/>
              <w:rPr>
                <w:sz w:val="2"/>
                <w:szCs w:val="2"/>
                <w:color w:val="auto"/>
              </w:rPr>
            </w:pPr>
          </w:p>
        </w:tc>
      </w:tr>
      <w:tr>
        <w:trPr>
          <w:trHeight w:val="203"/>
        </w:trPr>
        <w:tc>
          <w:tcPr>
            <w:tcW w:w="4520" w:type="dxa"/>
            <w:vAlign w:val="bottom"/>
            <w:tcBorders>
              <w:bottom w:val="single" w:sz="8" w:color="E5F1F8"/>
              <w:right w:val="single" w:sz="8" w:color="E5F1F8"/>
            </w:tcBorders>
            <w:shd w:val="clear" w:color="auto" w:fill="E5F1F8"/>
          </w:tcPr>
          <w:p>
            <w:pPr>
              <w:ind w:left="120"/>
              <w:spacing w:after="0" w:line="187" w:lineRule="exact"/>
              <w:rPr>
                <w:sz w:val="20"/>
                <w:szCs w:val="20"/>
                <w:color w:val="auto"/>
              </w:rPr>
            </w:pPr>
            <w:r>
              <w:rPr>
                <w:rFonts w:ascii="Calibri" w:cs="Calibri" w:eastAsia="Calibri" w:hAnsi="Calibri"/>
                <w:sz w:val="16"/>
                <w:szCs w:val="16"/>
                <w:color w:val="auto"/>
              </w:rPr>
              <w:t>Total</w:t>
            </w:r>
          </w:p>
        </w:tc>
        <w:tc>
          <w:tcPr>
            <w:tcW w:w="180" w:type="dxa"/>
            <w:vAlign w:val="bottom"/>
            <w:tcBorders>
              <w:bottom w:val="single" w:sz="8" w:color="E5F1F8"/>
            </w:tcBorders>
            <w:shd w:val="clear" w:color="auto" w:fill="E5F1F8"/>
          </w:tcPr>
          <w:p>
            <w:pPr>
              <w:spacing w:after="0"/>
              <w:rPr>
                <w:sz w:val="17"/>
                <w:szCs w:val="17"/>
                <w:color w:val="auto"/>
              </w:rPr>
            </w:pPr>
          </w:p>
        </w:tc>
        <w:tc>
          <w:tcPr>
            <w:tcW w:w="1120" w:type="dxa"/>
            <w:vAlign w:val="bottom"/>
            <w:tcBorders>
              <w:bottom w:val="single" w:sz="8" w:color="E5F1F8"/>
            </w:tcBorders>
            <w:shd w:val="clear" w:color="auto" w:fill="E5F1F8"/>
          </w:tcPr>
          <w:p>
            <w:pPr>
              <w:spacing w:after="0"/>
              <w:rPr>
                <w:sz w:val="17"/>
                <w:szCs w:val="17"/>
                <w:color w:val="auto"/>
              </w:rPr>
            </w:pPr>
          </w:p>
        </w:tc>
        <w:tc>
          <w:tcPr>
            <w:tcW w:w="280" w:type="dxa"/>
            <w:vAlign w:val="bottom"/>
            <w:tcBorders>
              <w:bottom w:val="single" w:sz="8" w:color="E5F1F8"/>
              <w:right w:val="single" w:sz="8" w:color="E5F1F8"/>
            </w:tcBorders>
            <w:shd w:val="clear" w:color="auto" w:fill="E5F1F8"/>
          </w:tcPr>
          <w:p>
            <w:pPr>
              <w:jc w:val="right"/>
              <w:spacing w:after="0" w:line="187" w:lineRule="exact"/>
              <w:rPr>
                <w:sz w:val="20"/>
                <w:szCs w:val="20"/>
                <w:color w:val="auto"/>
              </w:rPr>
            </w:pPr>
            <w:r>
              <w:rPr>
                <w:rFonts w:ascii="Calibri" w:cs="Calibri" w:eastAsia="Calibri" w:hAnsi="Calibri"/>
                <w:sz w:val="16"/>
                <w:szCs w:val="16"/>
                <w:color w:val="auto"/>
                <w:w w:val="98"/>
              </w:rPr>
              <w:t>5.4</w:t>
            </w:r>
          </w:p>
        </w:tc>
        <w:tc>
          <w:tcPr>
            <w:tcW w:w="1560" w:type="dxa"/>
            <w:vAlign w:val="bottom"/>
            <w:tcBorders>
              <w:bottom w:val="single" w:sz="8" w:color="E5F1F8"/>
              <w:right w:val="single" w:sz="8" w:color="E5F1F8"/>
            </w:tcBorders>
            <w:shd w:val="clear" w:color="auto" w:fill="E5F1F8"/>
          </w:tcPr>
          <w:p>
            <w:pPr>
              <w:spacing w:after="0"/>
              <w:rPr>
                <w:sz w:val="17"/>
                <w:szCs w:val="17"/>
                <w:color w:val="auto"/>
              </w:rPr>
            </w:pPr>
          </w:p>
        </w:tc>
        <w:tc>
          <w:tcPr>
            <w:tcW w:w="1840" w:type="dxa"/>
            <w:vAlign w:val="bottom"/>
            <w:tcBorders>
              <w:bottom w:val="single" w:sz="8" w:color="E5F1F8"/>
              <w:right w:val="single" w:sz="8" w:color="E5F1F8"/>
            </w:tcBorders>
            <w:shd w:val="clear" w:color="auto" w:fill="E5F1F8"/>
          </w:tcPr>
          <w:p>
            <w:pPr>
              <w:spacing w:after="0"/>
              <w:rPr>
                <w:sz w:val="17"/>
                <w:szCs w:val="17"/>
                <w:color w:val="auto"/>
              </w:rPr>
            </w:pPr>
          </w:p>
        </w:tc>
        <w:tc>
          <w:tcPr>
            <w:tcW w:w="1740" w:type="dxa"/>
            <w:vAlign w:val="bottom"/>
            <w:tcBorders>
              <w:bottom w:val="single" w:sz="8" w:color="E5F1F8"/>
            </w:tcBorders>
            <w:shd w:val="clear" w:color="auto" w:fill="E5F1F8"/>
          </w:tcPr>
          <w:p>
            <w:pPr>
              <w:spacing w:after="0"/>
              <w:rPr>
                <w:sz w:val="17"/>
                <w:szCs w:val="17"/>
                <w:color w:val="auto"/>
              </w:rPr>
            </w:pPr>
          </w:p>
        </w:tc>
      </w:tr>
      <w:tr>
        <w:trPr>
          <w:trHeight w:val="20"/>
        </w:trPr>
        <w:tc>
          <w:tcPr>
            <w:tcW w:w="45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560" w:type="dxa"/>
            <w:vAlign w:val="bottom"/>
            <w:tcBorders>
              <w:right w:val="single" w:sz="8" w:color="auto"/>
            </w:tcBorders>
            <w:shd w:val="clear" w:color="auto" w:fill="000000"/>
          </w:tcPr>
          <w:p>
            <w:pPr>
              <w:spacing w:after="0" w:line="20" w:lineRule="exact"/>
              <w:rPr>
                <w:sz w:val="1"/>
                <w:szCs w:val="1"/>
                <w:color w:val="auto"/>
              </w:rPr>
            </w:pPr>
          </w:p>
        </w:tc>
        <w:tc>
          <w:tcPr>
            <w:tcW w:w="1840" w:type="dxa"/>
            <w:vAlign w:val="bottom"/>
            <w:tcBorders>
              <w:right w:val="single" w:sz="8" w:color="auto"/>
            </w:tcBorders>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2846705</wp:posOffset>
            </wp:positionH>
            <wp:positionV relativeFrom="paragraph">
              <wp:posOffset>-320675</wp:posOffset>
            </wp:positionV>
            <wp:extent cx="4290060" cy="3340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4290060" cy="334010"/>
                    </a:xfrm>
                    <a:prstGeom prst="rect">
                      <a:avLst/>
                    </a:prstGeom>
                    <a:noFill/>
                  </pic:spPr>
                </pic:pic>
              </a:graphicData>
            </a:graphic>
          </wp:anchor>
        </w:drawing>
      </w:r>
    </w:p>
    <w:p>
      <w:pPr>
        <w:spacing w:after="0" w:line="1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Reserves identfed with the facilites shown above are contained on approximately 3,000 acres of land owned by the Company. As of December 31, 2022, the Company estmated its total proven and probable limestone reserves on such land to be approximately 717 million tons, which are included in the Summary Mineral Reserves table.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cement manufacturing facilites include kilns, crushers, pre-heaters/calciners, coolers, fnish mills and other equipment used to process limestone and other raw materials into cement, as well as equipment used to extract and transport the limestone from the adjacent quarries. These cement manufacturing facilites are served by rail and truck.</w:t>
      </w:r>
    </w:p>
    <w:p>
      <w:pPr>
        <w:spacing w:after="0" w:line="111"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As of December 31, 2022, the Company also operated, directly or through third partes, 11 cement distributon terminals, of which six are classifed as assets held for sale.</w:t>
      </w:r>
    </w:p>
    <w:p>
      <w:pPr>
        <w:spacing w:after="0" w:line="172"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Magnesia Specialtes Business</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Magnesia Specialtes business currently operates major manufacturing facilites in Manistee, Michigan, and Woodville, Ohio. Both of these facilites are owned.</w:t>
      </w:r>
    </w:p>
    <w:p>
      <w:pPr>
        <w:spacing w:after="0" w:line="172"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Other Propertes</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principal corporate ofce, which it leases, is located in Raleigh, North Carolina. The Company owns and leases various administratve ofces for its fve operatng business segments.</w:t>
      </w:r>
    </w:p>
    <w:p>
      <w:pPr>
        <w:spacing w:after="0" w:line="186"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Conditon and Utlizaton</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principal propertes, which are of varying ages and constructon types, are believed to be generally in good conditon, are generally well maintained, and are generally suitable and adequate for the purposes for which they are used.</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2022, the principal propertes of the aggregates operatons were believed to be utlized at average productve capacites of approximately 75% and were capable of supportng a higher level of market demand. The Company adjusts its producton schedules to meet volume demand for its products.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2022, the Texas cement kilns operated on average at 77% utlizaton. The Portland Cement Associaton (PCA) has projected that Texas cement consumpton will increase 2.0% in 2023 over 2022. The cement business’ leadership, in collaboraton with the aggregates and ready mixed concrete teams, has developed strategic plans regarding inter-plant efciencies, as well as tactcal plans addressing plant utlizaton and efciency.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Magnesia Specialtes business expects future organic earnings growth to result from increased pricing, product mix optmizaton, capacity expansion projects and/or cost reductons. In the current operatng environment, where steel utlizaton is between 72% and 77%, any unplanned change in costs or customers introduces volatlity to the earnings of the Magnesia Specialtes segment. The dolomitc lime business of the Magnesia Specialtes segment operated at 77% utlizaton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93345</wp:posOffset>
            </wp:positionV>
            <wp:extent cx="325755" cy="1968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2" w:name="page33"/>
    <w:bookmarkEnd w:id="32"/>
    <w:p>
      <w:pPr>
        <w:ind w:left="8120"/>
        <w:spacing w:after="0"/>
        <w:rPr>
          <w:sz w:val="20"/>
          <w:szCs w:val="20"/>
          <w:color w:val="auto"/>
        </w:rPr>
      </w:pPr>
      <w:r>
        <w:rPr>
          <w:rFonts w:ascii="Arial" w:cs="Arial" w:eastAsia="Arial" w:hAnsi="Arial"/>
          <w:sz w:val="23"/>
          <w:szCs w:val="23"/>
          <w:color w:val="0070C0"/>
        </w:rPr>
        <w:t xml:space="preserve">♦ </w:t>
      </w:r>
      <w:r>
        <w:rPr>
          <w:rFonts w:ascii="Calibri" w:cs="Calibri" w:eastAsia="Calibri" w:hAnsi="Calibri"/>
          <w:sz w:val="17"/>
          <w:szCs w:val="17"/>
          <w:color w:val="000000"/>
        </w:rPr>
        <w:t>Informaton About Our Executve Ofcers</w:t>
      </w:r>
    </w:p>
    <w:p>
      <w:pPr>
        <w:spacing w:after="0" w:line="226"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3 – LEGAL PROCEEDINGS</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From tme to tme, claims of various types are asserted against the Company arising out of its operatons in the normal course of business, including claims relatng to land use and permits, safety, health, and environmental maters (such as noise abatement, blastng, vibratons, air emissions, and water discharges). Such maters are subject to many uncertaintes, and it is not possible to determine the probable outcome of, or the amount of liability, if any, from these maters. In the opinion of management of the Company (which opinion is based in part upon consideraton of the opinion of counsel), based upon currently-available facts, it is remote that the ultmate outcome of any litgaton and other proceedings will have a material adverse efect on the overall results of the Company's operatons, its cash fows or its fnancial conditon. However, management cannot assure that an adverse outcome in any of such litgaton would not have a material adverse efect on the Company or its operatng segments.</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was not required to pay any penaltes in 2022 for failure to disclose certain “reportable transactons” under Secton 6707A of the Internal Revenue Code.</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See also “</w:t>
      </w:r>
      <w:r>
        <w:rPr>
          <w:rFonts w:ascii="Calibri" w:cs="Calibri" w:eastAsia="Calibri" w:hAnsi="Calibri"/>
          <w:sz w:val="18"/>
          <w:szCs w:val="18"/>
          <w:u w:val="single" w:color="auto"/>
          <w:color w:val="007DC6"/>
        </w:rPr>
        <w:t>Note O: Commitments and Contngencies</w:t>
      </w:r>
      <w:r>
        <w:rPr>
          <w:rFonts w:ascii="Calibri" w:cs="Calibri" w:eastAsia="Calibri" w:hAnsi="Calibri"/>
          <w:sz w:val="18"/>
          <w:szCs w:val="18"/>
          <w:color w:val="auto"/>
        </w:rPr>
        <w:t>” of the “</w:t>
      </w:r>
      <w:r>
        <w:rPr>
          <w:rFonts w:ascii="Calibri" w:cs="Calibri" w:eastAsia="Calibri" w:hAnsi="Calibri"/>
          <w:sz w:val="18"/>
          <w:szCs w:val="18"/>
          <w:u w:val="single" w:color="auto"/>
          <w:color w:val="007DC6"/>
        </w:rPr>
        <w:t>Notes to Financial Statements</w:t>
      </w:r>
      <w:r>
        <w:rPr>
          <w:rFonts w:ascii="Calibri" w:cs="Calibri" w:eastAsia="Calibri" w:hAnsi="Calibri"/>
          <w:sz w:val="18"/>
          <w:szCs w:val="18"/>
          <w:color w:val="auto"/>
        </w:rPr>
        <w:t xml:space="preserve">” of the Company’s consolidated fnancial statements included under </w:t>
      </w:r>
      <w:r>
        <w:rPr>
          <w:rFonts w:ascii="Calibri" w:cs="Calibri" w:eastAsia="Calibri" w:hAnsi="Calibri"/>
          <w:sz w:val="18"/>
          <w:szCs w:val="18"/>
          <w:u w:val="single" w:color="auto"/>
          <w:color w:val="007DC6"/>
        </w:rPr>
        <w:t>Item 8, “Financial Statements and Supplemental Data,”</w:t>
      </w:r>
      <w:r>
        <w:rPr>
          <w:rFonts w:ascii="Calibri" w:cs="Calibri" w:eastAsia="Calibri" w:hAnsi="Calibri"/>
          <w:sz w:val="18"/>
          <w:szCs w:val="18"/>
          <w:color w:val="auto"/>
        </w:rPr>
        <w:t xml:space="preserve"> of this Form 10-K and the “</w:t>
      </w:r>
      <w:r>
        <w:rPr>
          <w:rFonts w:ascii="Calibri" w:cs="Calibri" w:eastAsia="Calibri" w:hAnsi="Calibri"/>
          <w:sz w:val="18"/>
          <w:szCs w:val="18"/>
          <w:u w:val="single" w:color="auto"/>
          <w:color w:val="007DC6"/>
        </w:rPr>
        <w:t>Environmental Regulaton and Litgaton</w:t>
      </w:r>
      <w:r>
        <w:rPr>
          <w:rFonts w:ascii="Calibri" w:cs="Calibri" w:eastAsia="Calibri" w:hAnsi="Calibri"/>
          <w:sz w:val="18"/>
          <w:szCs w:val="18"/>
          <w:color w:val="auto"/>
        </w:rPr>
        <w:t xml:space="preserve">” secton included under </w:t>
      </w:r>
      <w:r>
        <w:rPr>
          <w:rFonts w:ascii="Calibri" w:cs="Calibri" w:eastAsia="Calibri" w:hAnsi="Calibri"/>
          <w:sz w:val="18"/>
          <w:szCs w:val="18"/>
          <w:u w:val="single" w:color="auto"/>
          <w:color w:val="007DC6"/>
        </w:rPr>
        <w:t>Item 7, “Management’s Discussion and Analysis of Financial Conditon and Results of Operatons,”</w:t>
      </w:r>
      <w:r>
        <w:rPr>
          <w:rFonts w:ascii="Calibri" w:cs="Calibri" w:eastAsia="Calibri" w:hAnsi="Calibri"/>
          <w:sz w:val="18"/>
          <w:szCs w:val="18"/>
          <w:color w:val="007DC6"/>
        </w:rPr>
        <w:t xml:space="preserve"> </w:t>
      </w:r>
      <w:r>
        <w:rPr>
          <w:rFonts w:ascii="Calibri" w:cs="Calibri" w:eastAsia="Calibri" w:hAnsi="Calibri"/>
          <w:sz w:val="18"/>
          <w:szCs w:val="18"/>
          <w:color w:val="000000"/>
        </w:rPr>
        <w:t>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-292100</wp:posOffset>
            </wp:positionV>
            <wp:extent cx="37547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3754755" cy="8255"/>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-154940</wp:posOffset>
            </wp:positionV>
            <wp:extent cx="56851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56851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440944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4409440" cy="8890"/>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4 – MINE SAFETY DISCLOSURES</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informaton concerning mine safety violatons or other regulatory maters required by Secton 1503(a) of the Dodd-Frank Wall Street Reform and Consumer Protecton Act and Item 104 of Regulaton S-K (17 CFR 229.104) is included in Exhibit 95 to this Form 10-K.</w:t>
      </w:r>
    </w:p>
    <w:p>
      <w:pPr>
        <w:spacing w:after="0" w:line="172"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Informaton about our Executve Ofcers</w:t>
      </w:r>
    </w:p>
    <w:p>
      <w:pPr>
        <w:spacing w:after="0" w:line="59"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sets forth certain informaton regarding the executve ofcers of Martn Marieta as of February 24, 2023:</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820" w:type="dxa"/>
            <w:vAlign w:val="bottom"/>
            <w:tcBorders>
              <w:right w:val="single" w:sz="8" w:color="007CBA"/>
            </w:tcBorders>
            <w:shd w:val="clear" w:color="auto" w:fill="007CBA"/>
          </w:tcPr>
          <w:p>
            <w:pPr>
              <w:spacing w:after="0"/>
              <w:rPr>
                <w:sz w:val="17"/>
                <w:szCs w:val="17"/>
                <w:color w:val="auto"/>
              </w:rPr>
            </w:pPr>
          </w:p>
        </w:tc>
        <w:tc>
          <w:tcPr>
            <w:tcW w:w="680" w:type="dxa"/>
            <w:vAlign w:val="bottom"/>
            <w:tcBorders>
              <w:right w:val="single" w:sz="8" w:color="007CBA"/>
            </w:tcBorders>
            <w:shd w:val="clear" w:color="auto" w:fill="007CBA"/>
          </w:tcPr>
          <w:p>
            <w:pPr>
              <w:spacing w:after="0"/>
              <w:rPr>
                <w:sz w:val="17"/>
                <w:szCs w:val="17"/>
                <w:color w:val="auto"/>
              </w:rPr>
            </w:pPr>
          </w:p>
        </w:tc>
        <w:tc>
          <w:tcPr>
            <w:tcW w:w="2460" w:type="dxa"/>
            <w:vAlign w:val="bottom"/>
            <w:tcBorders>
              <w:right w:val="single" w:sz="8" w:color="007CBA"/>
            </w:tcBorders>
            <w:shd w:val="clear" w:color="auto" w:fill="007CBA"/>
          </w:tcPr>
          <w:p>
            <w:pPr>
              <w:spacing w:after="0"/>
              <w:rPr>
                <w:sz w:val="17"/>
                <w:szCs w:val="17"/>
                <w:color w:val="auto"/>
              </w:rPr>
            </w:pPr>
          </w:p>
        </w:tc>
        <w:tc>
          <w:tcPr>
            <w:tcW w:w="1580" w:type="dxa"/>
            <w:vAlign w:val="bottom"/>
            <w:tcBorders>
              <w:right w:val="single" w:sz="8" w:color="007CBA"/>
            </w:tcBorders>
            <w:shd w:val="clear" w:color="auto" w:fill="007CBA"/>
          </w:tcPr>
          <w:p>
            <w:pPr>
              <w:jc w:val="center"/>
              <w:spacing w:after="0"/>
              <w:rPr>
                <w:sz w:val="20"/>
                <w:szCs w:val="20"/>
                <w:color w:val="auto"/>
              </w:rPr>
            </w:pPr>
            <w:r>
              <w:rPr>
                <w:rFonts w:ascii="Calibri" w:cs="Calibri" w:eastAsia="Calibri" w:hAnsi="Calibri"/>
                <w:sz w:val="16"/>
                <w:szCs w:val="16"/>
                <w:b w:val="1"/>
                <w:bCs w:val="1"/>
                <w:color w:val="FFFFFF"/>
              </w:rPr>
              <w:t>Year Assumed Present</w:t>
            </w:r>
          </w:p>
        </w:tc>
        <w:tc>
          <w:tcPr>
            <w:tcW w:w="4700" w:type="dxa"/>
            <w:vAlign w:val="bottom"/>
            <w:shd w:val="clear" w:color="auto" w:fill="007CBA"/>
          </w:tcPr>
          <w:p>
            <w:pPr>
              <w:ind w:left="1160"/>
              <w:spacing w:after="0"/>
              <w:rPr>
                <w:sz w:val="20"/>
                <w:szCs w:val="20"/>
                <w:color w:val="auto"/>
              </w:rPr>
            </w:pPr>
            <w:r>
              <w:rPr>
                <w:rFonts w:ascii="Calibri" w:cs="Calibri" w:eastAsia="Calibri" w:hAnsi="Calibri"/>
                <w:sz w:val="16"/>
                <w:szCs w:val="16"/>
                <w:b w:val="1"/>
                <w:bCs w:val="1"/>
                <w:color w:val="FFFFFF"/>
              </w:rPr>
              <w:t>Other Positons and Other Business</w:t>
            </w:r>
          </w:p>
        </w:tc>
      </w:tr>
      <w:tr>
        <w:trPr>
          <w:trHeight w:val="214"/>
        </w:trPr>
        <w:tc>
          <w:tcPr>
            <w:tcW w:w="1820" w:type="dxa"/>
            <w:vAlign w:val="bottom"/>
            <w:tcBorders>
              <w:bottom w:val="single" w:sz="8" w:color="007CBA"/>
              <w:right w:val="single" w:sz="8" w:color="007CBA"/>
            </w:tcBorders>
            <w:shd w:val="clear" w:color="auto" w:fill="007CBA"/>
          </w:tcPr>
          <w:p>
            <w:pPr>
              <w:ind w:left="760"/>
              <w:spacing w:after="0" w:line="193" w:lineRule="exact"/>
              <w:rPr>
                <w:sz w:val="20"/>
                <w:szCs w:val="20"/>
                <w:color w:val="auto"/>
              </w:rPr>
            </w:pPr>
            <w:r>
              <w:rPr>
                <w:rFonts w:ascii="Calibri" w:cs="Calibri" w:eastAsia="Calibri" w:hAnsi="Calibri"/>
                <w:sz w:val="16"/>
                <w:szCs w:val="16"/>
                <w:b w:val="1"/>
                <w:bCs w:val="1"/>
                <w:color w:val="FFFFFF"/>
              </w:rPr>
              <w:t>Name</w:t>
            </w:r>
          </w:p>
        </w:tc>
        <w:tc>
          <w:tcPr>
            <w:tcW w:w="680" w:type="dxa"/>
            <w:vAlign w:val="bottom"/>
            <w:tcBorders>
              <w:bottom w:val="single" w:sz="8" w:color="007CBA"/>
              <w:right w:val="single" w:sz="8" w:color="007CBA"/>
            </w:tcBorders>
            <w:shd w:val="clear" w:color="auto" w:fill="007CBA"/>
          </w:tcPr>
          <w:p>
            <w:pPr>
              <w:jc w:val="center"/>
              <w:spacing w:after="0" w:line="193" w:lineRule="exact"/>
              <w:rPr>
                <w:sz w:val="20"/>
                <w:szCs w:val="20"/>
                <w:color w:val="auto"/>
              </w:rPr>
            </w:pPr>
            <w:r>
              <w:rPr>
                <w:rFonts w:ascii="Calibri" w:cs="Calibri" w:eastAsia="Calibri" w:hAnsi="Calibri"/>
                <w:sz w:val="16"/>
                <w:szCs w:val="16"/>
                <w:b w:val="1"/>
                <w:bCs w:val="1"/>
                <w:color w:val="FFFFFF"/>
              </w:rPr>
              <w:t>Age</w:t>
            </w:r>
          </w:p>
        </w:tc>
        <w:tc>
          <w:tcPr>
            <w:tcW w:w="2460" w:type="dxa"/>
            <w:vAlign w:val="bottom"/>
            <w:tcBorders>
              <w:bottom w:val="single" w:sz="8" w:color="007CBA"/>
              <w:right w:val="single" w:sz="8" w:color="007CBA"/>
            </w:tcBorders>
            <w:shd w:val="clear" w:color="auto" w:fill="007CBA"/>
          </w:tcPr>
          <w:p>
            <w:pPr>
              <w:ind w:left="680"/>
              <w:spacing w:after="0" w:line="193" w:lineRule="exact"/>
              <w:rPr>
                <w:sz w:val="20"/>
                <w:szCs w:val="20"/>
                <w:color w:val="auto"/>
              </w:rPr>
            </w:pPr>
            <w:r>
              <w:rPr>
                <w:rFonts w:ascii="Calibri" w:cs="Calibri" w:eastAsia="Calibri" w:hAnsi="Calibri"/>
                <w:sz w:val="16"/>
                <w:szCs w:val="16"/>
                <w:b w:val="1"/>
                <w:bCs w:val="1"/>
                <w:color w:val="FFFFFF"/>
              </w:rPr>
              <w:t>Present Positon</w:t>
            </w:r>
          </w:p>
        </w:tc>
        <w:tc>
          <w:tcPr>
            <w:tcW w:w="1580" w:type="dxa"/>
            <w:vAlign w:val="bottom"/>
            <w:tcBorders>
              <w:bottom w:val="single" w:sz="8" w:color="007CBA"/>
              <w:right w:val="single" w:sz="8" w:color="007CBA"/>
            </w:tcBorders>
            <w:shd w:val="clear" w:color="auto" w:fill="007CBA"/>
          </w:tcPr>
          <w:p>
            <w:pPr>
              <w:jc w:val="center"/>
              <w:spacing w:after="0" w:line="193" w:lineRule="exact"/>
              <w:rPr>
                <w:sz w:val="20"/>
                <w:szCs w:val="20"/>
                <w:color w:val="auto"/>
              </w:rPr>
            </w:pPr>
            <w:r>
              <w:rPr>
                <w:rFonts w:ascii="Calibri" w:cs="Calibri" w:eastAsia="Calibri" w:hAnsi="Calibri"/>
                <w:sz w:val="16"/>
                <w:szCs w:val="16"/>
                <w:b w:val="1"/>
                <w:bCs w:val="1"/>
                <w:color w:val="FFFFFF"/>
              </w:rPr>
              <w:t>Positon</w:t>
            </w:r>
          </w:p>
        </w:tc>
        <w:tc>
          <w:tcPr>
            <w:tcW w:w="4700" w:type="dxa"/>
            <w:vAlign w:val="bottom"/>
            <w:tcBorders>
              <w:bottom w:val="single" w:sz="8" w:color="007CBA"/>
            </w:tcBorders>
            <w:shd w:val="clear" w:color="auto" w:fill="007CBA"/>
          </w:tcPr>
          <w:p>
            <w:pPr>
              <w:ind w:left="1100"/>
              <w:spacing w:after="0" w:line="193" w:lineRule="exact"/>
              <w:rPr>
                <w:sz w:val="20"/>
                <w:szCs w:val="20"/>
                <w:color w:val="auto"/>
              </w:rPr>
            </w:pPr>
            <w:r>
              <w:rPr>
                <w:rFonts w:ascii="Calibri" w:cs="Calibri" w:eastAsia="Calibri" w:hAnsi="Calibri"/>
                <w:sz w:val="16"/>
                <w:szCs w:val="16"/>
                <w:b w:val="1"/>
                <w:bCs w:val="1"/>
                <w:color w:val="FFFFFF"/>
              </w:rPr>
              <w:t>Experience Within the Last Five Years</w:t>
            </w:r>
          </w:p>
        </w:tc>
      </w:tr>
      <w:tr>
        <w:trPr>
          <w:trHeight w:val="193"/>
        </w:trPr>
        <w:tc>
          <w:tcPr>
            <w:tcW w:w="1820" w:type="dxa"/>
            <w:vAlign w:val="bottom"/>
            <w:tcBorders>
              <w:right w:val="single" w:sz="8" w:color="007CBA"/>
            </w:tcBorders>
            <w:shd w:val="clear" w:color="auto" w:fill="E5F1F8"/>
          </w:tcPr>
          <w:p>
            <w:pPr>
              <w:ind w:left="100"/>
              <w:spacing w:after="0" w:line="193" w:lineRule="exact"/>
              <w:rPr>
                <w:sz w:val="20"/>
                <w:szCs w:val="20"/>
                <w:color w:val="auto"/>
              </w:rPr>
            </w:pPr>
            <w:r>
              <w:rPr>
                <w:rFonts w:ascii="Calibri" w:cs="Calibri" w:eastAsia="Calibri" w:hAnsi="Calibri"/>
                <w:sz w:val="16"/>
                <w:szCs w:val="16"/>
                <w:color w:val="auto"/>
              </w:rPr>
              <w:t>C. Howard Nye</w:t>
            </w:r>
          </w:p>
        </w:tc>
        <w:tc>
          <w:tcPr>
            <w:tcW w:w="680" w:type="dxa"/>
            <w:vAlign w:val="bottom"/>
            <w:tcBorders>
              <w:right w:val="single" w:sz="8" w:color="007CBA"/>
            </w:tcBorders>
            <w:shd w:val="clear" w:color="auto" w:fill="E5F1F8"/>
          </w:tcPr>
          <w:p>
            <w:pPr>
              <w:jc w:val="center"/>
              <w:spacing w:after="0" w:line="193" w:lineRule="exact"/>
              <w:rPr>
                <w:sz w:val="20"/>
                <w:szCs w:val="20"/>
                <w:color w:val="auto"/>
              </w:rPr>
            </w:pPr>
            <w:r>
              <w:rPr>
                <w:rFonts w:ascii="Calibri" w:cs="Calibri" w:eastAsia="Calibri" w:hAnsi="Calibri"/>
                <w:sz w:val="16"/>
                <w:szCs w:val="16"/>
                <w:color w:val="auto"/>
                <w:w w:val="98"/>
              </w:rPr>
              <w:t>60</w:t>
            </w:r>
          </w:p>
        </w:tc>
        <w:tc>
          <w:tcPr>
            <w:tcW w:w="2460" w:type="dxa"/>
            <w:vAlign w:val="bottom"/>
            <w:tcBorders>
              <w:right w:val="single" w:sz="8" w:color="007CBA"/>
            </w:tcBorders>
            <w:shd w:val="clear" w:color="auto" w:fill="E5F1F8"/>
          </w:tcPr>
          <w:p>
            <w:pPr>
              <w:ind w:left="60"/>
              <w:spacing w:after="0" w:line="193" w:lineRule="exact"/>
              <w:rPr>
                <w:sz w:val="20"/>
                <w:szCs w:val="20"/>
                <w:color w:val="auto"/>
              </w:rPr>
            </w:pPr>
            <w:r>
              <w:rPr>
                <w:rFonts w:ascii="Calibri" w:cs="Calibri" w:eastAsia="Calibri" w:hAnsi="Calibri"/>
                <w:sz w:val="16"/>
                <w:szCs w:val="16"/>
                <w:color w:val="auto"/>
              </w:rPr>
              <w:t>Chairman of the Board;</w:t>
            </w:r>
          </w:p>
        </w:tc>
        <w:tc>
          <w:tcPr>
            <w:tcW w:w="1580" w:type="dxa"/>
            <w:vAlign w:val="bottom"/>
            <w:tcBorders>
              <w:right w:val="single" w:sz="8" w:color="007CBA"/>
            </w:tcBorders>
            <w:shd w:val="clear" w:color="auto" w:fill="E5F1F8"/>
          </w:tcPr>
          <w:p>
            <w:pPr>
              <w:jc w:val="center"/>
              <w:spacing w:after="0" w:line="193" w:lineRule="exact"/>
              <w:rPr>
                <w:sz w:val="20"/>
                <w:szCs w:val="20"/>
                <w:color w:val="auto"/>
              </w:rPr>
            </w:pPr>
            <w:r>
              <w:rPr>
                <w:rFonts w:ascii="Calibri" w:cs="Calibri" w:eastAsia="Calibri" w:hAnsi="Calibri"/>
                <w:sz w:val="16"/>
                <w:szCs w:val="16"/>
                <w:color w:val="auto"/>
                <w:w w:val="98"/>
              </w:rPr>
              <w:t>2014</w:t>
            </w:r>
          </w:p>
        </w:tc>
        <w:tc>
          <w:tcPr>
            <w:tcW w:w="4700" w:type="dxa"/>
            <w:vAlign w:val="bottom"/>
            <w:shd w:val="clear" w:color="auto" w:fill="E5F1F8"/>
          </w:tcPr>
          <w:p>
            <w:pPr>
              <w:spacing w:after="0"/>
              <w:rPr>
                <w:sz w:val="16"/>
                <w:szCs w:val="16"/>
                <w:color w:val="auto"/>
              </w:rPr>
            </w:pPr>
          </w:p>
        </w:tc>
      </w:tr>
      <w:tr>
        <w:trPr>
          <w:trHeight w:val="225"/>
        </w:trPr>
        <w:tc>
          <w:tcPr>
            <w:tcW w:w="1820" w:type="dxa"/>
            <w:vAlign w:val="bottom"/>
            <w:tcBorders>
              <w:right w:val="single" w:sz="8" w:color="007CBA"/>
            </w:tcBorders>
            <w:shd w:val="clear" w:color="auto" w:fill="E5F1F8"/>
          </w:tcPr>
          <w:p>
            <w:pPr>
              <w:spacing w:after="0"/>
              <w:rPr>
                <w:sz w:val="19"/>
                <w:szCs w:val="19"/>
                <w:color w:val="auto"/>
              </w:rPr>
            </w:pPr>
          </w:p>
        </w:tc>
        <w:tc>
          <w:tcPr>
            <w:tcW w:w="680" w:type="dxa"/>
            <w:vAlign w:val="bottom"/>
            <w:tcBorders>
              <w:right w:val="single" w:sz="8" w:color="007CBA"/>
            </w:tcBorders>
            <w:shd w:val="clear" w:color="auto" w:fill="E5F1F8"/>
          </w:tcPr>
          <w:p>
            <w:pPr>
              <w:spacing w:after="0"/>
              <w:rPr>
                <w:sz w:val="19"/>
                <w:szCs w:val="19"/>
                <w:color w:val="auto"/>
              </w:rPr>
            </w:pPr>
          </w:p>
        </w:tc>
        <w:tc>
          <w:tcPr>
            <w:tcW w:w="2460" w:type="dxa"/>
            <w:vAlign w:val="bottom"/>
            <w:tcBorders>
              <w:right w:val="single" w:sz="8" w:color="007CBA"/>
            </w:tcBorders>
            <w:shd w:val="clear" w:color="auto" w:fill="E5F1F8"/>
          </w:tcPr>
          <w:p>
            <w:pPr>
              <w:ind w:left="60"/>
              <w:spacing w:after="0"/>
              <w:rPr>
                <w:sz w:val="20"/>
                <w:szCs w:val="20"/>
                <w:color w:val="auto"/>
              </w:rPr>
            </w:pPr>
            <w:r>
              <w:rPr>
                <w:rFonts w:ascii="Calibri" w:cs="Calibri" w:eastAsia="Calibri" w:hAnsi="Calibri"/>
                <w:sz w:val="16"/>
                <w:szCs w:val="16"/>
                <w:color w:val="auto"/>
              </w:rPr>
              <w:t>Chief Executve Ofcer;</w:t>
            </w:r>
          </w:p>
        </w:tc>
        <w:tc>
          <w:tcPr>
            <w:tcW w:w="1580" w:type="dxa"/>
            <w:vAlign w:val="bottom"/>
            <w:tcBorders>
              <w:right w:val="single" w:sz="8" w:color="007CBA"/>
            </w:tcBorders>
            <w:shd w:val="clear" w:color="auto" w:fill="E5F1F8"/>
          </w:tcPr>
          <w:p>
            <w:pPr>
              <w:jc w:val="center"/>
              <w:spacing w:after="0"/>
              <w:rPr>
                <w:sz w:val="20"/>
                <w:szCs w:val="20"/>
                <w:color w:val="auto"/>
              </w:rPr>
            </w:pPr>
            <w:r>
              <w:rPr>
                <w:rFonts w:ascii="Calibri" w:cs="Calibri" w:eastAsia="Calibri" w:hAnsi="Calibri"/>
                <w:sz w:val="16"/>
                <w:szCs w:val="16"/>
                <w:color w:val="auto"/>
                <w:w w:val="98"/>
              </w:rPr>
              <w:t>2010</w:t>
            </w:r>
          </w:p>
        </w:tc>
        <w:tc>
          <w:tcPr>
            <w:tcW w:w="4700" w:type="dxa"/>
            <w:vAlign w:val="bottom"/>
            <w:shd w:val="clear" w:color="auto" w:fill="E5F1F8"/>
          </w:tcPr>
          <w:p>
            <w:pPr>
              <w:spacing w:after="0"/>
              <w:rPr>
                <w:sz w:val="19"/>
                <w:szCs w:val="19"/>
                <w:color w:val="auto"/>
              </w:rPr>
            </w:pPr>
          </w:p>
        </w:tc>
      </w:tr>
      <w:tr>
        <w:trPr>
          <w:trHeight w:val="243"/>
        </w:trPr>
        <w:tc>
          <w:tcPr>
            <w:tcW w:w="1820" w:type="dxa"/>
            <w:vAlign w:val="bottom"/>
            <w:tcBorders>
              <w:right w:val="single" w:sz="8" w:color="007CBA"/>
            </w:tcBorders>
            <w:shd w:val="clear" w:color="auto" w:fill="E5F1F8"/>
          </w:tcPr>
          <w:p>
            <w:pPr>
              <w:spacing w:after="0"/>
              <w:rPr>
                <w:sz w:val="21"/>
                <w:szCs w:val="21"/>
                <w:color w:val="auto"/>
              </w:rPr>
            </w:pPr>
          </w:p>
        </w:tc>
        <w:tc>
          <w:tcPr>
            <w:tcW w:w="680" w:type="dxa"/>
            <w:vAlign w:val="bottom"/>
            <w:tcBorders>
              <w:right w:val="single" w:sz="8" w:color="007CBA"/>
            </w:tcBorders>
            <w:shd w:val="clear" w:color="auto" w:fill="E5F1F8"/>
          </w:tcPr>
          <w:p>
            <w:pPr>
              <w:spacing w:after="0"/>
              <w:rPr>
                <w:sz w:val="21"/>
                <w:szCs w:val="21"/>
                <w:color w:val="auto"/>
              </w:rPr>
            </w:pPr>
          </w:p>
        </w:tc>
        <w:tc>
          <w:tcPr>
            <w:tcW w:w="2460" w:type="dxa"/>
            <w:vAlign w:val="bottom"/>
            <w:tcBorders>
              <w:right w:val="single" w:sz="8" w:color="007CBA"/>
            </w:tcBorders>
            <w:shd w:val="clear" w:color="auto" w:fill="E5F1F8"/>
          </w:tcPr>
          <w:p>
            <w:pPr>
              <w:ind w:left="60"/>
              <w:spacing w:after="0"/>
              <w:rPr>
                <w:sz w:val="20"/>
                <w:szCs w:val="20"/>
                <w:color w:val="auto"/>
              </w:rPr>
            </w:pPr>
            <w:r>
              <w:rPr>
                <w:rFonts w:ascii="Calibri" w:cs="Calibri" w:eastAsia="Calibri" w:hAnsi="Calibri"/>
                <w:sz w:val="16"/>
                <w:szCs w:val="16"/>
                <w:color w:val="auto"/>
              </w:rPr>
              <w:t>President;</w:t>
            </w:r>
          </w:p>
        </w:tc>
        <w:tc>
          <w:tcPr>
            <w:tcW w:w="1580" w:type="dxa"/>
            <w:vAlign w:val="bottom"/>
            <w:tcBorders>
              <w:right w:val="single" w:sz="8" w:color="007CBA"/>
            </w:tcBorders>
            <w:shd w:val="clear" w:color="auto" w:fill="E5F1F8"/>
          </w:tcPr>
          <w:p>
            <w:pPr>
              <w:jc w:val="center"/>
              <w:spacing w:after="0"/>
              <w:rPr>
                <w:sz w:val="20"/>
                <w:szCs w:val="20"/>
                <w:color w:val="auto"/>
              </w:rPr>
            </w:pPr>
            <w:r>
              <w:rPr>
                <w:rFonts w:ascii="Calibri" w:cs="Calibri" w:eastAsia="Calibri" w:hAnsi="Calibri"/>
                <w:sz w:val="16"/>
                <w:szCs w:val="16"/>
                <w:color w:val="auto"/>
                <w:w w:val="98"/>
              </w:rPr>
              <w:t>2006</w:t>
            </w:r>
          </w:p>
        </w:tc>
        <w:tc>
          <w:tcPr>
            <w:tcW w:w="4700" w:type="dxa"/>
            <w:vAlign w:val="bottom"/>
            <w:shd w:val="clear" w:color="auto" w:fill="E5F1F8"/>
          </w:tcPr>
          <w:p>
            <w:pPr>
              <w:spacing w:after="0"/>
              <w:rPr>
                <w:sz w:val="21"/>
                <w:szCs w:val="21"/>
                <w:color w:val="auto"/>
              </w:rPr>
            </w:pPr>
          </w:p>
        </w:tc>
      </w:tr>
      <w:tr>
        <w:trPr>
          <w:trHeight w:val="243"/>
        </w:trPr>
        <w:tc>
          <w:tcPr>
            <w:tcW w:w="1820" w:type="dxa"/>
            <w:vAlign w:val="bottom"/>
            <w:tcBorders>
              <w:right w:val="single" w:sz="8" w:color="007CBA"/>
            </w:tcBorders>
            <w:shd w:val="clear" w:color="auto" w:fill="E5F1F8"/>
          </w:tcPr>
          <w:p>
            <w:pPr>
              <w:spacing w:after="0"/>
              <w:rPr>
                <w:sz w:val="21"/>
                <w:szCs w:val="21"/>
                <w:color w:val="auto"/>
              </w:rPr>
            </w:pPr>
          </w:p>
        </w:tc>
        <w:tc>
          <w:tcPr>
            <w:tcW w:w="680" w:type="dxa"/>
            <w:vAlign w:val="bottom"/>
            <w:tcBorders>
              <w:right w:val="single" w:sz="8" w:color="007CBA"/>
            </w:tcBorders>
            <w:shd w:val="clear" w:color="auto" w:fill="E5F1F8"/>
          </w:tcPr>
          <w:p>
            <w:pPr>
              <w:spacing w:after="0"/>
              <w:rPr>
                <w:sz w:val="21"/>
                <w:szCs w:val="21"/>
                <w:color w:val="auto"/>
              </w:rPr>
            </w:pPr>
          </w:p>
        </w:tc>
        <w:tc>
          <w:tcPr>
            <w:tcW w:w="2460" w:type="dxa"/>
            <w:vAlign w:val="bottom"/>
            <w:tcBorders>
              <w:right w:val="single" w:sz="8" w:color="007CBA"/>
            </w:tcBorders>
            <w:shd w:val="clear" w:color="auto" w:fill="E5F1F8"/>
          </w:tcPr>
          <w:p>
            <w:pPr>
              <w:ind w:left="60"/>
              <w:spacing w:after="0"/>
              <w:rPr>
                <w:sz w:val="20"/>
                <w:szCs w:val="20"/>
                <w:color w:val="auto"/>
              </w:rPr>
            </w:pPr>
            <w:r>
              <w:rPr>
                <w:rFonts w:ascii="Calibri" w:cs="Calibri" w:eastAsia="Calibri" w:hAnsi="Calibri"/>
                <w:sz w:val="16"/>
                <w:szCs w:val="16"/>
                <w:color w:val="auto"/>
              </w:rPr>
              <w:t>President of Aggregates</w:t>
            </w:r>
          </w:p>
        </w:tc>
        <w:tc>
          <w:tcPr>
            <w:tcW w:w="1580" w:type="dxa"/>
            <w:vAlign w:val="bottom"/>
            <w:tcBorders>
              <w:right w:val="single" w:sz="8" w:color="007CBA"/>
            </w:tcBorders>
            <w:shd w:val="clear" w:color="auto" w:fill="E5F1F8"/>
          </w:tcPr>
          <w:p>
            <w:pPr>
              <w:jc w:val="center"/>
              <w:spacing w:after="0"/>
              <w:rPr>
                <w:sz w:val="20"/>
                <w:szCs w:val="20"/>
                <w:color w:val="auto"/>
              </w:rPr>
            </w:pPr>
            <w:r>
              <w:rPr>
                <w:rFonts w:ascii="Calibri" w:cs="Calibri" w:eastAsia="Calibri" w:hAnsi="Calibri"/>
                <w:sz w:val="16"/>
                <w:szCs w:val="16"/>
                <w:color w:val="auto"/>
                <w:w w:val="98"/>
              </w:rPr>
              <w:t>2010</w:t>
            </w:r>
          </w:p>
        </w:tc>
        <w:tc>
          <w:tcPr>
            <w:tcW w:w="4700" w:type="dxa"/>
            <w:vAlign w:val="bottom"/>
            <w:shd w:val="clear" w:color="auto" w:fill="E5F1F8"/>
          </w:tcPr>
          <w:p>
            <w:pPr>
              <w:spacing w:after="0"/>
              <w:rPr>
                <w:sz w:val="21"/>
                <w:szCs w:val="21"/>
                <w:color w:val="auto"/>
              </w:rPr>
            </w:pPr>
          </w:p>
        </w:tc>
      </w:tr>
      <w:tr>
        <w:trPr>
          <w:trHeight w:val="203"/>
        </w:trPr>
        <w:tc>
          <w:tcPr>
            <w:tcW w:w="1820" w:type="dxa"/>
            <w:vAlign w:val="bottom"/>
            <w:tcBorders>
              <w:right w:val="single" w:sz="8" w:color="007CBA"/>
            </w:tcBorders>
            <w:shd w:val="clear" w:color="auto" w:fill="E5F1F8"/>
          </w:tcPr>
          <w:p>
            <w:pPr>
              <w:spacing w:after="0"/>
              <w:rPr>
                <w:sz w:val="17"/>
                <w:szCs w:val="17"/>
                <w:color w:val="auto"/>
              </w:rPr>
            </w:pPr>
          </w:p>
        </w:tc>
        <w:tc>
          <w:tcPr>
            <w:tcW w:w="680" w:type="dxa"/>
            <w:vAlign w:val="bottom"/>
            <w:tcBorders>
              <w:right w:val="single" w:sz="8" w:color="007CBA"/>
            </w:tcBorders>
            <w:shd w:val="clear" w:color="auto" w:fill="E5F1F8"/>
          </w:tcPr>
          <w:p>
            <w:pPr>
              <w:spacing w:after="0"/>
              <w:rPr>
                <w:sz w:val="17"/>
                <w:szCs w:val="17"/>
                <w:color w:val="auto"/>
              </w:rPr>
            </w:pPr>
          </w:p>
        </w:tc>
        <w:tc>
          <w:tcPr>
            <w:tcW w:w="2460" w:type="dxa"/>
            <w:vAlign w:val="bottom"/>
            <w:tcBorders>
              <w:right w:val="single" w:sz="8" w:color="007CBA"/>
            </w:tcBorders>
            <w:shd w:val="clear" w:color="auto" w:fill="E5F1F8"/>
          </w:tcPr>
          <w:p>
            <w:pPr>
              <w:ind w:left="60"/>
              <w:spacing w:after="0"/>
              <w:rPr>
                <w:sz w:val="20"/>
                <w:szCs w:val="20"/>
                <w:color w:val="auto"/>
              </w:rPr>
            </w:pPr>
            <w:r>
              <w:rPr>
                <w:rFonts w:ascii="Calibri" w:cs="Calibri" w:eastAsia="Calibri" w:hAnsi="Calibri"/>
                <w:sz w:val="16"/>
                <w:szCs w:val="16"/>
                <w:color w:val="auto"/>
              </w:rPr>
              <w:t>Business;</w:t>
            </w:r>
          </w:p>
        </w:tc>
        <w:tc>
          <w:tcPr>
            <w:tcW w:w="1580" w:type="dxa"/>
            <w:vAlign w:val="bottom"/>
            <w:tcBorders>
              <w:right w:val="single" w:sz="8" w:color="007CBA"/>
            </w:tcBorders>
            <w:shd w:val="clear" w:color="auto" w:fill="E5F1F8"/>
          </w:tcPr>
          <w:p>
            <w:pPr>
              <w:spacing w:after="0"/>
              <w:rPr>
                <w:sz w:val="17"/>
                <w:szCs w:val="17"/>
                <w:color w:val="auto"/>
              </w:rPr>
            </w:pPr>
          </w:p>
        </w:tc>
        <w:tc>
          <w:tcPr>
            <w:tcW w:w="4700" w:type="dxa"/>
            <w:vAlign w:val="bottom"/>
            <w:shd w:val="clear" w:color="auto" w:fill="E5F1F8"/>
          </w:tcPr>
          <w:p>
            <w:pPr>
              <w:spacing w:after="0"/>
              <w:rPr>
                <w:sz w:val="17"/>
                <w:szCs w:val="17"/>
                <w:color w:val="auto"/>
              </w:rPr>
            </w:pPr>
          </w:p>
        </w:tc>
      </w:tr>
      <w:tr>
        <w:trPr>
          <w:trHeight w:val="229"/>
        </w:trPr>
        <w:tc>
          <w:tcPr>
            <w:tcW w:w="1820" w:type="dxa"/>
            <w:vAlign w:val="bottom"/>
            <w:tcBorders>
              <w:right w:val="single" w:sz="8" w:color="007CBA"/>
            </w:tcBorders>
            <w:shd w:val="clear" w:color="auto" w:fill="E5F1F8"/>
          </w:tcPr>
          <w:p>
            <w:pPr>
              <w:spacing w:after="0"/>
              <w:rPr>
                <w:sz w:val="19"/>
                <w:szCs w:val="19"/>
                <w:color w:val="auto"/>
              </w:rPr>
            </w:pPr>
          </w:p>
        </w:tc>
        <w:tc>
          <w:tcPr>
            <w:tcW w:w="680" w:type="dxa"/>
            <w:vAlign w:val="bottom"/>
            <w:tcBorders>
              <w:right w:val="single" w:sz="8" w:color="007CBA"/>
            </w:tcBorders>
            <w:shd w:val="clear" w:color="auto" w:fill="E5F1F8"/>
          </w:tcPr>
          <w:p>
            <w:pPr>
              <w:spacing w:after="0"/>
              <w:rPr>
                <w:sz w:val="19"/>
                <w:szCs w:val="19"/>
                <w:color w:val="auto"/>
              </w:rPr>
            </w:pPr>
          </w:p>
        </w:tc>
        <w:tc>
          <w:tcPr>
            <w:tcW w:w="2460" w:type="dxa"/>
            <w:vAlign w:val="bottom"/>
            <w:tcBorders>
              <w:right w:val="single" w:sz="8" w:color="007CBA"/>
            </w:tcBorders>
            <w:shd w:val="clear" w:color="auto" w:fill="E5F1F8"/>
          </w:tcPr>
          <w:p>
            <w:pPr>
              <w:ind w:left="60"/>
              <w:spacing w:after="0"/>
              <w:rPr>
                <w:sz w:val="20"/>
                <w:szCs w:val="20"/>
                <w:color w:val="auto"/>
              </w:rPr>
            </w:pPr>
            <w:r>
              <w:rPr>
                <w:rFonts w:ascii="Calibri" w:cs="Calibri" w:eastAsia="Calibri" w:hAnsi="Calibri"/>
                <w:sz w:val="16"/>
                <w:szCs w:val="16"/>
                <w:color w:val="auto"/>
              </w:rPr>
              <w:t>Chairman of Magnesia</w:t>
            </w:r>
          </w:p>
        </w:tc>
        <w:tc>
          <w:tcPr>
            <w:tcW w:w="1580" w:type="dxa"/>
            <w:vAlign w:val="bottom"/>
            <w:tcBorders>
              <w:right w:val="single" w:sz="8" w:color="007CBA"/>
            </w:tcBorders>
            <w:shd w:val="clear" w:color="auto" w:fill="E5F1F8"/>
          </w:tcPr>
          <w:p>
            <w:pPr>
              <w:jc w:val="center"/>
              <w:spacing w:after="0"/>
              <w:rPr>
                <w:sz w:val="20"/>
                <w:szCs w:val="20"/>
                <w:color w:val="auto"/>
              </w:rPr>
            </w:pPr>
            <w:r>
              <w:rPr>
                <w:rFonts w:ascii="Calibri" w:cs="Calibri" w:eastAsia="Calibri" w:hAnsi="Calibri"/>
                <w:sz w:val="16"/>
                <w:szCs w:val="16"/>
                <w:color w:val="auto"/>
                <w:w w:val="98"/>
              </w:rPr>
              <w:t>2007</w:t>
            </w:r>
          </w:p>
        </w:tc>
        <w:tc>
          <w:tcPr>
            <w:tcW w:w="4700" w:type="dxa"/>
            <w:vAlign w:val="bottom"/>
            <w:shd w:val="clear" w:color="auto" w:fill="E5F1F8"/>
          </w:tcPr>
          <w:p>
            <w:pPr>
              <w:spacing w:after="0"/>
              <w:rPr>
                <w:sz w:val="19"/>
                <w:szCs w:val="19"/>
                <w:color w:val="auto"/>
              </w:rPr>
            </w:pPr>
          </w:p>
        </w:tc>
      </w:tr>
      <w:tr>
        <w:trPr>
          <w:trHeight w:val="224"/>
        </w:trPr>
        <w:tc>
          <w:tcPr>
            <w:tcW w:w="1820" w:type="dxa"/>
            <w:vAlign w:val="bottom"/>
            <w:tcBorders>
              <w:bottom w:val="single" w:sz="8" w:color="E5F1F8"/>
              <w:right w:val="single" w:sz="8" w:color="007CBA"/>
            </w:tcBorders>
            <w:shd w:val="clear" w:color="auto" w:fill="E5F1F8"/>
          </w:tcPr>
          <w:p>
            <w:pPr>
              <w:spacing w:after="0"/>
              <w:rPr>
                <w:sz w:val="19"/>
                <w:szCs w:val="19"/>
                <w:color w:val="auto"/>
              </w:rPr>
            </w:pPr>
          </w:p>
        </w:tc>
        <w:tc>
          <w:tcPr>
            <w:tcW w:w="680" w:type="dxa"/>
            <w:vAlign w:val="bottom"/>
            <w:tcBorders>
              <w:bottom w:val="single" w:sz="8" w:color="E5F1F8"/>
              <w:right w:val="single" w:sz="8" w:color="007CBA"/>
            </w:tcBorders>
            <w:shd w:val="clear" w:color="auto" w:fill="E5F1F8"/>
          </w:tcPr>
          <w:p>
            <w:pPr>
              <w:spacing w:after="0"/>
              <w:rPr>
                <w:sz w:val="19"/>
                <w:szCs w:val="19"/>
                <w:color w:val="auto"/>
              </w:rPr>
            </w:pPr>
          </w:p>
        </w:tc>
        <w:tc>
          <w:tcPr>
            <w:tcW w:w="2460" w:type="dxa"/>
            <w:vAlign w:val="bottom"/>
            <w:tcBorders>
              <w:bottom w:val="single" w:sz="8" w:color="E5F1F8"/>
              <w:right w:val="single" w:sz="8" w:color="007CBA"/>
            </w:tcBorders>
            <w:shd w:val="clear" w:color="auto" w:fill="E5F1F8"/>
          </w:tcPr>
          <w:p>
            <w:pPr>
              <w:ind w:left="60"/>
              <w:spacing w:after="0"/>
              <w:rPr>
                <w:sz w:val="20"/>
                <w:szCs w:val="20"/>
                <w:color w:val="auto"/>
              </w:rPr>
            </w:pPr>
            <w:r>
              <w:rPr>
                <w:rFonts w:ascii="Calibri" w:cs="Calibri" w:eastAsia="Calibri" w:hAnsi="Calibri"/>
                <w:sz w:val="16"/>
                <w:szCs w:val="16"/>
                <w:color w:val="auto"/>
              </w:rPr>
              <w:t>Specialtes Business</w:t>
            </w:r>
          </w:p>
        </w:tc>
        <w:tc>
          <w:tcPr>
            <w:tcW w:w="1580" w:type="dxa"/>
            <w:vAlign w:val="bottom"/>
            <w:tcBorders>
              <w:bottom w:val="single" w:sz="8" w:color="E5F1F8"/>
              <w:right w:val="single" w:sz="8" w:color="007CBA"/>
            </w:tcBorders>
            <w:shd w:val="clear" w:color="auto" w:fill="E5F1F8"/>
          </w:tcPr>
          <w:p>
            <w:pPr>
              <w:spacing w:after="0"/>
              <w:rPr>
                <w:sz w:val="19"/>
                <w:szCs w:val="19"/>
                <w:color w:val="auto"/>
              </w:rPr>
            </w:pPr>
          </w:p>
        </w:tc>
        <w:tc>
          <w:tcPr>
            <w:tcW w:w="4700" w:type="dxa"/>
            <w:vAlign w:val="bottom"/>
            <w:tcBorders>
              <w:bottom w:val="single" w:sz="8" w:color="E5F1F8"/>
            </w:tcBorders>
            <w:shd w:val="clear" w:color="auto" w:fill="E5F1F8"/>
          </w:tcPr>
          <w:p>
            <w:pPr>
              <w:spacing w:after="0"/>
              <w:rPr>
                <w:sz w:val="19"/>
                <w:szCs w:val="19"/>
                <w:color w:val="auto"/>
              </w:rPr>
            </w:pPr>
          </w:p>
        </w:tc>
      </w:tr>
      <w:tr>
        <w:trPr>
          <w:trHeight w:val="193"/>
        </w:trPr>
        <w:tc>
          <w:tcPr>
            <w:tcW w:w="1820" w:type="dxa"/>
            <w:vAlign w:val="bottom"/>
            <w:tcBorders>
              <w:right w:val="single" w:sz="8" w:color="007CBA"/>
            </w:tcBorders>
          </w:tcPr>
          <w:p>
            <w:pPr>
              <w:ind w:left="100"/>
              <w:spacing w:after="0" w:line="193" w:lineRule="exact"/>
              <w:rPr>
                <w:sz w:val="20"/>
                <w:szCs w:val="20"/>
                <w:color w:val="auto"/>
              </w:rPr>
            </w:pPr>
            <w:r>
              <w:rPr>
                <w:rFonts w:ascii="Calibri" w:cs="Calibri" w:eastAsia="Calibri" w:hAnsi="Calibri"/>
                <w:sz w:val="16"/>
                <w:szCs w:val="16"/>
                <w:color w:val="auto"/>
              </w:rPr>
              <w:t>James A. J. Nickolas</w:t>
            </w:r>
          </w:p>
        </w:tc>
        <w:tc>
          <w:tcPr>
            <w:tcW w:w="680" w:type="dxa"/>
            <w:vAlign w:val="bottom"/>
            <w:tcBorders>
              <w:right w:val="single" w:sz="8" w:color="007CBA"/>
            </w:tcBorders>
          </w:tcPr>
          <w:p>
            <w:pPr>
              <w:jc w:val="center"/>
              <w:spacing w:after="0" w:line="193" w:lineRule="exact"/>
              <w:rPr>
                <w:sz w:val="20"/>
                <w:szCs w:val="20"/>
                <w:color w:val="auto"/>
              </w:rPr>
            </w:pPr>
            <w:r>
              <w:rPr>
                <w:rFonts w:ascii="Calibri" w:cs="Calibri" w:eastAsia="Calibri" w:hAnsi="Calibri"/>
                <w:sz w:val="16"/>
                <w:szCs w:val="16"/>
                <w:color w:val="auto"/>
                <w:w w:val="98"/>
              </w:rPr>
              <w:t>52</w:t>
            </w:r>
          </w:p>
        </w:tc>
        <w:tc>
          <w:tcPr>
            <w:tcW w:w="2460" w:type="dxa"/>
            <w:vAlign w:val="bottom"/>
            <w:tcBorders>
              <w:right w:val="single" w:sz="8" w:color="007CBA"/>
            </w:tcBorders>
          </w:tcPr>
          <w:p>
            <w:pPr>
              <w:ind w:left="60"/>
              <w:spacing w:after="0" w:line="193" w:lineRule="exact"/>
              <w:rPr>
                <w:sz w:val="20"/>
                <w:szCs w:val="20"/>
                <w:color w:val="auto"/>
              </w:rPr>
            </w:pPr>
            <w:r>
              <w:rPr>
                <w:rFonts w:ascii="Calibri" w:cs="Calibri" w:eastAsia="Calibri" w:hAnsi="Calibri"/>
                <w:sz w:val="16"/>
                <w:szCs w:val="16"/>
                <w:color w:val="auto"/>
              </w:rPr>
              <w:t>Senior Vice President, Chief</w:t>
            </w:r>
          </w:p>
        </w:tc>
        <w:tc>
          <w:tcPr>
            <w:tcW w:w="1580" w:type="dxa"/>
            <w:vAlign w:val="bottom"/>
            <w:tcBorders>
              <w:right w:val="single" w:sz="8" w:color="007CBA"/>
            </w:tcBorders>
          </w:tcPr>
          <w:p>
            <w:pPr>
              <w:jc w:val="center"/>
              <w:spacing w:after="0" w:line="193" w:lineRule="exact"/>
              <w:rPr>
                <w:sz w:val="20"/>
                <w:szCs w:val="20"/>
                <w:color w:val="auto"/>
              </w:rPr>
            </w:pPr>
            <w:r>
              <w:rPr>
                <w:rFonts w:ascii="Calibri" w:cs="Calibri" w:eastAsia="Calibri" w:hAnsi="Calibri"/>
                <w:sz w:val="16"/>
                <w:szCs w:val="16"/>
                <w:color w:val="auto"/>
                <w:w w:val="98"/>
              </w:rPr>
              <w:t>2017</w:t>
            </w:r>
          </w:p>
        </w:tc>
        <w:tc>
          <w:tcPr>
            <w:tcW w:w="4700" w:type="dxa"/>
            <w:vAlign w:val="bottom"/>
          </w:tcPr>
          <w:p>
            <w:pPr>
              <w:ind w:left="100"/>
              <w:spacing w:after="0" w:line="193" w:lineRule="exact"/>
              <w:rPr>
                <w:sz w:val="20"/>
                <w:szCs w:val="20"/>
                <w:color w:val="auto"/>
              </w:rPr>
            </w:pPr>
            <w:r>
              <w:rPr>
                <w:rFonts w:ascii="Calibri" w:cs="Calibri" w:eastAsia="Calibri" w:hAnsi="Calibri"/>
                <w:sz w:val="16"/>
                <w:szCs w:val="16"/>
                <w:color w:val="auto"/>
              </w:rPr>
              <w:t>Principal Accountng Ofcer (2019)</w:t>
            </w:r>
          </w:p>
        </w:tc>
      </w:tr>
      <w:tr>
        <w:trPr>
          <w:trHeight w:val="198"/>
        </w:trPr>
        <w:tc>
          <w:tcPr>
            <w:tcW w:w="1820" w:type="dxa"/>
            <w:vAlign w:val="bottom"/>
            <w:tcBorders>
              <w:right w:val="single" w:sz="8" w:color="007CBA"/>
            </w:tcBorders>
          </w:tcPr>
          <w:p>
            <w:pPr>
              <w:spacing w:after="0"/>
              <w:rPr>
                <w:sz w:val="17"/>
                <w:szCs w:val="17"/>
                <w:color w:val="auto"/>
              </w:rPr>
            </w:pPr>
          </w:p>
        </w:tc>
        <w:tc>
          <w:tcPr>
            <w:tcW w:w="680" w:type="dxa"/>
            <w:vAlign w:val="bottom"/>
            <w:tcBorders>
              <w:right w:val="single" w:sz="8" w:color="007CBA"/>
            </w:tcBorders>
          </w:tcPr>
          <w:p>
            <w:pPr>
              <w:spacing w:after="0"/>
              <w:rPr>
                <w:sz w:val="17"/>
                <w:szCs w:val="17"/>
                <w:color w:val="auto"/>
              </w:rPr>
            </w:pPr>
          </w:p>
        </w:tc>
        <w:tc>
          <w:tcPr>
            <w:tcW w:w="2460" w:type="dxa"/>
            <w:vAlign w:val="bottom"/>
            <w:tcBorders>
              <w:right w:val="single" w:sz="8" w:color="007CBA"/>
            </w:tcBorders>
          </w:tcPr>
          <w:p>
            <w:pPr>
              <w:ind w:left="60"/>
              <w:spacing w:after="0"/>
              <w:rPr>
                <w:sz w:val="20"/>
                <w:szCs w:val="20"/>
                <w:color w:val="auto"/>
              </w:rPr>
            </w:pPr>
            <w:r>
              <w:rPr>
                <w:rFonts w:ascii="Calibri" w:cs="Calibri" w:eastAsia="Calibri" w:hAnsi="Calibri"/>
                <w:sz w:val="16"/>
                <w:szCs w:val="16"/>
                <w:color w:val="auto"/>
              </w:rPr>
              <w:t>Financial Ofcer</w:t>
            </w:r>
          </w:p>
        </w:tc>
        <w:tc>
          <w:tcPr>
            <w:tcW w:w="1580" w:type="dxa"/>
            <w:vAlign w:val="bottom"/>
            <w:tcBorders>
              <w:right w:val="single" w:sz="8" w:color="007CBA"/>
            </w:tcBorders>
          </w:tcPr>
          <w:p>
            <w:pPr>
              <w:spacing w:after="0"/>
              <w:rPr>
                <w:sz w:val="17"/>
                <w:szCs w:val="17"/>
                <w:color w:val="auto"/>
              </w:rPr>
            </w:pPr>
          </w:p>
        </w:tc>
        <w:tc>
          <w:tcPr>
            <w:tcW w:w="4700" w:type="dxa"/>
            <w:vAlign w:val="bottom"/>
          </w:tcPr>
          <w:p>
            <w:pPr>
              <w:spacing w:after="0"/>
              <w:rPr>
                <w:sz w:val="17"/>
                <w:szCs w:val="17"/>
                <w:color w:val="auto"/>
              </w:rPr>
            </w:pPr>
          </w:p>
        </w:tc>
      </w:tr>
      <w:tr>
        <w:trPr>
          <w:trHeight w:val="41"/>
        </w:trPr>
        <w:tc>
          <w:tcPr>
            <w:tcW w:w="1820" w:type="dxa"/>
            <w:vAlign w:val="bottom"/>
            <w:tcBorders>
              <w:right w:val="single" w:sz="8" w:color="007CBA"/>
            </w:tcBorders>
          </w:tcPr>
          <w:p>
            <w:pPr>
              <w:spacing w:after="0"/>
              <w:rPr>
                <w:sz w:val="3"/>
                <w:szCs w:val="3"/>
                <w:color w:val="auto"/>
              </w:rPr>
            </w:pPr>
          </w:p>
        </w:tc>
        <w:tc>
          <w:tcPr>
            <w:tcW w:w="680" w:type="dxa"/>
            <w:vAlign w:val="bottom"/>
            <w:tcBorders>
              <w:right w:val="single" w:sz="8" w:color="007CBA"/>
            </w:tcBorders>
          </w:tcPr>
          <w:p>
            <w:pPr>
              <w:spacing w:after="0"/>
              <w:rPr>
                <w:sz w:val="3"/>
                <w:szCs w:val="3"/>
                <w:color w:val="auto"/>
              </w:rPr>
            </w:pPr>
          </w:p>
        </w:tc>
        <w:tc>
          <w:tcPr>
            <w:tcW w:w="2460" w:type="dxa"/>
            <w:vAlign w:val="bottom"/>
            <w:tcBorders>
              <w:right w:val="single" w:sz="8" w:color="007CBA"/>
            </w:tcBorders>
          </w:tcPr>
          <w:p>
            <w:pPr>
              <w:spacing w:after="0"/>
              <w:rPr>
                <w:sz w:val="3"/>
                <w:szCs w:val="3"/>
                <w:color w:val="auto"/>
              </w:rPr>
            </w:pPr>
          </w:p>
        </w:tc>
        <w:tc>
          <w:tcPr>
            <w:tcW w:w="1580" w:type="dxa"/>
            <w:vAlign w:val="bottom"/>
            <w:tcBorders>
              <w:right w:val="single" w:sz="8" w:color="007CBA"/>
            </w:tcBorders>
          </w:tcPr>
          <w:p>
            <w:pPr>
              <w:spacing w:after="0"/>
              <w:rPr>
                <w:sz w:val="3"/>
                <w:szCs w:val="3"/>
                <w:color w:val="auto"/>
              </w:rPr>
            </w:pPr>
          </w:p>
        </w:tc>
        <w:tc>
          <w:tcPr>
            <w:tcW w:w="4700" w:type="dxa"/>
            <w:vAlign w:val="bottom"/>
          </w:tcPr>
          <w:p>
            <w:pPr>
              <w:spacing w:after="0"/>
              <w:rPr>
                <w:sz w:val="3"/>
                <w:szCs w:val="3"/>
                <w:color w:val="auto"/>
              </w:rPr>
            </w:pPr>
          </w:p>
        </w:tc>
      </w:tr>
      <w:tr>
        <w:trPr>
          <w:trHeight w:val="194"/>
        </w:trPr>
        <w:tc>
          <w:tcPr>
            <w:tcW w:w="1820" w:type="dxa"/>
            <w:vAlign w:val="bottom"/>
            <w:tcBorders>
              <w:right w:val="single" w:sz="8" w:color="007CBA"/>
            </w:tcBorders>
            <w:shd w:val="clear" w:color="auto" w:fill="E5F1F8"/>
          </w:tcPr>
          <w:p>
            <w:pPr>
              <w:ind w:left="100"/>
              <w:spacing w:after="0" w:line="193" w:lineRule="exact"/>
              <w:rPr>
                <w:sz w:val="20"/>
                <w:szCs w:val="20"/>
                <w:color w:val="auto"/>
              </w:rPr>
            </w:pPr>
            <w:r>
              <w:rPr>
                <w:rFonts w:ascii="Calibri" w:cs="Calibri" w:eastAsia="Calibri" w:hAnsi="Calibri"/>
                <w:sz w:val="16"/>
                <w:szCs w:val="16"/>
                <w:color w:val="auto"/>
              </w:rPr>
              <w:t>Roselyn R. Bar</w:t>
            </w:r>
          </w:p>
        </w:tc>
        <w:tc>
          <w:tcPr>
            <w:tcW w:w="680" w:type="dxa"/>
            <w:vAlign w:val="bottom"/>
            <w:tcBorders>
              <w:right w:val="single" w:sz="8" w:color="007CBA"/>
            </w:tcBorders>
            <w:shd w:val="clear" w:color="auto" w:fill="E5F1F8"/>
          </w:tcPr>
          <w:p>
            <w:pPr>
              <w:jc w:val="center"/>
              <w:spacing w:after="0" w:line="193" w:lineRule="exact"/>
              <w:rPr>
                <w:sz w:val="20"/>
                <w:szCs w:val="20"/>
                <w:color w:val="auto"/>
              </w:rPr>
            </w:pPr>
            <w:r>
              <w:rPr>
                <w:rFonts w:ascii="Calibri" w:cs="Calibri" w:eastAsia="Calibri" w:hAnsi="Calibri"/>
                <w:sz w:val="16"/>
                <w:szCs w:val="16"/>
                <w:color w:val="auto"/>
                <w:w w:val="98"/>
              </w:rPr>
              <w:t>64</w:t>
            </w:r>
          </w:p>
        </w:tc>
        <w:tc>
          <w:tcPr>
            <w:tcW w:w="2460" w:type="dxa"/>
            <w:vAlign w:val="bottom"/>
            <w:tcBorders>
              <w:right w:val="single" w:sz="8" w:color="007CBA"/>
            </w:tcBorders>
            <w:shd w:val="clear" w:color="auto" w:fill="E5F1F8"/>
          </w:tcPr>
          <w:p>
            <w:pPr>
              <w:ind w:left="60"/>
              <w:spacing w:after="0" w:line="193" w:lineRule="exact"/>
              <w:rPr>
                <w:sz w:val="20"/>
                <w:szCs w:val="20"/>
                <w:color w:val="auto"/>
              </w:rPr>
            </w:pPr>
            <w:r>
              <w:rPr>
                <w:rFonts w:ascii="Calibri" w:cs="Calibri" w:eastAsia="Calibri" w:hAnsi="Calibri"/>
                <w:sz w:val="16"/>
                <w:szCs w:val="16"/>
                <w:color w:val="auto"/>
              </w:rPr>
              <w:t>Executve Vice President;</w:t>
            </w:r>
          </w:p>
        </w:tc>
        <w:tc>
          <w:tcPr>
            <w:tcW w:w="1580" w:type="dxa"/>
            <w:vAlign w:val="bottom"/>
            <w:tcBorders>
              <w:right w:val="single" w:sz="8" w:color="007CBA"/>
            </w:tcBorders>
            <w:shd w:val="clear" w:color="auto" w:fill="E5F1F8"/>
          </w:tcPr>
          <w:p>
            <w:pPr>
              <w:jc w:val="center"/>
              <w:spacing w:after="0" w:line="193" w:lineRule="exact"/>
              <w:rPr>
                <w:sz w:val="20"/>
                <w:szCs w:val="20"/>
                <w:color w:val="auto"/>
              </w:rPr>
            </w:pPr>
            <w:r>
              <w:rPr>
                <w:rFonts w:ascii="Calibri" w:cs="Calibri" w:eastAsia="Calibri" w:hAnsi="Calibri"/>
                <w:sz w:val="16"/>
                <w:szCs w:val="16"/>
                <w:color w:val="auto"/>
                <w:w w:val="98"/>
              </w:rPr>
              <w:t>2015</w:t>
            </w:r>
          </w:p>
        </w:tc>
        <w:tc>
          <w:tcPr>
            <w:tcW w:w="4700" w:type="dxa"/>
            <w:vAlign w:val="bottom"/>
            <w:shd w:val="clear" w:color="auto" w:fill="E5F1F8"/>
          </w:tcPr>
          <w:p>
            <w:pPr>
              <w:spacing w:after="0"/>
              <w:rPr>
                <w:sz w:val="16"/>
                <w:szCs w:val="16"/>
                <w:color w:val="auto"/>
              </w:rPr>
            </w:pPr>
          </w:p>
        </w:tc>
      </w:tr>
      <w:tr>
        <w:trPr>
          <w:trHeight w:val="224"/>
        </w:trPr>
        <w:tc>
          <w:tcPr>
            <w:tcW w:w="1820" w:type="dxa"/>
            <w:vAlign w:val="bottom"/>
            <w:tcBorders>
              <w:right w:val="single" w:sz="8" w:color="007CBA"/>
            </w:tcBorders>
            <w:shd w:val="clear" w:color="auto" w:fill="E5F1F8"/>
          </w:tcPr>
          <w:p>
            <w:pPr>
              <w:spacing w:after="0"/>
              <w:rPr>
                <w:sz w:val="19"/>
                <w:szCs w:val="19"/>
                <w:color w:val="auto"/>
              </w:rPr>
            </w:pPr>
          </w:p>
        </w:tc>
        <w:tc>
          <w:tcPr>
            <w:tcW w:w="680" w:type="dxa"/>
            <w:vAlign w:val="bottom"/>
            <w:tcBorders>
              <w:right w:val="single" w:sz="8" w:color="007CBA"/>
            </w:tcBorders>
            <w:shd w:val="clear" w:color="auto" w:fill="E5F1F8"/>
          </w:tcPr>
          <w:p>
            <w:pPr>
              <w:spacing w:after="0"/>
              <w:rPr>
                <w:sz w:val="19"/>
                <w:szCs w:val="19"/>
                <w:color w:val="auto"/>
              </w:rPr>
            </w:pPr>
          </w:p>
        </w:tc>
        <w:tc>
          <w:tcPr>
            <w:tcW w:w="2460" w:type="dxa"/>
            <w:vAlign w:val="bottom"/>
            <w:tcBorders>
              <w:right w:val="single" w:sz="8" w:color="007CBA"/>
            </w:tcBorders>
            <w:shd w:val="clear" w:color="auto" w:fill="E5F1F8"/>
          </w:tcPr>
          <w:p>
            <w:pPr>
              <w:ind w:left="60"/>
              <w:spacing w:after="0"/>
              <w:rPr>
                <w:sz w:val="20"/>
                <w:szCs w:val="20"/>
                <w:color w:val="auto"/>
              </w:rPr>
            </w:pPr>
            <w:r>
              <w:rPr>
                <w:rFonts w:ascii="Calibri" w:cs="Calibri" w:eastAsia="Calibri" w:hAnsi="Calibri"/>
                <w:sz w:val="16"/>
                <w:szCs w:val="16"/>
                <w:color w:val="auto"/>
              </w:rPr>
              <w:t>General Counsel;</w:t>
            </w:r>
          </w:p>
        </w:tc>
        <w:tc>
          <w:tcPr>
            <w:tcW w:w="1580" w:type="dxa"/>
            <w:vAlign w:val="bottom"/>
            <w:tcBorders>
              <w:right w:val="single" w:sz="8" w:color="007CBA"/>
            </w:tcBorders>
            <w:shd w:val="clear" w:color="auto" w:fill="E5F1F8"/>
          </w:tcPr>
          <w:p>
            <w:pPr>
              <w:jc w:val="center"/>
              <w:spacing w:after="0"/>
              <w:rPr>
                <w:sz w:val="20"/>
                <w:szCs w:val="20"/>
                <w:color w:val="auto"/>
              </w:rPr>
            </w:pPr>
            <w:r>
              <w:rPr>
                <w:rFonts w:ascii="Calibri" w:cs="Calibri" w:eastAsia="Calibri" w:hAnsi="Calibri"/>
                <w:sz w:val="16"/>
                <w:szCs w:val="16"/>
                <w:color w:val="auto"/>
                <w:w w:val="98"/>
              </w:rPr>
              <w:t>2001</w:t>
            </w:r>
          </w:p>
        </w:tc>
        <w:tc>
          <w:tcPr>
            <w:tcW w:w="4700" w:type="dxa"/>
            <w:vAlign w:val="bottom"/>
            <w:shd w:val="clear" w:color="auto" w:fill="E5F1F8"/>
          </w:tcPr>
          <w:p>
            <w:pPr>
              <w:spacing w:after="0"/>
              <w:rPr>
                <w:sz w:val="19"/>
                <w:szCs w:val="19"/>
                <w:color w:val="auto"/>
              </w:rPr>
            </w:pPr>
          </w:p>
        </w:tc>
      </w:tr>
      <w:tr>
        <w:trPr>
          <w:trHeight w:val="278"/>
        </w:trPr>
        <w:tc>
          <w:tcPr>
            <w:tcW w:w="1820" w:type="dxa"/>
            <w:vAlign w:val="bottom"/>
            <w:tcBorders>
              <w:bottom w:val="single" w:sz="8" w:color="E5F1F8"/>
              <w:right w:val="single" w:sz="8" w:color="007CBA"/>
            </w:tcBorders>
            <w:shd w:val="clear" w:color="auto" w:fill="E5F1F8"/>
          </w:tcPr>
          <w:p>
            <w:pPr>
              <w:spacing w:after="0"/>
              <w:rPr>
                <w:sz w:val="24"/>
                <w:szCs w:val="24"/>
                <w:color w:val="auto"/>
              </w:rPr>
            </w:pPr>
          </w:p>
        </w:tc>
        <w:tc>
          <w:tcPr>
            <w:tcW w:w="680" w:type="dxa"/>
            <w:vAlign w:val="bottom"/>
            <w:tcBorders>
              <w:bottom w:val="single" w:sz="8" w:color="E5F1F8"/>
              <w:right w:val="single" w:sz="8" w:color="007CBA"/>
            </w:tcBorders>
            <w:shd w:val="clear" w:color="auto" w:fill="E5F1F8"/>
          </w:tcPr>
          <w:p>
            <w:pPr>
              <w:spacing w:after="0"/>
              <w:rPr>
                <w:sz w:val="24"/>
                <w:szCs w:val="24"/>
                <w:color w:val="auto"/>
              </w:rPr>
            </w:pPr>
          </w:p>
        </w:tc>
        <w:tc>
          <w:tcPr>
            <w:tcW w:w="2460" w:type="dxa"/>
            <w:vAlign w:val="bottom"/>
            <w:tcBorders>
              <w:bottom w:val="single" w:sz="8" w:color="E5F1F8"/>
              <w:right w:val="single" w:sz="8" w:color="007CBA"/>
            </w:tcBorders>
            <w:shd w:val="clear" w:color="auto" w:fill="E5F1F8"/>
          </w:tcPr>
          <w:p>
            <w:pPr>
              <w:ind w:left="60"/>
              <w:spacing w:after="0"/>
              <w:rPr>
                <w:sz w:val="20"/>
                <w:szCs w:val="20"/>
                <w:color w:val="auto"/>
              </w:rPr>
            </w:pPr>
            <w:r>
              <w:rPr>
                <w:rFonts w:ascii="Calibri" w:cs="Calibri" w:eastAsia="Calibri" w:hAnsi="Calibri"/>
                <w:sz w:val="16"/>
                <w:szCs w:val="16"/>
                <w:color w:val="auto"/>
              </w:rPr>
              <w:t>Corporate Secretary</w:t>
            </w:r>
          </w:p>
        </w:tc>
        <w:tc>
          <w:tcPr>
            <w:tcW w:w="1580" w:type="dxa"/>
            <w:vAlign w:val="bottom"/>
            <w:tcBorders>
              <w:bottom w:val="single" w:sz="8" w:color="E5F1F8"/>
              <w:right w:val="single" w:sz="8" w:color="007CBA"/>
            </w:tcBorders>
            <w:shd w:val="clear" w:color="auto" w:fill="E5F1F8"/>
          </w:tcPr>
          <w:p>
            <w:pPr>
              <w:jc w:val="center"/>
              <w:spacing w:after="0"/>
              <w:rPr>
                <w:sz w:val="20"/>
                <w:szCs w:val="20"/>
                <w:color w:val="auto"/>
              </w:rPr>
            </w:pPr>
            <w:r>
              <w:rPr>
                <w:rFonts w:ascii="Calibri" w:cs="Calibri" w:eastAsia="Calibri" w:hAnsi="Calibri"/>
                <w:sz w:val="16"/>
                <w:szCs w:val="16"/>
                <w:color w:val="auto"/>
                <w:w w:val="98"/>
              </w:rPr>
              <w:t>1997</w:t>
            </w:r>
          </w:p>
        </w:tc>
        <w:tc>
          <w:tcPr>
            <w:tcW w:w="4700" w:type="dxa"/>
            <w:vAlign w:val="bottom"/>
            <w:tcBorders>
              <w:bottom w:val="single" w:sz="8" w:color="E5F1F8"/>
            </w:tcBorders>
            <w:shd w:val="clear" w:color="auto" w:fill="E5F1F8"/>
          </w:tcPr>
          <w:p>
            <w:pPr>
              <w:spacing w:after="0"/>
              <w:rPr>
                <w:sz w:val="24"/>
                <w:szCs w:val="24"/>
                <w:color w:val="auto"/>
              </w:rPr>
            </w:pPr>
          </w:p>
        </w:tc>
      </w:tr>
      <w:tr>
        <w:trPr>
          <w:trHeight w:val="194"/>
        </w:trPr>
        <w:tc>
          <w:tcPr>
            <w:tcW w:w="1820" w:type="dxa"/>
            <w:vAlign w:val="bottom"/>
            <w:tcBorders>
              <w:right w:val="single" w:sz="8" w:color="007CBA"/>
            </w:tcBorders>
          </w:tcPr>
          <w:p>
            <w:pPr>
              <w:ind w:left="120"/>
              <w:spacing w:after="0" w:line="193" w:lineRule="exact"/>
              <w:rPr>
                <w:sz w:val="20"/>
                <w:szCs w:val="20"/>
                <w:color w:val="auto"/>
              </w:rPr>
            </w:pPr>
            <w:r>
              <w:rPr>
                <w:rFonts w:ascii="Calibri" w:cs="Calibri" w:eastAsia="Calibri" w:hAnsi="Calibri"/>
                <w:sz w:val="16"/>
                <w:szCs w:val="16"/>
                <w:color w:val="auto"/>
              </w:rPr>
              <w:t>Oliver W. Brooks</w:t>
            </w:r>
          </w:p>
        </w:tc>
        <w:tc>
          <w:tcPr>
            <w:tcW w:w="680" w:type="dxa"/>
            <w:vAlign w:val="bottom"/>
            <w:tcBorders>
              <w:right w:val="single" w:sz="8" w:color="007CBA"/>
            </w:tcBorders>
          </w:tcPr>
          <w:p>
            <w:pPr>
              <w:jc w:val="center"/>
              <w:spacing w:after="0" w:line="193" w:lineRule="exact"/>
              <w:rPr>
                <w:sz w:val="20"/>
                <w:szCs w:val="20"/>
                <w:color w:val="auto"/>
              </w:rPr>
            </w:pPr>
            <w:r>
              <w:rPr>
                <w:rFonts w:ascii="Calibri" w:cs="Calibri" w:eastAsia="Calibri" w:hAnsi="Calibri"/>
                <w:sz w:val="16"/>
                <w:szCs w:val="16"/>
                <w:color w:val="auto"/>
                <w:w w:val="98"/>
              </w:rPr>
              <w:t>37</w:t>
            </w:r>
          </w:p>
        </w:tc>
        <w:tc>
          <w:tcPr>
            <w:tcW w:w="2460" w:type="dxa"/>
            <w:vAlign w:val="bottom"/>
            <w:tcBorders>
              <w:right w:val="single" w:sz="8" w:color="007CBA"/>
            </w:tcBorders>
          </w:tcPr>
          <w:p>
            <w:pPr>
              <w:ind w:left="60"/>
              <w:spacing w:after="0" w:line="193" w:lineRule="exact"/>
              <w:rPr>
                <w:sz w:val="20"/>
                <w:szCs w:val="20"/>
                <w:color w:val="auto"/>
              </w:rPr>
            </w:pPr>
            <w:r>
              <w:rPr>
                <w:rFonts w:ascii="Calibri" w:cs="Calibri" w:eastAsia="Calibri" w:hAnsi="Calibri"/>
                <w:sz w:val="16"/>
                <w:szCs w:val="16"/>
                <w:color w:val="auto"/>
              </w:rPr>
              <w:t>Senior Vice President,</w:t>
            </w:r>
          </w:p>
        </w:tc>
        <w:tc>
          <w:tcPr>
            <w:tcW w:w="1580" w:type="dxa"/>
            <w:vAlign w:val="bottom"/>
            <w:tcBorders>
              <w:right w:val="single" w:sz="8" w:color="007CBA"/>
            </w:tcBorders>
          </w:tcPr>
          <w:p>
            <w:pPr>
              <w:jc w:val="center"/>
              <w:spacing w:after="0" w:line="193" w:lineRule="exact"/>
              <w:rPr>
                <w:sz w:val="20"/>
                <w:szCs w:val="20"/>
                <w:color w:val="auto"/>
              </w:rPr>
            </w:pPr>
            <w:r>
              <w:rPr>
                <w:rFonts w:ascii="Calibri" w:cs="Calibri" w:eastAsia="Calibri" w:hAnsi="Calibri"/>
                <w:sz w:val="16"/>
                <w:szCs w:val="16"/>
                <w:color w:val="auto"/>
                <w:w w:val="98"/>
              </w:rPr>
              <w:t>2022</w:t>
            </w:r>
          </w:p>
        </w:tc>
        <w:tc>
          <w:tcPr>
            <w:tcW w:w="4700" w:type="dxa"/>
            <w:vAlign w:val="bottom"/>
          </w:tcPr>
          <w:p>
            <w:pPr>
              <w:ind w:left="100"/>
              <w:spacing w:after="0" w:line="193" w:lineRule="exact"/>
              <w:rPr>
                <w:sz w:val="20"/>
                <w:szCs w:val="20"/>
                <w:color w:val="auto"/>
              </w:rPr>
            </w:pPr>
            <w:r>
              <w:rPr>
                <w:rFonts w:ascii="Calibri" w:cs="Calibri" w:eastAsia="Calibri" w:hAnsi="Calibri"/>
                <w:sz w:val="16"/>
                <w:szCs w:val="16"/>
                <w:color w:val="auto"/>
              </w:rPr>
              <w:t>Vice President, Strategic Planning for Southwest Division (2020-</w:t>
            </w:r>
          </w:p>
        </w:tc>
      </w:tr>
      <w:tr>
        <w:trPr>
          <w:trHeight w:val="197"/>
        </w:trPr>
        <w:tc>
          <w:tcPr>
            <w:tcW w:w="1820" w:type="dxa"/>
            <w:vAlign w:val="bottom"/>
            <w:tcBorders>
              <w:right w:val="single" w:sz="8" w:color="007CBA"/>
            </w:tcBorders>
          </w:tcPr>
          <w:p>
            <w:pPr>
              <w:spacing w:after="0"/>
              <w:rPr>
                <w:sz w:val="17"/>
                <w:szCs w:val="17"/>
                <w:color w:val="auto"/>
              </w:rPr>
            </w:pPr>
          </w:p>
        </w:tc>
        <w:tc>
          <w:tcPr>
            <w:tcW w:w="680" w:type="dxa"/>
            <w:vAlign w:val="bottom"/>
            <w:tcBorders>
              <w:right w:val="single" w:sz="8" w:color="007CBA"/>
            </w:tcBorders>
          </w:tcPr>
          <w:p>
            <w:pPr>
              <w:spacing w:after="0"/>
              <w:rPr>
                <w:sz w:val="17"/>
                <w:szCs w:val="17"/>
                <w:color w:val="auto"/>
              </w:rPr>
            </w:pPr>
          </w:p>
        </w:tc>
        <w:tc>
          <w:tcPr>
            <w:tcW w:w="2460" w:type="dxa"/>
            <w:vAlign w:val="bottom"/>
            <w:tcBorders>
              <w:right w:val="single" w:sz="8" w:color="007CBA"/>
            </w:tcBorders>
          </w:tcPr>
          <w:p>
            <w:pPr>
              <w:ind w:left="60"/>
              <w:spacing w:after="0"/>
              <w:rPr>
                <w:sz w:val="20"/>
                <w:szCs w:val="20"/>
                <w:color w:val="auto"/>
              </w:rPr>
            </w:pPr>
            <w:r>
              <w:rPr>
                <w:rFonts w:ascii="Calibri" w:cs="Calibri" w:eastAsia="Calibri" w:hAnsi="Calibri"/>
                <w:sz w:val="16"/>
                <w:szCs w:val="16"/>
                <w:color w:val="auto"/>
              </w:rPr>
              <w:t>Enterprise Excellence</w:t>
            </w:r>
          </w:p>
        </w:tc>
        <w:tc>
          <w:tcPr>
            <w:tcW w:w="1580" w:type="dxa"/>
            <w:vAlign w:val="bottom"/>
            <w:tcBorders>
              <w:right w:val="single" w:sz="8" w:color="007CBA"/>
            </w:tcBorders>
          </w:tcPr>
          <w:p>
            <w:pPr>
              <w:spacing w:after="0"/>
              <w:rPr>
                <w:sz w:val="17"/>
                <w:szCs w:val="17"/>
                <w:color w:val="auto"/>
              </w:rPr>
            </w:pPr>
          </w:p>
        </w:tc>
        <w:tc>
          <w:tcPr>
            <w:tcW w:w="4700" w:type="dxa"/>
            <w:vAlign w:val="bottom"/>
          </w:tcPr>
          <w:p>
            <w:pPr>
              <w:ind w:left="100"/>
              <w:spacing w:after="0"/>
              <w:rPr>
                <w:sz w:val="20"/>
                <w:szCs w:val="20"/>
                <w:color w:val="auto"/>
              </w:rPr>
            </w:pPr>
            <w:r>
              <w:rPr>
                <w:rFonts w:ascii="Calibri" w:cs="Calibri" w:eastAsia="Calibri" w:hAnsi="Calibri"/>
                <w:sz w:val="16"/>
                <w:szCs w:val="16"/>
                <w:color w:val="auto"/>
              </w:rPr>
              <w:t>2022); General Manager, North Texas/Oklahoma District (2018-</w:t>
            </w:r>
          </w:p>
        </w:tc>
      </w:tr>
      <w:tr>
        <w:trPr>
          <w:trHeight w:val="203"/>
        </w:trPr>
        <w:tc>
          <w:tcPr>
            <w:tcW w:w="1820" w:type="dxa"/>
            <w:vAlign w:val="bottom"/>
            <w:tcBorders>
              <w:right w:val="single" w:sz="8" w:color="007CBA"/>
            </w:tcBorders>
          </w:tcPr>
          <w:p>
            <w:pPr>
              <w:spacing w:after="0"/>
              <w:rPr>
                <w:sz w:val="17"/>
                <w:szCs w:val="17"/>
                <w:color w:val="auto"/>
              </w:rPr>
            </w:pPr>
          </w:p>
        </w:tc>
        <w:tc>
          <w:tcPr>
            <w:tcW w:w="680" w:type="dxa"/>
            <w:vAlign w:val="bottom"/>
            <w:tcBorders>
              <w:right w:val="single" w:sz="8" w:color="007CBA"/>
            </w:tcBorders>
          </w:tcPr>
          <w:p>
            <w:pPr>
              <w:spacing w:after="0"/>
              <w:rPr>
                <w:sz w:val="17"/>
                <w:szCs w:val="17"/>
                <w:color w:val="auto"/>
              </w:rPr>
            </w:pPr>
          </w:p>
        </w:tc>
        <w:tc>
          <w:tcPr>
            <w:tcW w:w="2460" w:type="dxa"/>
            <w:vAlign w:val="bottom"/>
            <w:tcBorders>
              <w:right w:val="single" w:sz="8" w:color="007CBA"/>
            </w:tcBorders>
          </w:tcPr>
          <w:p>
            <w:pPr>
              <w:spacing w:after="0"/>
              <w:rPr>
                <w:sz w:val="17"/>
                <w:szCs w:val="17"/>
                <w:color w:val="auto"/>
              </w:rPr>
            </w:pPr>
          </w:p>
        </w:tc>
        <w:tc>
          <w:tcPr>
            <w:tcW w:w="1580" w:type="dxa"/>
            <w:vAlign w:val="bottom"/>
            <w:tcBorders>
              <w:right w:val="single" w:sz="8" w:color="007CBA"/>
            </w:tcBorders>
          </w:tcPr>
          <w:p>
            <w:pPr>
              <w:spacing w:after="0"/>
              <w:rPr>
                <w:sz w:val="17"/>
                <w:szCs w:val="17"/>
                <w:color w:val="auto"/>
              </w:rPr>
            </w:pPr>
          </w:p>
        </w:tc>
        <w:tc>
          <w:tcPr>
            <w:tcW w:w="4700" w:type="dxa"/>
            <w:vAlign w:val="bottom"/>
          </w:tcPr>
          <w:p>
            <w:pPr>
              <w:ind w:left="100"/>
              <w:spacing w:after="0"/>
              <w:rPr>
                <w:sz w:val="20"/>
                <w:szCs w:val="20"/>
                <w:color w:val="auto"/>
              </w:rPr>
            </w:pPr>
            <w:r>
              <w:rPr>
                <w:rFonts w:ascii="Calibri" w:cs="Calibri" w:eastAsia="Calibri" w:hAnsi="Calibri"/>
                <w:sz w:val="16"/>
                <w:szCs w:val="16"/>
                <w:color w:val="auto"/>
              </w:rPr>
              <w:t>2020); General Manager, Denver Metro Ready Mix (2016-2018)</w:t>
            </w:r>
          </w:p>
        </w:tc>
      </w:tr>
      <w:tr>
        <w:trPr>
          <w:trHeight w:val="41"/>
        </w:trPr>
        <w:tc>
          <w:tcPr>
            <w:tcW w:w="1820" w:type="dxa"/>
            <w:vAlign w:val="bottom"/>
            <w:tcBorders>
              <w:right w:val="single" w:sz="8" w:color="007CBA"/>
            </w:tcBorders>
          </w:tcPr>
          <w:p>
            <w:pPr>
              <w:spacing w:after="0"/>
              <w:rPr>
                <w:sz w:val="3"/>
                <w:szCs w:val="3"/>
                <w:color w:val="auto"/>
              </w:rPr>
            </w:pPr>
          </w:p>
        </w:tc>
        <w:tc>
          <w:tcPr>
            <w:tcW w:w="680" w:type="dxa"/>
            <w:vAlign w:val="bottom"/>
            <w:tcBorders>
              <w:right w:val="single" w:sz="8" w:color="007CBA"/>
            </w:tcBorders>
          </w:tcPr>
          <w:p>
            <w:pPr>
              <w:spacing w:after="0"/>
              <w:rPr>
                <w:sz w:val="3"/>
                <w:szCs w:val="3"/>
                <w:color w:val="auto"/>
              </w:rPr>
            </w:pPr>
          </w:p>
        </w:tc>
        <w:tc>
          <w:tcPr>
            <w:tcW w:w="2460" w:type="dxa"/>
            <w:vAlign w:val="bottom"/>
            <w:tcBorders>
              <w:right w:val="single" w:sz="8" w:color="007CBA"/>
            </w:tcBorders>
          </w:tcPr>
          <w:p>
            <w:pPr>
              <w:spacing w:after="0"/>
              <w:rPr>
                <w:sz w:val="3"/>
                <w:szCs w:val="3"/>
                <w:color w:val="auto"/>
              </w:rPr>
            </w:pPr>
          </w:p>
        </w:tc>
        <w:tc>
          <w:tcPr>
            <w:tcW w:w="1580" w:type="dxa"/>
            <w:vAlign w:val="bottom"/>
            <w:tcBorders>
              <w:right w:val="single" w:sz="8" w:color="007CBA"/>
            </w:tcBorders>
          </w:tcPr>
          <w:p>
            <w:pPr>
              <w:spacing w:after="0"/>
              <w:rPr>
                <w:sz w:val="3"/>
                <w:szCs w:val="3"/>
                <w:color w:val="auto"/>
              </w:rPr>
            </w:pPr>
          </w:p>
        </w:tc>
        <w:tc>
          <w:tcPr>
            <w:tcW w:w="4700" w:type="dxa"/>
            <w:vAlign w:val="bottom"/>
          </w:tcPr>
          <w:p>
            <w:pPr>
              <w:spacing w:after="0"/>
              <w:rPr>
                <w:sz w:val="3"/>
                <w:szCs w:val="3"/>
                <w:color w:val="auto"/>
              </w:rPr>
            </w:pPr>
          </w:p>
        </w:tc>
      </w:tr>
      <w:tr>
        <w:trPr>
          <w:trHeight w:val="194"/>
        </w:trPr>
        <w:tc>
          <w:tcPr>
            <w:tcW w:w="1820" w:type="dxa"/>
            <w:vAlign w:val="bottom"/>
            <w:tcBorders>
              <w:right w:val="single" w:sz="8" w:color="007CBA"/>
            </w:tcBorders>
            <w:shd w:val="clear" w:color="auto" w:fill="E5F1F8"/>
          </w:tcPr>
          <w:p>
            <w:pPr>
              <w:ind w:left="100"/>
              <w:spacing w:after="0" w:line="193" w:lineRule="exact"/>
              <w:rPr>
                <w:sz w:val="20"/>
                <w:szCs w:val="20"/>
                <w:color w:val="auto"/>
              </w:rPr>
            </w:pPr>
            <w:r>
              <w:rPr>
                <w:rFonts w:ascii="Calibri" w:cs="Calibri" w:eastAsia="Calibri" w:hAnsi="Calibri"/>
                <w:sz w:val="16"/>
                <w:szCs w:val="16"/>
                <w:color w:val="auto"/>
              </w:rPr>
              <w:t>Robert J. Cardin</w:t>
            </w:r>
          </w:p>
        </w:tc>
        <w:tc>
          <w:tcPr>
            <w:tcW w:w="680" w:type="dxa"/>
            <w:vAlign w:val="bottom"/>
            <w:tcBorders>
              <w:right w:val="single" w:sz="8" w:color="007CBA"/>
            </w:tcBorders>
            <w:shd w:val="clear" w:color="auto" w:fill="E5F1F8"/>
          </w:tcPr>
          <w:p>
            <w:pPr>
              <w:jc w:val="center"/>
              <w:spacing w:after="0" w:line="193" w:lineRule="exact"/>
              <w:rPr>
                <w:sz w:val="20"/>
                <w:szCs w:val="20"/>
                <w:color w:val="auto"/>
              </w:rPr>
            </w:pPr>
            <w:r>
              <w:rPr>
                <w:rFonts w:ascii="Calibri" w:cs="Calibri" w:eastAsia="Calibri" w:hAnsi="Calibri"/>
                <w:sz w:val="16"/>
                <w:szCs w:val="16"/>
                <w:color w:val="auto"/>
                <w:w w:val="98"/>
              </w:rPr>
              <w:t>59</w:t>
            </w:r>
          </w:p>
        </w:tc>
        <w:tc>
          <w:tcPr>
            <w:tcW w:w="2460" w:type="dxa"/>
            <w:vAlign w:val="bottom"/>
            <w:tcBorders>
              <w:right w:val="single" w:sz="8" w:color="007CBA"/>
            </w:tcBorders>
            <w:shd w:val="clear" w:color="auto" w:fill="E5F1F8"/>
          </w:tcPr>
          <w:p>
            <w:pPr>
              <w:ind w:left="60"/>
              <w:spacing w:after="0" w:line="193" w:lineRule="exact"/>
              <w:rPr>
                <w:sz w:val="20"/>
                <w:szCs w:val="20"/>
                <w:color w:val="auto"/>
              </w:rPr>
            </w:pPr>
            <w:r>
              <w:rPr>
                <w:rFonts w:ascii="Calibri" w:cs="Calibri" w:eastAsia="Calibri" w:hAnsi="Calibri"/>
                <w:sz w:val="16"/>
                <w:szCs w:val="16"/>
                <w:color w:val="auto"/>
              </w:rPr>
              <w:t>Senior Vice President,</w:t>
            </w:r>
          </w:p>
        </w:tc>
        <w:tc>
          <w:tcPr>
            <w:tcW w:w="1580" w:type="dxa"/>
            <w:vAlign w:val="bottom"/>
            <w:tcBorders>
              <w:right w:val="single" w:sz="8" w:color="007CBA"/>
            </w:tcBorders>
            <w:shd w:val="clear" w:color="auto" w:fill="E5F1F8"/>
          </w:tcPr>
          <w:p>
            <w:pPr>
              <w:jc w:val="center"/>
              <w:spacing w:after="0" w:line="193" w:lineRule="exact"/>
              <w:rPr>
                <w:sz w:val="20"/>
                <w:szCs w:val="20"/>
                <w:color w:val="auto"/>
              </w:rPr>
            </w:pPr>
            <w:r>
              <w:rPr>
                <w:rFonts w:ascii="Calibri" w:cs="Calibri" w:eastAsia="Calibri" w:hAnsi="Calibri"/>
                <w:sz w:val="16"/>
                <w:szCs w:val="16"/>
                <w:color w:val="auto"/>
                <w:w w:val="98"/>
              </w:rPr>
              <w:t>2019</w:t>
            </w:r>
          </w:p>
        </w:tc>
        <w:tc>
          <w:tcPr>
            <w:tcW w:w="4700" w:type="dxa"/>
            <w:vAlign w:val="bottom"/>
            <w:shd w:val="clear" w:color="auto" w:fill="E5F1F8"/>
          </w:tcPr>
          <w:p>
            <w:pPr>
              <w:ind w:left="100"/>
              <w:spacing w:after="0" w:line="193" w:lineRule="exact"/>
              <w:rPr>
                <w:sz w:val="20"/>
                <w:szCs w:val="20"/>
                <w:color w:val="auto"/>
              </w:rPr>
            </w:pPr>
            <w:r>
              <w:rPr>
                <w:rFonts w:ascii="Calibri" w:cs="Calibri" w:eastAsia="Calibri" w:hAnsi="Calibri"/>
                <w:sz w:val="16"/>
                <w:szCs w:val="16"/>
                <w:color w:val="auto"/>
              </w:rPr>
              <w:t>Vice President and Corporate Controller (2019);</w:t>
            </w:r>
          </w:p>
        </w:tc>
      </w:tr>
      <w:tr>
        <w:trPr>
          <w:trHeight w:val="198"/>
        </w:trPr>
        <w:tc>
          <w:tcPr>
            <w:tcW w:w="1820" w:type="dxa"/>
            <w:vAlign w:val="bottom"/>
            <w:tcBorders>
              <w:right w:val="single" w:sz="8" w:color="007CBA"/>
            </w:tcBorders>
            <w:shd w:val="clear" w:color="auto" w:fill="E5F1F8"/>
          </w:tcPr>
          <w:p>
            <w:pPr>
              <w:spacing w:after="0"/>
              <w:rPr>
                <w:sz w:val="17"/>
                <w:szCs w:val="17"/>
                <w:color w:val="auto"/>
              </w:rPr>
            </w:pPr>
          </w:p>
        </w:tc>
        <w:tc>
          <w:tcPr>
            <w:tcW w:w="680" w:type="dxa"/>
            <w:vAlign w:val="bottom"/>
            <w:tcBorders>
              <w:right w:val="single" w:sz="8" w:color="007CBA"/>
            </w:tcBorders>
            <w:shd w:val="clear" w:color="auto" w:fill="E5F1F8"/>
          </w:tcPr>
          <w:p>
            <w:pPr>
              <w:spacing w:after="0"/>
              <w:rPr>
                <w:sz w:val="17"/>
                <w:szCs w:val="17"/>
                <w:color w:val="auto"/>
              </w:rPr>
            </w:pPr>
          </w:p>
        </w:tc>
        <w:tc>
          <w:tcPr>
            <w:tcW w:w="2460" w:type="dxa"/>
            <w:vAlign w:val="bottom"/>
            <w:tcBorders>
              <w:right w:val="single" w:sz="8" w:color="007CBA"/>
            </w:tcBorders>
            <w:shd w:val="clear" w:color="auto" w:fill="E5F1F8"/>
          </w:tcPr>
          <w:p>
            <w:pPr>
              <w:ind w:left="60"/>
              <w:spacing w:after="0"/>
              <w:rPr>
                <w:sz w:val="20"/>
                <w:szCs w:val="20"/>
                <w:color w:val="auto"/>
              </w:rPr>
            </w:pPr>
            <w:r>
              <w:rPr>
                <w:rFonts w:ascii="Calibri" w:cs="Calibri" w:eastAsia="Calibri" w:hAnsi="Calibri"/>
                <w:sz w:val="16"/>
                <w:szCs w:val="16"/>
                <w:color w:val="auto"/>
              </w:rPr>
              <w:t>Controller and</w:t>
            </w:r>
          </w:p>
        </w:tc>
        <w:tc>
          <w:tcPr>
            <w:tcW w:w="1580" w:type="dxa"/>
            <w:vAlign w:val="bottom"/>
            <w:tcBorders>
              <w:right w:val="single" w:sz="8" w:color="007CBA"/>
            </w:tcBorders>
            <w:shd w:val="clear" w:color="auto" w:fill="E5F1F8"/>
          </w:tcPr>
          <w:p>
            <w:pPr>
              <w:spacing w:after="0"/>
              <w:rPr>
                <w:sz w:val="17"/>
                <w:szCs w:val="17"/>
                <w:color w:val="auto"/>
              </w:rPr>
            </w:pPr>
          </w:p>
        </w:tc>
        <w:tc>
          <w:tcPr>
            <w:tcW w:w="4700" w:type="dxa"/>
            <w:vAlign w:val="bottom"/>
            <w:shd w:val="clear" w:color="auto" w:fill="E5F1F8"/>
          </w:tcPr>
          <w:p>
            <w:pPr>
              <w:ind w:left="100"/>
              <w:spacing w:after="0"/>
              <w:rPr>
                <w:sz w:val="20"/>
                <w:szCs w:val="20"/>
                <w:color w:val="auto"/>
              </w:rPr>
            </w:pPr>
            <w:r>
              <w:rPr>
                <w:rFonts w:ascii="Calibri" w:cs="Calibri" w:eastAsia="Calibri" w:hAnsi="Calibri"/>
                <w:sz w:val="16"/>
                <w:szCs w:val="16"/>
                <w:color w:val="auto"/>
              </w:rPr>
              <w:t>Chief Accountng Ofcer, SWM Internatonal (2013-2019)</w:t>
            </w:r>
          </w:p>
        </w:tc>
      </w:tr>
      <w:tr>
        <w:trPr>
          <w:trHeight w:val="223"/>
        </w:trPr>
        <w:tc>
          <w:tcPr>
            <w:tcW w:w="1820" w:type="dxa"/>
            <w:vAlign w:val="bottom"/>
            <w:tcBorders>
              <w:bottom w:val="single" w:sz="8" w:color="E5F1F8"/>
              <w:right w:val="single" w:sz="8" w:color="007CBA"/>
            </w:tcBorders>
            <w:shd w:val="clear" w:color="auto" w:fill="E5F1F8"/>
          </w:tcPr>
          <w:p>
            <w:pPr>
              <w:spacing w:after="0"/>
              <w:rPr>
                <w:sz w:val="19"/>
                <w:szCs w:val="19"/>
                <w:color w:val="auto"/>
              </w:rPr>
            </w:pPr>
          </w:p>
        </w:tc>
        <w:tc>
          <w:tcPr>
            <w:tcW w:w="680" w:type="dxa"/>
            <w:vAlign w:val="bottom"/>
            <w:tcBorders>
              <w:bottom w:val="single" w:sz="8" w:color="E5F1F8"/>
              <w:right w:val="single" w:sz="8" w:color="007CBA"/>
            </w:tcBorders>
            <w:shd w:val="clear" w:color="auto" w:fill="E5F1F8"/>
          </w:tcPr>
          <w:p>
            <w:pPr>
              <w:spacing w:after="0"/>
              <w:rPr>
                <w:sz w:val="19"/>
                <w:szCs w:val="19"/>
                <w:color w:val="auto"/>
              </w:rPr>
            </w:pPr>
          </w:p>
        </w:tc>
        <w:tc>
          <w:tcPr>
            <w:tcW w:w="2460" w:type="dxa"/>
            <w:vAlign w:val="bottom"/>
            <w:tcBorders>
              <w:bottom w:val="single" w:sz="8" w:color="E5F1F8"/>
              <w:right w:val="single" w:sz="8" w:color="007CBA"/>
            </w:tcBorders>
            <w:shd w:val="clear" w:color="auto" w:fill="E5F1F8"/>
          </w:tcPr>
          <w:p>
            <w:pPr>
              <w:ind w:left="60"/>
              <w:spacing w:after="0"/>
              <w:rPr>
                <w:sz w:val="20"/>
                <w:szCs w:val="20"/>
                <w:color w:val="auto"/>
              </w:rPr>
            </w:pPr>
            <w:r>
              <w:rPr>
                <w:rFonts w:ascii="Calibri" w:cs="Calibri" w:eastAsia="Calibri" w:hAnsi="Calibri"/>
                <w:sz w:val="16"/>
                <w:szCs w:val="16"/>
                <w:color w:val="auto"/>
              </w:rPr>
              <w:t>Chief Accountng Ofcer</w:t>
            </w:r>
          </w:p>
        </w:tc>
        <w:tc>
          <w:tcPr>
            <w:tcW w:w="1580" w:type="dxa"/>
            <w:vAlign w:val="bottom"/>
            <w:tcBorders>
              <w:bottom w:val="single" w:sz="8" w:color="E5F1F8"/>
              <w:right w:val="single" w:sz="8" w:color="007CBA"/>
            </w:tcBorders>
            <w:shd w:val="clear" w:color="auto" w:fill="E5F1F8"/>
          </w:tcPr>
          <w:p>
            <w:pPr>
              <w:spacing w:after="0"/>
              <w:rPr>
                <w:sz w:val="19"/>
                <w:szCs w:val="19"/>
                <w:color w:val="auto"/>
              </w:rPr>
            </w:pPr>
          </w:p>
        </w:tc>
        <w:tc>
          <w:tcPr>
            <w:tcW w:w="4700" w:type="dxa"/>
            <w:vAlign w:val="bottom"/>
            <w:tcBorders>
              <w:bottom w:val="single" w:sz="8" w:color="E5F1F8"/>
            </w:tcBorders>
            <w:shd w:val="clear" w:color="auto" w:fill="E5F1F8"/>
          </w:tcPr>
          <w:p>
            <w:pPr>
              <w:spacing w:after="0"/>
              <w:rPr>
                <w:sz w:val="19"/>
                <w:szCs w:val="19"/>
                <w:color w:val="auto"/>
              </w:rPr>
            </w:pPr>
          </w:p>
        </w:tc>
      </w:tr>
      <w:tr>
        <w:trPr>
          <w:trHeight w:val="193"/>
        </w:trPr>
        <w:tc>
          <w:tcPr>
            <w:tcW w:w="1820" w:type="dxa"/>
            <w:vAlign w:val="bottom"/>
            <w:tcBorders>
              <w:right w:val="single" w:sz="8" w:color="007CBA"/>
            </w:tcBorders>
          </w:tcPr>
          <w:p>
            <w:pPr>
              <w:ind w:left="100"/>
              <w:spacing w:after="0" w:line="193" w:lineRule="exact"/>
              <w:rPr>
                <w:sz w:val="20"/>
                <w:szCs w:val="20"/>
                <w:color w:val="auto"/>
              </w:rPr>
            </w:pPr>
            <w:r>
              <w:rPr>
                <w:rFonts w:ascii="Calibri" w:cs="Calibri" w:eastAsia="Calibri" w:hAnsi="Calibri"/>
                <w:sz w:val="16"/>
                <w:szCs w:val="16"/>
                <w:color w:val="auto"/>
              </w:rPr>
              <w:t>Craig M. LaTorre</w:t>
            </w:r>
          </w:p>
        </w:tc>
        <w:tc>
          <w:tcPr>
            <w:tcW w:w="680" w:type="dxa"/>
            <w:vAlign w:val="bottom"/>
            <w:tcBorders>
              <w:right w:val="single" w:sz="8" w:color="007CBA"/>
            </w:tcBorders>
          </w:tcPr>
          <w:p>
            <w:pPr>
              <w:jc w:val="center"/>
              <w:spacing w:after="0" w:line="193" w:lineRule="exact"/>
              <w:rPr>
                <w:sz w:val="20"/>
                <w:szCs w:val="20"/>
                <w:color w:val="auto"/>
              </w:rPr>
            </w:pPr>
            <w:r>
              <w:rPr>
                <w:rFonts w:ascii="Calibri" w:cs="Calibri" w:eastAsia="Calibri" w:hAnsi="Calibri"/>
                <w:sz w:val="16"/>
                <w:szCs w:val="16"/>
                <w:color w:val="auto"/>
                <w:w w:val="98"/>
              </w:rPr>
              <w:t>55</w:t>
            </w:r>
          </w:p>
        </w:tc>
        <w:tc>
          <w:tcPr>
            <w:tcW w:w="2460" w:type="dxa"/>
            <w:vAlign w:val="bottom"/>
            <w:tcBorders>
              <w:right w:val="single" w:sz="8" w:color="007CBA"/>
            </w:tcBorders>
          </w:tcPr>
          <w:p>
            <w:pPr>
              <w:ind w:left="60"/>
              <w:spacing w:after="0" w:line="193" w:lineRule="exact"/>
              <w:rPr>
                <w:sz w:val="20"/>
                <w:szCs w:val="20"/>
                <w:color w:val="auto"/>
              </w:rPr>
            </w:pPr>
            <w:r>
              <w:rPr>
                <w:rFonts w:ascii="Calibri" w:cs="Calibri" w:eastAsia="Calibri" w:hAnsi="Calibri"/>
                <w:sz w:val="16"/>
                <w:szCs w:val="16"/>
                <w:color w:val="auto"/>
              </w:rPr>
              <w:t>Senior Vice President,</w:t>
            </w:r>
          </w:p>
        </w:tc>
        <w:tc>
          <w:tcPr>
            <w:tcW w:w="1580" w:type="dxa"/>
            <w:vAlign w:val="bottom"/>
            <w:tcBorders>
              <w:right w:val="single" w:sz="8" w:color="007CBA"/>
            </w:tcBorders>
          </w:tcPr>
          <w:p>
            <w:pPr>
              <w:jc w:val="center"/>
              <w:spacing w:after="0" w:line="193" w:lineRule="exact"/>
              <w:rPr>
                <w:sz w:val="20"/>
                <w:szCs w:val="20"/>
                <w:color w:val="auto"/>
              </w:rPr>
            </w:pPr>
            <w:r>
              <w:rPr>
                <w:rFonts w:ascii="Calibri" w:cs="Calibri" w:eastAsia="Calibri" w:hAnsi="Calibri"/>
                <w:sz w:val="16"/>
                <w:szCs w:val="16"/>
                <w:color w:val="auto"/>
                <w:w w:val="98"/>
              </w:rPr>
              <w:t>2019</w:t>
            </w:r>
          </w:p>
        </w:tc>
        <w:tc>
          <w:tcPr>
            <w:tcW w:w="4700" w:type="dxa"/>
            <w:vAlign w:val="bottom"/>
          </w:tcPr>
          <w:p>
            <w:pPr>
              <w:ind w:left="100"/>
              <w:spacing w:after="0" w:line="193" w:lineRule="exact"/>
              <w:rPr>
                <w:sz w:val="20"/>
                <w:szCs w:val="20"/>
                <w:color w:val="auto"/>
              </w:rPr>
            </w:pPr>
            <w:r>
              <w:rPr>
                <w:rFonts w:ascii="Calibri" w:cs="Calibri" w:eastAsia="Calibri" w:hAnsi="Calibri"/>
                <w:sz w:val="16"/>
                <w:szCs w:val="16"/>
                <w:color w:val="auto"/>
              </w:rPr>
              <w:t>Vice President, Human Resources (2018-2019); Senior Vice President</w:t>
            </w:r>
          </w:p>
        </w:tc>
      </w:tr>
      <w:tr>
        <w:trPr>
          <w:trHeight w:val="198"/>
        </w:trPr>
        <w:tc>
          <w:tcPr>
            <w:tcW w:w="1820" w:type="dxa"/>
            <w:vAlign w:val="bottom"/>
            <w:tcBorders>
              <w:right w:val="single" w:sz="8" w:color="007CBA"/>
            </w:tcBorders>
          </w:tcPr>
          <w:p>
            <w:pPr>
              <w:spacing w:after="0"/>
              <w:rPr>
                <w:sz w:val="17"/>
                <w:szCs w:val="17"/>
                <w:color w:val="auto"/>
              </w:rPr>
            </w:pPr>
          </w:p>
        </w:tc>
        <w:tc>
          <w:tcPr>
            <w:tcW w:w="680" w:type="dxa"/>
            <w:vAlign w:val="bottom"/>
            <w:tcBorders>
              <w:right w:val="single" w:sz="8" w:color="007CBA"/>
            </w:tcBorders>
          </w:tcPr>
          <w:p>
            <w:pPr>
              <w:spacing w:after="0"/>
              <w:rPr>
                <w:sz w:val="17"/>
                <w:szCs w:val="17"/>
                <w:color w:val="auto"/>
              </w:rPr>
            </w:pPr>
          </w:p>
        </w:tc>
        <w:tc>
          <w:tcPr>
            <w:tcW w:w="2460" w:type="dxa"/>
            <w:vAlign w:val="bottom"/>
            <w:tcBorders>
              <w:right w:val="single" w:sz="8" w:color="007CBA"/>
            </w:tcBorders>
          </w:tcPr>
          <w:p>
            <w:pPr>
              <w:ind w:left="60"/>
              <w:spacing w:after="0"/>
              <w:rPr>
                <w:sz w:val="20"/>
                <w:szCs w:val="20"/>
                <w:color w:val="auto"/>
              </w:rPr>
            </w:pPr>
            <w:r>
              <w:rPr>
                <w:rFonts w:ascii="Calibri" w:cs="Calibri" w:eastAsia="Calibri" w:hAnsi="Calibri"/>
                <w:sz w:val="16"/>
                <w:szCs w:val="16"/>
                <w:color w:val="auto"/>
              </w:rPr>
              <w:t>Chief Human Resource Ofcer</w:t>
            </w:r>
          </w:p>
        </w:tc>
        <w:tc>
          <w:tcPr>
            <w:tcW w:w="1580" w:type="dxa"/>
            <w:vAlign w:val="bottom"/>
            <w:tcBorders>
              <w:right w:val="single" w:sz="8" w:color="007CBA"/>
            </w:tcBorders>
          </w:tcPr>
          <w:p>
            <w:pPr>
              <w:spacing w:after="0"/>
              <w:rPr>
                <w:sz w:val="17"/>
                <w:szCs w:val="17"/>
                <w:color w:val="auto"/>
              </w:rPr>
            </w:pPr>
          </w:p>
        </w:tc>
        <w:tc>
          <w:tcPr>
            <w:tcW w:w="4700" w:type="dxa"/>
            <w:vAlign w:val="bottom"/>
          </w:tcPr>
          <w:p>
            <w:pPr>
              <w:ind w:left="100"/>
              <w:spacing w:after="0"/>
              <w:rPr>
                <w:sz w:val="20"/>
                <w:szCs w:val="20"/>
                <w:color w:val="auto"/>
              </w:rPr>
            </w:pPr>
            <w:r>
              <w:rPr>
                <w:rFonts w:ascii="Calibri" w:cs="Calibri" w:eastAsia="Calibri" w:hAnsi="Calibri"/>
                <w:sz w:val="16"/>
                <w:szCs w:val="16"/>
                <w:color w:val="auto"/>
              </w:rPr>
              <w:t>and Chief Human Resources Ofcer</w:t>
            </w:r>
          </w:p>
        </w:tc>
      </w:tr>
      <w:tr>
        <w:trPr>
          <w:trHeight w:val="203"/>
        </w:trPr>
        <w:tc>
          <w:tcPr>
            <w:tcW w:w="1820" w:type="dxa"/>
            <w:vAlign w:val="bottom"/>
            <w:tcBorders>
              <w:right w:val="single" w:sz="8" w:color="007CBA"/>
            </w:tcBorders>
          </w:tcPr>
          <w:p>
            <w:pPr>
              <w:spacing w:after="0"/>
              <w:rPr>
                <w:sz w:val="17"/>
                <w:szCs w:val="17"/>
                <w:color w:val="auto"/>
              </w:rPr>
            </w:pPr>
          </w:p>
        </w:tc>
        <w:tc>
          <w:tcPr>
            <w:tcW w:w="680" w:type="dxa"/>
            <w:vAlign w:val="bottom"/>
            <w:tcBorders>
              <w:right w:val="single" w:sz="8" w:color="007CBA"/>
            </w:tcBorders>
          </w:tcPr>
          <w:p>
            <w:pPr>
              <w:spacing w:after="0"/>
              <w:rPr>
                <w:sz w:val="17"/>
                <w:szCs w:val="17"/>
                <w:color w:val="auto"/>
              </w:rPr>
            </w:pPr>
          </w:p>
        </w:tc>
        <w:tc>
          <w:tcPr>
            <w:tcW w:w="2460" w:type="dxa"/>
            <w:vAlign w:val="bottom"/>
            <w:tcBorders>
              <w:right w:val="single" w:sz="8" w:color="007CBA"/>
            </w:tcBorders>
          </w:tcPr>
          <w:p>
            <w:pPr>
              <w:spacing w:after="0"/>
              <w:rPr>
                <w:sz w:val="17"/>
                <w:szCs w:val="17"/>
                <w:color w:val="auto"/>
              </w:rPr>
            </w:pPr>
          </w:p>
        </w:tc>
        <w:tc>
          <w:tcPr>
            <w:tcW w:w="1580" w:type="dxa"/>
            <w:vAlign w:val="bottom"/>
            <w:tcBorders>
              <w:right w:val="single" w:sz="8" w:color="007CBA"/>
            </w:tcBorders>
          </w:tcPr>
          <w:p>
            <w:pPr>
              <w:spacing w:after="0"/>
              <w:rPr>
                <w:sz w:val="17"/>
                <w:szCs w:val="17"/>
                <w:color w:val="auto"/>
              </w:rPr>
            </w:pPr>
          </w:p>
        </w:tc>
        <w:tc>
          <w:tcPr>
            <w:tcW w:w="4700" w:type="dxa"/>
            <w:vAlign w:val="bottom"/>
          </w:tcPr>
          <w:p>
            <w:pPr>
              <w:ind w:left="100"/>
              <w:spacing w:after="0"/>
              <w:rPr>
                <w:sz w:val="20"/>
                <w:szCs w:val="20"/>
                <w:color w:val="auto"/>
              </w:rPr>
            </w:pPr>
            <w:r>
              <w:rPr>
                <w:rFonts w:ascii="Calibri" w:cs="Calibri" w:eastAsia="Calibri" w:hAnsi="Calibri"/>
                <w:sz w:val="16"/>
                <w:szCs w:val="16"/>
                <w:color w:val="auto"/>
              </w:rPr>
              <w:t>(2013-2018), Andeavor (formerly known as Tesoro Corporaton)</w:t>
            </w:r>
          </w:p>
        </w:tc>
      </w:tr>
      <w:tr>
        <w:trPr>
          <w:trHeight w:val="41"/>
        </w:trPr>
        <w:tc>
          <w:tcPr>
            <w:tcW w:w="1820" w:type="dxa"/>
            <w:vAlign w:val="bottom"/>
            <w:tcBorders>
              <w:right w:val="single" w:sz="8" w:color="007CBA"/>
            </w:tcBorders>
          </w:tcPr>
          <w:p>
            <w:pPr>
              <w:spacing w:after="0"/>
              <w:rPr>
                <w:sz w:val="3"/>
                <w:szCs w:val="3"/>
                <w:color w:val="auto"/>
              </w:rPr>
            </w:pPr>
          </w:p>
        </w:tc>
        <w:tc>
          <w:tcPr>
            <w:tcW w:w="680" w:type="dxa"/>
            <w:vAlign w:val="bottom"/>
            <w:tcBorders>
              <w:right w:val="single" w:sz="8" w:color="007CBA"/>
            </w:tcBorders>
          </w:tcPr>
          <w:p>
            <w:pPr>
              <w:spacing w:after="0"/>
              <w:rPr>
                <w:sz w:val="3"/>
                <w:szCs w:val="3"/>
                <w:color w:val="auto"/>
              </w:rPr>
            </w:pPr>
          </w:p>
        </w:tc>
        <w:tc>
          <w:tcPr>
            <w:tcW w:w="2460" w:type="dxa"/>
            <w:vAlign w:val="bottom"/>
            <w:tcBorders>
              <w:right w:val="single" w:sz="8" w:color="007CBA"/>
            </w:tcBorders>
          </w:tcPr>
          <w:p>
            <w:pPr>
              <w:spacing w:after="0"/>
              <w:rPr>
                <w:sz w:val="3"/>
                <w:szCs w:val="3"/>
                <w:color w:val="auto"/>
              </w:rPr>
            </w:pPr>
          </w:p>
        </w:tc>
        <w:tc>
          <w:tcPr>
            <w:tcW w:w="1580" w:type="dxa"/>
            <w:vAlign w:val="bottom"/>
            <w:tcBorders>
              <w:right w:val="single" w:sz="8" w:color="007CBA"/>
            </w:tcBorders>
          </w:tcPr>
          <w:p>
            <w:pPr>
              <w:spacing w:after="0"/>
              <w:rPr>
                <w:sz w:val="3"/>
                <w:szCs w:val="3"/>
                <w:color w:val="auto"/>
              </w:rPr>
            </w:pPr>
          </w:p>
        </w:tc>
        <w:tc>
          <w:tcPr>
            <w:tcW w:w="4700" w:type="dxa"/>
            <w:vAlign w:val="bottom"/>
          </w:tcPr>
          <w:p>
            <w:pPr>
              <w:spacing w:after="0"/>
              <w:rPr>
                <w:sz w:val="3"/>
                <w:szCs w:val="3"/>
                <w:color w:val="auto"/>
              </w:rPr>
            </w:pPr>
          </w:p>
        </w:tc>
      </w:tr>
      <w:tr>
        <w:trPr>
          <w:trHeight w:val="194"/>
        </w:trPr>
        <w:tc>
          <w:tcPr>
            <w:tcW w:w="1820" w:type="dxa"/>
            <w:vAlign w:val="bottom"/>
            <w:tcBorders>
              <w:right w:val="single" w:sz="8" w:color="007CBA"/>
            </w:tcBorders>
            <w:shd w:val="clear" w:color="auto" w:fill="E5F1F8"/>
          </w:tcPr>
          <w:p>
            <w:pPr>
              <w:ind w:left="100"/>
              <w:spacing w:after="0" w:line="193" w:lineRule="exact"/>
              <w:rPr>
                <w:sz w:val="20"/>
                <w:szCs w:val="20"/>
                <w:color w:val="auto"/>
              </w:rPr>
            </w:pPr>
            <w:r>
              <w:rPr>
                <w:rFonts w:ascii="Calibri" w:cs="Calibri" w:eastAsia="Calibri" w:hAnsi="Calibri"/>
                <w:sz w:val="16"/>
                <w:szCs w:val="16"/>
                <w:color w:val="auto"/>
              </w:rPr>
              <w:t>John P. Mohr</w:t>
            </w:r>
          </w:p>
        </w:tc>
        <w:tc>
          <w:tcPr>
            <w:tcW w:w="680" w:type="dxa"/>
            <w:vAlign w:val="bottom"/>
            <w:tcBorders>
              <w:right w:val="single" w:sz="8" w:color="007CBA"/>
            </w:tcBorders>
            <w:shd w:val="clear" w:color="auto" w:fill="E5F1F8"/>
          </w:tcPr>
          <w:p>
            <w:pPr>
              <w:jc w:val="center"/>
              <w:spacing w:after="0" w:line="193" w:lineRule="exact"/>
              <w:rPr>
                <w:sz w:val="20"/>
                <w:szCs w:val="20"/>
                <w:color w:val="auto"/>
              </w:rPr>
            </w:pPr>
            <w:r>
              <w:rPr>
                <w:rFonts w:ascii="Calibri" w:cs="Calibri" w:eastAsia="Calibri" w:hAnsi="Calibri"/>
                <w:sz w:val="16"/>
                <w:szCs w:val="16"/>
                <w:color w:val="auto"/>
                <w:w w:val="98"/>
              </w:rPr>
              <w:t>58</w:t>
            </w:r>
          </w:p>
        </w:tc>
        <w:tc>
          <w:tcPr>
            <w:tcW w:w="2460" w:type="dxa"/>
            <w:vAlign w:val="bottom"/>
            <w:tcBorders>
              <w:right w:val="single" w:sz="8" w:color="007CBA"/>
            </w:tcBorders>
            <w:shd w:val="clear" w:color="auto" w:fill="E5F1F8"/>
          </w:tcPr>
          <w:p>
            <w:pPr>
              <w:ind w:left="60"/>
              <w:spacing w:after="0" w:line="193" w:lineRule="exact"/>
              <w:rPr>
                <w:sz w:val="20"/>
                <w:szCs w:val="20"/>
                <w:color w:val="auto"/>
              </w:rPr>
            </w:pPr>
            <w:r>
              <w:rPr>
                <w:rFonts w:ascii="Calibri" w:cs="Calibri" w:eastAsia="Calibri" w:hAnsi="Calibri"/>
                <w:sz w:val="16"/>
                <w:szCs w:val="16"/>
                <w:color w:val="auto"/>
              </w:rPr>
              <w:t>Senior Vice President;</w:t>
            </w:r>
          </w:p>
        </w:tc>
        <w:tc>
          <w:tcPr>
            <w:tcW w:w="1580" w:type="dxa"/>
            <w:vAlign w:val="bottom"/>
            <w:tcBorders>
              <w:right w:val="single" w:sz="8" w:color="007CBA"/>
            </w:tcBorders>
            <w:shd w:val="clear" w:color="auto" w:fill="E5F1F8"/>
          </w:tcPr>
          <w:p>
            <w:pPr>
              <w:jc w:val="center"/>
              <w:spacing w:after="0" w:line="193" w:lineRule="exact"/>
              <w:rPr>
                <w:sz w:val="20"/>
                <w:szCs w:val="20"/>
                <w:color w:val="auto"/>
              </w:rPr>
            </w:pPr>
            <w:r>
              <w:rPr>
                <w:rFonts w:ascii="Calibri" w:cs="Calibri" w:eastAsia="Calibri" w:hAnsi="Calibri"/>
                <w:sz w:val="16"/>
                <w:szCs w:val="16"/>
                <w:color w:val="auto"/>
                <w:w w:val="98"/>
              </w:rPr>
              <w:t>2017</w:t>
            </w:r>
          </w:p>
        </w:tc>
        <w:tc>
          <w:tcPr>
            <w:tcW w:w="4700" w:type="dxa"/>
            <w:vAlign w:val="bottom"/>
            <w:shd w:val="clear" w:color="auto" w:fill="E5F1F8"/>
          </w:tcPr>
          <w:p>
            <w:pPr>
              <w:spacing w:after="0"/>
              <w:rPr>
                <w:sz w:val="16"/>
                <w:szCs w:val="16"/>
                <w:color w:val="auto"/>
              </w:rPr>
            </w:pPr>
          </w:p>
        </w:tc>
      </w:tr>
      <w:tr>
        <w:trPr>
          <w:trHeight w:val="245"/>
        </w:trPr>
        <w:tc>
          <w:tcPr>
            <w:tcW w:w="1820" w:type="dxa"/>
            <w:vAlign w:val="bottom"/>
            <w:tcBorders>
              <w:bottom w:val="single" w:sz="8" w:color="E5F1F8"/>
              <w:right w:val="single" w:sz="8" w:color="007CBA"/>
            </w:tcBorders>
            <w:shd w:val="clear" w:color="auto" w:fill="E5F1F8"/>
          </w:tcPr>
          <w:p>
            <w:pPr>
              <w:spacing w:after="0"/>
              <w:rPr>
                <w:sz w:val="21"/>
                <w:szCs w:val="21"/>
                <w:color w:val="auto"/>
              </w:rPr>
            </w:pPr>
          </w:p>
        </w:tc>
        <w:tc>
          <w:tcPr>
            <w:tcW w:w="680" w:type="dxa"/>
            <w:vAlign w:val="bottom"/>
            <w:tcBorders>
              <w:bottom w:val="single" w:sz="8" w:color="E5F1F8"/>
              <w:right w:val="single" w:sz="8" w:color="007CBA"/>
            </w:tcBorders>
            <w:shd w:val="clear" w:color="auto" w:fill="E5F1F8"/>
          </w:tcPr>
          <w:p>
            <w:pPr>
              <w:spacing w:after="0"/>
              <w:rPr>
                <w:sz w:val="21"/>
                <w:szCs w:val="21"/>
                <w:color w:val="auto"/>
              </w:rPr>
            </w:pPr>
          </w:p>
        </w:tc>
        <w:tc>
          <w:tcPr>
            <w:tcW w:w="2460" w:type="dxa"/>
            <w:vAlign w:val="bottom"/>
            <w:tcBorders>
              <w:bottom w:val="single" w:sz="8" w:color="E5F1F8"/>
              <w:right w:val="single" w:sz="8" w:color="007CBA"/>
            </w:tcBorders>
            <w:shd w:val="clear" w:color="auto" w:fill="E5F1F8"/>
          </w:tcPr>
          <w:p>
            <w:pPr>
              <w:ind w:left="60"/>
              <w:spacing w:after="0"/>
              <w:rPr>
                <w:sz w:val="20"/>
                <w:szCs w:val="20"/>
                <w:color w:val="auto"/>
              </w:rPr>
            </w:pPr>
            <w:r>
              <w:rPr>
                <w:rFonts w:ascii="Calibri" w:cs="Calibri" w:eastAsia="Calibri" w:hAnsi="Calibri"/>
                <w:sz w:val="16"/>
                <w:szCs w:val="16"/>
                <w:color w:val="auto"/>
              </w:rPr>
              <w:t>Chief Informaton Ofcer</w:t>
            </w:r>
          </w:p>
        </w:tc>
        <w:tc>
          <w:tcPr>
            <w:tcW w:w="1580" w:type="dxa"/>
            <w:vAlign w:val="bottom"/>
            <w:tcBorders>
              <w:bottom w:val="single" w:sz="8" w:color="E5F1F8"/>
              <w:right w:val="single" w:sz="8" w:color="007CBA"/>
            </w:tcBorders>
            <w:shd w:val="clear" w:color="auto" w:fill="E5F1F8"/>
          </w:tcPr>
          <w:p>
            <w:pPr>
              <w:jc w:val="center"/>
              <w:spacing w:after="0"/>
              <w:rPr>
                <w:sz w:val="20"/>
                <w:szCs w:val="20"/>
                <w:color w:val="auto"/>
              </w:rPr>
            </w:pPr>
            <w:r>
              <w:rPr>
                <w:rFonts w:ascii="Calibri" w:cs="Calibri" w:eastAsia="Calibri" w:hAnsi="Calibri"/>
                <w:sz w:val="16"/>
                <w:szCs w:val="16"/>
                <w:color w:val="auto"/>
                <w:w w:val="98"/>
              </w:rPr>
              <w:t>2015</w:t>
            </w:r>
          </w:p>
        </w:tc>
        <w:tc>
          <w:tcPr>
            <w:tcW w:w="4700" w:type="dxa"/>
            <w:vAlign w:val="bottom"/>
            <w:tcBorders>
              <w:bottom w:val="single" w:sz="8" w:color="E5F1F8"/>
            </w:tcBorders>
            <w:shd w:val="clear" w:color="auto" w:fill="E5F1F8"/>
          </w:tcPr>
          <w:p>
            <w:pPr>
              <w:spacing w:after="0"/>
              <w:rPr>
                <w:sz w:val="21"/>
                <w:szCs w:val="21"/>
                <w:color w:val="auto"/>
              </w:rPr>
            </w:pPr>
          </w:p>
        </w:tc>
      </w:tr>
      <w:tr>
        <w:trPr>
          <w:trHeight w:val="194"/>
        </w:trPr>
        <w:tc>
          <w:tcPr>
            <w:tcW w:w="1820" w:type="dxa"/>
            <w:vAlign w:val="bottom"/>
            <w:tcBorders>
              <w:right w:val="single" w:sz="8" w:color="007CBA"/>
            </w:tcBorders>
          </w:tcPr>
          <w:p>
            <w:pPr>
              <w:ind w:left="100"/>
              <w:spacing w:after="0" w:line="193" w:lineRule="exact"/>
              <w:rPr>
                <w:sz w:val="20"/>
                <w:szCs w:val="20"/>
                <w:color w:val="auto"/>
              </w:rPr>
            </w:pPr>
            <w:r>
              <w:rPr>
                <w:rFonts w:ascii="Calibri" w:cs="Calibri" w:eastAsia="Calibri" w:hAnsi="Calibri"/>
                <w:sz w:val="16"/>
                <w:szCs w:val="16"/>
                <w:color w:val="auto"/>
              </w:rPr>
              <w:t>Michael J. Petro</w:t>
            </w:r>
          </w:p>
        </w:tc>
        <w:tc>
          <w:tcPr>
            <w:tcW w:w="680" w:type="dxa"/>
            <w:vAlign w:val="bottom"/>
            <w:tcBorders>
              <w:right w:val="single" w:sz="8" w:color="007CBA"/>
            </w:tcBorders>
          </w:tcPr>
          <w:p>
            <w:pPr>
              <w:jc w:val="center"/>
              <w:spacing w:after="0" w:line="193" w:lineRule="exact"/>
              <w:rPr>
                <w:sz w:val="20"/>
                <w:szCs w:val="20"/>
                <w:color w:val="auto"/>
              </w:rPr>
            </w:pPr>
            <w:r>
              <w:rPr>
                <w:rFonts w:ascii="Calibri" w:cs="Calibri" w:eastAsia="Calibri" w:hAnsi="Calibri"/>
                <w:sz w:val="16"/>
                <w:szCs w:val="16"/>
                <w:color w:val="auto"/>
                <w:w w:val="98"/>
              </w:rPr>
              <w:t>39</w:t>
            </w:r>
          </w:p>
        </w:tc>
        <w:tc>
          <w:tcPr>
            <w:tcW w:w="2460" w:type="dxa"/>
            <w:vAlign w:val="bottom"/>
            <w:tcBorders>
              <w:right w:val="single" w:sz="8" w:color="007CBA"/>
            </w:tcBorders>
          </w:tcPr>
          <w:p>
            <w:pPr>
              <w:ind w:left="60"/>
              <w:spacing w:after="0" w:line="193" w:lineRule="exact"/>
              <w:rPr>
                <w:sz w:val="20"/>
                <w:szCs w:val="20"/>
                <w:color w:val="auto"/>
              </w:rPr>
            </w:pPr>
            <w:r>
              <w:rPr>
                <w:rFonts w:ascii="Calibri" w:cs="Calibri" w:eastAsia="Calibri" w:hAnsi="Calibri"/>
                <w:sz w:val="16"/>
                <w:szCs w:val="16"/>
                <w:color w:val="auto"/>
              </w:rPr>
              <w:t>Senior Vice President,</w:t>
            </w:r>
          </w:p>
        </w:tc>
        <w:tc>
          <w:tcPr>
            <w:tcW w:w="1580" w:type="dxa"/>
            <w:vAlign w:val="bottom"/>
            <w:tcBorders>
              <w:right w:val="single" w:sz="8" w:color="007CBA"/>
            </w:tcBorders>
          </w:tcPr>
          <w:p>
            <w:pPr>
              <w:jc w:val="center"/>
              <w:spacing w:after="0" w:line="193" w:lineRule="exact"/>
              <w:rPr>
                <w:sz w:val="20"/>
                <w:szCs w:val="20"/>
                <w:color w:val="auto"/>
              </w:rPr>
            </w:pPr>
            <w:r>
              <w:rPr>
                <w:rFonts w:ascii="Calibri" w:cs="Calibri" w:eastAsia="Calibri" w:hAnsi="Calibri"/>
                <w:sz w:val="16"/>
                <w:szCs w:val="16"/>
                <w:color w:val="auto"/>
                <w:w w:val="98"/>
              </w:rPr>
              <w:t>2021</w:t>
            </w:r>
          </w:p>
        </w:tc>
        <w:tc>
          <w:tcPr>
            <w:tcW w:w="4700" w:type="dxa"/>
            <w:vAlign w:val="bottom"/>
          </w:tcPr>
          <w:p>
            <w:pPr>
              <w:ind w:left="100"/>
              <w:spacing w:after="0" w:line="193" w:lineRule="exact"/>
              <w:rPr>
                <w:sz w:val="20"/>
                <w:szCs w:val="20"/>
                <w:color w:val="auto"/>
              </w:rPr>
            </w:pPr>
            <w:r>
              <w:rPr>
                <w:rFonts w:ascii="Calibri" w:cs="Calibri" w:eastAsia="Calibri" w:hAnsi="Calibri"/>
                <w:sz w:val="16"/>
                <w:szCs w:val="16"/>
                <w:color w:val="auto"/>
              </w:rPr>
              <w:t>Vice President, Strategy and Development (2018-2021); Director,</w:t>
            </w:r>
          </w:p>
        </w:tc>
      </w:tr>
      <w:tr>
        <w:trPr>
          <w:trHeight w:val="198"/>
        </w:trPr>
        <w:tc>
          <w:tcPr>
            <w:tcW w:w="1820" w:type="dxa"/>
            <w:vAlign w:val="bottom"/>
            <w:tcBorders>
              <w:right w:val="single" w:sz="8" w:color="007CBA"/>
            </w:tcBorders>
          </w:tcPr>
          <w:p>
            <w:pPr>
              <w:spacing w:after="0"/>
              <w:rPr>
                <w:sz w:val="17"/>
                <w:szCs w:val="17"/>
                <w:color w:val="auto"/>
              </w:rPr>
            </w:pPr>
          </w:p>
        </w:tc>
        <w:tc>
          <w:tcPr>
            <w:tcW w:w="680" w:type="dxa"/>
            <w:vAlign w:val="bottom"/>
            <w:tcBorders>
              <w:right w:val="single" w:sz="8" w:color="007CBA"/>
            </w:tcBorders>
          </w:tcPr>
          <w:p>
            <w:pPr>
              <w:spacing w:after="0"/>
              <w:rPr>
                <w:sz w:val="17"/>
                <w:szCs w:val="17"/>
                <w:color w:val="auto"/>
              </w:rPr>
            </w:pPr>
          </w:p>
        </w:tc>
        <w:tc>
          <w:tcPr>
            <w:tcW w:w="2460" w:type="dxa"/>
            <w:vAlign w:val="bottom"/>
            <w:tcBorders>
              <w:right w:val="single" w:sz="8" w:color="007CBA"/>
            </w:tcBorders>
          </w:tcPr>
          <w:p>
            <w:pPr>
              <w:ind w:left="60"/>
              <w:spacing w:after="0"/>
              <w:rPr>
                <w:sz w:val="20"/>
                <w:szCs w:val="20"/>
                <w:color w:val="auto"/>
              </w:rPr>
            </w:pPr>
            <w:r>
              <w:rPr>
                <w:rFonts w:ascii="Calibri" w:cs="Calibri" w:eastAsia="Calibri" w:hAnsi="Calibri"/>
                <w:sz w:val="16"/>
                <w:szCs w:val="16"/>
                <w:color w:val="auto"/>
              </w:rPr>
              <w:t>Strategy &amp; Development</w:t>
            </w:r>
          </w:p>
        </w:tc>
        <w:tc>
          <w:tcPr>
            <w:tcW w:w="1580" w:type="dxa"/>
            <w:vAlign w:val="bottom"/>
            <w:tcBorders>
              <w:right w:val="single" w:sz="8" w:color="007CBA"/>
            </w:tcBorders>
          </w:tcPr>
          <w:p>
            <w:pPr>
              <w:spacing w:after="0"/>
              <w:rPr>
                <w:sz w:val="17"/>
                <w:szCs w:val="17"/>
                <w:color w:val="auto"/>
              </w:rPr>
            </w:pPr>
          </w:p>
        </w:tc>
        <w:tc>
          <w:tcPr>
            <w:tcW w:w="4700" w:type="dxa"/>
            <w:vAlign w:val="bottom"/>
          </w:tcPr>
          <w:p>
            <w:pPr>
              <w:ind w:left="100"/>
              <w:spacing w:after="0"/>
              <w:rPr>
                <w:sz w:val="20"/>
                <w:szCs w:val="20"/>
                <w:color w:val="auto"/>
              </w:rPr>
            </w:pPr>
            <w:r>
              <w:rPr>
                <w:rFonts w:ascii="Calibri" w:cs="Calibri" w:eastAsia="Calibri" w:hAnsi="Calibri"/>
                <w:sz w:val="16"/>
                <w:szCs w:val="16"/>
                <w:color w:val="auto"/>
              </w:rPr>
              <w:t>Strategy and Development (2015-2018)</w:t>
            </w:r>
          </w:p>
        </w:tc>
      </w:tr>
      <w:tr>
        <w:trPr>
          <w:trHeight w:val="41"/>
        </w:trPr>
        <w:tc>
          <w:tcPr>
            <w:tcW w:w="1820" w:type="dxa"/>
            <w:vAlign w:val="bottom"/>
            <w:tcBorders>
              <w:right w:val="single" w:sz="8" w:color="007CBA"/>
            </w:tcBorders>
          </w:tcPr>
          <w:p>
            <w:pPr>
              <w:spacing w:after="0"/>
              <w:rPr>
                <w:sz w:val="3"/>
                <w:szCs w:val="3"/>
                <w:color w:val="auto"/>
              </w:rPr>
            </w:pPr>
          </w:p>
        </w:tc>
        <w:tc>
          <w:tcPr>
            <w:tcW w:w="680" w:type="dxa"/>
            <w:vAlign w:val="bottom"/>
            <w:tcBorders>
              <w:right w:val="single" w:sz="8" w:color="007CBA"/>
            </w:tcBorders>
          </w:tcPr>
          <w:p>
            <w:pPr>
              <w:spacing w:after="0"/>
              <w:rPr>
                <w:sz w:val="3"/>
                <w:szCs w:val="3"/>
                <w:color w:val="auto"/>
              </w:rPr>
            </w:pPr>
          </w:p>
        </w:tc>
        <w:tc>
          <w:tcPr>
            <w:tcW w:w="2460" w:type="dxa"/>
            <w:vAlign w:val="bottom"/>
            <w:tcBorders>
              <w:right w:val="single" w:sz="8" w:color="007CBA"/>
            </w:tcBorders>
          </w:tcPr>
          <w:p>
            <w:pPr>
              <w:spacing w:after="0"/>
              <w:rPr>
                <w:sz w:val="3"/>
                <w:szCs w:val="3"/>
                <w:color w:val="auto"/>
              </w:rPr>
            </w:pPr>
          </w:p>
        </w:tc>
        <w:tc>
          <w:tcPr>
            <w:tcW w:w="1580" w:type="dxa"/>
            <w:vAlign w:val="bottom"/>
            <w:tcBorders>
              <w:right w:val="single" w:sz="8" w:color="007CBA"/>
            </w:tcBorders>
          </w:tcPr>
          <w:p>
            <w:pPr>
              <w:spacing w:after="0"/>
              <w:rPr>
                <w:sz w:val="3"/>
                <w:szCs w:val="3"/>
                <w:color w:val="auto"/>
              </w:rPr>
            </w:pPr>
          </w:p>
        </w:tc>
        <w:tc>
          <w:tcPr>
            <w:tcW w:w="470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214630</wp:posOffset>
            </wp:positionV>
            <wp:extent cx="325755" cy="1968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34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3" w:name="page34"/>
    <w:bookmarkEnd w:id="33"/>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5 – Market for Registrant’s Common Equity, Related Stockholder Maters and Issuer Purchases of Equity Securites</w:t>
      </w:r>
    </w:p>
    <w:p>
      <w:pPr>
        <w:spacing w:after="0" w:line="155" w:lineRule="exact"/>
        <w:rPr>
          <w:sz w:val="20"/>
          <w:szCs w:val="20"/>
          <w:color w:val="auto"/>
        </w:rPr>
      </w:pPr>
    </w:p>
    <w:p>
      <w:pPr>
        <w:jc w:val="center"/>
        <w:ind w:right="80"/>
        <w:spacing w:after="0"/>
        <w:rPr>
          <w:sz w:val="20"/>
          <w:szCs w:val="20"/>
          <w:color w:val="auto"/>
        </w:rPr>
      </w:pPr>
      <w:r>
        <w:rPr>
          <w:rFonts w:ascii="Calibri" w:cs="Calibri" w:eastAsia="Calibri" w:hAnsi="Calibri"/>
          <w:sz w:val="36"/>
          <w:szCs w:val="36"/>
          <w:color w:val="auto"/>
        </w:rPr>
        <w:t>PART II</w:t>
      </w:r>
    </w:p>
    <w:p>
      <w:pPr>
        <w:spacing w:after="0" w:line="213"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5 – MARKET FOR REGISTRANT’S COMMON EQUITY, RELATED STOCKHOLDER MATTERS AND ISSUER PURCHASES OF EQUITY SECURITIES</w:t>
      </w:r>
    </w:p>
    <w:p>
      <w:pPr>
        <w:spacing w:after="0" w:line="114"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Market Informaton and Holders</w:t>
      </w:r>
    </w:p>
    <w:p>
      <w:pPr>
        <w:spacing w:after="0" w:line="6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Company’s common stock, $0.01 par value, is traded on the New York Stock Exchange (NYSE) (Symbol: MLM). There were 739 holders of record of the Company’s common stock as of February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92710</wp:posOffset>
            </wp:positionV>
            <wp:extent cx="325755" cy="1974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4" w:name="page35"/>
    <w:bookmarkEnd w:id="34"/>
    <w:p>
      <w:pPr>
        <w:ind w:left="210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5 – Market for Registrant’s Common Equity, Related Stockholder Maters and Issuer Purchases of Equity Securites</w:t>
      </w:r>
    </w:p>
    <w:p>
      <w:pPr>
        <w:spacing w:after="0" w:line="181"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Common Stock Performance Graph</w:t>
      </w:r>
    </w:p>
    <w:p>
      <w:pPr>
        <w:spacing w:after="0" w:line="6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following graph and accompanying table compare the fve-year cumulatve total return from December 31, 2017 to December 31, 2022 for (a) the Company’s common stock, (b) the Standard &amp; Poor’s 500 Composite Stock Index, and (c) the Standard &amp; Poor’s 500 Materials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Recent Sales of Unregistered Securites</w:t>
      </w:r>
    </w:p>
    <w:p>
      <w:pPr>
        <w:spacing w:after="0" w:line="59"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92075</wp:posOffset>
            </wp:positionV>
            <wp:extent cx="325755" cy="1968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5" w:name="page36"/>
    <w:bookmarkEnd w:id="35"/>
    <w:p>
      <w:pPr>
        <w:ind w:left="210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5 – Market for Registrant’s Common Equity, Related Stockholder Maters and Issuer Purchases of Equity Securites</w:t>
      </w:r>
    </w:p>
    <w:p>
      <w:pPr>
        <w:spacing w:after="0" w:line="181"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Issuer Purchases of Equity Securites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40" w:type="dxa"/>
            <w:vAlign w:val="bottom"/>
            <w:tcBorders>
              <w:right w:val="single" w:sz="8" w:color="007CBA"/>
            </w:tcBorders>
            <w:shd w:val="clear" w:color="auto" w:fill="007CBA"/>
          </w:tcPr>
          <w:p>
            <w:pPr>
              <w:spacing w:after="0"/>
              <w:rPr>
                <w:sz w:val="15"/>
                <w:szCs w:val="15"/>
                <w:color w:val="auto"/>
              </w:rPr>
            </w:pPr>
          </w:p>
        </w:tc>
        <w:tc>
          <w:tcPr>
            <w:tcW w:w="1380" w:type="dxa"/>
            <w:vAlign w:val="bottom"/>
            <w:shd w:val="clear" w:color="auto" w:fill="007CBA"/>
          </w:tcPr>
          <w:p>
            <w:pPr>
              <w:spacing w:after="0"/>
              <w:rPr>
                <w:sz w:val="15"/>
                <w:szCs w:val="15"/>
                <w:color w:val="auto"/>
              </w:rPr>
            </w:pPr>
          </w:p>
        </w:tc>
        <w:tc>
          <w:tcPr>
            <w:tcW w:w="420" w:type="dxa"/>
            <w:vAlign w:val="bottom"/>
            <w:tcBorders>
              <w:right w:val="single" w:sz="8" w:color="007CBA"/>
            </w:tcBorders>
            <w:shd w:val="clear" w:color="auto" w:fill="007CBA"/>
          </w:tcPr>
          <w:p>
            <w:pPr>
              <w:spacing w:after="0"/>
              <w:rPr>
                <w:sz w:val="15"/>
                <w:szCs w:val="15"/>
                <w:color w:val="auto"/>
              </w:rPr>
            </w:pPr>
          </w:p>
        </w:tc>
        <w:tc>
          <w:tcPr>
            <w:tcW w:w="1400" w:type="dxa"/>
            <w:vAlign w:val="bottom"/>
            <w:shd w:val="clear" w:color="auto" w:fill="007CBA"/>
          </w:tcPr>
          <w:p>
            <w:pPr>
              <w:spacing w:after="0"/>
              <w:rPr>
                <w:sz w:val="15"/>
                <w:szCs w:val="15"/>
                <w:color w:val="auto"/>
              </w:rPr>
            </w:pPr>
          </w:p>
        </w:tc>
        <w:tc>
          <w:tcPr>
            <w:tcW w:w="420" w:type="dxa"/>
            <w:vAlign w:val="bottom"/>
            <w:tcBorders>
              <w:right w:val="single" w:sz="8" w:color="007CBA"/>
            </w:tcBorders>
            <w:shd w:val="clear" w:color="auto" w:fill="007CBA"/>
          </w:tcPr>
          <w:p>
            <w:pPr>
              <w:spacing w:after="0"/>
              <w:rPr>
                <w:sz w:val="15"/>
                <w:szCs w:val="15"/>
                <w:color w:val="auto"/>
              </w:rPr>
            </w:pPr>
          </w:p>
        </w:tc>
        <w:tc>
          <w:tcPr>
            <w:tcW w:w="1340" w:type="dxa"/>
            <w:vAlign w:val="bottom"/>
            <w:shd w:val="clear" w:color="auto" w:fill="007CBA"/>
          </w:tcPr>
          <w:p>
            <w:pPr>
              <w:jc w:val="center"/>
              <w:ind w:left="348"/>
              <w:spacing w:after="0"/>
              <w:rPr>
                <w:sz w:val="20"/>
                <w:szCs w:val="20"/>
                <w:color w:val="auto"/>
              </w:rPr>
            </w:pPr>
            <w:r>
              <w:rPr>
                <w:rFonts w:ascii="Calibri" w:cs="Calibri" w:eastAsia="Calibri" w:hAnsi="Calibri"/>
                <w:sz w:val="14"/>
                <w:szCs w:val="14"/>
                <w:b w:val="1"/>
                <w:bCs w:val="1"/>
                <w:color w:val="FFFFFF"/>
                <w:w w:val="94"/>
              </w:rPr>
              <w:t>Total</w:t>
            </w:r>
          </w:p>
        </w:tc>
        <w:tc>
          <w:tcPr>
            <w:tcW w:w="400" w:type="dxa"/>
            <w:vAlign w:val="bottom"/>
            <w:tcBorders>
              <w:right w:val="single" w:sz="8" w:color="007CBA"/>
            </w:tcBorders>
            <w:shd w:val="clear" w:color="auto" w:fill="007CBA"/>
          </w:tcPr>
          <w:p>
            <w:pPr>
              <w:spacing w:after="0"/>
              <w:rPr>
                <w:sz w:val="15"/>
                <w:szCs w:val="15"/>
                <w:color w:val="auto"/>
              </w:rPr>
            </w:pPr>
          </w:p>
        </w:tc>
        <w:tc>
          <w:tcPr>
            <w:tcW w:w="1740" w:type="dxa"/>
            <w:vAlign w:val="bottom"/>
            <w:shd w:val="clear" w:color="auto" w:fill="007CBA"/>
          </w:tcPr>
          <w:p>
            <w:pPr>
              <w:spacing w:after="0"/>
              <w:rPr>
                <w:sz w:val="15"/>
                <w:szCs w:val="15"/>
                <w:color w:val="auto"/>
              </w:rPr>
            </w:pPr>
          </w:p>
        </w:tc>
      </w:tr>
      <w:tr>
        <w:trPr>
          <w:trHeight w:val="170"/>
        </w:trPr>
        <w:tc>
          <w:tcPr>
            <w:tcW w:w="4140" w:type="dxa"/>
            <w:vAlign w:val="bottom"/>
            <w:tcBorders>
              <w:right w:val="single" w:sz="8" w:color="007CBA"/>
            </w:tcBorders>
            <w:shd w:val="clear" w:color="auto" w:fill="007CBA"/>
          </w:tcPr>
          <w:p>
            <w:pPr>
              <w:spacing w:after="0"/>
              <w:rPr>
                <w:sz w:val="14"/>
                <w:szCs w:val="14"/>
                <w:color w:val="auto"/>
              </w:rPr>
            </w:pPr>
          </w:p>
        </w:tc>
        <w:tc>
          <w:tcPr>
            <w:tcW w:w="1380" w:type="dxa"/>
            <w:vAlign w:val="bottom"/>
            <w:shd w:val="clear" w:color="auto" w:fill="007CBA"/>
          </w:tcPr>
          <w:p>
            <w:pPr>
              <w:spacing w:after="0"/>
              <w:rPr>
                <w:sz w:val="14"/>
                <w:szCs w:val="14"/>
                <w:color w:val="auto"/>
              </w:rPr>
            </w:pPr>
          </w:p>
        </w:tc>
        <w:tc>
          <w:tcPr>
            <w:tcW w:w="420" w:type="dxa"/>
            <w:vAlign w:val="bottom"/>
            <w:tcBorders>
              <w:right w:val="single" w:sz="8" w:color="007CBA"/>
            </w:tcBorders>
            <w:shd w:val="clear" w:color="auto" w:fill="007CBA"/>
          </w:tcPr>
          <w:p>
            <w:pPr>
              <w:spacing w:after="0"/>
              <w:rPr>
                <w:sz w:val="14"/>
                <w:szCs w:val="14"/>
                <w:color w:val="auto"/>
              </w:rPr>
            </w:pPr>
          </w:p>
        </w:tc>
        <w:tc>
          <w:tcPr>
            <w:tcW w:w="1400" w:type="dxa"/>
            <w:vAlign w:val="bottom"/>
            <w:shd w:val="clear" w:color="auto" w:fill="007CBA"/>
          </w:tcPr>
          <w:p>
            <w:pPr>
              <w:spacing w:after="0"/>
              <w:rPr>
                <w:sz w:val="14"/>
                <w:szCs w:val="14"/>
                <w:color w:val="auto"/>
              </w:rPr>
            </w:pPr>
          </w:p>
        </w:tc>
        <w:tc>
          <w:tcPr>
            <w:tcW w:w="420" w:type="dxa"/>
            <w:vAlign w:val="bottom"/>
            <w:tcBorders>
              <w:right w:val="single" w:sz="8" w:color="007CBA"/>
            </w:tcBorders>
            <w:shd w:val="clear" w:color="auto" w:fill="007CBA"/>
          </w:tcPr>
          <w:p>
            <w:pPr>
              <w:spacing w:after="0"/>
              <w:rPr>
                <w:sz w:val="14"/>
                <w:szCs w:val="14"/>
                <w:color w:val="auto"/>
              </w:rPr>
            </w:pPr>
          </w:p>
        </w:tc>
        <w:tc>
          <w:tcPr>
            <w:tcW w:w="1340" w:type="dxa"/>
            <w:vAlign w:val="bottom"/>
            <w:shd w:val="clear" w:color="auto" w:fill="007CBA"/>
          </w:tcPr>
          <w:p>
            <w:pPr>
              <w:jc w:val="center"/>
              <w:ind w:left="348"/>
              <w:spacing w:after="0"/>
              <w:rPr>
                <w:sz w:val="20"/>
                <w:szCs w:val="20"/>
                <w:color w:val="auto"/>
              </w:rPr>
            </w:pPr>
            <w:r>
              <w:rPr>
                <w:rFonts w:ascii="Calibri" w:cs="Calibri" w:eastAsia="Calibri" w:hAnsi="Calibri"/>
                <w:sz w:val="14"/>
                <w:szCs w:val="14"/>
                <w:b w:val="1"/>
                <w:bCs w:val="1"/>
                <w:color w:val="FFFFFF"/>
              </w:rPr>
              <w:t>Number of</w:t>
            </w:r>
          </w:p>
        </w:tc>
        <w:tc>
          <w:tcPr>
            <w:tcW w:w="400" w:type="dxa"/>
            <w:vAlign w:val="bottom"/>
            <w:tcBorders>
              <w:right w:val="single" w:sz="8" w:color="007CBA"/>
            </w:tcBorders>
            <w:shd w:val="clear" w:color="auto" w:fill="007CBA"/>
          </w:tcPr>
          <w:p>
            <w:pPr>
              <w:spacing w:after="0"/>
              <w:rPr>
                <w:sz w:val="14"/>
                <w:szCs w:val="14"/>
                <w:color w:val="auto"/>
              </w:rPr>
            </w:pPr>
          </w:p>
        </w:tc>
        <w:tc>
          <w:tcPr>
            <w:tcW w:w="1740" w:type="dxa"/>
            <w:vAlign w:val="bottom"/>
            <w:shd w:val="clear" w:color="auto" w:fill="007CBA"/>
          </w:tcPr>
          <w:p>
            <w:pPr>
              <w:jc w:val="center"/>
              <w:spacing w:after="0"/>
              <w:rPr>
                <w:sz w:val="20"/>
                <w:szCs w:val="20"/>
                <w:color w:val="auto"/>
              </w:rPr>
            </w:pPr>
            <w:r>
              <w:rPr>
                <w:rFonts w:ascii="Calibri" w:cs="Calibri" w:eastAsia="Calibri" w:hAnsi="Calibri"/>
                <w:sz w:val="14"/>
                <w:szCs w:val="14"/>
                <w:b w:val="1"/>
                <w:bCs w:val="1"/>
                <w:color w:val="FFFFFF"/>
              </w:rPr>
              <w:t>Maximum</w:t>
            </w:r>
          </w:p>
        </w:tc>
      </w:tr>
      <w:tr>
        <w:trPr>
          <w:trHeight w:val="175"/>
        </w:trPr>
        <w:tc>
          <w:tcPr>
            <w:tcW w:w="4140" w:type="dxa"/>
            <w:vAlign w:val="bottom"/>
            <w:tcBorders>
              <w:right w:val="single" w:sz="8" w:color="007CBA"/>
            </w:tcBorders>
            <w:shd w:val="clear" w:color="auto" w:fill="007CBA"/>
          </w:tcPr>
          <w:p>
            <w:pPr>
              <w:spacing w:after="0"/>
              <w:rPr>
                <w:sz w:val="15"/>
                <w:szCs w:val="15"/>
                <w:color w:val="auto"/>
              </w:rPr>
            </w:pPr>
          </w:p>
        </w:tc>
        <w:tc>
          <w:tcPr>
            <w:tcW w:w="1380" w:type="dxa"/>
            <w:vAlign w:val="bottom"/>
            <w:shd w:val="clear" w:color="auto" w:fill="007CBA"/>
          </w:tcPr>
          <w:p>
            <w:pPr>
              <w:spacing w:after="0"/>
              <w:rPr>
                <w:sz w:val="15"/>
                <w:szCs w:val="15"/>
                <w:color w:val="auto"/>
              </w:rPr>
            </w:pPr>
          </w:p>
        </w:tc>
        <w:tc>
          <w:tcPr>
            <w:tcW w:w="420" w:type="dxa"/>
            <w:vAlign w:val="bottom"/>
            <w:tcBorders>
              <w:right w:val="single" w:sz="8" w:color="007CBA"/>
            </w:tcBorders>
            <w:shd w:val="clear" w:color="auto" w:fill="007CBA"/>
          </w:tcPr>
          <w:p>
            <w:pPr>
              <w:spacing w:after="0"/>
              <w:rPr>
                <w:sz w:val="15"/>
                <w:szCs w:val="15"/>
                <w:color w:val="auto"/>
              </w:rPr>
            </w:pPr>
          </w:p>
        </w:tc>
        <w:tc>
          <w:tcPr>
            <w:tcW w:w="1400" w:type="dxa"/>
            <w:vAlign w:val="bottom"/>
            <w:shd w:val="clear" w:color="auto" w:fill="007CBA"/>
          </w:tcPr>
          <w:p>
            <w:pPr>
              <w:spacing w:after="0"/>
              <w:rPr>
                <w:sz w:val="15"/>
                <w:szCs w:val="15"/>
                <w:color w:val="auto"/>
              </w:rPr>
            </w:pPr>
          </w:p>
        </w:tc>
        <w:tc>
          <w:tcPr>
            <w:tcW w:w="420" w:type="dxa"/>
            <w:vAlign w:val="bottom"/>
            <w:tcBorders>
              <w:right w:val="single" w:sz="8" w:color="007CBA"/>
            </w:tcBorders>
            <w:shd w:val="clear" w:color="auto" w:fill="007CBA"/>
          </w:tcPr>
          <w:p>
            <w:pPr>
              <w:spacing w:after="0"/>
              <w:rPr>
                <w:sz w:val="15"/>
                <w:szCs w:val="15"/>
                <w:color w:val="auto"/>
              </w:rPr>
            </w:pPr>
          </w:p>
        </w:tc>
        <w:tc>
          <w:tcPr>
            <w:tcW w:w="1340" w:type="dxa"/>
            <w:vAlign w:val="bottom"/>
            <w:shd w:val="clear" w:color="auto" w:fill="007CBA"/>
          </w:tcPr>
          <w:p>
            <w:pPr>
              <w:jc w:val="center"/>
              <w:ind w:left="348"/>
              <w:spacing w:after="0"/>
              <w:rPr>
                <w:sz w:val="20"/>
                <w:szCs w:val="20"/>
                <w:color w:val="auto"/>
              </w:rPr>
            </w:pPr>
            <w:r>
              <w:rPr>
                <w:rFonts w:ascii="Calibri" w:cs="Calibri" w:eastAsia="Calibri" w:hAnsi="Calibri"/>
                <w:sz w:val="14"/>
                <w:szCs w:val="14"/>
                <w:b w:val="1"/>
                <w:bCs w:val="1"/>
                <w:color w:val="FFFFFF"/>
              </w:rPr>
              <w:t>Shares</w:t>
            </w:r>
          </w:p>
        </w:tc>
        <w:tc>
          <w:tcPr>
            <w:tcW w:w="400" w:type="dxa"/>
            <w:vAlign w:val="bottom"/>
            <w:tcBorders>
              <w:right w:val="single" w:sz="8" w:color="007CBA"/>
            </w:tcBorders>
            <w:shd w:val="clear" w:color="auto" w:fill="007CBA"/>
          </w:tcPr>
          <w:p>
            <w:pPr>
              <w:spacing w:after="0"/>
              <w:rPr>
                <w:sz w:val="15"/>
                <w:szCs w:val="15"/>
                <w:color w:val="auto"/>
              </w:rPr>
            </w:pPr>
          </w:p>
        </w:tc>
        <w:tc>
          <w:tcPr>
            <w:tcW w:w="1740" w:type="dxa"/>
            <w:vAlign w:val="bottom"/>
            <w:shd w:val="clear" w:color="auto" w:fill="007CBA"/>
          </w:tcPr>
          <w:p>
            <w:pPr>
              <w:jc w:val="center"/>
              <w:spacing w:after="0"/>
              <w:rPr>
                <w:sz w:val="20"/>
                <w:szCs w:val="20"/>
                <w:color w:val="auto"/>
              </w:rPr>
            </w:pPr>
            <w:r>
              <w:rPr>
                <w:rFonts w:ascii="Calibri" w:cs="Calibri" w:eastAsia="Calibri" w:hAnsi="Calibri"/>
                <w:sz w:val="14"/>
                <w:szCs w:val="14"/>
                <w:b w:val="1"/>
                <w:bCs w:val="1"/>
                <w:color w:val="FFFFFF"/>
              </w:rPr>
              <w:t>Number of</w:t>
            </w:r>
          </w:p>
        </w:tc>
      </w:tr>
      <w:tr>
        <w:trPr>
          <w:trHeight w:val="176"/>
        </w:trPr>
        <w:tc>
          <w:tcPr>
            <w:tcW w:w="4140" w:type="dxa"/>
            <w:vAlign w:val="bottom"/>
            <w:tcBorders>
              <w:right w:val="single" w:sz="8" w:color="007CBA"/>
            </w:tcBorders>
            <w:shd w:val="clear" w:color="auto" w:fill="007CBA"/>
          </w:tcPr>
          <w:p>
            <w:pPr>
              <w:spacing w:after="0"/>
              <w:rPr>
                <w:sz w:val="15"/>
                <w:szCs w:val="15"/>
                <w:color w:val="auto"/>
              </w:rPr>
            </w:pPr>
          </w:p>
        </w:tc>
        <w:tc>
          <w:tcPr>
            <w:tcW w:w="1380" w:type="dxa"/>
            <w:vAlign w:val="bottom"/>
            <w:shd w:val="clear" w:color="auto" w:fill="007CBA"/>
          </w:tcPr>
          <w:p>
            <w:pPr>
              <w:spacing w:after="0"/>
              <w:rPr>
                <w:sz w:val="15"/>
                <w:szCs w:val="15"/>
                <w:color w:val="auto"/>
              </w:rPr>
            </w:pPr>
          </w:p>
        </w:tc>
        <w:tc>
          <w:tcPr>
            <w:tcW w:w="420" w:type="dxa"/>
            <w:vAlign w:val="bottom"/>
            <w:tcBorders>
              <w:right w:val="single" w:sz="8" w:color="007CBA"/>
            </w:tcBorders>
            <w:shd w:val="clear" w:color="auto" w:fill="007CBA"/>
          </w:tcPr>
          <w:p>
            <w:pPr>
              <w:spacing w:after="0"/>
              <w:rPr>
                <w:sz w:val="15"/>
                <w:szCs w:val="15"/>
                <w:color w:val="auto"/>
              </w:rPr>
            </w:pPr>
          </w:p>
        </w:tc>
        <w:tc>
          <w:tcPr>
            <w:tcW w:w="1400" w:type="dxa"/>
            <w:vAlign w:val="bottom"/>
            <w:shd w:val="clear" w:color="auto" w:fill="007CBA"/>
          </w:tcPr>
          <w:p>
            <w:pPr>
              <w:spacing w:after="0"/>
              <w:rPr>
                <w:sz w:val="15"/>
                <w:szCs w:val="15"/>
                <w:color w:val="auto"/>
              </w:rPr>
            </w:pPr>
          </w:p>
        </w:tc>
        <w:tc>
          <w:tcPr>
            <w:tcW w:w="420" w:type="dxa"/>
            <w:vAlign w:val="bottom"/>
            <w:tcBorders>
              <w:right w:val="single" w:sz="8" w:color="007CBA"/>
            </w:tcBorders>
            <w:shd w:val="clear" w:color="auto" w:fill="007CBA"/>
          </w:tcPr>
          <w:p>
            <w:pPr>
              <w:spacing w:after="0"/>
              <w:rPr>
                <w:sz w:val="15"/>
                <w:szCs w:val="15"/>
                <w:color w:val="auto"/>
              </w:rPr>
            </w:pPr>
          </w:p>
        </w:tc>
        <w:tc>
          <w:tcPr>
            <w:tcW w:w="1340" w:type="dxa"/>
            <w:vAlign w:val="bottom"/>
            <w:shd w:val="clear" w:color="auto" w:fill="007CBA"/>
          </w:tcPr>
          <w:p>
            <w:pPr>
              <w:jc w:val="center"/>
              <w:ind w:left="368"/>
              <w:spacing w:after="0"/>
              <w:rPr>
                <w:sz w:val="20"/>
                <w:szCs w:val="20"/>
                <w:color w:val="auto"/>
              </w:rPr>
            </w:pPr>
            <w:r>
              <w:rPr>
                <w:rFonts w:ascii="Calibri" w:cs="Calibri" w:eastAsia="Calibri" w:hAnsi="Calibri"/>
                <w:sz w:val="14"/>
                <w:szCs w:val="14"/>
                <w:b w:val="1"/>
                <w:bCs w:val="1"/>
                <w:color w:val="FFFFFF"/>
              </w:rPr>
              <w:t>Purchased</w:t>
            </w:r>
          </w:p>
        </w:tc>
        <w:tc>
          <w:tcPr>
            <w:tcW w:w="400" w:type="dxa"/>
            <w:vAlign w:val="bottom"/>
            <w:tcBorders>
              <w:right w:val="single" w:sz="8" w:color="007CBA"/>
            </w:tcBorders>
            <w:shd w:val="clear" w:color="auto" w:fill="007CBA"/>
          </w:tcPr>
          <w:p>
            <w:pPr>
              <w:spacing w:after="0"/>
              <w:rPr>
                <w:sz w:val="15"/>
                <w:szCs w:val="15"/>
                <w:color w:val="auto"/>
              </w:rPr>
            </w:pPr>
          </w:p>
        </w:tc>
        <w:tc>
          <w:tcPr>
            <w:tcW w:w="1740" w:type="dxa"/>
            <w:vAlign w:val="bottom"/>
            <w:shd w:val="clear" w:color="auto" w:fill="007CBA"/>
          </w:tcPr>
          <w:p>
            <w:pPr>
              <w:jc w:val="center"/>
              <w:spacing w:after="0"/>
              <w:rPr>
                <w:sz w:val="20"/>
                <w:szCs w:val="20"/>
                <w:color w:val="auto"/>
              </w:rPr>
            </w:pPr>
            <w:r>
              <w:rPr>
                <w:rFonts w:ascii="Calibri" w:cs="Calibri" w:eastAsia="Calibri" w:hAnsi="Calibri"/>
                <w:sz w:val="14"/>
                <w:szCs w:val="14"/>
                <w:b w:val="1"/>
                <w:bCs w:val="1"/>
                <w:color w:val="FFFFFF"/>
              </w:rPr>
              <w:t>Shares that</w:t>
            </w:r>
          </w:p>
        </w:tc>
      </w:tr>
      <w:tr>
        <w:trPr>
          <w:trHeight w:val="175"/>
        </w:trPr>
        <w:tc>
          <w:tcPr>
            <w:tcW w:w="4140" w:type="dxa"/>
            <w:vAlign w:val="bottom"/>
            <w:tcBorders>
              <w:right w:val="single" w:sz="8" w:color="007CBA"/>
            </w:tcBorders>
            <w:shd w:val="clear" w:color="auto" w:fill="007CBA"/>
          </w:tcPr>
          <w:p>
            <w:pPr>
              <w:spacing w:after="0"/>
              <w:rPr>
                <w:sz w:val="15"/>
                <w:szCs w:val="15"/>
                <w:color w:val="auto"/>
              </w:rPr>
            </w:pPr>
          </w:p>
        </w:tc>
        <w:tc>
          <w:tcPr>
            <w:tcW w:w="1380" w:type="dxa"/>
            <w:vAlign w:val="bottom"/>
            <w:shd w:val="clear" w:color="auto" w:fill="007CBA"/>
          </w:tcPr>
          <w:p>
            <w:pPr>
              <w:spacing w:after="0"/>
              <w:rPr>
                <w:sz w:val="15"/>
                <w:szCs w:val="15"/>
                <w:color w:val="auto"/>
              </w:rPr>
            </w:pPr>
          </w:p>
        </w:tc>
        <w:tc>
          <w:tcPr>
            <w:tcW w:w="420" w:type="dxa"/>
            <w:vAlign w:val="bottom"/>
            <w:tcBorders>
              <w:right w:val="single" w:sz="8" w:color="007CBA"/>
            </w:tcBorders>
            <w:shd w:val="clear" w:color="auto" w:fill="007CBA"/>
          </w:tcPr>
          <w:p>
            <w:pPr>
              <w:spacing w:after="0"/>
              <w:rPr>
                <w:sz w:val="15"/>
                <w:szCs w:val="15"/>
                <w:color w:val="auto"/>
              </w:rPr>
            </w:pPr>
          </w:p>
        </w:tc>
        <w:tc>
          <w:tcPr>
            <w:tcW w:w="1400" w:type="dxa"/>
            <w:vAlign w:val="bottom"/>
            <w:shd w:val="clear" w:color="auto" w:fill="007CBA"/>
          </w:tcPr>
          <w:p>
            <w:pPr>
              <w:spacing w:after="0"/>
              <w:rPr>
                <w:sz w:val="15"/>
                <w:szCs w:val="15"/>
                <w:color w:val="auto"/>
              </w:rPr>
            </w:pPr>
          </w:p>
        </w:tc>
        <w:tc>
          <w:tcPr>
            <w:tcW w:w="420" w:type="dxa"/>
            <w:vAlign w:val="bottom"/>
            <w:tcBorders>
              <w:right w:val="single" w:sz="8" w:color="007CBA"/>
            </w:tcBorders>
            <w:shd w:val="clear" w:color="auto" w:fill="007CBA"/>
          </w:tcPr>
          <w:p>
            <w:pPr>
              <w:spacing w:after="0"/>
              <w:rPr>
                <w:sz w:val="15"/>
                <w:szCs w:val="15"/>
                <w:color w:val="auto"/>
              </w:rPr>
            </w:pPr>
          </w:p>
        </w:tc>
        <w:tc>
          <w:tcPr>
            <w:tcW w:w="1340" w:type="dxa"/>
            <w:vAlign w:val="bottom"/>
            <w:shd w:val="clear" w:color="auto" w:fill="007CBA"/>
          </w:tcPr>
          <w:p>
            <w:pPr>
              <w:jc w:val="center"/>
              <w:ind w:left="348"/>
              <w:spacing w:after="0"/>
              <w:rPr>
                <w:sz w:val="20"/>
                <w:szCs w:val="20"/>
                <w:color w:val="auto"/>
              </w:rPr>
            </w:pPr>
            <w:r>
              <w:rPr>
                <w:rFonts w:ascii="Calibri" w:cs="Calibri" w:eastAsia="Calibri" w:hAnsi="Calibri"/>
                <w:sz w:val="14"/>
                <w:szCs w:val="14"/>
                <w:b w:val="1"/>
                <w:bCs w:val="1"/>
                <w:color w:val="FFFFFF"/>
              </w:rPr>
              <w:t>as Part of</w:t>
            </w:r>
          </w:p>
        </w:tc>
        <w:tc>
          <w:tcPr>
            <w:tcW w:w="400" w:type="dxa"/>
            <w:vAlign w:val="bottom"/>
            <w:tcBorders>
              <w:right w:val="single" w:sz="8" w:color="007CBA"/>
            </w:tcBorders>
            <w:shd w:val="clear" w:color="auto" w:fill="007CBA"/>
          </w:tcPr>
          <w:p>
            <w:pPr>
              <w:spacing w:after="0"/>
              <w:rPr>
                <w:sz w:val="15"/>
                <w:szCs w:val="15"/>
                <w:color w:val="auto"/>
              </w:rPr>
            </w:pPr>
          </w:p>
        </w:tc>
        <w:tc>
          <w:tcPr>
            <w:tcW w:w="1740" w:type="dxa"/>
            <w:vAlign w:val="bottom"/>
            <w:shd w:val="clear" w:color="auto" w:fill="007CBA"/>
          </w:tcPr>
          <w:p>
            <w:pPr>
              <w:jc w:val="center"/>
              <w:spacing w:after="0"/>
              <w:rPr>
                <w:sz w:val="20"/>
                <w:szCs w:val="20"/>
                <w:color w:val="auto"/>
              </w:rPr>
            </w:pPr>
            <w:r>
              <w:rPr>
                <w:rFonts w:ascii="Calibri" w:cs="Calibri" w:eastAsia="Calibri" w:hAnsi="Calibri"/>
                <w:sz w:val="14"/>
                <w:szCs w:val="14"/>
                <w:b w:val="1"/>
                <w:bCs w:val="1"/>
                <w:color w:val="FFFFFF"/>
              </w:rPr>
              <w:t>May Yet be</w:t>
            </w:r>
          </w:p>
        </w:tc>
      </w:tr>
      <w:tr>
        <w:trPr>
          <w:trHeight w:val="176"/>
        </w:trPr>
        <w:tc>
          <w:tcPr>
            <w:tcW w:w="4140" w:type="dxa"/>
            <w:vAlign w:val="bottom"/>
            <w:tcBorders>
              <w:right w:val="single" w:sz="8" w:color="007CBA"/>
            </w:tcBorders>
            <w:shd w:val="clear" w:color="auto" w:fill="007CBA"/>
          </w:tcPr>
          <w:p>
            <w:pPr>
              <w:spacing w:after="0"/>
              <w:rPr>
                <w:sz w:val="15"/>
                <w:szCs w:val="15"/>
                <w:color w:val="auto"/>
              </w:rPr>
            </w:pPr>
          </w:p>
        </w:tc>
        <w:tc>
          <w:tcPr>
            <w:tcW w:w="1380" w:type="dxa"/>
            <w:vAlign w:val="bottom"/>
            <w:shd w:val="clear" w:color="auto" w:fill="007CBA"/>
          </w:tcPr>
          <w:p>
            <w:pPr>
              <w:jc w:val="center"/>
              <w:ind w:left="368"/>
              <w:spacing w:after="0"/>
              <w:rPr>
                <w:sz w:val="20"/>
                <w:szCs w:val="20"/>
                <w:color w:val="auto"/>
              </w:rPr>
            </w:pPr>
            <w:r>
              <w:rPr>
                <w:rFonts w:ascii="Calibri" w:cs="Calibri" w:eastAsia="Calibri" w:hAnsi="Calibri"/>
                <w:sz w:val="14"/>
                <w:szCs w:val="14"/>
                <w:b w:val="1"/>
                <w:bCs w:val="1"/>
                <w:color w:val="FFFFFF"/>
              </w:rPr>
              <w:t>Total</w:t>
            </w:r>
          </w:p>
        </w:tc>
        <w:tc>
          <w:tcPr>
            <w:tcW w:w="420" w:type="dxa"/>
            <w:vAlign w:val="bottom"/>
            <w:tcBorders>
              <w:right w:val="single" w:sz="8" w:color="007CBA"/>
            </w:tcBorders>
            <w:shd w:val="clear" w:color="auto" w:fill="007CBA"/>
          </w:tcPr>
          <w:p>
            <w:pPr>
              <w:spacing w:after="0"/>
              <w:rPr>
                <w:sz w:val="15"/>
                <w:szCs w:val="15"/>
                <w:color w:val="auto"/>
              </w:rPr>
            </w:pPr>
          </w:p>
        </w:tc>
        <w:tc>
          <w:tcPr>
            <w:tcW w:w="1400" w:type="dxa"/>
            <w:vAlign w:val="bottom"/>
            <w:shd w:val="clear" w:color="auto" w:fill="007CBA"/>
          </w:tcPr>
          <w:p>
            <w:pPr>
              <w:spacing w:after="0"/>
              <w:rPr>
                <w:sz w:val="15"/>
                <w:szCs w:val="15"/>
                <w:color w:val="auto"/>
              </w:rPr>
            </w:pPr>
          </w:p>
        </w:tc>
        <w:tc>
          <w:tcPr>
            <w:tcW w:w="420" w:type="dxa"/>
            <w:vAlign w:val="bottom"/>
            <w:tcBorders>
              <w:right w:val="single" w:sz="8" w:color="007CBA"/>
            </w:tcBorders>
            <w:shd w:val="clear" w:color="auto" w:fill="007CBA"/>
          </w:tcPr>
          <w:p>
            <w:pPr>
              <w:spacing w:after="0"/>
              <w:rPr>
                <w:sz w:val="15"/>
                <w:szCs w:val="15"/>
                <w:color w:val="auto"/>
              </w:rPr>
            </w:pPr>
          </w:p>
        </w:tc>
        <w:tc>
          <w:tcPr>
            <w:tcW w:w="1340" w:type="dxa"/>
            <w:vAlign w:val="bottom"/>
            <w:shd w:val="clear" w:color="auto" w:fill="007CBA"/>
          </w:tcPr>
          <w:p>
            <w:pPr>
              <w:jc w:val="center"/>
              <w:ind w:left="348"/>
              <w:spacing w:after="0"/>
              <w:rPr>
                <w:sz w:val="20"/>
                <w:szCs w:val="20"/>
                <w:color w:val="auto"/>
              </w:rPr>
            </w:pPr>
            <w:r>
              <w:rPr>
                <w:rFonts w:ascii="Calibri" w:cs="Calibri" w:eastAsia="Calibri" w:hAnsi="Calibri"/>
                <w:sz w:val="14"/>
                <w:szCs w:val="14"/>
                <w:b w:val="1"/>
                <w:bCs w:val="1"/>
                <w:color w:val="FFFFFF"/>
              </w:rPr>
              <w:t>Publicly</w:t>
            </w:r>
          </w:p>
        </w:tc>
        <w:tc>
          <w:tcPr>
            <w:tcW w:w="400" w:type="dxa"/>
            <w:vAlign w:val="bottom"/>
            <w:tcBorders>
              <w:right w:val="single" w:sz="8" w:color="007CBA"/>
            </w:tcBorders>
            <w:shd w:val="clear" w:color="auto" w:fill="007CBA"/>
          </w:tcPr>
          <w:p>
            <w:pPr>
              <w:spacing w:after="0"/>
              <w:rPr>
                <w:sz w:val="15"/>
                <w:szCs w:val="15"/>
                <w:color w:val="auto"/>
              </w:rPr>
            </w:pPr>
          </w:p>
        </w:tc>
        <w:tc>
          <w:tcPr>
            <w:tcW w:w="1740" w:type="dxa"/>
            <w:vAlign w:val="bottom"/>
            <w:shd w:val="clear" w:color="auto" w:fill="007CBA"/>
          </w:tcPr>
          <w:p>
            <w:pPr>
              <w:jc w:val="center"/>
              <w:spacing w:after="0"/>
              <w:rPr>
                <w:sz w:val="20"/>
                <w:szCs w:val="20"/>
                <w:color w:val="auto"/>
              </w:rPr>
            </w:pPr>
            <w:r>
              <w:rPr>
                <w:rFonts w:ascii="Calibri" w:cs="Calibri" w:eastAsia="Calibri" w:hAnsi="Calibri"/>
                <w:sz w:val="14"/>
                <w:szCs w:val="14"/>
                <w:b w:val="1"/>
                <w:bCs w:val="1"/>
                <w:color w:val="FFFFFF"/>
              </w:rPr>
              <w:t>Purchased</w:t>
            </w:r>
          </w:p>
        </w:tc>
      </w:tr>
      <w:tr>
        <w:trPr>
          <w:trHeight w:val="176"/>
        </w:trPr>
        <w:tc>
          <w:tcPr>
            <w:tcW w:w="4140" w:type="dxa"/>
            <w:vAlign w:val="bottom"/>
            <w:tcBorders>
              <w:right w:val="single" w:sz="8" w:color="007CBA"/>
            </w:tcBorders>
            <w:shd w:val="clear" w:color="auto" w:fill="007CBA"/>
          </w:tcPr>
          <w:p>
            <w:pPr>
              <w:spacing w:after="0"/>
              <w:rPr>
                <w:sz w:val="15"/>
                <w:szCs w:val="15"/>
                <w:color w:val="auto"/>
              </w:rPr>
            </w:pPr>
          </w:p>
        </w:tc>
        <w:tc>
          <w:tcPr>
            <w:tcW w:w="1380" w:type="dxa"/>
            <w:vAlign w:val="bottom"/>
            <w:shd w:val="clear" w:color="auto" w:fill="007CBA"/>
          </w:tcPr>
          <w:p>
            <w:pPr>
              <w:jc w:val="center"/>
              <w:ind w:left="368"/>
              <w:spacing w:after="0"/>
              <w:rPr>
                <w:sz w:val="20"/>
                <w:szCs w:val="20"/>
                <w:color w:val="auto"/>
              </w:rPr>
            </w:pPr>
            <w:r>
              <w:rPr>
                <w:rFonts w:ascii="Calibri" w:cs="Calibri" w:eastAsia="Calibri" w:hAnsi="Calibri"/>
                <w:sz w:val="14"/>
                <w:szCs w:val="14"/>
                <w:b w:val="1"/>
                <w:bCs w:val="1"/>
                <w:color w:val="FFFFFF"/>
              </w:rPr>
              <w:t>Number of</w:t>
            </w:r>
          </w:p>
        </w:tc>
        <w:tc>
          <w:tcPr>
            <w:tcW w:w="420" w:type="dxa"/>
            <w:vAlign w:val="bottom"/>
            <w:tcBorders>
              <w:right w:val="single" w:sz="8" w:color="007CBA"/>
            </w:tcBorders>
            <w:shd w:val="clear" w:color="auto" w:fill="007CBA"/>
          </w:tcPr>
          <w:p>
            <w:pPr>
              <w:spacing w:after="0"/>
              <w:rPr>
                <w:sz w:val="15"/>
                <w:szCs w:val="15"/>
                <w:color w:val="auto"/>
              </w:rPr>
            </w:pPr>
          </w:p>
        </w:tc>
        <w:tc>
          <w:tcPr>
            <w:tcW w:w="1400" w:type="dxa"/>
            <w:vAlign w:val="bottom"/>
            <w:shd w:val="clear" w:color="auto" w:fill="007CBA"/>
          </w:tcPr>
          <w:p>
            <w:pPr>
              <w:jc w:val="center"/>
              <w:ind w:left="403"/>
              <w:spacing w:after="0"/>
              <w:rPr>
                <w:sz w:val="20"/>
                <w:szCs w:val="20"/>
                <w:color w:val="auto"/>
              </w:rPr>
            </w:pPr>
            <w:r>
              <w:rPr>
                <w:rFonts w:ascii="Calibri" w:cs="Calibri" w:eastAsia="Calibri" w:hAnsi="Calibri"/>
                <w:sz w:val="14"/>
                <w:szCs w:val="14"/>
                <w:b w:val="1"/>
                <w:bCs w:val="1"/>
                <w:color w:val="FFFFFF"/>
              </w:rPr>
              <w:t>Average</w:t>
            </w:r>
          </w:p>
        </w:tc>
        <w:tc>
          <w:tcPr>
            <w:tcW w:w="420" w:type="dxa"/>
            <w:vAlign w:val="bottom"/>
            <w:tcBorders>
              <w:right w:val="single" w:sz="8" w:color="007CBA"/>
            </w:tcBorders>
            <w:shd w:val="clear" w:color="auto" w:fill="007CBA"/>
          </w:tcPr>
          <w:p>
            <w:pPr>
              <w:spacing w:after="0"/>
              <w:rPr>
                <w:sz w:val="15"/>
                <w:szCs w:val="15"/>
                <w:color w:val="auto"/>
              </w:rPr>
            </w:pPr>
          </w:p>
        </w:tc>
        <w:tc>
          <w:tcPr>
            <w:tcW w:w="1340" w:type="dxa"/>
            <w:vAlign w:val="bottom"/>
            <w:shd w:val="clear" w:color="auto" w:fill="007CBA"/>
          </w:tcPr>
          <w:p>
            <w:pPr>
              <w:jc w:val="center"/>
              <w:ind w:left="348"/>
              <w:spacing w:after="0"/>
              <w:rPr>
                <w:sz w:val="20"/>
                <w:szCs w:val="20"/>
                <w:color w:val="auto"/>
              </w:rPr>
            </w:pPr>
            <w:r>
              <w:rPr>
                <w:rFonts w:ascii="Calibri" w:cs="Calibri" w:eastAsia="Calibri" w:hAnsi="Calibri"/>
                <w:sz w:val="14"/>
                <w:szCs w:val="14"/>
                <w:b w:val="1"/>
                <w:bCs w:val="1"/>
                <w:color w:val="FFFFFF"/>
              </w:rPr>
              <w:t>Announced</w:t>
            </w:r>
          </w:p>
        </w:tc>
        <w:tc>
          <w:tcPr>
            <w:tcW w:w="400" w:type="dxa"/>
            <w:vAlign w:val="bottom"/>
            <w:tcBorders>
              <w:right w:val="single" w:sz="8" w:color="007CBA"/>
            </w:tcBorders>
            <w:shd w:val="clear" w:color="auto" w:fill="007CBA"/>
          </w:tcPr>
          <w:p>
            <w:pPr>
              <w:spacing w:after="0"/>
              <w:rPr>
                <w:sz w:val="15"/>
                <w:szCs w:val="15"/>
                <w:color w:val="auto"/>
              </w:rPr>
            </w:pPr>
          </w:p>
        </w:tc>
        <w:tc>
          <w:tcPr>
            <w:tcW w:w="1740" w:type="dxa"/>
            <w:vAlign w:val="bottom"/>
            <w:shd w:val="clear" w:color="auto" w:fill="007CBA"/>
          </w:tcPr>
          <w:p>
            <w:pPr>
              <w:jc w:val="center"/>
              <w:spacing w:after="0"/>
              <w:rPr>
                <w:sz w:val="20"/>
                <w:szCs w:val="20"/>
                <w:color w:val="auto"/>
              </w:rPr>
            </w:pPr>
            <w:r>
              <w:rPr>
                <w:rFonts w:ascii="Calibri" w:cs="Calibri" w:eastAsia="Calibri" w:hAnsi="Calibri"/>
                <w:sz w:val="14"/>
                <w:szCs w:val="14"/>
                <w:b w:val="1"/>
                <w:bCs w:val="1"/>
                <w:color w:val="FFFFFF"/>
              </w:rPr>
              <w:t>Under the</w:t>
            </w:r>
          </w:p>
        </w:tc>
      </w:tr>
      <w:tr>
        <w:trPr>
          <w:trHeight w:val="159"/>
        </w:trPr>
        <w:tc>
          <w:tcPr>
            <w:tcW w:w="4140" w:type="dxa"/>
            <w:vAlign w:val="bottom"/>
            <w:tcBorders>
              <w:right w:val="single" w:sz="8" w:color="007CBA"/>
            </w:tcBorders>
            <w:shd w:val="clear" w:color="auto" w:fill="007CBA"/>
          </w:tcPr>
          <w:p>
            <w:pPr>
              <w:spacing w:after="0"/>
              <w:rPr>
                <w:sz w:val="13"/>
                <w:szCs w:val="13"/>
                <w:color w:val="auto"/>
              </w:rPr>
            </w:pPr>
          </w:p>
        </w:tc>
        <w:tc>
          <w:tcPr>
            <w:tcW w:w="1380" w:type="dxa"/>
            <w:vAlign w:val="bottom"/>
            <w:shd w:val="clear" w:color="auto" w:fill="007CBA"/>
          </w:tcPr>
          <w:p>
            <w:pPr>
              <w:jc w:val="center"/>
              <w:ind w:left="368"/>
              <w:spacing w:after="0" w:line="159" w:lineRule="exact"/>
              <w:rPr>
                <w:sz w:val="20"/>
                <w:szCs w:val="20"/>
                <w:color w:val="auto"/>
              </w:rPr>
            </w:pPr>
            <w:r>
              <w:rPr>
                <w:rFonts w:ascii="Calibri" w:cs="Calibri" w:eastAsia="Calibri" w:hAnsi="Calibri"/>
                <w:sz w:val="14"/>
                <w:szCs w:val="14"/>
                <w:b w:val="1"/>
                <w:bCs w:val="1"/>
                <w:color w:val="FFFFFF"/>
                <w:w w:val="98"/>
              </w:rPr>
              <w:t>Shares</w:t>
            </w:r>
          </w:p>
        </w:tc>
        <w:tc>
          <w:tcPr>
            <w:tcW w:w="420" w:type="dxa"/>
            <w:vAlign w:val="bottom"/>
            <w:tcBorders>
              <w:right w:val="single" w:sz="8" w:color="007CBA"/>
            </w:tcBorders>
            <w:shd w:val="clear" w:color="auto" w:fill="007CBA"/>
          </w:tcPr>
          <w:p>
            <w:pPr>
              <w:spacing w:after="0"/>
              <w:rPr>
                <w:sz w:val="13"/>
                <w:szCs w:val="13"/>
                <w:color w:val="auto"/>
              </w:rPr>
            </w:pPr>
          </w:p>
        </w:tc>
        <w:tc>
          <w:tcPr>
            <w:tcW w:w="1400" w:type="dxa"/>
            <w:vAlign w:val="bottom"/>
            <w:shd w:val="clear" w:color="auto" w:fill="007CBA"/>
          </w:tcPr>
          <w:p>
            <w:pPr>
              <w:jc w:val="center"/>
              <w:ind w:left="423"/>
              <w:spacing w:after="0" w:line="159" w:lineRule="exact"/>
              <w:rPr>
                <w:sz w:val="20"/>
                <w:szCs w:val="20"/>
                <w:color w:val="auto"/>
              </w:rPr>
            </w:pPr>
            <w:r>
              <w:rPr>
                <w:rFonts w:ascii="Calibri" w:cs="Calibri" w:eastAsia="Calibri" w:hAnsi="Calibri"/>
                <w:sz w:val="14"/>
                <w:szCs w:val="14"/>
                <w:b w:val="1"/>
                <w:bCs w:val="1"/>
                <w:color w:val="FFFFFF"/>
              </w:rPr>
              <w:t>Price Paid</w:t>
            </w:r>
          </w:p>
        </w:tc>
        <w:tc>
          <w:tcPr>
            <w:tcW w:w="420" w:type="dxa"/>
            <w:vAlign w:val="bottom"/>
            <w:tcBorders>
              <w:right w:val="single" w:sz="8" w:color="007CBA"/>
            </w:tcBorders>
            <w:shd w:val="clear" w:color="auto" w:fill="007CBA"/>
          </w:tcPr>
          <w:p>
            <w:pPr>
              <w:spacing w:after="0"/>
              <w:rPr>
                <w:sz w:val="13"/>
                <w:szCs w:val="13"/>
                <w:color w:val="auto"/>
              </w:rPr>
            </w:pPr>
          </w:p>
        </w:tc>
        <w:tc>
          <w:tcPr>
            <w:tcW w:w="1340" w:type="dxa"/>
            <w:vAlign w:val="bottom"/>
            <w:shd w:val="clear" w:color="auto" w:fill="007CBA"/>
          </w:tcPr>
          <w:p>
            <w:pPr>
              <w:jc w:val="center"/>
              <w:ind w:left="348"/>
              <w:spacing w:after="0" w:line="159" w:lineRule="exact"/>
              <w:rPr>
                <w:sz w:val="20"/>
                <w:szCs w:val="20"/>
                <w:color w:val="auto"/>
              </w:rPr>
            </w:pPr>
            <w:r>
              <w:rPr>
                <w:rFonts w:ascii="Calibri" w:cs="Calibri" w:eastAsia="Calibri" w:hAnsi="Calibri"/>
                <w:sz w:val="14"/>
                <w:szCs w:val="14"/>
                <w:b w:val="1"/>
                <w:bCs w:val="1"/>
                <w:color w:val="FFFFFF"/>
              </w:rPr>
              <w:t>Plans or</w:t>
            </w:r>
          </w:p>
        </w:tc>
        <w:tc>
          <w:tcPr>
            <w:tcW w:w="400" w:type="dxa"/>
            <w:vAlign w:val="bottom"/>
            <w:tcBorders>
              <w:right w:val="single" w:sz="8" w:color="007CBA"/>
            </w:tcBorders>
            <w:shd w:val="clear" w:color="auto" w:fill="007CBA"/>
          </w:tcPr>
          <w:p>
            <w:pPr>
              <w:spacing w:after="0"/>
              <w:rPr>
                <w:sz w:val="13"/>
                <w:szCs w:val="13"/>
                <w:color w:val="auto"/>
              </w:rPr>
            </w:pPr>
          </w:p>
        </w:tc>
        <w:tc>
          <w:tcPr>
            <w:tcW w:w="1740" w:type="dxa"/>
            <w:vAlign w:val="bottom"/>
            <w:shd w:val="clear" w:color="auto" w:fill="007CBA"/>
          </w:tcPr>
          <w:p>
            <w:pPr>
              <w:jc w:val="center"/>
              <w:spacing w:after="0" w:line="159" w:lineRule="exact"/>
              <w:rPr>
                <w:sz w:val="20"/>
                <w:szCs w:val="20"/>
                <w:color w:val="auto"/>
              </w:rPr>
            </w:pPr>
            <w:r>
              <w:rPr>
                <w:rFonts w:ascii="Calibri" w:cs="Calibri" w:eastAsia="Calibri" w:hAnsi="Calibri"/>
                <w:sz w:val="14"/>
                <w:szCs w:val="14"/>
                <w:b w:val="1"/>
                <w:bCs w:val="1"/>
                <w:color w:val="FFFFFF"/>
              </w:rPr>
              <w:t>Plans or</w:t>
            </w:r>
          </w:p>
        </w:tc>
      </w:tr>
      <w:tr>
        <w:trPr>
          <w:trHeight w:val="225"/>
        </w:trPr>
        <w:tc>
          <w:tcPr>
            <w:tcW w:w="4140" w:type="dxa"/>
            <w:vAlign w:val="bottom"/>
            <w:tcBorders>
              <w:right w:val="single" w:sz="8" w:color="007CBA"/>
            </w:tcBorders>
            <w:shd w:val="clear" w:color="auto" w:fill="007CBA"/>
          </w:tcPr>
          <w:p>
            <w:pPr>
              <w:ind w:left="100"/>
              <w:spacing w:after="0"/>
              <w:rPr>
                <w:sz w:val="20"/>
                <w:szCs w:val="20"/>
                <w:color w:val="auto"/>
              </w:rPr>
            </w:pPr>
            <w:r>
              <w:rPr>
                <w:rFonts w:ascii="Calibri" w:cs="Calibri" w:eastAsia="Calibri" w:hAnsi="Calibri"/>
                <w:sz w:val="14"/>
                <w:szCs w:val="14"/>
                <w:b w:val="1"/>
                <w:bCs w:val="1"/>
                <w:color w:val="FFFFFF"/>
              </w:rPr>
              <w:t>Period</w:t>
            </w:r>
          </w:p>
        </w:tc>
        <w:tc>
          <w:tcPr>
            <w:tcW w:w="1380" w:type="dxa"/>
            <w:vAlign w:val="bottom"/>
            <w:shd w:val="clear" w:color="auto" w:fill="007CBA"/>
          </w:tcPr>
          <w:p>
            <w:pPr>
              <w:jc w:val="center"/>
              <w:ind w:left="368"/>
              <w:spacing w:after="0"/>
              <w:rPr>
                <w:sz w:val="20"/>
                <w:szCs w:val="20"/>
                <w:color w:val="auto"/>
              </w:rPr>
            </w:pPr>
            <w:r>
              <w:rPr>
                <w:rFonts w:ascii="Calibri" w:cs="Calibri" w:eastAsia="Calibri" w:hAnsi="Calibri"/>
                <w:sz w:val="14"/>
                <w:szCs w:val="14"/>
                <w:b w:val="1"/>
                <w:bCs w:val="1"/>
                <w:color w:val="FFFFFF"/>
              </w:rPr>
              <w:t>Purchased</w:t>
            </w:r>
          </w:p>
        </w:tc>
        <w:tc>
          <w:tcPr>
            <w:tcW w:w="420" w:type="dxa"/>
            <w:vAlign w:val="bottom"/>
            <w:tcBorders>
              <w:right w:val="single" w:sz="8" w:color="007CBA"/>
            </w:tcBorders>
            <w:shd w:val="clear" w:color="auto" w:fill="007CBA"/>
          </w:tcPr>
          <w:p>
            <w:pPr>
              <w:spacing w:after="0"/>
              <w:rPr>
                <w:sz w:val="19"/>
                <w:szCs w:val="19"/>
                <w:color w:val="auto"/>
              </w:rPr>
            </w:pPr>
          </w:p>
        </w:tc>
        <w:tc>
          <w:tcPr>
            <w:tcW w:w="1400" w:type="dxa"/>
            <w:vAlign w:val="bottom"/>
            <w:shd w:val="clear" w:color="auto" w:fill="007CBA"/>
          </w:tcPr>
          <w:p>
            <w:pPr>
              <w:jc w:val="center"/>
              <w:ind w:left="423"/>
              <w:spacing w:after="0"/>
              <w:rPr>
                <w:sz w:val="20"/>
                <w:szCs w:val="20"/>
                <w:color w:val="auto"/>
              </w:rPr>
            </w:pPr>
            <w:r>
              <w:rPr>
                <w:rFonts w:ascii="Calibri" w:cs="Calibri" w:eastAsia="Calibri" w:hAnsi="Calibri"/>
                <w:sz w:val="14"/>
                <w:szCs w:val="14"/>
                <w:b w:val="1"/>
                <w:bCs w:val="1"/>
                <w:color w:val="FFFFFF"/>
              </w:rPr>
              <w:t>per Share</w:t>
            </w:r>
          </w:p>
        </w:tc>
        <w:tc>
          <w:tcPr>
            <w:tcW w:w="420" w:type="dxa"/>
            <w:vAlign w:val="bottom"/>
            <w:tcBorders>
              <w:right w:val="single" w:sz="8" w:color="007CBA"/>
            </w:tcBorders>
            <w:shd w:val="clear" w:color="auto" w:fill="007CBA"/>
          </w:tcPr>
          <w:p>
            <w:pPr>
              <w:spacing w:after="0"/>
              <w:rPr>
                <w:sz w:val="19"/>
                <w:szCs w:val="19"/>
                <w:color w:val="auto"/>
              </w:rPr>
            </w:pPr>
          </w:p>
        </w:tc>
        <w:tc>
          <w:tcPr>
            <w:tcW w:w="1340" w:type="dxa"/>
            <w:vAlign w:val="bottom"/>
            <w:shd w:val="clear" w:color="auto" w:fill="007CBA"/>
          </w:tcPr>
          <w:p>
            <w:pPr>
              <w:jc w:val="center"/>
              <w:ind w:left="348"/>
              <w:spacing w:after="0" w:line="223" w:lineRule="exact"/>
              <w:rPr>
                <w:sz w:val="20"/>
                <w:szCs w:val="20"/>
                <w:color w:val="auto"/>
              </w:rPr>
            </w:pPr>
            <w:r>
              <w:rPr>
                <w:rFonts w:ascii="Calibri" w:cs="Calibri" w:eastAsia="Calibri" w:hAnsi="Calibri"/>
                <w:sz w:val="14"/>
                <w:szCs w:val="14"/>
                <w:b w:val="1"/>
                <w:bCs w:val="1"/>
                <w:color w:val="FFFFFF"/>
                <w:w w:val="97"/>
              </w:rPr>
              <w:t>Programs</w:t>
            </w:r>
            <w:r>
              <w:rPr>
                <w:rFonts w:ascii="Calibri" w:cs="Calibri" w:eastAsia="Calibri" w:hAnsi="Calibri"/>
                <w:sz w:val="19"/>
                <w:szCs w:val="19"/>
                <w:b w:val="1"/>
                <w:bCs w:val="1"/>
                <w:color w:val="FFFFFF"/>
                <w:w w:val="97"/>
                <w:vertAlign w:val="superscript"/>
              </w:rPr>
              <w:t>(1)</w:t>
            </w:r>
          </w:p>
        </w:tc>
        <w:tc>
          <w:tcPr>
            <w:tcW w:w="400" w:type="dxa"/>
            <w:vAlign w:val="bottom"/>
            <w:tcBorders>
              <w:right w:val="single" w:sz="8" w:color="007CBA"/>
            </w:tcBorders>
            <w:shd w:val="clear" w:color="auto" w:fill="007CBA"/>
          </w:tcPr>
          <w:p>
            <w:pPr>
              <w:spacing w:after="0"/>
              <w:rPr>
                <w:sz w:val="19"/>
                <w:szCs w:val="19"/>
                <w:color w:val="auto"/>
              </w:rPr>
            </w:pPr>
          </w:p>
        </w:tc>
        <w:tc>
          <w:tcPr>
            <w:tcW w:w="1740" w:type="dxa"/>
            <w:vAlign w:val="bottom"/>
            <w:shd w:val="clear" w:color="auto" w:fill="007CBA"/>
          </w:tcPr>
          <w:p>
            <w:pPr>
              <w:jc w:val="center"/>
              <w:spacing w:after="0"/>
              <w:rPr>
                <w:sz w:val="20"/>
                <w:szCs w:val="20"/>
                <w:color w:val="auto"/>
              </w:rPr>
            </w:pPr>
            <w:r>
              <w:rPr>
                <w:rFonts w:ascii="Calibri" w:cs="Calibri" w:eastAsia="Calibri" w:hAnsi="Calibri"/>
                <w:sz w:val="14"/>
                <w:szCs w:val="14"/>
                <w:b w:val="1"/>
                <w:bCs w:val="1"/>
                <w:color w:val="FFFFFF"/>
              </w:rPr>
              <w:t>Programs</w:t>
            </w:r>
          </w:p>
        </w:tc>
      </w:tr>
      <w:tr>
        <w:trPr>
          <w:trHeight w:val="193"/>
        </w:trPr>
        <w:tc>
          <w:tcPr>
            <w:tcW w:w="4140" w:type="dxa"/>
            <w:vAlign w:val="bottom"/>
            <w:tcBorders>
              <w:right w:val="single" w:sz="8" w:color="007CBA"/>
            </w:tcBorders>
          </w:tcPr>
          <w:p>
            <w:pPr>
              <w:ind w:left="120"/>
              <w:spacing w:after="0" w:line="193" w:lineRule="exact"/>
              <w:rPr>
                <w:sz w:val="20"/>
                <w:szCs w:val="20"/>
                <w:color w:val="auto"/>
              </w:rPr>
            </w:pPr>
            <w:r>
              <w:rPr>
                <w:rFonts w:ascii="Calibri" w:cs="Calibri" w:eastAsia="Calibri" w:hAnsi="Calibri"/>
                <w:sz w:val="16"/>
                <w:szCs w:val="16"/>
                <w:color w:val="auto"/>
              </w:rPr>
              <w:t>October 1, 2022 — October 31, 2022</w:t>
            </w:r>
          </w:p>
        </w:tc>
        <w:tc>
          <w:tcPr>
            <w:tcW w:w="1380" w:type="dxa"/>
            <w:vAlign w:val="bottom"/>
          </w:tcPr>
          <w:p>
            <w:pPr>
              <w:spacing w:after="0"/>
              <w:rPr>
                <w:sz w:val="16"/>
                <w:szCs w:val="16"/>
                <w:color w:val="auto"/>
              </w:rPr>
            </w:pPr>
          </w:p>
        </w:tc>
        <w:tc>
          <w:tcPr>
            <w:tcW w:w="420" w:type="dxa"/>
            <w:vAlign w:val="bottom"/>
            <w:tcBorders>
              <w:right w:val="single" w:sz="8" w:color="007CBA"/>
            </w:tcBorders>
          </w:tcPr>
          <w:p>
            <w:pPr>
              <w:ind w:left="140"/>
              <w:spacing w:after="0" w:line="193" w:lineRule="exact"/>
              <w:rPr>
                <w:sz w:val="20"/>
                <w:szCs w:val="20"/>
                <w:color w:val="auto"/>
              </w:rPr>
            </w:pPr>
            <w:r>
              <w:rPr>
                <w:rFonts w:ascii="Calibri" w:cs="Calibri" w:eastAsia="Calibri" w:hAnsi="Calibri"/>
                <w:sz w:val="16"/>
                <w:szCs w:val="16"/>
                <w:color w:val="auto"/>
              </w:rPr>
              <w:t>—</w:t>
            </w:r>
          </w:p>
        </w:tc>
        <w:tc>
          <w:tcPr>
            <w:tcW w:w="1400" w:type="dxa"/>
            <w:vAlign w:val="bottom"/>
          </w:tcPr>
          <w:p>
            <w:pPr>
              <w:jc w:val="right"/>
              <w:ind w:right="1043"/>
              <w:spacing w:after="0" w:line="193" w:lineRule="exact"/>
              <w:rPr>
                <w:sz w:val="20"/>
                <w:szCs w:val="20"/>
                <w:color w:val="auto"/>
              </w:rPr>
            </w:pPr>
            <w:r>
              <w:rPr>
                <w:rFonts w:ascii="Calibri" w:cs="Calibri" w:eastAsia="Calibri" w:hAnsi="Calibri"/>
                <w:sz w:val="16"/>
                <w:szCs w:val="16"/>
                <w:color w:val="auto"/>
              </w:rPr>
              <w:t>$</w:t>
            </w:r>
          </w:p>
        </w:tc>
        <w:tc>
          <w:tcPr>
            <w:tcW w:w="420" w:type="dxa"/>
            <w:vAlign w:val="bottom"/>
            <w:tcBorders>
              <w:right w:val="single" w:sz="8" w:color="007CBA"/>
            </w:tcBorders>
          </w:tcPr>
          <w:p>
            <w:pPr>
              <w:ind w:left="140"/>
              <w:spacing w:after="0" w:line="193" w:lineRule="exact"/>
              <w:rPr>
                <w:sz w:val="20"/>
                <w:szCs w:val="20"/>
                <w:color w:val="auto"/>
              </w:rPr>
            </w:pPr>
            <w:r>
              <w:rPr>
                <w:rFonts w:ascii="Calibri" w:cs="Calibri" w:eastAsia="Calibri" w:hAnsi="Calibri"/>
                <w:sz w:val="16"/>
                <w:szCs w:val="16"/>
                <w:color w:val="auto"/>
              </w:rPr>
              <w:t>—</w:t>
            </w:r>
          </w:p>
        </w:tc>
        <w:tc>
          <w:tcPr>
            <w:tcW w:w="1340" w:type="dxa"/>
            <w:vAlign w:val="bottom"/>
          </w:tcPr>
          <w:p>
            <w:pPr>
              <w:spacing w:after="0"/>
              <w:rPr>
                <w:sz w:val="16"/>
                <w:szCs w:val="16"/>
                <w:color w:val="auto"/>
              </w:rPr>
            </w:pPr>
          </w:p>
        </w:tc>
        <w:tc>
          <w:tcPr>
            <w:tcW w:w="400" w:type="dxa"/>
            <w:vAlign w:val="bottom"/>
            <w:tcBorders>
              <w:right w:val="single" w:sz="8" w:color="007CBA"/>
            </w:tcBorders>
          </w:tcPr>
          <w:p>
            <w:pPr>
              <w:ind w:left="140"/>
              <w:spacing w:after="0" w:line="193" w:lineRule="exact"/>
              <w:rPr>
                <w:sz w:val="20"/>
                <w:szCs w:val="20"/>
                <w:color w:val="auto"/>
              </w:rPr>
            </w:pPr>
            <w:r>
              <w:rPr>
                <w:rFonts w:ascii="Calibri" w:cs="Calibri" w:eastAsia="Calibri" w:hAnsi="Calibri"/>
                <w:sz w:val="16"/>
                <w:szCs w:val="16"/>
                <w:color w:val="auto"/>
              </w:rPr>
              <w:t>—</w:t>
            </w:r>
          </w:p>
        </w:tc>
        <w:tc>
          <w:tcPr>
            <w:tcW w:w="1740" w:type="dxa"/>
            <w:vAlign w:val="bottom"/>
          </w:tcPr>
          <w:p>
            <w:pPr>
              <w:jc w:val="right"/>
              <w:ind w:right="45"/>
              <w:spacing w:after="0" w:line="193" w:lineRule="exact"/>
              <w:rPr>
                <w:sz w:val="20"/>
                <w:szCs w:val="20"/>
                <w:color w:val="auto"/>
              </w:rPr>
            </w:pPr>
            <w:r>
              <w:rPr>
                <w:rFonts w:ascii="Calibri" w:cs="Calibri" w:eastAsia="Calibri" w:hAnsi="Calibri"/>
                <w:sz w:val="16"/>
                <w:szCs w:val="16"/>
                <w:color w:val="auto"/>
              </w:rPr>
              <w:t>13,102,616</w:t>
            </w:r>
          </w:p>
        </w:tc>
      </w:tr>
      <w:tr>
        <w:trPr>
          <w:trHeight w:val="36"/>
        </w:trPr>
        <w:tc>
          <w:tcPr>
            <w:tcW w:w="4140" w:type="dxa"/>
            <w:vAlign w:val="bottom"/>
            <w:tcBorders>
              <w:right w:val="single" w:sz="8" w:color="007CBA"/>
            </w:tcBorders>
          </w:tcPr>
          <w:p>
            <w:pPr>
              <w:spacing w:after="0"/>
              <w:rPr>
                <w:sz w:val="3"/>
                <w:szCs w:val="3"/>
                <w:color w:val="auto"/>
              </w:rPr>
            </w:pPr>
          </w:p>
        </w:tc>
        <w:tc>
          <w:tcPr>
            <w:tcW w:w="1380" w:type="dxa"/>
            <w:vAlign w:val="bottom"/>
          </w:tcPr>
          <w:p>
            <w:pPr>
              <w:spacing w:after="0"/>
              <w:rPr>
                <w:sz w:val="3"/>
                <w:szCs w:val="3"/>
                <w:color w:val="auto"/>
              </w:rPr>
            </w:pPr>
          </w:p>
        </w:tc>
        <w:tc>
          <w:tcPr>
            <w:tcW w:w="420" w:type="dxa"/>
            <w:vAlign w:val="bottom"/>
            <w:tcBorders>
              <w:right w:val="single" w:sz="8" w:color="007CBA"/>
            </w:tcBorders>
          </w:tcPr>
          <w:p>
            <w:pPr>
              <w:spacing w:after="0"/>
              <w:rPr>
                <w:sz w:val="3"/>
                <w:szCs w:val="3"/>
                <w:color w:val="auto"/>
              </w:rPr>
            </w:pPr>
          </w:p>
        </w:tc>
        <w:tc>
          <w:tcPr>
            <w:tcW w:w="1400" w:type="dxa"/>
            <w:vAlign w:val="bottom"/>
          </w:tcPr>
          <w:p>
            <w:pPr>
              <w:spacing w:after="0"/>
              <w:rPr>
                <w:sz w:val="3"/>
                <w:szCs w:val="3"/>
                <w:color w:val="auto"/>
              </w:rPr>
            </w:pPr>
          </w:p>
        </w:tc>
        <w:tc>
          <w:tcPr>
            <w:tcW w:w="420" w:type="dxa"/>
            <w:vAlign w:val="bottom"/>
            <w:tcBorders>
              <w:right w:val="single" w:sz="8" w:color="007CBA"/>
            </w:tcBorders>
          </w:tcPr>
          <w:p>
            <w:pPr>
              <w:spacing w:after="0"/>
              <w:rPr>
                <w:sz w:val="3"/>
                <w:szCs w:val="3"/>
                <w:color w:val="auto"/>
              </w:rPr>
            </w:pPr>
          </w:p>
        </w:tc>
        <w:tc>
          <w:tcPr>
            <w:tcW w:w="1340" w:type="dxa"/>
            <w:vAlign w:val="bottom"/>
          </w:tcPr>
          <w:p>
            <w:pPr>
              <w:spacing w:after="0"/>
              <w:rPr>
                <w:sz w:val="3"/>
                <w:szCs w:val="3"/>
                <w:color w:val="auto"/>
              </w:rPr>
            </w:pPr>
          </w:p>
        </w:tc>
        <w:tc>
          <w:tcPr>
            <w:tcW w:w="400" w:type="dxa"/>
            <w:vAlign w:val="bottom"/>
            <w:tcBorders>
              <w:right w:val="single" w:sz="8" w:color="007CBA"/>
            </w:tcBorders>
          </w:tcPr>
          <w:p>
            <w:pPr>
              <w:spacing w:after="0"/>
              <w:rPr>
                <w:sz w:val="3"/>
                <w:szCs w:val="3"/>
                <w:color w:val="auto"/>
              </w:rPr>
            </w:pPr>
          </w:p>
        </w:tc>
        <w:tc>
          <w:tcPr>
            <w:tcW w:w="1740" w:type="dxa"/>
            <w:vAlign w:val="bottom"/>
          </w:tcPr>
          <w:p>
            <w:pPr>
              <w:spacing w:after="0"/>
              <w:rPr>
                <w:sz w:val="3"/>
                <w:szCs w:val="3"/>
                <w:color w:val="auto"/>
              </w:rPr>
            </w:pPr>
          </w:p>
        </w:tc>
      </w:tr>
      <w:tr>
        <w:trPr>
          <w:trHeight w:val="210"/>
        </w:trPr>
        <w:tc>
          <w:tcPr>
            <w:tcW w:w="4140" w:type="dxa"/>
            <w:vAlign w:val="bottom"/>
            <w:tcBorders>
              <w:bottom w:val="single" w:sz="8" w:color="E5F1F8"/>
              <w:right w:val="single" w:sz="8" w:color="007CBA"/>
            </w:tcBorders>
            <w:shd w:val="clear" w:color="auto" w:fill="E5F1F8"/>
          </w:tcPr>
          <w:p>
            <w:pPr>
              <w:ind w:left="120"/>
              <w:spacing w:after="0" w:line="193" w:lineRule="exact"/>
              <w:rPr>
                <w:sz w:val="20"/>
                <w:szCs w:val="20"/>
                <w:color w:val="auto"/>
              </w:rPr>
            </w:pPr>
            <w:r>
              <w:rPr>
                <w:rFonts w:ascii="Calibri" w:cs="Calibri" w:eastAsia="Calibri" w:hAnsi="Calibri"/>
                <w:sz w:val="16"/>
                <w:szCs w:val="16"/>
                <w:color w:val="auto"/>
              </w:rPr>
              <w:t>November 1, 2022 — November 30, 2022</w:t>
            </w:r>
          </w:p>
        </w:tc>
        <w:tc>
          <w:tcPr>
            <w:tcW w:w="1380" w:type="dxa"/>
            <w:vAlign w:val="bottom"/>
            <w:tcBorders>
              <w:bottom w:val="single" w:sz="8" w:color="E5F1F8"/>
            </w:tcBorders>
            <w:shd w:val="clear" w:color="auto" w:fill="E5F1F8"/>
          </w:tcPr>
          <w:p>
            <w:pPr>
              <w:spacing w:after="0"/>
              <w:rPr>
                <w:sz w:val="18"/>
                <w:szCs w:val="18"/>
                <w:color w:val="auto"/>
              </w:rPr>
            </w:pPr>
          </w:p>
        </w:tc>
        <w:tc>
          <w:tcPr>
            <w:tcW w:w="420" w:type="dxa"/>
            <w:vAlign w:val="bottom"/>
            <w:tcBorders>
              <w:bottom w:val="single" w:sz="8" w:color="E5F1F8"/>
              <w:right w:val="single" w:sz="8" w:color="007CBA"/>
            </w:tcBorders>
            <w:shd w:val="clear" w:color="auto" w:fill="E5F1F8"/>
          </w:tcPr>
          <w:p>
            <w:pPr>
              <w:ind w:left="140"/>
              <w:spacing w:after="0" w:line="193" w:lineRule="exact"/>
              <w:rPr>
                <w:sz w:val="20"/>
                <w:szCs w:val="20"/>
                <w:color w:val="auto"/>
              </w:rPr>
            </w:pPr>
            <w:r>
              <w:rPr>
                <w:rFonts w:ascii="Calibri" w:cs="Calibri" w:eastAsia="Calibri" w:hAnsi="Calibri"/>
                <w:sz w:val="16"/>
                <w:szCs w:val="16"/>
                <w:color w:val="auto"/>
              </w:rPr>
              <w:t>—</w:t>
            </w:r>
          </w:p>
        </w:tc>
        <w:tc>
          <w:tcPr>
            <w:tcW w:w="1400" w:type="dxa"/>
            <w:vAlign w:val="bottom"/>
            <w:tcBorders>
              <w:bottom w:val="single" w:sz="8" w:color="E5F1F8"/>
            </w:tcBorders>
            <w:shd w:val="clear" w:color="auto" w:fill="E5F1F8"/>
          </w:tcPr>
          <w:p>
            <w:pPr>
              <w:jc w:val="right"/>
              <w:ind w:right="1043"/>
              <w:spacing w:after="0" w:line="193" w:lineRule="exact"/>
              <w:rPr>
                <w:sz w:val="20"/>
                <w:szCs w:val="20"/>
                <w:color w:val="auto"/>
              </w:rPr>
            </w:pPr>
            <w:r>
              <w:rPr>
                <w:rFonts w:ascii="Calibri" w:cs="Calibri" w:eastAsia="Calibri" w:hAnsi="Calibri"/>
                <w:sz w:val="16"/>
                <w:szCs w:val="16"/>
                <w:color w:val="auto"/>
              </w:rPr>
              <w:t>$</w:t>
            </w:r>
          </w:p>
        </w:tc>
        <w:tc>
          <w:tcPr>
            <w:tcW w:w="420" w:type="dxa"/>
            <w:vAlign w:val="bottom"/>
            <w:tcBorders>
              <w:bottom w:val="single" w:sz="8" w:color="E5F1F8"/>
              <w:right w:val="single" w:sz="8" w:color="007CBA"/>
            </w:tcBorders>
            <w:shd w:val="clear" w:color="auto" w:fill="E5F1F8"/>
          </w:tcPr>
          <w:p>
            <w:pPr>
              <w:ind w:left="140"/>
              <w:spacing w:after="0" w:line="193" w:lineRule="exact"/>
              <w:rPr>
                <w:sz w:val="20"/>
                <w:szCs w:val="20"/>
                <w:color w:val="auto"/>
              </w:rPr>
            </w:pPr>
            <w:r>
              <w:rPr>
                <w:rFonts w:ascii="Calibri" w:cs="Calibri" w:eastAsia="Calibri" w:hAnsi="Calibri"/>
                <w:sz w:val="16"/>
                <w:szCs w:val="16"/>
                <w:color w:val="auto"/>
              </w:rPr>
              <w:t>—</w:t>
            </w:r>
          </w:p>
        </w:tc>
        <w:tc>
          <w:tcPr>
            <w:tcW w:w="1340" w:type="dxa"/>
            <w:vAlign w:val="bottom"/>
            <w:tcBorders>
              <w:bottom w:val="single" w:sz="8" w:color="E5F1F8"/>
            </w:tcBorders>
            <w:shd w:val="clear" w:color="auto" w:fill="E5F1F8"/>
          </w:tcPr>
          <w:p>
            <w:pPr>
              <w:spacing w:after="0"/>
              <w:rPr>
                <w:sz w:val="18"/>
                <w:szCs w:val="18"/>
                <w:color w:val="auto"/>
              </w:rPr>
            </w:pPr>
          </w:p>
        </w:tc>
        <w:tc>
          <w:tcPr>
            <w:tcW w:w="400" w:type="dxa"/>
            <w:vAlign w:val="bottom"/>
            <w:tcBorders>
              <w:bottom w:val="single" w:sz="8" w:color="E5F1F8"/>
              <w:right w:val="single" w:sz="8" w:color="007CBA"/>
            </w:tcBorders>
            <w:shd w:val="clear" w:color="auto" w:fill="E5F1F8"/>
          </w:tcPr>
          <w:p>
            <w:pPr>
              <w:ind w:left="140"/>
              <w:spacing w:after="0" w:line="193" w:lineRule="exact"/>
              <w:rPr>
                <w:sz w:val="20"/>
                <w:szCs w:val="20"/>
                <w:color w:val="auto"/>
              </w:rPr>
            </w:pPr>
            <w:r>
              <w:rPr>
                <w:rFonts w:ascii="Calibri" w:cs="Calibri" w:eastAsia="Calibri" w:hAnsi="Calibri"/>
                <w:sz w:val="16"/>
                <w:szCs w:val="16"/>
                <w:color w:val="auto"/>
              </w:rPr>
              <w:t>—</w:t>
            </w:r>
          </w:p>
        </w:tc>
        <w:tc>
          <w:tcPr>
            <w:tcW w:w="1740" w:type="dxa"/>
            <w:vAlign w:val="bottom"/>
            <w:tcBorders>
              <w:bottom w:val="single" w:sz="8" w:color="E5F1F8"/>
            </w:tcBorders>
            <w:shd w:val="clear" w:color="auto" w:fill="E5F1F8"/>
          </w:tcPr>
          <w:p>
            <w:pPr>
              <w:jc w:val="right"/>
              <w:ind w:right="45"/>
              <w:spacing w:after="0" w:line="193" w:lineRule="exact"/>
              <w:rPr>
                <w:sz w:val="20"/>
                <w:szCs w:val="20"/>
                <w:color w:val="auto"/>
              </w:rPr>
            </w:pPr>
            <w:r>
              <w:rPr>
                <w:rFonts w:ascii="Calibri" w:cs="Calibri" w:eastAsia="Calibri" w:hAnsi="Calibri"/>
                <w:sz w:val="16"/>
                <w:szCs w:val="16"/>
                <w:color w:val="auto"/>
              </w:rPr>
              <w:t>13,102,616</w:t>
            </w:r>
          </w:p>
        </w:tc>
      </w:tr>
      <w:tr>
        <w:trPr>
          <w:trHeight w:val="193"/>
        </w:trPr>
        <w:tc>
          <w:tcPr>
            <w:tcW w:w="4140" w:type="dxa"/>
            <w:vAlign w:val="bottom"/>
          </w:tcPr>
          <w:p>
            <w:pPr>
              <w:ind w:left="120"/>
              <w:spacing w:after="0" w:line="193" w:lineRule="exact"/>
              <w:rPr>
                <w:sz w:val="20"/>
                <w:szCs w:val="20"/>
                <w:color w:val="auto"/>
              </w:rPr>
            </w:pPr>
            <w:r>
              <w:rPr>
                <w:rFonts w:ascii="Calibri" w:cs="Calibri" w:eastAsia="Calibri" w:hAnsi="Calibri"/>
                <w:sz w:val="16"/>
                <w:szCs w:val="16"/>
                <w:color w:val="auto"/>
              </w:rPr>
              <w:t>December 1, 2022 — December 31, 2022</w:t>
            </w:r>
          </w:p>
        </w:tc>
        <w:tc>
          <w:tcPr>
            <w:tcW w:w="1380" w:type="dxa"/>
            <w:vAlign w:val="bottom"/>
          </w:tcPr>
          <w:p>
            <w:pPr>
              <w:spacing w:after="0"/>
              <w:rPr>
                <w:sz w:val="16"/>
                <w:szCs w:val="16"/>
                <w:color w:val="auto"/>
              </w:rPr>
            </w:pPr>
          </w:p>
        </w:tc>
        <w:tc>
          <w:tcPr>
            <w:tcW w:w="420" w:type="dxa"/>
            <w:vAlign w:val="bottom"/>
          </w:tcPr>
          <w:p>
            <w:pPr>
              <w:ind w:left="140"/>
              <w:spacing w:after="0" w:line="193" w:lineRule="exact"/>
              <w:rPr>
                <w:sz w:val="20"/>
                <w:szCs w:val="20"/>
                <w:color w:val="auto"/>
              </w:rPr>
            </w:pPr>
            <w:r>
              <w:rPr>
                <w:rFonts w:ascii="Calibri" w:cs="Calibri" w:eastAsia="Calibri" w:hAnsi="Calibri"/>
                <w:sz w:val="16"/>
                <w:szCs w:val="16"/>
                <w:color w:val="auto"/>
              </w:rPr>
              <w:t>—</w:t>
            </w:r>
          </w:p>
        </w:tc>
        <w:tc>
          <w:tcPr>
            <w:tcW w:w="1400" w:type="dxa"/>
            <w:vAlign w:val="bottom"/>
          </w:tcPr>
          <w:p>
            <w:pPr>
              <w:jc w:val="right"/>
              <w:ind w:right="1043"/>
              <w:spacing w:after="0" w:line="193" w:lineRule="exact"/>
              <w:rPr>
                <w:sz w:val="20"/>
                <w:szCs w:val="20"/>
                <w:color w:val="auto"/>
              </w:rPr>
            </w:pPr>
            <w:r>
              <w:rPr>
                <w:rFonts w:ascii="Calibri" w:cs="Calibri" w:eastAsia="Calibri" w:hAnsi="Calibri"/>
                <w:sz w:val="16"/>
                <w:szCs w:val="16"/>
                <w:color w:val="auto"/>
              </w:rPr>
              <w:t>$</w:t>
            </w:r>
          </w:p>
        </w:tc>
        <w:tc>
          <w:tcPr>
            <w:tcW w:w="1760" w:type="dxa"/>
            <w:vAlign w:val="bottom"/>
            <w:gridSpan w:val="2"/>
          </w:tcPr>
          <w:p>
            <w:pPr>
              <w:ind w:left="140"/>
              <w:spacing w:after="0" w:line="193" w:lineRule="exact"/>
              <w:rPr>
                <w:sz w:val="20"/>
                <w:szCs w:val="20"/>
                <w:color w:val="auto"/>
              </w:rPr>
            </w:pPr>
            <w:r>
              <w:rPr>
                <w:rFonts w:ascii="Calibri" w:cs="Calibri" w:eastAsia="Calibri" w:hAnsi="Calibri"/>
                <w:sz w:val="16"/>
                <w:szCs w:val="16"/>
                <w:color w:val="auto"/>
              </w:rPr>
              <w:t>—</w:t>
            </w:r>
          </w:p>
        </w:tc>
        <w:tc>
          <w:tcPr>
            <w:tcW w:w="400" w:type="dxa"/>
            <w:vAlign w:val="bottom"/>
          </w:tcPr>
          <w:p>
            <w:pPr>
              <w:ind w:left="140"/>
              <w:spacing w:after="0" w:line="193" w:lineRule="exact"/>
              <w:rPr>
                <w:sz w:val="20"/>
                <w:szCs w:val="20"/>
                <w:color w:val="auto"/>
              </w:rPr>
            </w:pPr>
            <w:r>
              <w:rPr>
                <w:rFonts w:ascii="Calibri" w:cs="Calibri" w:eastAsia="Calibri" w:hAnsi="Calibri"/>
                <w:sz w:val="16"/>
                <w:szCs w:val="16"/>
                <w:color w:val="auto"/>
              </w:rPr>
              <w:t>—</w:t>
            </w:r>
          </w:p>
        </w:tc>
        <w:tc>
          <w:tcPr>
            <w:tcW w:w="1740" w:type="dxa"/>
            <w:vAlign w:val="bottom"/>
          </w:tcPr>
          <w:p>
            <w:pPr>
              <w:jc w:val="right"/>
              <w:ind w:right="45"/>
              <w:spacing w:after="0" w:line="193" w:lineRule="exact"/>
              <w:rPr>
                <w:sz w:val="20"/>
                <w:szCs w:val="20"/>
                <w:color w:val="auto"/>
              </w:rPr>
            </w:pPr>
            <w:r>
              <w:rPr>
                <w:rFonts w:ascii="Calibri" w:cs="Calibri" w:eastAsia="Calibri" w:hAnsi="Calibri"/>
                <w:sz w:val="16"/>
                <w:szCs w:val="16"/>
                <w:color w:val="auto"/>
              </w:rPr>
              <w:t>13,102,616</w:t>
            </w:r>
          </w:p>
        </w:tc>
      </w:tr>
      <w:tr>
        <w:trPr>
          <w:trHeight w:val="36"/>
        </w:trPr>
        <w:tc>
          <w:tcPr>
            <w:tcW w:w="4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248"/>
        </w:trPr>
        <w:tc>
          <w:tcPr>
            <w:tcW w:w="4140" w:type="dxa"/>
            <w:vAlign w:val="bottom"/>
            <w:tcBorders>
              <w:bottom w:val="single" w:sz="8" w:color="E5F1F8"/>
              <w:right w:val="single" w:sz="8" w:color="E5F1F8"/>
            </w:tcBorders>
            <w:shd w:val="clear" w:color="auto" w:fill="E5F1F8"/>
          </w:tcPr>
          <w:p>
            <w:pPr>
              <w:ind w:left="120"/>
              <w:spacing w:after="0" w:line="187" w:lineRule="exact"/>
              <w:rPr>
                <w:sz w:val="20"/>
                <w:szCs w:val="20"/>
                <w:color w:val="auto"/>
              </w:rPr>
            </w:pPr>
            <w:r>
              <w:rPr>
                <w:rFonts w:ascii="Calibri" w:cs="Calibri" w:eastAsia="Calibri" w:hAnsi="Calibri"/>
                <w:sz w:val="16"/>
                <w:szCs w:val="16"/>
                <w:color w:val="auto"/>
              </w:rPr>
              <w:t>Total</w:t>
            </w:r>
          </w:p>
        </w:tc>
        <w:tc>
          <w:tcPr>
            <w:tcW w:w="1380" w:type="dxa"/>
            <w:vAlign w:val="bottom"/>
            <w:tcBorders>
              <w:bottom w:val="single" w:sz="8" w:color="E5F1F8"/>
            </w:tcBorders>
            <w:shd w:val="clear" w:color="auto" w:fill="E5F1F8"/>
          </w:tcPr>
          <w:p>
            <w:pPr>
              <w:spacing w:after="0"/>
              <w:rPr>
                <w:sz w:val="21"/>
                <w:szCs w:val="21"/>
                <w:color w:val="auto"/>
              </w:rPr>
            </w:pPr>
          </w:p>
        </w:tc>
        <w:tc>
          <w:tcPr>
            <w:tcW w:w="420" w:type="dxa"/>
            <w:vAlign w:val="bottom"/>
            <w:tcBorders>
              <w:bottom w:val="single" w:sz="8" w:color="E5F1F8"/>
              <w:right w:val="single" w:sz="8" w:color="E5F1F8"/>
            </w:tcBorders>
            <w:shd w:val="clear" w:color="auto" w:fill="E5F1F8"/>
          </w:tcPr>
          <w:p>
            <w:pPr>
              <w:ind w:left="140"/>
              <w:spacing w:after="0" w:line="187" w:lineRule="exact"/>
              <w:rPr>
                <w:sz w:val="20"/>
                <w:szCs w:val="20"/>
                <w:color w:val="auto"/>
              </w:rPr>
            </w:pPr>
            <w:r>
              <w:rPr>
                <w:rFonts w:ascii="Calibri" w:cs="Calibri" w:eastAsia="Calibri" w:hAnsi="Calibri"/>
                <w:sz w:val="16"/>
                <w:szCs w:val="16"/>
                <w:color w:val="auto"/>
              </w:rPr>
              <w:t>—</w:t>
            </w:r>
          </w:p>
        </w:tc>
        <w:tc>
          <w:tcPr>
            <w:tcW w:w="1400" w:type="dxa"/>
            <w:vAlign w:val="bottom"/>
            <w:tcBorders>
              <w:bottom w:val="single" w:sz="8" w:color="E5F1F8"/>
            </w:tcBorders>
            <w:shd w:val="clear" w:color="auto" w:fill="E5F1F8"/>
          </w:tcPr>
          <w:p>
            <w:pPr>
              <w:jc w:val="right"/>
              <w:ind w:right="1043"/>
              <w:spacing w:after="0" w:line="187" w:lineRule="exact"/>
              <w:rPr>
                <w:sz w:val="20"/>
                <w:szCs w:val="20"/>
                <w:color w:val="auto"/>
              </w:rPr>
            </w:pPr>
            <w:r>
              <w:rPr>
                <w:rFonts w:ascii="Calibri" w:cs="Calibri" w:eastAsia="Calibri" w:hAnsi="Calibri"/>
                <w:sz w:val="16"/>
                <w:szCs w:val="16"/>
                <w:color w:val="auto"/>
              </w:rPr>
              <w:t>$</w:t>
            </w:r>
          </w:p>
        </w:tc>
        <w:tc>
          <w:tcPr>
            <w:tcW w:w="420" w:type="dxa"/>
            <w:vAlign w:val="bottom"/>
            <w:tcBorders>
              <w:bottom w:val="single" w:sz="8" w:color="E5F1F8"/>
              <w:right w:val="single" w:sz="8" w:color="E5F1F8"/>
            </w:tcBorders>
            <w:shd w:val="clear" w:color="auto" w:fill="E5F1F8"/>
          </w:tcPr>
          <w:p>
            <w:pPr>
              <w:ind w:left="140"/>
              <w:spacing w:after="0" w:line="187" w:lineRule="exact"/>
              <w:rPr>
                <w:sz w:val="20"/>
                <w:szCs w:val="20"/>
                <w:color w:val="auto"/>
              </w:rPr>
            </w:pPr>
            <w:r>
              <w:rPr>
                <w:rFonts w:ascii="Calibri" w:cs="Calibri" w:eastAsia="Calibri" w:hAnsi="Calibri"/>
                <w:sz w:val="16"/>
                <w:szCs w:val="16"/>
                <w:color w:val="auto"/>
              </w:rPr>
              <w:t>—</w:t>
            </w:r>
          </w:p>
        </w:tc>
        <w:tc>
          <w:tcPr>
            <w:tcW w:w="1340" w:type="dxa"/>
            <w:vAlign w:val="bottom"/>
            <w:tcBorders>
              <w:bottom w:val="single" w:sz="8" w:color="E5F1F8"/>
            </w:tcBorders>
            <w:shd w:val="clear" w:color="auto" w:fill="E5F1F8"/>
          </w:tcPr>
          <w:p>
            <w:pPr>
              <w:spacing w:after="0"/>
              <w:rPr>
                <w:sz w:val="21"/>
                <w:szCs w:val="21"/>
                <w:color w:val="auto"/>
              </w:rPr>
            </w:pPr>
          </w:p>
        </w:tc>
        <w:tc>
          <w:tcPr>
            <w:tcW w:w="400" w:type="dxa"/>
            <w:vAlign w:val="bottom"/>
            <w:tcBorders>
              <w:bottom w:val="single" w:sz="8" w:color="E5F1F8"/>
              <w:right w:val="single" w:sz="8" w:color="E5F1F8"/>
            </w:tcBorders>
            <w:shd w:val="clear" w:color="auto" w:fill="E5F1F8"/>
          </w:tcPr>
          <w:p>
            <w:pPr>
              <w:ind w:left="140"/>
              <w:spacing w:after="0" w:line="187" w:lineRule="exact"/>
              <w:rPr>
                <w:sz w:val="20"/>
                <w:szCs w:val="20"/>
                <w:color w:val="auto"/>
              </w:rPr>
            </w:pPr>
            <w:r>
              <w:rPr>
                <w:rFonts w:ascii="Calibri" w:cs="Calibri" w:eastAsia="Calibri" w:hAnsi="Calibri"/>
                <w:sz w:val="16"/>
                <w:szCs w:val="16"/>
                <w:color w:val="auto"/>
              </w:rPr>
              <w:t>—</w:t>
            </w:r>
          </w:p>
        </w:tc>
        <w:tc>
          <w:tcPr>
            <w:tcW w:w="1740" w:type="dxa"/>
            <w:vAlign w:val="bottom"/>
            <w:tcBorders>
              <w:bottom w:val="single" w:sz="8" w:color="E5F1F8"/>
            </w:tcBorders>
            <w:shd w:val="clear" w:color="auto" w:fill="E5F1F8"/>
          </w:tcPr>
          <w:p>
            <w:pPr>
              <w:jc w:val="right"/>
              <w:ind w:right="45"/>
              <w:spacing w:after="0" w:line="187" w:lineRule="exact"/>
              <w:rPr>
                <w:sz w:val="20"/>
                <w:szCs w:val="20"/>
                <w:color w:val="auto"/>
              </w:rPr>
            </w:pPr>
            <w:r>
              <w:rPr>
                <w:rFonts w:ascii="Calibri" w:cs="Calibri" w:eastAsia="Calibri" w:hAnsi="Calibri"/>
                <w:sz w:val="16"/>
                <w:szCs w:val="16"/>
                <w:color w:val="auto"/>
              </w:rPr>
              <w:t>13,102,616</w:t>
            </w:r>
          </w:p>
        </w:tc>
      </w:tr>
      <w:tr>
        <w:trPr>
          <w:trHeight w:val="20"/>
        </w:trPr>
        <w:tc>
          <w:tcPr>
            <w:tcW w:w="4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2606675</wp:posOffset>
            </wp:positionH>
            <wp:positionV relativeFrom="paragraph">
              <wp:posOffset>-337820</wp:posOffset>
            </wp:positionV>
            <wp:extent cx="4530090" cy="3511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4530090" cy="351155"/>
                    </a:xfrm>
                    <a:prstGeom prst="rect">
                      <a:avLst/>
                    </a:prstGeom>
                    <a:noFill/>
                  </pic:spPr>
                </pic:pic>
              </a:graphicData>
            </a:graphic>
          </wp:anchor>
        </w:drawing>
      </w:r>
    </w:p>
    <w:p>
      <w:pPr>
        <w:spacing w:after="0" w:line="20" w:lineRule="exact"/>
        <w:rPr>
          <w:sz w:val="20"/>
          <w:szCs w:val="20"/>
          <w:color w:val="auto"/>
        </w:rPr>
      </w:pPr>
    </w:p>
    <w:p>
      <w:pPr>
        <w:jc w:val="both"/>
        <w:ind w:left="800" w:hanging="401"/>
        <w:spacing w:after="0" w:line="231" w:lineRule="auto"/>
        <w:tabs>
          <w:tab w:leader="none" w:pos="800" w:val="left"/>
        </w:tabs>
        <w:numPr>
          <w:ilvl w:val="0"/>
          <w:numId w:val="12"/>
        </w:numPr>
        <w:rPr>
          <w:rFonts w:ascii="Calibri" w:cs="Calibri" w:eastAsia="Calibri" w:hAnsi="Calibri"/>
          <w:sz w:val="19"/>
          <w:szCs w:val="19"/>
          <w:color w:val="auto"/>
          <w:vertAlign w:val="superscript"/>
        </w:rPr>
      </w:pPr>
      <w:r>
        <w:rPr>
          <w:rFonts w:ascii="Calibri" w:cs="Calibri" w:eastAsia="Calibri" w:hAnsi="Calibri"/>
          <w:sz w:val="14"/>
          <w:szCs w:val="14"/>
          <w:color w:val="auto"/>
        </w:rPr>
        <w:t>The Company’s stock repurchase program, which currently authorizes the repurchase of 20 million shares of common stock, is approved by the Board of Directors from tme to tme, and updated as appropriate by the Board of Directors, and announced to the public by press release. The latest announcement on this topic was the Company’s press release dated February 10, 2015 that its Board of Directors had authorized the repurchase of up to 20 million shares of its outstanding common stock, which included 5 million shares authorized under the Company’s previous share repurchase program. Previous press releases announcing prior share repurchase programs and the related amounts of common stock included under the share repurchase authorizatons were as follows: (i) press release dated August 15, 2007 (5 million shares); (ii) press release dated February 22, 2006 (5 million shares); and (iii) May 6, 1994 (2.5 million shares).</w:t>
      </w:r>
    </w:p>
    <w:p>
      <w:pPr>
        <w:spacing w:after="0" w:line="211"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6 – RESERVED</w:t>
      </w:r>
    </w:p>
    <w:p>
      <w:pPr>
        <w:spacing w:after="0" w:line="59" w:lineRule="exact"/>
        <w:rPr>
          <w:sz w:val="20"/>
          <w:szCs w:val="20"/>
          <w:color w:val="auto"/>
        </w:rPr>
      </w:pPr>
    </w:p>
    <w:p>
      <w:pPr>
        <w:spacing w:after="0"/>
        <w:rPr>
          <w:sz w:val="20"/>
          <w:szCs w:val="20"/>
          <w:color w:val="auto"/>
        </w:rPr>
      </w:pPr>
      <w:r>
        <w:rPr>
          <w:rFonts w:ascii="Calibri" w:cs="Calibri" w:eastAsia="Calibri" w:hAnsi="Calibri"/>
          <w:sz w:val="18"/>
          <w:szCs w:val="18"/>
          <w:color w:val="auto"/>
        </w:rPr>
        <w:t>Not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92075</wp:posOffset>
            </wp:positionV>
            <wp:extent cx="325755" cy="1968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6" w:name="page37"/>
    <w:bookmarkEnd w:id="36"/>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214" w:lineRule="exact"/>
        <w:rPr>
          <w:sz w:val="20"/>
          <w:szCs w:val="20"/>
          <w:color w:val="auto"/>
        </w:rPr>
      </w:pPr>
    </w:p>
    <w:p>
      <w:pPr>
        <w:jc w:val="both"/>
        <w:ind w:right="20"/>
        <w:spacing w:after="0"/>
        <w:rPr>
          <w:sz w:val="20"/>
          <w:szCs w:val="20"/>
          <w:color w:val="auto"/>
        </w:rPr>
      </w:pPr>
      <w:r>
        <w:rPr>
          <w:rFonts w:ascii="Calibri" w:cs="Calibri" w:eastAsia="Calibri" w:hAnsi="Calibri"/>
          <w:sz w:val="25"/>
          <w:szCs w:val="25"/>
          <w:b w:val="1"/>
          <w:bCs w:val="1"/>
          <w:color w:val="auto"/>
        </w:rPr>
        <w:t>ITEM 7 – MANAGEMENT’S DISCUSSION AND ANALYSIS OF FINANCIAL CONDITION AND RESULTS OF OPERATIONS</w:t>
      </w:r>
    </w:p>
    <w:p>
      <w:pPr>
        <w:spacing w:after="0" w:line="114"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786970"/>
        </w:rPr>
        <w:t>INTRODUCTORY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89535</wp:posOffset>
            </wp:positionV>
            <wp:extent cx="3934460" cy="3086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393446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Martn Marieta Materials, Inc. (the Company or Martn Marieta) is a natural resource-based building materials company, with 2022 total revenues of $6.16 billion and 2022 net earnings from contnuing operatons atributable to Martn Marieta of $856.3 million. These results were achieved in part by supplying aggregates (crushed stone, sand and gravel) through its network of approximately 350 quarries, mines and distributon yards in 28 states, Canada and The Bahamas. Martn Marieta also provides cement and downstream products, namely ready mixed concrete, asphalt and paving services, in certain markets where the Company has a leading aggregates positon. Specifcally, the Company has two cement plants in Texas, ready mixed concrete operatons in Arizona, California and Texas, and asphalt operatons in Arizona, California, Colorado and Minnesota. Paving services are ofered in California and Colorado. The Company also has one cement plant, related cement distributon terminals and ready mixed concrete operatons in California that are classifed as assets held for sale and reported as discontnued operatons as of and for the years ended December 31, 2022 and 2021.</w:t>
      </w:r>
    </w:p>
    <w:p>
      <w:pPr>
        <w:spacing w:after="0" w:line="19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heavy-side building materials are used in infrastructure, nonresidental and residental constructon projects. Aggregates are also used in agricultural, utlity and environmental applicatons and as railroad ballast. The aggregates, cement, ready mixed concrete and asphalt and paving product lines are reported collectvely as the “Building Materials” business.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As more fully discussed in the </w:t>
      </w:r>
      <w:r>
        <w:rPr>
          <w:rFonts w:ascii="Calibri" w:cs="Calibri" w:eastAsia="Calibri" w:hAnsi="Calibri"/>
          <w:sz w:val="18"/>
          <w:szCs w:val="18"/>
          <w:i w:val="1"/>
          <w:iCs w:val="1"/>
          <w:color w:val="auto"/>
        </w:rPr>
        <w:t>Consolidated Strategic Objectves</w:t>
      </w:r>
      <w:r>
        <w:rPr>
          <w:rFonts w:ascii="Calibri" w:cs="Calibri" w:eastAsia="Calibri" w:hAnsi="Calibri"/>
          <w:sz w:val="18"/>
          <w:szCs w:val="18"/>
          <w:color w:val="auto"/>
        </w:rPr>
        <w:t xml:space="preserve"> secton, geography is critcally important for the Building Materials business. The Company conducts its Building Materials business through two reportable segments, organized by geography: East Group and West Group. The East Group, consistng of the East and Central divisions, provides aggregates and asphalt products. The West Group is comprised of the Southwest and West divisions and provides aggregates, cement, downstream products and paving services. Further, the following fve states accounted for 64% of the Building Materials business 2022 total revenues: Texas, Colorado, North Carolina, Minnesota and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93980</wp:posOffset>
            </wp:positionV>
            <wp:extent cx="325755" cy="1968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7" w:name="page38"/>
    <w:bookmarkEnd w:id="37"/>
    <w:p>
      <w:pPr>
        <w:ind w:left="370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7 – Management’s Discussion and Analysis of Financial Conditon and Results of Operatons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132080</wp:posOffset>
            </wp:positionV>
            <wp:extent cx="5846445" cy="254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584644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Magnesia Specialtes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operates a Magnesia Specialtes business with producton facilites in Michigan and Ohio. The Magnesia Specialtes business produces magnesia-based chemicals products used in industrial, agricultural and environmental applicatons. It also produces dolomitc lime sold primarily to customers for steel producton and soil stabilizaton. Magnesia Specialtes’ products are shipped to customers domestcally and worldwide.</w:t>
      </w:r>
    </w:p>
    <w:p>
      <w:pPr>
        <w:spacing w:after="0" w:line="21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Consolidated Strategic Objectves</w:t>
      </w:r>
    </w:p>
    <w:p>
      <w:pPr>
        <w:spacing w:after="0" w:line="61"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 xml:space="preserve">The Company’s strategic planning process, or </w:t>
      </w:r>
      <w:r>
        <w:rPr>
          <w:rFonts w:ascii="Calibri" w:cs="Calibri" w:eastAsia="Calibri" w:hAnsi="Calibri"/>
          <w:sz w:val="17"/>
          <w:szCs w:val="17"/>
          <w:b w:val="1"/>
          <w:bCs w:val="1"/>
          <w:color w:val="auto"/>
        </w:rPr>
        <w:t>S</w:t>
      </w:r>
      <w:r>
        <w:rPr>
          <w:rFonts w:ascii="Calibri" w:cs="Calibri" w:eastAsia="Calibri" w:hAnsi="Calibri"/>
          <w:sz w:val="17"/>
          <w:szCs w:val="17"/>
          <w:color w:val="auto"/>
        </w:rPr>
        <w:t xml:space="preserve">trategic </w:t>
      </w:r>
      <w:r>
        <w:rPr>
          <w:rFonts w:ascii="Calibri" w:cs="Calibri" w:eastAsia="Calibri" w:hAnsi="Calibri"/>
          <w:sz w:val="17"/>
          <w:szCs w:val="17"/>
          <w:b w:val="1"/>
          <w:bCs w:val="1"/>
          <w:color w:val="auto"/>
        </w:rPr>
        <w:t>O</w:t>
      </w:r>
      <w:r>
        <w:rPr>
          <w:rFonts w:ascii="Calibri" w:cs="Calibri" w:eastAsia="Calibri" w:hAnsi="Calibri"/>
          <w:sz w:val="17"/>
          <w:szCs w:val="17"/>
          <w:color w:val="auto"/>
        </w:rPr>
        <w:t xml:space="preserve">peratng </w:t>
      </w:r>
      <w:r>
        <w:rPr>
          <w:rFonts w:ascii="Calibri" w:cs="Calibri" w:eastAsia="Calibri" w:hAnsi="Calibri"/>
          <w:sz w:val="17"/>
          <w:szCs w:val="17"/>
          <w:b w:val="1"/>
          <w:bCs w:val="1"/>
          <w:color w:val="auto"/>
        </w:rPr>
        <w:t>A</w:t>
      </w:r>
      <w:r>
        <w:rPr>
          <w:rFonts w:ascii="Calibri" w:cs="Calibri" w:eastAsia="Calibri" w:hAnsi="Calibri"/>
          <w:sz w:val="17"/>
          <w:szCs w:val="17"/>
          <w:color w:val="auto"/>
        </w:rPr>
        <w:t xml:space="preserve">nalysis and </w:t>
      </w:r>
      <w:r>
        <w:rPr>
          <w:rFonts w:ascii="Calibri" w:cs="Calibri" w:eastAsia="Calibri" w:hAnsi="Calibri"/>
          <w:sz w:val="17"/>
          <w:szCs w:val="17"/>
          <w:b w:val="1"/>
          <w:bCs w:val="1"/>
          <w:color w:val="auto"/>
        </w:rPr>
        <w:t>R</w:t>
      </w:r>
      <w:r>
        <w:rPr>
          <w:rFonts w:ascii="Calibri" w:cs="Calibri" w:eastAsia="Calibri" w:hAnsi="Calibri"/>
          <w:sz w:val="17"/>
          <w:szCs w:val="17"/>
          <w:color w:val="auto"/>
        </w:rPr>
        <w:t>eview (SOAR), provides the framework for executon of Martn Marieta’s long-term strategic plan. Guided by this framework and considering the cyclicality of the Building Materials business, the Company determines capital allocaton priorites to maximize long-term shareholder value creaton. The Company’s strategy includes ongoing evaluaton of aggregates-led opportunites of scale in new domestc markets (i.e., platorm acquisitons) and expansion through acquisitons that complement existng operatons (i.e., bolt-on acquisitons). To that efect, the Company has invested nearly $8.0 billion in acquisitons since the launch of SOAR in 2010. The Company fnances such opportunites with the goal of preserving its fnancial fexibility by having a leverage rato (consolidated net debt-to-consolidated earnings before interest, taxes, depreciaton, depleton and amortzaton, or EBITDA) within a range of 2.0 tmes to 2.5 tmes within a reasonable period of tme, typically within 18 months, following the completon of a debt-fnanced transacton. SOAR also includes the identfcaton and potental dispositon of assets that are not consistent with stated strategic goals. Notably, in 2022, the Company divested its Colorado and Central Texas ready mixed concrete businesses and certain West Coast cement and ready mixed concrete operatons, refning its product mix and improving margin profle, while providing balance sheet fexibility.</w:t>
      </w:r>
    </w:p>
    <w:p>
      <w:pPr>
        <w:spacing w:after="0" w:line="1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by purposeful design, will contnue to be an aggregates-led business that focuses on markets with strong, underlying growth fundamentals where it can sustain or achieve a leading market positon. In fact, aggregates product gross proft represented 69% of 2022 total consolidated products and services gross proft. As part of its long-term strategic plan, the Company may also pursue strategic cement and targeted downstream opportunites. For Martn Marieta, strategic cement and targeted downstream operatons are located in vertcally-integrated markets where the Company has, or envisions, among other things, a clear path toward a leading aggregates positon.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93980</wp:posOffset>
            </wp:positionV>
            <wp:extent cx="325755" cy="1968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8" w:name="page39"/>
    <w:bookmarkEnd w:id="38"/>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149860</wp:posOffset>
            </wp:positionV>
            <wp:extent cx="3968750" cy="31115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396875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Generally, the Company’s building materials are both sourced and sold locally. As a result, geography is critcally important when assessing market atractveness and growth opportunites. Atractve geographies generally exhibit (a) populaton growth and/or high populaton density, both of which are drivers of heavy-side building materials consumpton; (b) business and employment diversity, drivers of greater economic stability; and (c) a superior state fnancial positon, a driver of public infrastructure investment.</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Populaton growth and density are assessed based on a site’s proximity to one of the megaregions in the United States. Megaregions are large networks of metropolitan populaton centers covering thousands of square miles. According to </w:t>
      </w:r>
      <w:r>
        <w:rPr>
          <w:rFonts w:ascii="Calibri" w:cs="Calibri" w:eastAsia="Calibri" w:hAnsi="Calibri"/>
          <w:sz w:val="18"/>
          <w:szCs w:val="18"/>
          <w:i w:val="1"/>
          <w:iCs w:val="1"/>
          <w:color w:val="auto"/>
        </w:rPr>
        <w:t>America 2050</w:t>
      </w:r>
      <w:r>
        <w:rPr>
          <w:rFonts w:ascii="Calibri" w:cs="Calibri" w:eastAsia="Calibri" w:hAnsi="Calibri"/>
          <w:sz w:val="18"/>
          <w:szCs w:val="18"/>
          <w:color w:val="auto"/>
        </w:rPr>
        <w:t>, a planning and policy program of the Regional Plan Associaton, a majority of the naton’s populaton and economic growth through 2050 will occur in 11 megaregions. The Company has a meaningful presence in ten of the megaregions. As evidence of the successful executon of SOAR, the Company’s leading positons in the Texas Triangle, Colorado’s Front Range, northern and southern California and Arizona’s Sun Corridor megaregions, its growth platorm in the southern porton of the Northeast megaregion and its enhanced positon in the Piedmont Atlantc megaregion, primarily in the Atlanta area, are the results of acquisitons since 2011. The Company has a legacy presence in the southeastern porton of the Great Lakes megaregion, encompassing operatons in Indiana and Ohio, as well as the Florida megaregion and the Gulf Coast megaregion in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95885</wp:posOffset>
            </wp:positionV>
            <wp:extent cx="325755" cy="1968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4"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124460</wp:posOffset>
            </wp:positionV>
            <wp:extent cx="5846445" cy="36175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5846445" cy="361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With respect to business and employment diversity, the Company focuses its geographic footprint along signifcant transportaton and commerce corridors, partcularly where land is readily available for the development of fulfllment and/or data centers. The retail sector (both e-commerce and brick and mortar) values transportaton corridors, as logistcs and distributon are critcal consideratons for constructon supportng that industry. In additon, technology companies view these areas as atractve locatons for data centers.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considers a state’s fnancial health ratng, as issued by S&amp;P Global Ratngs, in determining the opportunites and atractveness of areas for expansion or development. The Company’s top ten revenue-generatng states have been evaluated and scored a fnancial health ratng of AA- or higher, where AAA is the highest score. The Company also reviews the state’s ability to secure additonal infrastructure funding and fnancing.</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In line with the Company’s strategic objectves, management’s overall focus includes:</w:t>
      </w:r>
    </w:p>
    <w:p>
      <w:pPr>
        <w:spacing w:after="0" w:line="64" w:lineRule="exact"/>
        <w:rPr>
          <w:sz w:val="20"/>
          <w:szCs w:val="20"/>
          <w:color w:val="auto"/>
        </w:rPr>
      </w:pPr>
    </w:p>
    <w:p>
      <w:pPr>
        <w:ind w:left="880" w:hanging="279"/>
        <w:spacing w:after="0"/>
        <w:tabs>
          <w:tab w:leader="none" w:pos="88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Upholding the Company’s commitment to its Mission, Vision and Values</w:t>
      </w:r>
    </w:p>
    <w:p>
      <w:pPr>
        <w:spacing w:after="0" w:line="63" w:lineRule="exact"/>
        <w:rPr>
          <w:rFonts w:ascii="Times New Roman" w:cs="Times New Roman" w:eastAsia="Times New Roman" w:hAnsi="Times New Roman"/>
          <w:sz w:val="18"/>
          <w:szCs w:val="18"/>
          <w:color w:val="auto"/>
        </w:rPr>
      </w:pPr>
    </w:p>
    <w:p>
      <w:pPr>
        <w:ind w:left="880" w:hanging="279"/>
        <w:spacing w:after="0"/>
        <w:tabs>
          <w:tab w:leader="none" w:pos="88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Navigatng efectvely through constructon cycles to balance investment decisions against expected shipment volumes</w:t>
      </w:r>
    </w:p>
    <w:p>
      <w:pPr>
        <w:spacing w:after="0" w:line="68" w:lineRule="exact"/>
        <w:rPr>
          <w:rFonts w:ascii="Times New Roman" w:cs="Times New Roman" w:eastAsia="Times New Roman" w:hAnsi="Times New Roman"/>
          <w:sz w:val="18"/>
          <w:szCs w:val="18"/>
          <w:color w:val="auto"/>
        </w:rPr>
      </w:pPr>
    </w:p>
    <w:p>
      <w:pPr>
        <w:ind w:left="880" w:hanging="279"/>
        <w:spacing w:after="0" w:line="235" w:lineRule="auto"/>
        <w:tabs>
          <w:tab w:leader="none" w:pos="88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Tracking shifs in populaton trends, as well as local, state and natonal economic conditons, to ensure changing trends are refected against the executon of the strategic plan</w:t>
      </w:r>
    </w:p>
    <w:p>
      <w:pPr>
        <w:spacing w:after="0" w:line="64" w:lineRule="exact"/>
        <w:rPr>
          <w:rFonts w:ascii="Times New Roman" w:cs="Times New Roman" w:eastAsia="Times New Roman" w:hAnsi="Times New Roman"/>
          <w:sz w:val="18"/>
          <w:szCs w:val="18"/>
          <w:color w:val="auto"/>
        </w:rPr>
      </w:pPr>
    </w:p>
    <w:p>
      <w:pPr>
        <w:ind w:left="880" w:hanging="279"/>
        <w:spacing w:after="0"/>
        <w:tabs>
          <w:tab w:leader="none" w:pos="88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Integratng acquired businesses efciently to maximize the return on the investment</w:t>
      </w:r>
    </w:p>
    <w:p>
      <w:pPr>
        <w:spacing w:after="0" w:line="63" w:lineRule="exact"/>
        <w:rPr>
          <w:rFonts w:ascii="Times New Roman" w:cs="Times New Roman" w:eastAsia="Times New Roman" w:hAnsi="Times New Roman"/>
          <w:sz w:val="18"/>
          <w:szCs w:val="18"/>
          <w:color w:val="auto"/>
        </w:rPr>
      </w:pPr>
    </w:p>
    <w:p>
      <w:pPr>
        <w:ind w:left="880" w:hanging="279"/>
        <w:spacing w:after="0"/>
        <w:tabs>
          <w:tab w:leader="none" w:pos="88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Allocatng capital in a manner consistent with the following long-standing priorites while maintaining fnancial fexibility</w:t>
      </w:r>
    </w:p>
    <w:p>
      <w:pPr>
        <w:spacing w:after="0" w:line="63" w:lineRule="exact"/>
        <w:rPr>
          <w:rFonts w:ascii="Times New Roman" w:cs="Times New Roman" w:eastAsia="Times New Roman" w:hAnsi="Times New Roman"/>
          <w:sz w:val="18"/>
          <w:szCs w:val="18"/>
          <w:color w:val="auto"/>
        </w:rPr>
      </w:pPr>
    </w:p>
    <w:p>
      <w:pPr>
        <w:ind w:left="1460" w:hanging="266"/>
        <w:spacing w:after="0"/>
        <w:tabs>
          <w:tab w:leader="none" w:pos="1460" w:val="left"/>
        </w:tabs>
        <w:numPr>
          <w:ilvl w:val="1"/>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Acquisitons</w:t>
      </w:r>
    </w:p>
    <w:p>
      <w:pPr>
        <w:spacing w:after="0" w:line="63" w:lineRule="exact"/>
        <w:rPr>
          <w:rFonts w:ascii="Times New Roman" w:cs="Times New Roman" w:eastAsia="Times New Roman" w:hAnsi="Times New Roman"/>
          <w:sz w:val="18"/>
          <w:szCs w:val="18"/>
          <w:color w:val="auto"/>
        </w:rPr>
      </w:pPr>
    </w:p>
    <w:p>
      <w:pPr>
        <w:ind w:left="1460" w:hanging="266"/>
        <w:spacing w:after="0"/>
        <w:tabs>
          <w:tab w:leader="none" w:pos="1460" w:val="left"/>
        </w:tabs>
        <w:numPr>
          <w:ilvl w:val="1"/>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Organic capital investment</w:t>
      </w:r>
    </w:p>
    <w:p>
      <w:pPr>
        <w:spacing w:after="0" w:line="50" w:lineRule="exact"/>
        <w:rPr>
          <w:rFonts w:ascii="Times New Roman" w:cs="Times New Roman" w:eastAsia="Times New Roman" w:hAnsi="Times New Roman"/>
          <w:sz w:val="18"/>
          <w:szCs w:val="18"/>
          <w:color w:val="auto"/>
        </w:rPr>
      </w:pPr>
    </w:p>
    <w:p>
      <w:pPr>
        <w:ind w:left="1460" w:hanging="266"/>
        <w:spacing w:after="0"/>
        <w:tabs>
          <w:tab w:leader="none" w:pos="1460" w:val="left"/>
        </w:tabs>
        <w:numPr>
          <w:ilvl w:val="1"/>
          <w:numId w:val="13"/>
        </w:numPr>
        <w:rPr>
          <w:rFonts w:ascii="Times New Roman" w:cs="Times New Roman" w:eastAsia="Times New Roman" w:hAnsi="Times New Roman"/>
          <w:sz w:val="16"/>
          <w:szCs w:val="16"/>
          <w:color w:val="auto"/>
        </w:rPr>
      </w:pPr>
      <w:r>
        <w:rPr>
          <w:rFonts w:ascii="Calibri" w:cs="Calibri" w:eastAsia="Calibri" w:hAnsi="Calibri"/>
          <w:sz w:val="18"/>
          <w:szCs w:val="18"/>
          <w:color w:val="auto"/>
        </w:rPr>
        <w:t>Return of cash to shareholders through both meaningful and sustainable dividends as well as share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92075</wp:posOffset>
            </wp:positionV>
            <wp:extent cx="325755" cy="1968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209"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2022 Performance Highlights</w:t>
      </w:r>
    </w:p>
    <w:p>
      <w:pPr>
        <w:spacing w:after="0" w:line="11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4EAD8A"/>
        </w:rPr>
        <w:t>Achieved Industry-Leading Safety Performance:</w:t>
      </w:r>
    </w:p>
    <w:p>
      <w:pPr>
        <w:spacing w:after="0" w:line="64" w:lineRule="exact"/>
        <w:rPr>
          <w:sz w:val="20"/>
          <w:szCs w:val="20"/>
          <w:color w:val="auto"/>
        </w:rPr>
      </w:pPr>
    </w:p>
    <w:p>
      <w:pPr>
        <w:ind w:left="880" w:hanging="279"/>
        <w:spacing w:after="0"/>
        <w:tabs>
          <w:tab w:leader="none" w:pos="88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Record company-wide Lost-Time Incident Rate (LTIR) of 0.15, the sixth consecutve year of world-class or beter LTIR thresholds</w:t>
      </w:r>
    </w:p>
    <w:p>
      <w:pPr>
        <w:spacing w:after="0" w:line="63" w:lineRule="exact"/>
        <w:rPr>
          <w:rFonts w:ascii="Times New Roman" w:cs="Times New Roman" w:eastAsia="Times New Roman" w:hAnsi="Times New Roman"/>
          <w:sz w:val="18"/>
          <w:szCs w:val="18"/>
          <w:color w:val="auto"/>
        </w:rPr>
      </w:pPr>
    </w:p>
    <w:p>
      <w:pPr>
        <w:ind w:left="880" w:hanging="279"/>
        <w:spacing w:after="0"/>
        <w:tabs>
          <w:tab w:leader="none" w:pos="88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Record company-wide Total Injury Incident Rate (TIIR) of 0.78, the second consecutve year of world-class or beter TIIR thresholds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4EAD8A"/>
        </w:rPr>
        <w:t>Achieved Record Financial Performance:</w:t>
      </w:r>
    </w:p>
    <w:p>
      <w:pPr>
        <w:spacing w:after="0" w:line="5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Company achieved record total revenues, products and services revenues, consolidated gross proft and Adjusted EBITDA (defned in </w:t>
      </w:r>
      <w:r>
        <w:rPr>
          <w:rFonts w:ascii="Calibri" w:cs="Calibri" w:eastAsia="Calibri" w:hAnsi="Calibri"/>
          <w:sz w:val="18"/>
          <w:szCs w:val="18"/>
          <w:i w:val="1"/>
          <w:iCs w:val="1"/>
          <w:color w:val="auto"/>
        </w:rPr>
        <w:t>Results of</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Operatons </w:t>
      </w:r>
      <w:r>
        <w:rPr>
          <w:rFonts w:ascii="Calibri" w:cs="Calibri" w:eastAsia="Calibri" w:hAnsi="Calibri"/>
          <w:sz w:val="18"/>
          <w:szCs w:val="18"/>
          <w:color w:val="auto"/>
        </w:rPr>
        <w:t>secton), beneftng from double-digit pricing growth across all product lines of the Building Materials business and contributons from acquired</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operatons, which more than ofset increased infatonary pressure from rising input costs and divestture impacts on an absolute basis. Further, 2022 represented the eleventh consecutve year of annual growth for products and services revenues, adjusted gross proft and Adjusted EBITDA. The Company’s commitment to safety and operatonal and commercial excellence resulted in the following fnancial performance from contnuing operatons (comparisons with 2021):</w:t>
      </w:r>
    </w:p>
    <w:p>
      <w:pPr>
        <w:spacing w:after="0" w:line="68" w:lineRule="exact"/>
        <w:rPr>
          <w:sz w:val="20"/>
          <w:szCs w:val="20"/>
          <w:color w:val="auto"/>
        </w:rPr>
      </w:pPr>
    </w:p>
    <w:p>
      <w:pPr>
        <w:ind w:left="800" w:hanging="397"/>
        <w:spacing w:after="0"/>
        <w:tabs>
          <w:tab w:leader="none" w:pos="80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Record consolidated total revenues of $6.16 billion compared with $5.41 billion, an increase of 13.8%</w:t>
      </w:r>
    </w:p>
    <w:p>
      <w:pPr>
        <w:spacing w:after="0" w:line="68" w:lineRule="exact"/>
        <w:rPr>
          <w:rFonts w:ascii="Times New Roman" w:cs="Times New Roman" w:eastAsia="Times New Roman" w:hAnsi="Times New Roman"/>
          <w:sz w:val="18"/>
          <w:szCs w:val="18"/>
          <w:color w:val="auto"/>
        </w:rPr>
      </w:pPr>
    </w:p>
    <w:p>
      <w:pPr>
        <w:ind w:left="800" w:hanging="397"/>
        <w:spacing w:after="0" w:line="235" w:lineRule="auto"/>
        <w:tabs>
          <w:tab w:leader="none" w:pos="80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Record consolidated gross proft of $1.42 billion compared with $1.35 billion, an increase of 5.6%; 2021 consolidated gross proft was burdened by $30.6 million of costs related to the impact of selling acquired inventory afer its markup to fair value as part of acquisiton accountng</w:t>
      </w:r>
    </w:p>
    <w:p>
      <w:pPr>
        <w:spacing w:after="0" w:line="64"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Consolidated selling, general and administratve (SG&amp;A) expenses representng 6.4% of total revenues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Net earnings from contnuing operatons atributable to Martn Marieta of $856.3 million compared with $702.0 million, an increase of 22.0%</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Record consolidated Adjusted EBITDA from contnuing operatons of $1.60 billion, an increase of 4.7%</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Operatng cash fow of $991.2 million, a decrease of 12.9%</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4EAD8A"/>
        </w:rPr>
        <w:t>Contnued Disciplined Executon Against Capital Allocaton Priorites:</w:t>
      </w:r>
    </w:p>
    <w:p>
      <w:pPr>
        <w:spacing w:after="0" w:line="69" w:lineRule="exact"/>
        <w:rPr>
          <w:sz w:val="20"/>
          <w:szCs w:val="20"/>
          <w:color w:val="auto"/>
        </w:rPr>
      </w:pPr>
    </w:p>
    <w:p>
      <w:pPr>
        <w:ind w:left="800" w:hanging="397"/>
        <w:spacing w:after="0" w:line="235" w:lineRule="auto"/>
        <w:tabs>
          <w:tab w:leader="none" w:pos="80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Optmized portolio with divesttures of the Company's Colorado and Central Texas ready mixed concrete businesses and certain West Coast cement and ready mixed concrete operatons</w:t>
      </w:r>
    </w:p>
    <w:p>
      <w:pPr>
        <w:spacing w:after="0" w:line="64"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Capital investments into operatons of $481.8 million</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Quarterly dividend increase of 8% in August 2022, resultng in total annual dividends paid of $159.1 million, or $2.54 per share</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Repurchase of 0.4 million shares of common stock at a total cost of $150.0 million</w:t>
      </w:r>
    </w:p>
    <w:p>
      <w:pPr>
        <w:spacing w:after="0" w:line="239"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786970"/>
        </w:rPr>
        <w:t>BUSINESS ENVIRONMENT</w:t>
      </w:r>
    </w:p>
    <w:p>
      <w:pPr>
        <w:spacing w:after="0" w:line="11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Building Materials Business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Building Materials business serves customers in the constructon marketplace. The business’ proftability is sensitve to natonal, regional and local economic conditons and cyclical swings in constructon spending, which are afected by fuctuatons in levels of public-sector infrastructure funding; interest rates; access to capital markets; and demographic, geographic, employment and populaton dynamics.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heavy-side constructon business, inclusive of much of the Company’s operatons, is conducted outdoors. Therefore, erratc weather paterns, precipitaton and other weather-related conditons, including fooding, hurricanes, cold temperatures, earthquakes, droughts and wildfres, can signifcantly afect producton schedules, shipments, costs, efciencies and proftability. Generally, the fnancial results for the frst and fourth quarters are most subject to the impacts of winter weather, while the second and third quarters can be subject to the impacts of heavy precipitaton. The impacts of erratc weather paterns are more fully discussed in the </w:t>
      </w:r>
      <w:r>
        <w:rPr>
          <w:rFonts w:ascii="Calibri" w:cs="Calibri" w:eastAsia="Calibri" w:hAnsi="Calibri"/>
          <w:sz w:val="18"/>
          <w:szCs w:val="18"/>
          <w:i w:val="1"/>
          <w:iCs w:val="1"/>
          <w:color w:val="auto"/>
        </w:rPr>
        <w:t>Building Materials Business’ Key Consideratons</w:t>
      </w:r>
      <w:r>
        <w:rPr>
          <w:rFonts w:ascii="Calibri" w:cs="Calibri" w:eastAsia="Calibri" w:hAnsi="Calibri"/>
          <w:sz w:val="18"/>
          <w:szCs w:val="18"/>
          <w:color w:val="auto"/>
        </w:rPr>
        <w:t xml:space="preserve"> secton.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93980</wp:posOffset>
            </wp:positionV>
            <wp:extent cx="325755" cy="1974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209"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Product Lines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Aggregates are an engineered, granular material consistng of crushed stone, sand and gravel, manufactured to specifc sizes, grades and chemistry for use primarily in constructon applicatons. The Company’s operatons consist mostly of open pit quarries; however, the Company is also the largest operator of underground aggregates mines in the United States, with 14 actve underground mines located in the East Group. The Company’s aggregates reserves average approximately 75 years at the 2022 annual producton level.</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Cement is the basic agent used to bind coarse aggregates, sand and water in the producton of ready mixed concrete. The Company has a strategic and leading cement positon in the state of Texas, with producton facilites in Midlothian, Texas, south of Dallas/Fort Worth, and Hunter, Texas, centrally located along I-35 between San Antonio and Austn. These two facilites produce Portland limestone and specialty cements, have a combined annual capacity of approximately 4.5 million tons and collectvely operated at approximately 77% utlizaton for clinker producton in 2022; clinker is the inital product of cement producton. The Midlothian plant has a permit that allows for annual capacity expansion of 0.8 million tons. The Company is currently undertaking a fnishing capacity expansion project at the Midlothian plant, which is expected to be completed in the middle of 2024 and will provide 0.5 million tons of incremental annual capacity. Further, the Company is nearing completon of convertng its plants to manufacture a less carbon-intensive Portland limestone cement, known as Type 1L, that has been approved by the Texas Department of Transportaton. In additon to the two producton facilites, the Company operates several cement distributon terminals.</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Calcium carbonate in the form of limestone is the principal raw material used in the producton of cement. The Company owns more than 600 million tons of limestone reserves adjacent to its cement producton plants in Texas. During 2021, the Company purchased two cement plants in Redding and Tehachapi, California, and related distributon facilites as part of the acquisiton of Lehigh Hanson, Inc.'s West Region business (Lehigh West Region). The Redding plant and related distributon terminals were sold on June 30, 2022. The Tehachapi plant and related distributon terminals were classifed as assets held for sale and discontnued operatons as of and for the years ended December 31, 2022 and 2021. In August 2022, the Company announced a defnitve agreement to sell the Tehachapi plant and related distributon terminals, subject to regulatory approval and customary closing conditons.</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Ready mixed concrete is measured in cubic yards and specifcally batched or produced for customers’ constructon projects and then typically transported by mixer trucks and poured at the project site. The coarse aggregates used for ready mixed concrete are a washed material with limited amounts of fnes (i.e., dirt and clay). The Company operates ready mixed concrete plants in Arizona, California and Texas. The California ready mixed concrete operatons were classifed as assets held for sale and discontnued operatons as of and for the years ended December 31, 2022 and 2021.</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Asphalt is most commonly used in surfacing roads and parking lots and consists of liquid asphalt, or bitumen, the binding medium, and aggregates. Similar to ready mixed concrete, each asphalt batch is produced to customer specifcatons. The Company’s asphalt operatons are located in Arizona, California, Colorado and Minnesota and paving services are ofered in California and Colorado. Market dynamics for these downstream product lines include a highly compettve environment and lower barriers to entry compared with the Company’s upstream product lines of aggregates and cement.</w:t>
      </w:r>
    </w:p>
    <w:p>
      <w:pPr>
        <w:spacing w:after="0" w:line="216"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End-Use Trends</w:t>
      </w:r>
    </w:p>
    <w:p>
      <w:pPr>
        <w:spacing w:after="0" w:line="72" w:lineRule="exact"/>
        <w:rPr>
          <w:sz w:val="20"/>
          <w:szCs w:val="20"/>
          <w:color w:val="auto"/>
        </w:rPr>
      </w:pPr>
    </w:p>
    <w:p>
      <w:pPr>
        <w:jc w:val="both"/>
        <w:ind w:left="900" w:hanging="271"/>
        <w:spacing w:after="0" w:line="235" w:lineRule="auto"/>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According to the latest available data published by the U.S. Geological Survey, for the nine months ended September 30, 2022, estmated constructon aggregates consumpton increased 3.0% compared with the nine months ended September 30, 2021, and for the eleven months ended November 30, 2022, cement consumpton increased 4.4% versus the comparable prior-year period.</w:t>
      </w:r>
    </w:p>
    <w:p>
      <w:pPr>
        <w:spacing w:after="0" w:line="70" w:lineRule="exact"/>
        <w:rPr>
          <w:rFonts w:ascii="Times New Roman" w:cs="Times New Roman" w:eastAsia="Times New Roman" w:hAnsi="Times New Roman"/>
          <w:sz w:val="18"/>
          <w:szCs w:val="18"/>
          <w:color w:val="auto"/>
        </w:rPr>
      </w:pPr>
    </w:p>
    <w:p>
      <w:pPr>
        <w:ind w:left="900" w:hanging="271"/>
        <w:spacing w:after="0" w:line="235" w:lineRule="auto"/>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Natonal not seasonally adjusted constructon spending statstcs for the twelve months ended December 31, 2022 versus the twelve months ended December 31, 2021, according to U.S. Census Bureau, reveal:</w:t>
      </w:r>
    </w:p>
    <w:p>
      <w:pPr>
        <w:spacing w:after="0" w:line="64" w:lineRule="exact"/>
        <w:rPr>
          <w:rFonts w:ascii="Times New Roman" w:cs="Times New Roman" w:eastAsia="Times New Roman" w:hAnsi="Times New Roman"/>
          <w:sz w:val="18"/>
          <w:szCs w:val="18"/>
          <w:color w:val="auto"/>
        </w:rPr>
      </w:pPr>
    </w:p>
    <w:p>
      <w:pPr>
        <w:ind w:left="1400" w:hanging="206"/>
        <w:spacing w:after="0"/>
        <w:tabs>
          <w:tab w:leader="none" w:pos="1400" w:val="left"/>
        </w:tabs>
        <w:numPr>
          <w:ilvl w:val="1"/>
          <w:numId w:val="17"/>
        </w:numPr>
        <w:rPr>
          <w:rFonts w:ascii="Arial" w:cs="Arial" w:eastAsia="Arial" w:hAnsi="Arial"/>
          <w:sz w:val="18"/>
          <w:szCs w:val="18"/>
          <w:color w:val="auto"/>
        </w:rPr>
      </w:pPr>
      <w:r>
        <w:rPr>
          <w:rFonts w:ascii="Calibri" w:cs="Calibri" w:eastAsia="Calibri" w:hAnsi="Calibri"/>
          <w:sz w:val="18"/>
          <w:szCs w:val="18"/>
          <w:i w:val="1"/>
          <w:iCs w:val="1"/>
          <w:color w:val="auto"/>
        </w:rPr>
        <w:t>Total value of constructon put in place increased 10%</w:t>
      </w:r>
    </w:p>
    <w:p>
      <w:pPr>
        <w:spacing w:after="0" w:line="63" w:lineRule="exact"/>
        <w:rPr>
          <w:rFonts w:ascii="Arial" w:cs="Arial" w:eastAsia="Arial" w:hAnsi="Arial"/>
          <w:sz w:val="18"/>
          <w:szCs w:val="18"/>
          <w:color w:val="auto"/>
        </w:rPr>
      </w:pPr>
    </w:p>
    <w:p>
      <w:pPr>
        <w:ind w:left="1400" w:hanging="206"/>
        <w:spacing w:after="0"/>
        <w:tabs>
          <w:tab w:leader="none" w:pos="1400" w:val="left"/>
        </w:tabs>
        <w:numPr>
          <w:ilvl w:val="1"/>
          <w:numId w:val="17"/>
        </w:numPr>
        <w:rPr>
          <w:rFonts w:ascii="Arial" w:cs="Arial" w:eastAsia="Arial" w:hAnsi="Arial"/>
          <w:sz w:val="18"/>
          <w:szCs w:val="18"/>
          <w:color w:val="auto"/>
        </w:rPr>
      </w:pPr>
      <w:r>
        <w:rPr>
          <w:rFonts w:ascii="Calibri" w:cs="Calibri" w:eastAsia="Calibri" w:hAnsi="Calibri"/>
          <w:sz w:val="18"/>
          <w:szCs w:val="18"/>
          <w:i w:val="1"/>
          <w:iCs w:val="1"/>
          <w:color w:val="auto"/>
        </w:rPr>
        <w:t>Public constructon spending increased 5%</w:t>
      </w:r>
    </w:p>
    <w:p>
      <w:pPr>
        <w:spacing w:after="0" w:line="63" w:lineRule="exact"/>
        <w:rPr>
          <w:rFonts w:ascii="Arial" w:cs="Arial" w:eastAsia="Arial" w:hAnsi="Arial"/>
          <w:sz w:val="18"/>
          <w:szCs w:val="18"/>
          <w:color w:val="auto"/>
        </w:rPr>
      </w:pPr>
    </w:p>
    <w:p>
      <w:pPr>
        <w:ind w:left="1400" w:hanging="206"/>
        <w:spacing w:after="0"/>
        <w:tabs>
          <w:tab w:leader="none" w:pos="1400" w:val="left"/>
        </w:tabs>
        <w:numPr>
          <w:ilvl w:val="1"/>
          <w:numId w:val="17"/>
        </w:numPr>
        <w:rPr>
          <w:rFonts w:ascii="Arial" w:cs="Arial" w:eastAsia="Arial" w:hAnsi="Arial"/>
          <w:sz w:val="18"/>
          <w:szCs w:val="18"/>
          <w:color w:val="auto"/>
        </w:rPr>
      </w:pPr>
      <w:r>
        <w:rPr>
          <w:rFonts w:ascii="Calibri" w:cs="Calibri" w:eastAsia="Calibri" w:hAnsi="Calibri"/>
          <w:sz w:val="18"/>
          <w:szCs w:val="18"/>
          <w:i w:val="1"/>
          <w:iCs w:val="1"/>
          <w:color w:val="auto"/>
        </w:rPr>
        <w:t>Private nonresidental constructon market spending increased 9%</w:t>
      </w:r>
    </w:p>
    <w:p>
      <w:pPr>
        <w:spacing w:after="0" w:line="63" w:lineRule="exact"/>
        <w:rPr>
          <w:rFonts w:ascii="Arial" w:cs="Arial" w:eastAsia="Arial" w:hAnsi="Arial"/>
          <w:sz w:val="18"/>
          <w:szCs w:val="18"/>
          <w:color w:val="auto"/>
        </w:rPr>
      </w:pPr>
    </w:p>
    <w:p>
      <w:pPr>
        <w:ind w:left="1400" w:hanging="206"/>
        <w:spacing w:after="0"/>
        <w:tabs>
          <w:tab w:leader="none" w:pos="1400" w:val="left"/>
        </w:tabs>
        <w:numPr>
          <w:ilvl w:val="1"/>
          <w:numId w:val="17"/>
        </w:numPr>
        <w:rPr>
          <w:rFonts w:ascii="Arial" w:cs="Arial" w:eastAsia="Arial" w:hAnsi="Arial"/>
          <w:sz w:val="18"/>
          <w:szCs w:val="18"/>
          <w:color w:val="auto"/>
        </w:rPr>
      </w:pPr>
      <w:r>
        <w:rPr>
          <w:rFonts w:ascii="Calibri" w:cs="Calibri" w:eastAsia="Calibri" w:hAnsi="Calibri"/>
          <w:sz w:val="18"/>
          <w:szCs w:val="18"/>
          <w:i w:val="1"/>
          <w:iCs w:val="1"/>
          <w:color w:val="auto"/>
        </w:rPr>
        <w:t>Private residental constructon market spending increased 13%</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principal end-use markets of the Building Materials business are public infrastructure (i.e., highways; streets; roads; bridges; and schools); nonresidental constructon (i.e., manufacturing and distributon facilites; industrial complexes; ofce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92710</wp:posOffset>
            </wp:positionV>
            <wp:extent cx="325755" cy="1968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ind w:left="370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7 – Management’s Discussion and Analysis of Financial Conditon and Results of Operatons</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buildings; large retailers and wholesalers; healthcare; hospitality; and energy-related actvity); and residental constructon (i.e., subdivision development; and single- and mult-family housing). Aggregates are also used in agricultural, utlity and environmental applicatons and as railroad ballast, collectvely comprising the ChemRock/Rail market.</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Public infrastructure projects can require several years to complete, while residental and nonresidental constructon projects are usually completed within one year. Generally, customer purchase orders do not contain frm quantty commitments, regardless of end-use market. Therefore, management does not utlize a Company backlog in managing its business.</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4EAD8A"/>
        </w:rPr>
        <w:t>Infrastructure</w:t>
      </w:r>
    </w:p>
    <w:p>
      <w:pPr>
        <w:spacing w:after="0" w:line="5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public infrastructure market accounted for 35% of the Company’s aggregates shipments in 2022, a 5% volume increase from 2021 as a result of solid demand spurred by acceleratng federal and state level investment. The Company’s shipments to this end-use market remain below the most recent fve-year average of 36% and ten-year average of 39%.</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Public constructon projects, once awarded, are typically seen through to completon. Thus, delays from weather or other factors can serve to extend the duraton of the constructon cycle. While constructon spending in the public and private market sectors is afected by economic cycles, public infrastructure spending has been comparatvely more stable due to the predictability of funding from federal, state and local governments. The Infrastructure Investments and Jobs Act (IIJ Act) was signed into law on November 15, 2021 and contains a fve-year surface transportaton reauthorizaton plus $110 billion in new funding for roads, bridges and other hard infrastructure projects.</w:t>
      </w:r>
    </w:p>
    <w:p>
      <w:pPr>
        <w:spacing w:after="0" w:line="112"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auto"/>
        </w:rPr>
        <w:t>State and local initatves that support infrastructure funding, including gas tax increases and other ballot initatves, are increasing in size and number as these governments recognize the need for their expanded role in public infrastructure funding. In November 2022, 411 state and local ballot initatves, or 87% of all infrastructure funding measures up for vote, were approved. These approved infrastructure initatves are estmated to generate nearly $23 billion in one-tme and recurring revenues, with initatves in Texas, the Company’s largest revenue-generatng state, accountng for over $15 billion of this total.</w:t>
      </w:r>
    </w:p>
    <w:p>
      <w:pPr>
        <w:spacing w:after="0" w:line="2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4EAD8A"/>
        </w:rPr>
        <w:t>Nonresidental</w:t>
      </w:r>
    </w:p>
    <w:p>
      <w:pPr>
        <w:spacing w:after="0" w:line="109"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The nonresidental constructon market accounted for 36% of the Company’s aggregates shipments in 2022, a 3% volume increase over 2021, refectng several large warehouse projects. Large industrial projects of scale led by energy, onshore manufacturing and data centers contnue to lead the segment, accountng for the majority of total nonresidental shipments. Over the medium term, the Company expects enhanced federal investment from the Infaton Reducton Act and Creatng Helpful Incentves to Produce Semiconductors Act will further support and accelerate post-pandemic secular growth trends, including restructured manufacturing and energy supply chains, electric vehicle transiton and contnued adopton of digital and cloud-based technologies, resultng in robust demand within the heavy nonresidental sector. The Dodge Momentum Index, a twelve-month leading indicator of constructon spending for nonresidental building compiled by Dodge Constructon Network, was 222.2 in December 2022, where the year 2000 serves as an index basis of 100. This represented an increase of 40% from December 2021, further suggestng positve momentum in the nonresidental constructon sector at the onset of 2023.</w:t>
      </w:r>
    </w:p>
    <w:p>
      <w:pPr>
        <w:spacing w:after="0" w:line="20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4EAD8A"/>
        </w:rPr>
        <w:t>Residental</w:t>
      </w:r>
    </w:p>
    <w:p>
      <w:pPr>
        <w:spacing w:after="0" w:line="5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residental constructon market accounted for 24% of the Company’s aggregates shipments in 2022 and was fat compared with strong 2021 actvity. This end use typically moves in direct correlaton with economic cycles. The Company’s exposure to residental constructon is split between aggregates used in the constructon of subdivisions (including streets, sidewalks, utlites and storm and sewage drainage), single-family homes and mult-family units. Constructon of both subdivisions and single-family homes is nearly three tmes more aggregates intensive than constructon of mult-family units. Therefore, the level of new subdivision starts, as well as new single-family housing permits, is a strong leading indicator of residental volumes. For the year ended December 31, 2022, not seasonally adjusted natonal housing starts decreased 3% to 1.55 million units compared with 2021 and not seasonally adjusted natonal housing permits decreased 5% versus 2021. Despite overall underbuilt conditons, several of the Company's markets experienced a slowdown in single-family demand due to afordability concerns, increased interest rates and logistcal challenges.</w:t>
      </w:r>
    </w:p>
    <w:p>
      <w:pPr>
        <w:spacing w:after="0" w:line="21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4EAD8A"/>
        </w:rPr>
        <w:t>ChemRock/Rail</w:t>
      </w:r>
    </w:p>
    <w:p>
      <w:pPr>
        <w:spacing w:after="0" w:line="5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remaining 5% of the Company’s 2022 aggregates shipments was to the ChemRock/Rail market, which includes ballast and agricultural limestone. Ballast is an aggregates product used to stabilize railroad track beds. Agricultural lime, a high-calcium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92710</wp:posOffset>
            </wp:positionV>
            <wp:extent cx="325755" cy="1968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carbonate material, is used as a supplement in animal feed, a soil acidity neutralizer and agricultural growth enhancer. Additonally, ChemRock/Rail includes rip rap, which is used as a stabilizing material to control erosion caused by water runof at embankments, ocean beaches, inlets, rivers and streams, and high-calcium limestone, which is used as fller in glass, plastc, paint, rubber, adhesives, grease and paper. Chemical-grade, high-calcium limestone is used as a desulfurizaton material in utlity plants.</w:t>
      </w:r>
    </w:p>
    <w:p>
      <w:pPr>
        <w:spacing w:after="0" w:line="216"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Pricing Trends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Materials pricing for constructon projects is generally based on terms commitng to the availability of specifed products of a stated quantty at an agreed-upon price during a defnitve period. Since infrastructure projects span multple years, announced price changes can have a lag tme before taking efect while the Company sells products under existng price agreements. Pricing escalators included in mult-year infrastructure contracts serve to somewhat mitgate this efect. However, during periods of sharp or rapid increases in producton costs, mult-year infrastructure contract pricing may provide only nominal pricing growth. Additonally, the Company may implement multple price increases throughout the year, on a market-by-market basis, where appropriate, as was done in 2022. Pricing is determined locally and is afected by supply and demand characteristcs of the local market. For further informaton on pricing, see the discussion in the </w:t>
      </w:r>
      <w:r>
        <w:rPr>
          <w:rFonts w:ascii="Calibri" w:cs="Calibri" w:eastAsia="Calibri" w:hAnsi="Calibri"/>
          <w:sz w:val="18"/>
          <w:szCs w:val="18"/>
          <w:i w:val="1"/>
          <w:iCs w:val="1"/>
          <w:color w:val="auto"/>
        </w:rPr>
        <w:t>Financial Overview</w:t>
      </w:r>
      <w:r>
        <w:rPr>
          <w:rFonts w:ascii="Calibri" w:cs="Calibri" w:eastAsia="Calibri" w:hAnsi="Calibri"/>
          <w:sz w:val="18"/>
          <w:szCs w:val="18"/>
          <w:color w:val="auto"/>
        </w:rPr>
        <w:t xml:space="preserve"> secton.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86360</wp:posOffset>
            </wp:positionV>
            <wp:extent cx="3789045" cy="25285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3789045" cy="2528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Cost Structure</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Costs of revenues for the Building Materials business are components of costs incurred at the quarries, mines, cement plants, ready mixed concrete plants, asphalt plants, paving operatons and distributon yards and facilites. Cost of revenues also includes the cost of resale materials, freight expenses to transport materials from a producing quarry or cement plant to a distributon yard or facility and producton overhead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229870</wp:posOffset>
            </wp:positionV>
            <wp:extent cx="325755" cy="1968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365"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ind w:left="370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7 – Management’s Discussion and Analysis of Financial Conditon and Results of Operatons</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Generally, the signifcant components of costs of revenues for the aggregates product line are (1) labor and related benefts; (2) internal freight; (3) depreciaton, depleton and amortzaton; (4) repairs and maintenance; (5) energy; (6) supplies; and (7) contract services. In 2022, these categories represented 82% of the aggregates product line's total costs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84455</wp:posOffset>
            </wp:positionV>
            <wp:extent cx="3086100" cy="27774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3086100"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Variable costs are expenses that fuctuate with the level of producton volume, while fxed costs are expenses that do not vary based on producton or sales volume. Producton is the key driver in determining the levels of variable costs, as it afects the number of hourly employees and related labor hours. Further, components of energy, supplies and repairs and maintenance costs also increase in connecton with higher producton volumes. Accordingly, the Company’s operatng leverage can be substantal.</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Generally, when the Company invests capital in facilites and equipment, increased capacity and productvity reduce labor and repair costs, and can ofset increased fxed depreciaton costs. However, the increased productvity and related efciencies may not be fully realized in a lower-demand environment, resultng in under-absorpton of fxed costs.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Wage and beneft infaton and other increases in labor costs may be somewhat mitgated by enhanced productvity in an expanding economy. Further, workforce reductons resultng from process automaton and mobile feet right-sizing, primarily in the aggregates operatons, have mitgated rising labor costs. During economic downturns, the Company reviews its operatons and, where practcal, temporarily idles certain sites. The Company is able to serve these markets with other open facilites that are in close proximity. In certain markets, management can create producton “super crews” that work on a rotatng basis at various locatons. For example, within a market, a crew may work three days per week at one quarry and the other two workdays at another quarry. This has allowed the Company to responsibly manage headcount in periods of lower demand.</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Cement producton is a capital-intensive operaton with high fxed costs to run plants that operate contnuously with the excepton of maintenance shutdowns. Kiln and fnishing mill maintenance typically requires a plant to be shut down for a period of tme as repairs are made. In 2022 and 2021, the cement operatons incurred outage costs of $33.3 million and $23.6 million, respectvely. The increase in outage costs in 2022 compared with 2021 is primarily atributable to the tming of planned and unplanned kiln outages. The Company adjusts producton levels in antcipaton of planned maintenance shutdowns.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producton of ready mixed concrete and asphalt requires the use of cement and liquid asphalt raw materials, respectvely. Therefore, fuctuatons in availability and prices for these raw materials directly afect the Company’s operatng results.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Typically, diesel fuel represents the single-largest component of energy costs for the Building Materials business. The average cost per gallon was $4.01 and $2.36 in 2022 and 2021, respectvely. Changes in energy costs also afect the prices that the Company pays for related supplies, including explosives, conveyor beltng and tres. Further, the Company’s contracts of afreightment for shipping products on its rail and waterborne distributon network typically include provisions for escalatons or reductons in the amounts paid by the Company if the price of fuel moves outside a stated 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93345</wp:posOffset>
            </wp:positionV>
            <wp:extent cx="325755" cy="1968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ind w:left="370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7 – Management’s Discussion and Analysis of Financial Conditon and Results of Operatons</w:t>
      </w:r>
    </w:p>
    <w:p>
      <w:pPr>
        <w:spacing w:after="0" w:line="22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Building Materials Business’ Key Consideratons</w:t>
      </w:r>
    </w:p>
    <w:p>
      <w:pPr>
        <w:spacing w:after="0" w:line="219"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Growth markets with limited supply of indigenous stone must be served via a long-haul distributon network</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U.S. Department of the Interior identfed possible sources of indigenous rock and documented its limited supply in certain areas of the United States, including the coastal areas from Virginia to Texas. Further, certain interior United States markets may experience limited availability of locally sourced aggregates resultng from increasingly restrictve zoning, permitng and/or environmental laws and regulatons. The Company’s long-haul distributon network is used to supplement, or in many cases, wholly supply, the local crushed stone needs of these areas.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long-haul distributon network can also diversify market risk for locatons that engage in long-haul transportaton of aggregates products. This is partcularly true where a producing quarry serves a local market and transports products via rail, water and/or truck to be sold in other markets. The risk of a downturn in one market may be somewhat mitgated by other markets served by the locaton.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Product shipments are moved by rail, water and truck through the Company’s long-haul distributon network. The Company’s rail network primarily serves its Texas, Florida, Colorado and Gulf Coast markets, while the Company’s Bahamas and Nova Scota locatons transport materials via oceangoing ships. The Company’s strategic focus includes expanding inland and ofshore capacity and acquiring distributon yards and port locatons to ofoad transported material. At December 31, 2022, the distributon network available to the Company consisted of 78 aggregates yards and 11 cement terminals, of which six cement terminals were classifed as discontnued operatons.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increased rail shipments have made it more reliant on railroad operatons, including track congeston, crew and locomotve availability, the efects of adverse weather conditons and the ability to negotate favorable railroad shipping contracts. Further, changes in the operatng strategy of rail transportaton providers can create operatonal inefciencies and increased costs from the Company’s rail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50165</wp:posOffset>
            </wp:positionV>
            <wp:extent cx="3943350" cy="2708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394335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porton of railcars and all ships of the Company’s long-haul distributon network are under short- and long-term leases, some with purchase optons, and contracts of afreightment. The limited availability of water and rail transportaton providers, coupled with limited distributon sites, can adversely afect lease rates for such services and ultmately the freight rates.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has long-term agreements providing dedicated shipping capacity from its Bahamas and Nova Scota operatons to its coastal ports. These contracts of afreightment are take-or-pay contracts with minimum and maximum shipping requirements. The minimum requirements were met in 2022. The Company’s waterborne contracts of afreightment have varying expiraton dates ranging from 2023 to 2027 and generally contain renewal optons. However, there can be no assurance that such contracts can be renewed upon expiraton or that terms will contnue without signifcant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93345</wp:posOffset>
            </wp:positionV>
            <wp:extent cx="325755" cy="1968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multple transportaton modes that have been developed with various rail carriers and deep-water ships provide the Company with the fexibility to efectvely serve customers primarily in the Southwest and Southeast coastal markets.</w:t>
      </w:r>
    </w:p>
    <w:p>
      <w:pPr>
        <w:spacing w:after="0" w:line="225"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b w:val="1"/>
          <w:bCs w:val="1"/>
          <w:i w:val="1"/>
          <w:iCs w:val="1"/>
          <w:color w:val="965F6E"/>
        </w:rPr>
        <w:t>Public infrastructure, historically, the Company’s largest end-use market, is funded through a combinaton of federal, state and local sources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Transportaton investments generally boost the natonal economy by enhancing mobility and access and creatng jobs, which are priorites of many of the government’s economic plans. Public-sector constructon related to transportaton infrastructure is funded through a combinaton of federal, state and local sources. The federal highway bill, currently the IIJ Act, provides annual funding for public-sector highway constructon projects and includes spending authorizatons, which represent the maximum fnancial obligaton that will result from the immediate or future outlays of federal funds for highway and transit programs. The federal government’s surface transportaton programs are funded mostly through the receipts of highway user taxes placed in the Highway Trust Fund, which is divided into the Highway Account and the Mass Transit Account. Revenues credited to the Highway Trust Fund are primarily derived from a federal gas tax, a federal tax on certain other motor fuels and interest on the accounts’ accumulated balances. Of the currently imposed federal gas tax of $0.184 per gallon, which has been statc since 1993, $0.15 is allocated to the Highway Account of the Highway Trust Fund.</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Since most states are required to balance their budgets, reductons in revenues generally require a reducton in states’ expenditures. However, the impact of state revenue reductons on highway investment will vary depending on whether the monies come from dedicated revenue sources, such as highway user fees, or whether portons are paid for with general funds.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to federal appropriatons, each state typically funds its infrastructure investment from specifcally allocated amounts collected from various user fees, typically gasoline taxes and vehicle fees. Over the past several years, states have assumed a signifcantly larger role in funding infrastructure investment, including initatng special-purpose taxes and raising gas taxes. Management believes that fnancing at the state and local levels, such as bond issuances, toll roads, vehicle miles traveled fees and tax initatves, will contnue to grow and have a fundamental role in advancing infrastructure projects. State infrastructure investment generally leads to increased growth opportunites for the Company. The level of state public-works spending is varied across the naton and dependent upon individual state economies, and the degree to which the Company could be afected by a reducton or slowdown in infrastructure spending varies by state. The state economies of the Building Materials business’ ten largest revenue-generatng states may disproportonately afect the Company’s fnancial performance.</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Governmental appropriatons and expenditures are typically less interest rate-sensitve than private-sector spending. Obligatons of federal funds are a leading indicator of highway constructon actvity in the United States. Before a state or local department of transportaton can solicit bids on an eligible constructon project, it enters into an agreement with the Federal Highway Administraton to obligate the federal government to pay its porton of the project cost. Federal obligatons are subject to annual funding appropriatons by Congress.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need for surface transportaton improvements contnues to signifcantly outpace the amount of available funding. A large number of roads, highways and bridges built following the establishment of the Interstate Highway System in 1956 now require major repair or reconstructon. According to the latest informaton available from The Road Informaton Program (TRIP), a natonal transportaton research group, vehicle travel on the naton's roads increased 26% from 2000 to 2019, while new lane road mileage increased only 9% over the same period. TRIP also reports that 40% of the naton’s major roads are in poor or mediocre conditon, while 7% of the naton’s bridges are in poor/structurally defcient conditon. Additonally, there is an estmated backlog of $123 billion of improvements to the naton’s highway system that requires an increase in annual investment of $23 billion to $57 billion for the next 20 years to address these improvements and meet mobility and modernizaton needs. Management believes infrastructure actvity for 2023 and beyond should beneft from the IIJ Act and additonal state and local infrastructure initatves.</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to highways and bridges, transportaton infrastructure includes aviaton, mass transit, and ports and waterways. Railroad constructon contnues to beneft from economic growth, which ultmately generates a need for additonal maintenance and improvements.</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Erratc weather can signifcantly impact operatons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Producton and shipment levels for the Building Materials business correlate with general constructon actvity, most of which occurs outdoors and, as a result, is afected by erratc weather, seasonal changes and other climate-related conditons. Typically, due to a general slowdown in constructon actvity during winter months, the frst and fourth quarters experience lower producton and shipment actvity. As such, temperatures in the months of March and November can meaningfully afect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93345</wp:posOffset>
            </wp:positionV>
            <wp:extent cx="325755" cy="1968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frst- and fourth-quarter results, respectvely, where warm and/or moderate temperatures in March and November allow the constructon season to start earlier and end later, respectvely.</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Excessive rainfall jeopardizes producton efciencies, shipments and proftability in all markets served by the Company. In partcular, the Company’s operatons in the southeastern and Gulf Coast regions of the United States and The Bahamas are at risk for hurricane actvity from June 1 through November 1, but most notably in August, September and October. The Company’s California operatons are at risk for wildfre actvity and water use restrictons in severe drought conditons. Increased intensity and frequency of extreme weather events have been linked to climate change, and further global warming may increase the risk of adverse weather conditons.</w:t>
      </w:r>
    </w:p>
    <w:p>
      <w:pPr>
        <w:spacing w:after="0" w:line="217"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Capital investment decisions driven by capital intensity of the Building Materials business and focus on land</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organic capital program is designed to leverage constructon market growth through investment in both permanent and portable facilites at the Company’s operatons. Over an economic cycle, the Company typically invests organic capital at an annual level that approximates depreciaton expense. At mid-cycle and through cyclical peaks, organic capital investment typically exceeds depreciaton expense, as the Company supports current capacity needs and future growth. Conversely, at a cyclical trough, the Company may reduce levels of capital investment. Regardless of cycle, the Company sets a priority of investng capital to ensure safe, environmentally-sound and efcient operatons, as well as to provide the highest quality of customer service and establish a foundaton for future growth.</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is diligent in its focus on land opportunites, including potental new sites (greensites) and existng site expansion. Land purchases are usually opportunistc and can include contguous property around existng quarry locatons. Such property can serve as bufer property or additonal mineral reserves, assuming regulatory hurdles can be cleared and the underlying geology supports economical aggregates mining. In either instance, the acquisiton of additonal property around an existng quarry typically allows the expansion of the quarry footprint and an extension of quarry life.</w:t>
      </w:r>
    </w:p>
    <w:p>
      <w:pPr>
        <w:spacing w:after="0" w:line="21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Magnesia Specialtes Business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Magnesia Specialtes business manufactures magnesia-based chemicals products for industrial, agricultural and environmental applicatons at its Manistee, Michigan facility. The Magnesia Specialtes business produces and sells dolomitc lime from its Woodville, Ohio facility. Of 2022 total Magnesia Specialtes revenues, 72% was atributable to chemicals products, 27% was atributable to lime and 1% was atributable to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84455</wp:posOffset>
            </wp:positionV>
            <wp:extent cx="3000375" cy="21945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3000375"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2022, 74% of lime shipments was sold to third-party customers, while the remaining 26% was used internally as a raw material for the manufacturing of chemicals products. Dolomitc lime products sold to external customers are primarily used by the domestc steel industry and, overall, 31% of Magnesia Specialtes’ 2022 total revenues was related to products used in the steel industry. Accordingly, a porton of the segment’s revenues and profts is afected by producton and inventory trends within the steel industry, which are guided by the rate of consumer consumpton, the fow of ofshore imports and other economic factors. Domestc steel producton averaged 81% of capacity in 2021, but declined in 2022, averaging 75%.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93980</wp:posOffset>
            </wp:positionV>
            <wp:extent cx="325755" cy="1968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dolomitc lime business runs most proftably at 70% or greater steel capacity utlizaton. The chemical products business focuses on higher-margin specialty chemicals that can be produced at volumes that support efcient operatons.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Total revenues of the Magnesia Specialtes business were predominantly derived from domestc customers in 2022. Financial results can be afected by foreign currency exchange rates, increasing transportaton costs or weak economic conditons in foreign markets. To mitgate the short-term efect of currency exchange rates, foreign transactons are denominated in United States dollars.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signifcant porton of the Magnesia Specialtes business’ costs is of a fxed or semi-fxed nature. The producton process requires the use of natural gas, coal and petroleum coke; therefore, fuctuatons in their pricing directly afect operatng results. To help mitgate this risk, the Company has fxed-price agreements for approximately 39% of its 2023 energy needs for coal and natural gas. For 2022, the segment’s average cost per MMBtu (1,000,000 Britsh thermal units) of natural gas increased 47% versus 2021. Given high fxed costs, low capacity utlizaton can negatvely afect the segment’s results of operatons. Management expects future organic proftability growth to result from increased pricing, ratonalizaton of the current product portolio and/or further cost reductons.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86360</wp:posOffset>
            </wp:positionV>
            <wp:extent cx="3042920" cy="27260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3042920"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Magnesia Specialtes business is highly dependent on rail transportaton, partcularly for movement of dolomitc lime from Woodville to Manistee and direct customer shipments of dolomitc lime and magnesia chemicals products from both Woodville and Manistee. The segment can be afected by the risks mentoned in the long-haul distributon discussion in the </w:t>
      </w:r>
      <w:r>
        <w:rPr>
          <w:rFonts w:ascii="Calibri" w:cs="Calibri" w:eastAsia="Calibri" w:hAnsi="Calibri"/>
          <w:sz w:val="18"/>
          <w:szCs w:val="18"/>
          <w:i w:val="1"/>
          <w:iCs w:val="1"/>
          <w:color w:val="auto"/>
        </w:rPr>
        <w:t>Building Materials Business’ Key Consideratons</w:t>
      </w:r>
      <w:r>
        <w:rPr>
          <w:rFonts w:ascii="Calibri" w:cs="Calibri" w:eastAsia="Calibri" w:hAnsi="Calibri"/>
          <w:sz w:val="18"/>
          <w:szCs w:val="18"/>
          <w:color w:val="auto"/>
        </w:rPr>
        <w:t xml:space="preserve"> secton.</w:t>
      </w:r>
    </w:p>
    <w:p>
      <w:pPr>
        <w:spacing w:after="0" w:line="21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Environmental Regulaton and Litgaton</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expansion and growth of the aggregates industry is subject to increasing challenges from environmental and politcal advocates aiming to control the pace and directon of future development. Certain environmental groups have published lists of targeted municipal areas, including areas within the Company’s marketplace, for environmental and suburban growth control. The efect of these initatves on the Company’s growth is typically localized. Further challenges are expected as the momentum of these initatves ebb and fow across the United States. Rail and other transportaton alternatves are being heralded by these special-interest groups as solutons to mitgate road trafc congeston and overcrowding.</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operatons are subject to and afected by federal, state and local laws, rules and regulatons relatng to the environment, health and safety and other regulatory maters. Certain of the Company’s operatons may occasionally use substances classifed as toxic or hazardous. The Company regularly monitors and reviews its operatons, procedures and policies for compliance with these laws and regulatons. Despite these compliance eforts, risk of environmental liability is inherent in the operaton of the Company’s businesses, as it is with other companies engaged in similar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93345</wp:posOffset>
            </wp:positionV>
            <wp:extent cx="325755" cy="1968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ind w:left="370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7 – Management’s Discussion and Analysis of Financial Conditon and Results of Operatons</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Environmental operatng permits are, or may be, required for certain of the Company’s operatons; such permits are subject to modifcaton, renewal and revocaton. New permits are generally required for opening new sites or for expansion at existng operatons and can take several years to obtain. Moreover, land use, rezoning and special or conditonal use permits are increasingly difcult to obtain. Once a permit is issued, the locaton is required to generally operate in accordance with the approved site plan.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Clean Air Act, originally passed in 1963 and periodically updated by amendments, is the United States’ natonal air polluton control program that granted the Environmental Protecton Agency (EPA) authority to set limits on the level of various air pollutants. To be in compliance with Natonal Ambient Air Quality Standards, a defned geographic area must be below established limits for six pollutants. Environmental groups have been successful in lawsuits against the federal and certain state departments of transportaton, delaying highway constructon in municipal areas not in compliance with the Clean Air Act. The EPA designates geographic areas as nonatainment areas when the level of air pollutants exceeds the natonal standard. Nonatainment areas receive deadlines to reduce air pollutants by insttutng various control strategies or otherwise face fnes or control by the EPA. Included as nonatainment areas are several major metropolitan areas in the Company’s markets, such as Houston/Brazoria/Galveston, Texas; Dallas/Fort Worth, Texas; Bexar County in San Antonio/New Braunfels, Texas; Denver, Colorado; Boulder, Colorado; Fort Collins/Greeley/Loveland, Colorado; Atlanta, Georgia; Baltmore, Maryland; Los Angeles-San Bernardino Countes, California; Los Angeles – South Coast Basin, California; Phoenix/Mesa, Arizona; San Diego County, California; San Francisco Bay Area, California; San Joaquin Valley, California; and Sacramento County, California. Federal transportaton funding has been directly ted to compliance with the Clean Air Act.</w:t>
      </w:r>
    </w:p>
    <w:p>
      <w:pPr>
        <w:spacing w:after="0" w:line="1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Large emiters (facilites that emit 25,000 metric tons or more per year) of greenhouse gases (GHG) must report GHG generaton to comply with the EPA’s Mandatory Greenhouse Gases Reportng Rule (GHG Rule). The Company fles annual reports in accordance with the GHG Rule relatng to operatons at its three cement plants in Texas and California, as well as its Magnesia Specialtes facilites in Woodville, Ohio, and Manistee, Michigan, each of which emit certain GHG, including carbon dioxide, methane and nitrous oxide. If Congress passes additonal legislaton limitng GHG emissions, these operatons will likely be subject to such legislaton. The Company believes that any increased operatng costs or taxes related to GHG emission limitatons at its cement or Woodville operatons would be passed on to its customers. The Manistee facility may have to absorb extra costs due to the regulaton of GHG emissions in order to maintain compettve pricing in its markets. The Company cannot reasonably predict how much those increased costs may be.</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is engaged in certain legal and administratve proceedings incidental to its normal business actvites. In the opinion of management, based upon currently available facts, the likelihood is remote that the ultmate outcome of any litgaton or other proceedings, including those pertaining to environmental maters, relatng to the Company and its subsidiaries, will have a material adverse efect on the overall results of the Company’s operatons, cash fows or fnancial positon.</w:t>
      </w:r>
    </w:p>
    <w:p>
      <w:pPr>
        <w:spacing w:after="0" w:line="215"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786970"/>
        </w:rPr>
        <w:t>FINANCIAL OVERVIEW</w:t>
      </w:r>
    </w:p>
    <w:p>
      <w:pPr>
        <w:spacing w:after="0" w:line="64" w:lineRule="exact"/>
        <w:rPr>
          <w:sz w:val="20"/>
          <w:szCs w:val="20"/>
          <w:color w:val="auto"/>
        </w:rPr>
      </w:pPr>
    </w:p>
    <w:p>
      <w:pPr>
        <w:spacing w:after="0"/>
        <w:rPr>
          <w:sz w:val="20"/>
          <w:szCs w:val="20"/>
          <w:color w:val="auto"/>
        </w:rPr>
      </w:pPr>
      <w:r>
        <w:rPr>
          <w:rFonts w:ascii="Calibri" w:cs="Calibri" w:eastAsia="Calibri" w:hAnsi="Calibri"/>
          <w:sz w:val="17"/>
          <w:szCs w:val="17"/>
          <w:color w:val="auto"/>
        </w:rPr>
        <w:t>In 2022, the Company achieved its eleventh consecutve year of growth for consolidated products and services revenues, gross proft and Adjusted EBITDA.</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This secton presents metrics for contnuing operatons.</w:t>
      </w:r>
    </w:p>
    <w:p>
      <w:pPr>
        <w:spacing w:after="0" w:line="21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Results of Operatons</w:t>
      </w:r>
    </w:p>
    <w:p>
      <w:pPr>
        <w:spacing w:after="0" w:line="59"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 xml:space="preserve">The discussion and analysis that follow refect management’s assessment of the fnancial conditon and results of operatons (MD&amp;A) of the Company and should be read in conjuncton with the audited consolidated fnancial statements. As discussed in more detail, the Company’s operatng results are highly dependent upon actvity within the constructon marketplace, economic cycles within the public and private business sectors, and seasonal and other weather-related conditons. Accordingly, fnancial results for any year presented, or year-to-year comparisons of reported results, may not be indicatve of future operatng results. As permited by the Securites and Exchange Commission (SEC) under the FAST Act Modernizaton and Simplifcaton of Regulaton S-K, the Company has elected to omit the discussion of the earliest period (2020) presented as it was included in its MD&amp;A in its 2021 Form 10-K fled on February 22, 2022, incorporated by reference from </w:t>
      </w:r>
      <w:r>
        <w:rPr>
          <w:rFonts w:ascii="Calibri" w:cs="Calibri" w:eastAsia="Calibri" w:hAnsi="Calibri"/>
          <w:sz w:val="17"/>
          <w:szCs w:val="17"/>
          <w:u w:val="single" w:color="auto"/>
          <w:color w:val="007DC6"/>
        </w:rPr>
        <w:t>Item 7, “Management’s Discussion and Analysis of Financial Conditon and Results of Operatons”</w:t>
      </w:r>
      <w:r>
        <w:rPr>
          <w:rFonts w:ascii="Calibri" w:cs="Calibri" w:eastAsia="Calibri" w:hAnsi="Calibri"/>
          <w:sz w:val="17"/>
          <w:szCs w:val="17"/>
          <w:color w:val="auto"/>
        </w:rPr>
        <w:t xml:space="preserv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2324100</wp:posOffset>
            </wp:positionH>
            <wp:positionV relativeFrom="paragraph">
              <wp:posOffset>-24130</wp:posOffset>
            </wp:positionV>
            <wp:extent cx="434276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4342765" cy="8255"/>
                    </a:xfrm>
                    <a:prstGeom prst="rect">
                      <a:avLst/>
                    </a:prstGeom>
                    <a:noFill/>
                  </pic:spPr>
                </pic:pic>
              </a:graphicData>
            </a:graphic>
          </wp:anchor>
        </w:drawing>
      </w:r>
    </w:p>
    <w:p>
      <w:pPr>
        <w:spacing w:after="0" w:line="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Building Materials business generated the majority of consolidated total revenues and earnings from contnuing operatons. The following comparatve analysis and discussion should be read within this context. Further, sensitvity analysis and certain other data are provided to enhance the reader’s understanding of MD&amp;A and are not intended to be indicatve of management’s judgment of materiality.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92710</wp:posOffset>
            </wp:positionV>
            <wp:extent cx="325755" cy="1968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9"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600" w:type="dxa"/>
            <w:vAlign w:val="bottom"/>
            <w:gridSpan w:val="4"/>
          </w:tcPr>
          <w:p>
            <w:pPr>
              <w:spacing w:after="0"/>
              <w:rPr>
                <w:sz w:val="20"/>
                <w:szCs w:val="20"/>
                <w:color w:val="auto"/>
              </w:rPr>
            </w:pPr>
            <w:r>
              <w:rPr>
                <w:rFonts w:ascii="Calibri" w:cs="Calibri" w:eastAsia="Calibri" w:hAnsi="Calibri"/>
                <w:sz w:val="18"/>
                <w:szCs w:val="18"/>
                <w:color w:val="auto"/>
              </w:rPr>
              <w:t>The Company’s consolidated operatng results and operatng results as a percentage of total revenues are as follows:</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132"/>
        </w:trPr>
        <w:tc>
          <w:tcPr>
            <w:tcW w:w="5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207"/>
        </w:trPr>
        <w:tc>
          <w:tcPr>
            <w:tcW w:w="5880" w:type="dxa"/>
            <w:vAlign w:val="bottom"/>
            <w:tcBorders>
              <w:right w:val="single" w:sz="8" w:color="007CBA"/>
            </w:tcBorders>
            <w:shd w:val="clear" w:color="auto" w:fill="007CBA"/>
          </w:tcPr>
          <w:p>
            <w:pPr>
              <w:spacing w:after="0"/>
              <w:rPr>
                <w:sz w:val="18"/>
                <w:szCs w:val="18"/>
                <w:color w:val="auto"/>
              </w:rPr>
            </w:pPr>
          </w:p>
        </w:tc>
        <w:tc>
          <w:tcPr>
            <w:tcW w:w="46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1100" w:type="dxa"/>
            <w:vAlign w:val="bottom"/>
            <w:tcBorders>
              <w:right w:val="single" w:sz="8" w:color="007CBA"/>
            </w:tcBorders>
            <w:shd w:val="clear" w:color="auto" w:fill="007CBA"/>
          </w:tcPr>
          <w:p>
            <w:pPr>
              <w:jc w:val="center"/>
              <w:spacing w:after="0" w:line="207" w:lineRule="exact"/>
              <w:rPr>
                <w:sz w:val="20"/>
                <w:szCs w:val="20"/>
                <w:color w:val="auto"/>
              </w:rPr>
            </w:pPr>
            <w:r>
              <w:rPr>
                <w:rFonts w:ascii="Calibri" w:cs="Calibri" w:eastAsia="Calibri" w:hAnsi="Calibri"/>
                <w:sz w:val="18"/>
                <w:szCs w:val="18"/>
                <w:b w:val="1"/>
                <w:bCs w:val="1"/>
                <w:color w:val="FFFFFF"/>
                <w:w w:val="98"/>
              </w:rPr>
              <w:t>% of</w:t>
            </w:r>
          </w:p>
        </w:tc>
        <w:tc>
          <w:tcPr>
            <w:tcW w:w="440" w:type="dxa"/>
            <w:vAlign w:val="bottom"/>
            <w:shd w:val="clear" w:color="auto" w:fill="007CBA"/>
          </w:tcPr>
          <w:p>
            <w:pPr>
              <w:spacing w:after="0"/>
              <w:rPr>
                <w:sz w:val="18"/>
                <w:szCs w:val="18"/>
                <w:color w:val="auto"/>
              </w:rPr>
            </w:pPr>
          </w:p>
        </w:tc>
        <w:tc>
          <w:tcPr>
            <w:tcW w:w="1140" w:type="dxa"/>
            <w:vAlign w:val="bottom"/>
            <w:tcBorders>
              <w:right w:val="single" w:sz="8" w:color="007CBA"/>
            </w:tcBorders>
            <w:shd w:val="clear" w:color="auto" w:fill="007CBA"/>
          </w:tcPr>
          <w:p>
            <w:pPr>
              <w:spacing w:after="0"/>
              <w:rPr>
                <w:sz w:val="18"/>
                <w:szCs w:val="18"/>
                <w:color w:val="auto"/>
              </w:rPr>
            </w:pPr>
          </w:p>
        </w:tc>
        <w:tc>
          <w:tcPr>
            <w:tcW w:w="1060" w:type="dxa"/>
            <w:vAlign w:val="bottom"/>
            <w:shd w:val="clear" w:color="auto" w:fill="007CBA"/>
          </w:tcPr>
          <w:p>
            <w:pPr>
              <w:jc w:val="center"/>
              <w:spacing w:after="0" w:line="207" w:lineRule="exact"/>
              <w:rPr>
                <w:sz w:val="20"/>
                <w:szCs w:val="20"/>
                <w:color w:val="auto"/>
              </w:rPr>
            </w:pPr>
            <w:r>
              <w:rPr>
                <w:rFonts w:ascii="Calibri" w:cs="Calibri" w:eastAsia="Calibri" w:hAnsi="Calibri"/>
                <w:sz w:val="18"/>
                <w:szCs w:val="18"/>
                <w:b w:val="1"/>
                <w:bCs w:val="1"/>
                <w:color w:val="FFFFFF"/>
                <w:w w:val="98"/>
              </w:rPr>
              <w:t>% of</w:t>
            </w:r>
          </w:p>
        </w:tc>
      </w:tr>
      <w:tr>
        <w:trPr>
          <w:trHeight w:val="215"/>
        </w:trPr>
        <w:tc>
          <w:tcPr>
            <w:tcW w:w="588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i w:val="1"/>
                <w:iCs w:val="1"/>
                <w:color w:val="FFFFFF"/>
              </w:rPr>
              <w:t>years ended December 31</w:t>
            </w:r>
          </w:p>
        </w:tc>
        <w:tc>
          <w:tcPr>
            <w:tcW w:w="46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1100" w:type="dxa"/>
            <w:vAlign w:val="bottom"/>
            <w:tcBorders>
              <w:right w:val="single" w:sz="8" w:color="007CBA"/>
            </w:tcBorders>
            <w:shd w:val="clear" w:color="auto" w:fill="007CBA"/>
          </w:tcPr>
          <w:p>
            <w:pPr>
              <w:jc w:val="center"/>
              <w:spacing w:after="0" w:line="215" w:lineRule="exact"/>
              <w:rPr>
                <w:sz w:val="20"/>
                <w:szCs w:val="20"/>
                <w:color w:val="auto"/>
              </w:rPr>
            </w:pPr>
            <w:r>
              <w:rPr>
                <w:rFonts w:ascii="Calibri" w:cs="Calibri" w:eastAsia="Calibri" w:hAnsi="Calibri"/>
                <w:sz w:val="18"/>
                <w:szCs w:val="18"/>
                <w:b w:val="1"/>
                <w:bCs w:val="1"/>
                <w:color w:val="FFFFFF"/>
                <w:w w:val="88"/>
              </w:rPr>
              <w:t>Total</w:t>
            </w:r>
          </w:p>
        </w:tc>
        <w:tc>
          <w:tcPr>
            <w:tcW w:w="440" w:type="dxa"/>
            <w:vAlign w:val="bottom"/>
            <w:shd w:val="clear" w:color="auto" w:fill="007CBA"/>
          </w:tcPr>
          <w:p>
            <w:pPr>
              <w:spacing w:after="0"/>
              <w:rPr>
                <w:sz w:val="18"/>
                <w:szCs w:val="18"/>
                <w:color w:val="auto"/>
              </w:rPr>
            </w:pPr>
          </w:p>
        </w:tc>
        <w:tc>
          <w:tcPr>
            <w:tcW w:w="1140" w:type="dxa"/>
            <w:vAlign w:val="bottom"/>
            <w:tcBorders>
              <w:right w:val="single" w:sz="8" w:color="007CBA"/>
            </w:tcBorders>
            <w:shd w:val="clear" w:color="auto" w:fill="007CBA"/>
          </w:tcPr>
          <w:p>
            <w:pPr>
              <w:spacing w:after="0"/>
              <w:rPr>
                <w:sz w:val="18"/>
                <w:szCs w:val="18"/>
                <w:color w:val="auto"/>
              </w:rPr>
            </w:pPr>
          </w:p>
        </w:tc>
        <w:tc>
          <w:tcPr>
            <w:tcW w:w="1060" w:type="dxa"/>
            <w:vAlign w:val="bottom"/>
            <w:shd w:val="clear" w:color="auto" w:fill="007CBA"/>
          </w:tcPr>
          <w:p>
            <w:pPr>
              <w:jc w:val="center"/>
              <w:spacing w:after="0" w:line="215" w:lineRule="exact"/>
              <w:rPr>
                <w:sz w:val="20"/>
                <w:szCs w:val="20"/>
                <w:color w:val="auto"/>
              </w:rPr>
            </w:pPr>
            <w:r>
              <w:rPr>
                <w:rFonts w:ascii="Calibri" w:cs="Calibri" w:eastAsia="Calibri" w:hAnsi="Calibri"/>
                <w:sz w:val="18"/>
                <w:szCs w:val="18"/>
                <w:b w:val="1"/>
                <w:bCs w:val="1"/>
                <w:color w:val="FFFFFF"/>
                <w:w w:val="94"/>
              </w:rPr>
              <w:t>Total</w:t>
            </w:r>
          </w:p>
        </w:tc>
      </w:tr>
      <w:tr>
        <w:trPr>
          <w:trHeight w:val="233"/>
        </w:trPr>
        <w:tc>
          <w:tcPr>
            <w:tcW w:w="5880" w:type="dxa"/>
            <w:vAlign w:val="bottom"/>
            <w:tcBorders>
              <w:bottom w:val="single" w:sz="8" w:color="007CBA"/>
              <w:right w:val="single" w:sz="8" w:color="007CBA"/>
            </w:tcBorders>
            <w:shd w:val="clear" w:color="auto" w:fill="007CBA"/>
          </w:tcPr>
          <w:p>
            <w:pPr>
              <w:ind w:left="120"/>
              <w:spacing w:after="0" w:line="216" w:lineRule="exact"/>
              <w:rPr>
                <w:sz w:val="20"/>
                <w:szCs w:val="20"/>
                <w:color w:val="auto"/>
              </w:rPr>
            </w:pPr>
            <w:r>
              <w:rPr>
                <w:rFonts w:ascii="Calibri" w:cs="Calibri" w:eastAsia="Calibri" w:hAnsi="Calibri"/>
                <w:sz w:val="18"/>
                <w:szCs w:val="18"/>
                <w:color w:val="FFFFFF"/>
              </w:rPr>
              <w:t>(in millions, except for % of total revenues)</w:t>
            </w:r>
          </w:p>
        </w:tc>
        <w:tc>
          <w:tcPr>
            <w:tcW w:w="460" w:type="dxa"/>
            <w:vAlign w:val="bottom"/>
            <w:tcBorders>
              <w:bottom w:val="single" w:sz="8" w:color="007CBA"/>
            </w:tcBorders>
            <w:shd w:val="clear" w:color="auto" w:fill="007CBA"/>
          </w:tcPr>
          <w:p>
            <w:pPr>
              <w:spacing w:after="0"/>
              <w:rPr>
                <w:sz w:val="20"/>
                <w:szCs w:val="20"/>
                <w:color w:val="auto"/>
              </w:rPr>
            </w:pPr>
          </w:p>
        </w:tc>
        <w:tc>
          <w:tcPr>
            <w:tcW w:w="1160" w:type="dxa"/>
            <w:vAlign w:val="bottom"/>
            <w:tcBorders>
              <w:bottom w:val="single" w:sz="8" w:color="007CBA"/>
              <w:right w:val="single" w:sz="8" w:color="007CBA"/>
            </w:tcBorders>
            <w:shd w:val="clear" w:color="auto" w:fill="007CBA"/>
          </w:tcPr>
          <w:p>
            <w:pPr>
              <w:jc w:val="right"/>
              <w:ind w:right="530"/>
              <w:spacing w:after="0" w:line="216" w:lineRule="exact"/>
              <w:rPr>
                <w:sz w:val="20"/>
                <w:szCs w:val="20"/>
                <w:color w:val="auto"/>
              </w:rPr>
            </w:pPr>
            <w:r>
              <w:rPr>
                <w:rFonts w:ascii="Calibri" w:cs="Calibri" w:eastAsia="Calibri" w:hAnsi="Calibri"/>
                <w:sz w:val="18"/>
                <w:szCs w:val="18"/>
                <w:b w:val="1"/>
                <w:bCs w:val="1"/>
                <w:color w:val="FFFFFF"/>
              </w:rPr>
              <w:t>2022</w:t>
            </w:r>
          </w:p>
        </w:tc>
        <w:tc>
          <w:tcPr>
            <w:tcW w:w="1100" w:type="dxa"/>
            <w:vAlign w:val="bottom"/>
            <w:tcBorders>
              <w:bottom w:val="single" w:sz="8" w:color="007CBA"/>
              <w:right w:val="single" w:sz="8" w:color="007CBA"/>
            </w:tcBorders>
            <w:shd w:val="clear" w:color="auto" w:fill="007CBA"/>
          </w:tcPr>
          <w:p>
            <w:pPr>
              <w:jc w:val="center"/>
              <w:spacing w:after="0" w:line="216" w:lineRule="exact"/>
              <w:rPr>
                <w:sz w:val="20"/>
                <w:szCs w:val="20"/>
                <w:color w:val="auto"/>
              </w:rPr>
            </w:pPr>
            <w:r>
              <w:rPr>
                <w:rFonts w:ascii="Calibri" w:cs="Calibri" w:eastAsia="Calibri" w:hAnsi="Calibri"/>
                <w:sz w:val="18"/>
                <w:szCs w:val="18"/>
                <w:b w:val="1"/>
                <w:bCs w:val="1"/>
                <w:color w:val="FFFFFF"/>
                <w:w w:val="96"/>
              </w:rPr>
              <w:t>revenues</w:t>
            </w:r>
          </w:p>
        </w:tc>
        <w:tc>
          <w:tcPr>
            <w:tcW w:w="44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right w:val="single" w:sz="8" w:color="007CBA"/>
            </w:tcBorders>
            <w:shd w:val="clear" w:color="auto" w:fill="007CBA"/>
          </w:tcPr>
          <w:p>
            <w:pPr>
              <w:jc w:val="right"/>
              <w:ind w:right="510"/>
              <w:spacing w:after="0" w:line="216" w:lineRule="exact"/>
              <w:rPr>
                <w:sz w:val="20"/>
                <w:szCs w:val="20"/>
                <w:color w:val="auto"/>
              </w:rPr>
            </w:pPr>
            <w:r>
              <w:rPr>
                <w:rFonts w:ascii="Calibri" w:cs="Calibri" w:eastAsia="Calibri" w:hAnsi="Calibri"/>
                <w:sz w:val="18"/>
                <w:szCs w:val="18"/>
                <w:color w:val="FFFFFF"/>
              </w:rPr>
              <w:t>2021</w:t>
            </w:r>
          </w:p>
        </w:tc>
        <w:tc>
          <w:tcPr>
            <w:tcW w:w="1060" w:type="dxa"/>
            <w:vAlign w:val="bottom"/>
            <w:tcBorders>
              <w:bottom w:val="single" w:sz="8" w:color="007CBA"/>
            </w:tcBorders>
            <w:shd w:val="clear" w:color="auto" w:fill="007CBA"/>
          </w:tcPr>
          <w:p>
            <w:pPr>
              <w:jc w:val="center"/>
              <w:spacing w:after="0" w:line="216" w:lineRule="exact"/>
              <w:rPr>
                <w:sz w:val="20"/>
                <w:szCs w:val="20"/>
                <w:color w:val="auto"/>
              </w:rPr>
            </w:pPr>
            <w:r>
              <w:rPr>
                <w:rFonts w:ascii="Calibri" w:cs="Calibri" w:eastAsia="Calibri" w:hAnsi="Calibri"/>
                <w:sz w:val="18"/>
                <w:szCs w:val="18"/>
                <w:b w:val="1"/>
                <w:bCs w:val="1"/>
                <w:color w:val="FFFFFF"/>
                <w:w w:val="96"/>
              </w:rPr>
              <w:t>revenues</w:t>
            </w:r>
          </w:p>
        </w:tc>
      </w:tr>
      <w:tr>
        <w:trPr>
          <w:trHeight w:val="243"/>
        </w:trPr>
        <w:tc>
          <w:tcPr>
            <w:tcW w:w="58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Product and services revenues</w:t>
            </w:r>
          </w:p>
        </w:tc>
        <w:tc>
          <w:tcPr>
            <w:tcW w:w="46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5,730.5</w:t>
            </w:r>
          </w:p>
        </w:tc>
        <w:tc>
          <w:tcPr>
            <w:tcW w:w="1100" w:type="dxa"/>
            <w:vAlign w:val="bottom"/>
            <w:tcBorders>
              <w:right w:val="single" w:sz="8" w:color="007CBA"/>
            </w:tcBorders>
          </w:tcPr>
          <w:p>
            <w:pPr>
              <w:spacing w:after="0"/>
              <w:rPr>
                <w:sz w:val="21"/>
                <w:szCs w:val="21"/>
                <w:color w:val="auto"/>
              </w:rPr>
            </w:pPr>
          </w:p>
        </w:tc>
        <w:tc>
          <w:tcPr>
            <w:tcW w:w="44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5,084.7</w:t>
            </w:r>
          </w:p>
        </w:tc>
        <w:tc>
          <w:tcPr>
            <w:tcW w:w="1060" w:type="dxa"/>
            <w:vAlign w:val="bottom"/>
          </w:tcPr>
          <w:p>
            <w:pPr>
              <w:spacing w:after="0"/>
              <w:rPr>
                <w:sz w:val="21"/>
                <w:szCs w:val="21"/>
                <w:color w:val="auto"/>
              </w:rPr>
            </w:pPr>
          </w:p>
        </w:tc>
      </w:tr>
      <w:tr>
        <w:trPr>
          <w:trHeight w:val="248"/>
        </w:trPr>
        <w:tc>
          <w:tcPr>
            <w:tcW w:w="588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Freight revenues</w:t>
            </w:r>
          </w:p>
        </w:tc>
        <w:tc>
          <w:tcPr>
            <w:tcW w:w="46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430.2</w:t>
            </w:r>
          </w:p>
        </w:tc>
        <w:tc>
          <w:tcPr>
            <w:tcW w:w="1100" w:type="dxa"/>
            <w:vAlign w:val="bottom"/>
            <w:tcBorders>
              <w:bottom w:val="single" w:sz="8" w:color="E5F1F8"/>
              <w:right w:val="single" w:sz="8" w:color="E5F1F8"/>
            </w:tcBorders>
            <w:shd w:val="clear" w:color="auto" w:fill="E5F1F8"/>
          </w:tcPr>
          <w:p>
            <w:pPr>
              <w:spacing w:after="0"/>
              <w:rPr>
                <w:sz w:val="21"/>
                <w:szCs w:val="21"/>
                <w:color w:val="auto"/>
              </w:rPr>
            </w:pPr>
          </w:p>
        </w:tc>
        <w:tc>
          <w:tcPr>
            <w:tcW w:w="44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329.3</w:t>
            </w:r>
          </w:p>
        </w:tc>
        <w:tc>
          <w:tcPr>
            <w:tcW w:w="1060" w:type="dxa"/>
            <w:vAlign w:val="bottom"/>
            <w:tcBorders>
              <w:bottom w:val="single" w:sz="8" w:color="E5F1F8"/>
            </w:tcBorders>
            <w:shd w:val="clear" w:color="auto" w:fill="E5F1F8"/>
          </w:tcPr>
          <w:p>
            <w:pPr>
              <w:spacing w:after="0"/>
              <w:rPr>
                <w:sz w:val="21"/>
                <w:szCs w:val="21"/>
                <w:color w:val="auto"/>
              </w:rPr>
            </w:pPr>
          </w:p>
        </w:tc>
      </w:tr>
      <w:tr>
        <w:trPr>
          <w:trHeight w:val="208"/>
        </w:trPr>
        <w:tc>
          <w:tcPr>
            <w:tcW w:w="588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b w:val="1"/>
                <w:bCs w:val="1"/>
                <w:color w:val="auto"/>
              </w:rPr>
              <w:t>Total Revenues</w:t>
            </w:r>
          </w:p>
        </w:tc>
        <w:tc>
          <w:tcPr>
            <w:tcW w:w="4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6,160.7</w:t>
            </w:r>
          </w:p>
        </w:tc>
        <w:tc>
          <w:tcPr>
            <w:tcW w:w="110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100.0</w:t>
            </w:r>
          </w:p>
        </w:tc>
        <w:tc>
          <w:tcPr>
            <w:tcW w:w="4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5,414.0</w:t>
            </w:r>
          </w:p>
        </w:tc>
        <w:tc>
          <w:tcPr>
            <w:tcW w:w="10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100.0</w:t>
            </w:r>
          </w:p>
        </w:tc>
      </w:tr>
      <w:tr>
        <w:trPr>
          <w:trHeight w:val="28"/>
        </w:trPr>
        <w:tc>
          <w:tcPr>
            <w:tcW w:w="5880" w:type="dxa"/>
            <w:vAlign w:val="bottom"/>
            <w:tcBorders>
              <w:right w:val="single" w:sz="8" w:color="007CBA"/>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880" w:type="dxa"/>
            <w:vAlign w:val="bottom"/>
            <w:tcBorders>
              <w:bottom w:val="single" w:sz="8" w:color="E5F1F8"/>
              <w:right w:val="single" w:sz="8" w:color="007CBA"/>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Cost of revenues - products and services</w:t>
            </w:r>
          </w:p>
        </w:tc>
        <w:tc>
          <w:tcPr>
            <w:tcW w:w="460" w:type="dxa"/>
            <w:vAlign w:val="bottom"/>
            <w:tcBorders>
              <w:bottom w:val="single" w:sz="8" w:color="E5F1F8"/>
            </w:tcBorders>
            <w:shd w:val="clear" w:color="auto" w:fill="E5F1F8"/>
          </w:tcPr>
          <w:p>
            <w:pPr>
              <w:spacing w:after="0"/>
              <w:rPr>
                <w:sz w:val="18"/>
                <w:szCs w:val="18"/>
                <w:color w:val="auto"/>
              </w:rPr>
            </w:pPr>
          </w:p>
        </w:tc>
        <w:tc>
          <w:tcPr>
            <w:tcW w:w="1160" w:type="dxa"/>
            <w:vAlign w:val="bottom"/>
            <w:tcBorders>
              <w:bottom w:val="single" w:sz="8" w:color="E5F1F8"/>
              <w:right w:val="single" w:sz="8" w:color="007CBA"/>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color w:val="auto"/>
              </w:rPr>
              <w:t>4,304.6</w:t>
            </w:r>
          </w:p>
        </w:tc>
        <w:tc>
          <w:tcPr>
            <w:tcW w:w="1100" w:type="dxa"/>
            <w:vAlign w:val="bottom"/>
            <w:tcBorders>
              <w:bottom w:val="single" w:sz="8" w:color="E5F1F8"/>
              <w:right w:val="single" w:sz="8" w:color="007CBA"/>
            </w:tcBorders>
            <w:shd w:val="clear" w:color="auto" w:fill="E5F1F8"/>
          </w:tcPr>
          <w:p>
            <w:pPr>
              <w:spacing w:after="0"/>
              <w:rPr>
                <w:sz w:val="18"/>
                <w:szCs w:val="18"/>
                <w:color w:val="auto"/>
              </w:rPr>
            </w:pPr>
          </w:p>
        </w:tc>
        <w:tc>
          <w:tcPr>
            <w:tcW w:w="440" w:type="dxa"/>
            <w:vAlign w:val="bottom"/>
            <w:tcBorders>
              <w:bottom w:val="single" w:sz="8" w:color="E5F1F8"/>
            </w:tcBorders>
            <w:shd w:val="clear" w:color="auto" w:fill="E5F1F8"/>
          </w:tcPr>
          <w:p>
            <w:pPr>
              <w:spacing w:after="0"/>
              <w:rPr>
                <w:sz w:val="18"/>
                <w:szCs w:val="18"/>
                <w:color w:val="auto"/>
              </w:rPr>
            </w:pPr>
          </w:p>
        </w:tc>
        <w:tc>
          <w:tcPr>
            <w:tcW w:w="1140" w:type="dxa"/>
            <w:vAlign w:val="bottom"/>
            <w:tcBorders>
              <w:bottom w:val="single" w:sz="8" w:color="E5F1F8"/>
              <w:right w:val="single" w:sz="8" w:color="007CBA"/>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3,735.7</w:t>
            </w:r>
          </w:p>
        </w:tc>
        <w:tc>
          <w:tcPr>
            <w:tcW w:w="1060" w:type="dxa"/>
            <w:vAlign w:val="bottom"/>
            <w:tcBorders>
              <w:bottom w:val="single" w:sz="8" w:color="E5F1F8"/>
            </w:tcBorders>
            <w:shd w:val="clear" w:color="auto" w:fill="E5F1F8"/>
          </w:tcPr>
          <w:p>
            <w:pPr>
              <w:spacing w:after="0"/>
              <w:rPr>
                <w:sz w:val="18"/>
                <w:szCs w:val="18"/>
                <w:color w:val="auto"/>
              </w:rPr>
            </w:pPr>
          </w:p>
        </w:tc>
      </w:tr>
      <w:tr>
        <w:trPr>
          <w:trHeight w:val="215"/>
        </w:trPr>
        <w:tc>
          <w:tcPr>
            <w:tcW w:w="58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Cost of revenues - freight</w:t>
            </w:r>
          </w:p>
        </w:tc>
        <w:tc>
          <w:tcPr>
            <w:tcW w:w="460" w:type="dxa"/>
            <w:vAlign w:val="bottom"/>
          </w:tcPr>
          <w:p>
            <w:pPr>
              <w:spacing w:after="0"/>
              <w:rPr>
                <w:sz w:val="18"/>
                <w:szCs w:val="18"/>
                <w:color w:val="auto"/>
              </w:rPr>
            </w:pPr>
          </w:p>
        </w:tc>
        <w:tc>
          <w:tcPr>
            <w:tcW w:w="11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432.8</w:t>
            </w: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329.9</w:t>
            </w:r>
          </w:p>
        </w:tc>
        <w:tc>
          <w:tcPr>
            <w:tcW w:w="1060" w:type="dxa"/>
            <w:vAlign w:val="bottom"/>
          </w:tcPr>
          <w:p>
            <w:pPr>
              <w:spacing w:after="0"/>
              <w:rPr>
                <w:sz w:val="18"/>
                <w:szCs w:val="18"/>
                <w:color w:val="auto"/>
              </w:rPr>
            </w:pPr>
          </w:p>
        </w:tc>
      </w:tr>
      <w:tr>
        <w:trPr>
          <w:trHeight w:val="28"/>
        </w:trPr>
        <w:tc>
          <w:tcPr>
            <w:tcW w:w="5880" w:type="dxa"/>
            <w:vAlign w:val="bottom"/>
            <w:tcBorders>
              <w:right w:val="single" w:sz="8" w:color="007CBA"/>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1"/>
        </w:trPr>
        <w:tc>
          <w:tcPr>
            <w:tcW w:w="588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Total cost of revenues</w:t>
            </w:r>
          </w:p>
        </w:tc>
        <w:tc>
          <w:tcPr>
            <w:tcW w:w="460" w:type="dxa"/>
            <w:vAlign w:val="bottom"/>
            <w:tcBorders>
              <w:bottom w:val="single" w:sz="8" w:color="E5F1F8"/>
            </w:tcBorders>
            <w:shd w:val="clear" w:color="auto" w:fill="E5F1F8"/>
          </w:tcPr>
          <w:p>
            <w:pPr>
              <w:spacing w:after="0"/>
              <w:rPr>
                <w:sz w:val="20"/>
                <w:szCs w:val="20"/>
                <w:color w:val="auto"/>
              </w:rPr>
            </w:pPr>
          </w:p>
        </w:tc>
        <w:tc>
          <w:tcPr>
            <w:tcW w:w="116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color w:val="auto"/>
              </w:rPr>
              <w:t>4,737.4</w:t>
            </w:r>
          </w:p>
        </w:tc>
        <w:tc>
          <w:tcPr>
            <w:tcW w:w="1100" w:type="dxa"/>
            <w:vAlign w:val="bottom"/>
            <w:tcBorders>
              <w:bottom w:val="single" w:sz="8" w:color="E5F1F8"/>
              <w:right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76.9</w:t>
            </w:r>
          </w:p>
        </w:tc>
        <w:tc>
          <w:tcPr>
            <w:tcW w:w="440" w:type="dxa"/>
            <w:vAlign w:val="bottom"/>
            <w:tcBorders>
              <w:bottom w:val="single" w:sz="8" w:color="E5F1F8"/>
            </w:tcBorders>
            <w:shd w:val="clear" w:color="auto" w:fill="E5F1F8"/>
          </w:tcPr>
          <w:p>
            <w:pPr>
              <w:spacing w:after="0"/>
              <w:rPr>
                <w:sz w:val="20"/>
                <w:szCs w:val="20"/>
                <w:color w:val="auto"/>
              </w:rPr>
            </w:pPr>
          </w:p>
        </w:tc>
        <w:tc>
          <w:tcPr>
            <w:tcW w:w="1140" w:type="dxa"/>
            <w:vAlign w:val="bottom"/>
            <w:tcBorders>
              <w:bottom w:val="single" w:sz="8" w:color="E5F1F8"/>
              <w:right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4,065.6</w:t>
            </w:r>
          </w:p>
        </w:tc>
        <w:tc>
          <w:tcPr>
            <w:tcW w:w="106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75.1</w:t>
            </w:r>
          </w:p>
        </w:tc>
      </w:tr>
      <w:tr>
        <w:trPr>
          <w:trHeight w:val="208"/>
        </w:trPr>
        <w:tc>
          <w:tcPr>
            <w:tcW w:w="588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b w:val="1"/>
                <w:bCs w:val="1"/>
                <w:color w:val="auto"/>
              </w:rPr>
              <w:t>Gross Proft</w:t>
            </w:r>
          </w:p>
        </w:tc>
        <w:tc>
          <w:tcPr>
            <w:tcW w:w="460" w:type="dxa"/>
            <w:vAlign w:val="bottom"/>
            <w:tcBorders>
              <w:top w:val="single" w:sz="8" w:color="auto"/>
            </w:tcBorders>
          </w:tcPr>
          <w:p>
            <w:pPr>
              <w:spacing w:after="0"/>
              <w:rPr>
                <w:sz w:val="18"/>
                <w:szCs w:val="18"/>
                <w:color w:val="auto"/>
              </w:rPr>
            </w:pPr>
          </w:p>
        </w:tc>
        <w:tc>
          <w:tcPr>
            <w:tcW w:w="1160" w:type="dxa"/>
            <w:vAlign w:val="bottom"/>
            <w:tcBorders>
              <w:top w:val="single" w:sz="8" w:color="auto"/>
              <w:right w:val="single" w:sz="8" w:color="007CBA"/>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1,423.3</w:t>
            </w:r>
          </w:p>
        </w:tc>
        <w:tc>
          <w:tcPr>
            <w:tcW w:w="110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23.1</w:t>
            </w:r>
          </w:p>
        </w:tc>
        <w:tc>
          <w:tcPr>
            <w:tcW w:w="440" w:type="dxa"/>
            <w:vAlign w:val="bottom"/>
            <w:tcBorders>
              <w:top w:val="single" w:sz="8" w:color="auto"/>
            </w:tcBorders>
          </w:tcPr>
          <w:p>
            <w:pPr>
              <w:spacing w:after="0"/>
              <w:rPr>
                <w:sz w:val="18"/>
                <w:szCs w:val="18"/>
                <w:color w:val="auto"/>
              </w:rPr>
            </w:pPr>
          </w:p>
        </w:tc>
        <w:tc>
          <w:tcPr>
            <w:tcW w:w="114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1,348.4</w:t>
            </w:r>
          </w:p>
        </w:tc>
        <w:tc>
          <w:tcPr>
            <w:tcW w:w="10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24.9</w:t>
            </w:r>
          </w:p>
        </w:tc>
      </w:tr>
      <w:tr>
        <w:trPr>
          <w:trHeight w:val="28"/>
        </w:trPr>
        <w:tc>
          <w:tcPr>
            <w:tcW w:w="588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1100" w:type="dxa"/>
            <w:vAlign w:val="bottom"/>
            <w:tcBorders>
              <w:right w:val="single" w:sz="8" w:color="007CBA"/>
            </w:tcBorders>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Borders>
              <w:right w:val="single" w:sz="8" w:color="007CBA"/>
            </w:tcBorders>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588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Selling, general and administratve expenses</w:t>
            </w:r>
          </w:p>
        </w:tc>
        <w:tc>
          <w:tcPr>
            <w:tcW w:w="46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396.7</w:t>
            </w:r>
          </w:p>
        </w:tc>
        <w:tc>
          <w:tcPr>
            <w:tcW w:w="110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6.4</w:t>
            </w:r>
          </w:p>
        </w:tc>
        <w:tc>
          <w:tcPr>
            <w:tcW w:w="44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351.0</w:t>
            </w:r>
          </w:p>
        </w:tc>
        <w:tc>
          <w:tcPr>
            <w:tcW w:w="10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6.5</w:t>
            </w:r>
          </w:p>
        </w:tc>
      </w:tr>
      <w:tr>
        <w:trPr>
          <w:trHeight w:val="243"/>
        </w:trPr>
        <w:tc>
          <w:tcPr>
            <w:tcW w:w="58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Acquisiton and integraton expenses</w:t>
            </w:r>
          </w:p>
        </w:tc>
        <w:tc>
          <w:tcPr>
            <w:tcW w:w="460" w:type="dxa"/>
            <w:vAlign w:val="bottom"/>
          </w:tcPr>
          <w:p>
            <w:pPr>
              <w:spacing w:after="0"/>
              <w:rPr>
                <w:sz w:val="21"/>
                <w:szCs w:val="21"/>
                <w:color w:val="auto"/>
              </w:rPr>
            </w:pP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9.1</w:t>
            </w:r>
          </w:p>
        </w:tc>
        <w:tc>
          <w:tcPr>
            <w:tcW w:w="1100" w:type="dxa"/>
            <w:vAlign w:val="bottom"/>
            <w:tcBorders>
              <w:right w:val="single" w:sz="8" w:color="007CBA"/>
            </w:tcBorders>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57.9</w:t>
            </w:r>
          </w:p>
        </w:tc>
        <w:tc>
          <w:tcPr>
            <w:tcW w:w="1060" w:type="dxa"/>
            <w:vAlign w:val="bottom"/>
          </w:tcPr>
          <w:p>
            <w:pPr>
              <w:spacing w:after="0"/>
              <w:rPr>
                <w:sz w:val="21"/>
                <w:szCs w:val="21"/>
                <w:color w:val="auto"/>
              </w:rPr>
            </w:pPr>
          </w:p>
        </w:tc>
      </w:tr>
      <w:tr>
        <w:trPr>
          <w:trHeight w:val="248"/>
        </w:trPr>
        <w:tc>
          <w:tcPr>
            <w:tcW w:w="588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Other operatng income, net</w:t>
            </w:r>
          </w:p>
        </w:tc>
        <w:tc>
          <w:tcPr>
            <w:tcW w:w="46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(189.2 )</w:t>
            </w:r>
          </w:p>
        </w:tc>
        <w:tc>
          <w:tcPr>
            <w:tcW w:w="1100" w:type="dxa"/>
            <w:vAlign w:val="bottom"/>
            <w:tcBorders>
              <w:bottom w:val="single" w:sz="8" w:color="E5F1F8"/>
              <w:right w:val="single" w:sz="8" w:color="E5F1F8"/>
            </w:tcBorders>
            <w:shd w:val="clear" w:color="auto" w:fill="E5F1F8"/>
          </w:tcPr>
          <w:p>
            <w:pPr>
              <w:spacing w:after="0"/>
              <w:rPr>
                <w:sz w:val="21"/>
                <w:szCs w:val="21"/>
                <w:color w:val="auto"/>
              </w:rPr>
            </w:pPr>
          </w:p>
        </w:tc>
        <w:tc>
          <w:tcPr>
            <w:tcW w:w="44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(34.3 )</w:t>
            </w:r>
          </w:p>
        </w:tc>
        <w:tc>
          <w:tcPr>
            <w:tcW w:w="1060" w:type="dxa"/>
            <w:vAlign w:val="bottom"/>
            <w:tcBorders>
              <w:bottom w:val="single" w:sz="8" w:color="E5F1F8"/>
            </w:tcBorders>
            <w:shd w:val="clear" w:color="auto" w:fill="E5F1F8"/>
          </w:tcPr>
          <w:p>
            <w:pPr>
              <w:spacing w:after="0"/>
              <w:rPr>
                <w:sz w:val="21"/>
                <w:szCs w:val="21"/>
                <w:color w:val="auto"/>
              </w:rPr>
            </w:pPr>
          </w:p>
        </w:tc>
      </w:tr>
      <w:tr>
        <w:trPr>
          <w:trHeight w:val="208"/>
        </w:trPr>
        <w:tc>
          <w:tcPr>
            <w:tcW w:w="588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b w:val="1"/>
                <w:bCs w:val="1"/>
                <w:color w:val="auto"/>
              </w:rPr>
              <w:t>Earnings from Operatons</w:t>
            </w:r>
          </w:p>
        </w:tc>
        <w:tc>
          <w:tcPr>
            <w:tcW w:w="460" w:type="dxa"/>
            <w:vAlign w:val="bottom"/>
            <w:tcBorders>
              <w:top w:val="single" w:sz="8" w:color="auto"/>
            </w:tcBorders>
          </w:tcPr>
          <w:p>
            <w:pPr>
              <w:spacing w:after="0"/>
              <w:rPr>
                <w:sz w:val="18"/>
                <w:szCs w:val="18"/>
                <w:color w:val="auto"/>
              </w:rPr>
            </w:pPr>
          </w:p>
        </w:tc>
        <w:tc>
          <w:tcPr>
            <w:tcW w:w="1160" w:type="dxa"/>
            <w:vAlign w:val="bottom"/>
            <w:tcBorders>
              <w:top w:val="single" w:sz="8" w:color="auto"/>
              <w:right w:val="single" w:sz="8" w:color="007CBA"/>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1,206.7</w:t>
            </w:r>
          </w:p>
        </w:tc>
        <w:tc>
          <w:tcPr>
            <w:tcW w:w="110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19.6</w:t>
            </w:r>
          </w:p>
        </w:tc>
        <w:tc>
          <w:tcPr>
            <w:tcW w:w="440" w:type="dxa"/>
            <w:vAlign w:val="bottom"/>
            <w:tcBorders>
              <w:top w:val="single" w:sz="8" w:color="auto"/>
            </w:tcBorders>
          </w:tcPr>
          <w:p>
            <w:pPr>
              <w:spacing w:after="0"/>
              <w:rPr>
                <w:sz w:val="18"/>
                <w:szCs w:val="18"/>
                <w:color w:val="auto"/>
              </w:rPr>
            </w:pPr>
          </w:p>
        </w:tc>
        <w:tc>
          <w:tcPr>
            <w:tcW w:w="114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973.8</w:t>
            </w:r>
          </w:p>
        </w:tc>
        <w:tc>
          <w:tcPr>
            <w:tcW w:w="10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18.0</w:t>
            </w:r>
          </w:p>
        </w:tc>
      </w:tr>
      <w:tr>
        <w:trPr>
          <w:trHeight w:val="28"/>
        </w:trPr>
        <w:tc>
          <w:tcPr>
            <w:tcW w:w="588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1100" w:type="dxa"/>
            <w:vAlign w:val="bottom"/>
            <w:tcBorders>
              <w:right w:val="single" w:sz="8" w:color="007CBA"/>
            </w:tcBorders>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Borders>
              <w:right w:val="single" w:sz="8" w:color="007CBA"/>
            </w:tcBorders>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588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Interest expense</w:t>
            </w:r>
          </w:p>
        </w:tc>
        <w:tc>
          <w:tcPr>
            <w:tcW w:w="46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169.0</w:t>
            </w:r>
          </w:p>
        </w:tc>
        <w:tc>
          <w:tcPr>
            <w:tcW w:w="1100" w:type="dxa"/>
            <w:vAlign w:val="bottom"/>
            <w:tcBorders>
              <w:bottom w:val="single" w:sz="8" w:color="E5F1F8"/>
              <w:right w:val="single" w:sz="8" w:color="007CBA"/>
            </w:tcBorders>
            <w:shd w:val="clear" w:color="auto" w:fill="E5F1F8"/>
          </w:tcPr>
          <w:p>
            <w:pPr>
              <w:spacing w:after="0"/>
              <w:rPr>
                <w:sz w:val="19"/>
                <w:szCs w:val="19"/>
                <w:color w:val="auto"/>
              </w:rPr>
            </w:pPr>
          </w:p>
        </w:tc>
        <w:tc>
          <w:tcPr>
            <w:tcW w:w="44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142.7</w:t>
            </w:r>
          </w:p>
        </w:tc>
        <w:tc>
          <w:tcPr>
            <w:tcW w:w="1060" w:type="dxa"/>
            <w:vAlign w:val="bottom"/>
            <w:tcBorders>
              <w:bottom w:val="single" w:sz="8" w:color="E5F1F8"/>
            </w:tcBorders>
            <w:shd w:val="clear" w:color="auto" w:fill="E5F1F8"/>
          </w:tcPr>
          <w:p>
            <w:pPr>
              <w:spacing w:after="0"/>
              <w:rPr>
                <w:sz w:val="19"/>
                <w:szCs w:val="19"/>
                <w:color w:val="auto"/>
              </w:rPr>
            </w:pPr>
          </w:p>
        </w:tc>
      </w:tr>
      <w:tr>
        <w:trPr>
          <w:trHeight w:val="215"/>
        </w:trPr>
        <w:tc>
          <w:tcPr>
            <w:tcW w:w="5880" w:type="dxa"/>
            <w:vAlign w:val="bottom"/>
          </w:tcPr>
          <w:p>
            <w:pPr>
              <w:ind w:left="120"/>
              <w:spacing w:after="0" w:line="215" w:lineRule="exact"/>
              <w:rPr>
                <w:sz w:val="20"/>
                <w:szCs w:val="20"/>
                <w:color w:val="auto"/>
              </w:rPr>
            </w:pPr>
            <w:r>
              <w:rPr>
                <w:rFonts w:ascii="Calibri" w:cs="Calibri" w:eastAsia="Calibri" w:hAnsi="Calibri"/>
                <w:sz w:val="18"/>
                <w:szCs w:val="18"/>
                <w:color w:val="auto"/>
              </w:rPr>
              <w:t>Other nonoperatng income, net</w:t>
            </w:r>
          </w:p>
        </w:tc>
        <w:tc>
          <w:tcPr>
            <w:tcW w:w="46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(53.4 )</w:t>
            </w: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(24.4 )</w:t>
            </w:r>
          </w:p>
        </w:tc>
        <w:tc>
          <w:tcPr>
            <w:tcW w:w="1060" w:type="dxa"/>
            <w:vAlign w:val="bottom"/>
          </w:tcPr>
          <w:p>
            <w:pPr>
              <w:spacing w:after="0"/>
              <w:rPr>
                <w:sz w:val="18"/>
                <w:szCs w:val="18"/>
                <w:color w:val="auto"/>
              </w:rPr>
            </w:pPr>
          </w:p>
        </w:tc>
      </w:tr>
      <w:tr>
        <w:trPr>
          <w:trHeight w:val="28"/>
        </w:trPr>
        <w:tc>
          <w:tcPr>
            <w:tcW w:w="5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880" w:type="dxa"/>
            <w:vAlign w:val="bottom"/>
            <w:tcBorders>
              <w:bottom w:val="single" w:sz="8" w:color="E5F1F8"/>
              <w:right w:val="single" w:sz="8" w:color="007CBA"/>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Earnings from contnuing operatons before income tax expense</w:t>
            </w:r>
          </w:p>
        </w:tc>
        <w:tc>
          <w:tcPr>
            <w:tcW w:w="460" w:type="dxa"/>
            <w:vAlign w:val="bottom"/>
            <w:tcBorders>
              <w:bottom w:val="single" w:sz="8" w:color="E5F1F8"/>
            </w:tcBorders>
            <w:shd w:val="clear" w:color="auto" w:fill="E5F1F8"/>
          </w:tcPr>
          <w:p>
            <w:pPr>
              <w:spacing w:after="0"/>
              <w:rPr>
                <w:sz w:val="18"/>
                <w:szCs w:val="18"/>
                <w:color w:val="auto"/>
              </w:rPr>
            </w:pPr>
          </w:p>
        </w:tc>
        <w:tc>
          <w:tcPr>
            <w:tcW w:w="1160" w:type="dxa"/>
            <w:vAlign w:val="bottom"/>
            <w:tcBorders>
              <w:bottom w:val="single" w:sz="8" w:color="E5F1F8"/>
              <w:right w:val="single" w:sz="8" w:color="007CBA"/>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color w:val="auto"/>
              </w:rPr>
              <w:t>1,091.1</w:t>
            </w:r>
          </w:p>
        </w:tc>
        <w:tc>
          <w:tcPr>
            <w:tcW w:w="1100" w:type="dxa"/>
            <w:vAlign w:val="bottom"/>
            <w:tcBorders>
              <w:bottom w:val="single" w:sz="8" w:color="E5F1F8"/>
              <w:right w:val="single" w:sz="8" w:color="007CBA"/>
            </w:tcBorders>
            <w:shd w:val="clear" w:color="auto" w:fill="E5F1F8"/>
          </w:tcPr>
          <w:p>
            <w:pPr>
              <w:spacing w:after="0"/>
              <w:rPr>
                <w:sz w:val="18"/>
                <w:szCs w:val="18"/>
                <w:color w:val="auto"/>
              </w:rPr>
            </w:pPr>
          </w:p>
        </w:tc>
        <w:tc>
          <w:tcPr>
            <w:tcW w:w="440" w:type="dxa"/>
            <w:vAlign w:val="bottom"/>
            <w:tcBorders>
              <w:bottom w:val="single" w:sz="8" w:color="E5F1F8"/>
            </w:tcBorders>
            <w:shd w:val="clear" w:color="auto" w:fill="E5F1F8"/>
          </w:tcPr>
          <w:p>
            <w:pPr>
              <w:spacing w:after="0"/>
              <w:rPr>
                <w:sz w:val="18"/>
                <w:szCs w:val="18"/>
                <w:color w:val="auto"/>
              </w:rPr>
            </w:pPr>
          </w:p>
        </w:tc>
        <w:tc>
          <w:tcPr>
            <w:tcW w:w="1140" w:type="dxa"/>
            <w:vAlign w:val="bottom"/>
            <w:tcBorders>
              <w:bottom w:val="single" w:sz="8" w:color="E5F1F8"/>
              <w:right w:val="single" w:sz="8" w:color="007CBA"/>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855.5</w:t>
            </w:r>
          </w:p>
        </w:tc>
        <w:tc>
          <w:tcPr>
            <w:tcW w:w="1060" w:type="dxa"/>
            <w:vAlign w:val="bottom"/>
            <w:tcBorders>
              <w:bottom w:val="single" w:sz="8" w:color="E5F1F8"/>
            </w:tcBorders>
            <w:shd w:val="clear" w:color="auto" w:fill="E5F1F8"/>
          </w:tcPr>
          <w:p>
            <w:pPr>
              <w:spacing w:after="0"/>
              <w:rPr>
                <w:sz w:val="18"/>
                <w:szCs w:val="18"/>
                <w:color w:val="auto"/>
              </w:rPr>
            </w:pPr>
          </w:p>
        </w:tc>
      </w:tr>
      <w:tr>
        <w:trPr>
          <w:trHeight w:val="215"/>
        </w:trPr>
        <w:tc>
          <w:tcPr>
            <w:tcW w:w="5880" w:type="dxa"/>
            <w:vAlign w:val="bottom"/>
          </w:tcPr>
          <w:p>
            <w:pPr>
              <w:ind w:left="120"/>
              <w:spacing w:after="0" w:line="215" w:lineRule="exact"/>
              <w:rPr>
                <w:sz w:val="20"/>
                <w:szCs w:val="20"/>
                <w:color w:val="auto"/>
              </w:rPr>
            </w:pPr>
            <w:r>
              <w:rPr>
                <w:rFonts w:ascii="Calibri" w:cs="Calibri" w:eastAsia="Calibri" w:hAnsi="Calibri"/>
                <w:sz w:val="18"/>
                <w:szCs w:val="18"/>
                <w:color w:val="auto"/>
              </w:rPr>
              <w:t>Income tax expense</w:t>
            </w:r>
          </w:p>
        </w:tc>
        <w:tc>
          <w:tcPr>
            <w:tcW w:w="460" w:type="dxa"/>
            <w:vAlign w:val="bottom"/>
          </w:tcPr>
          <w:p>
            <w:pPr>
              <w:spacing w:after="0"/>
              <w:rPr>
                <w:sz w:val="18"/>
                <w:szCs w:val="18"/>
                <w:color w:val="auto"/>
              </w:rPr>
            </w:pPr>
          </w:p>
        </w:tc>
        <w:tc>
          <w:tcPr>
            <w:tcW w:w="11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234.8</w:t>
            </w: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153.2</w:t>
            </w:r>
          </w:p>
        </w:tc>
        <w:tc>
          <w:tcPr>
            <w:tcW w:w="1060" w:type="dxa"/>
            <w:vAlign w:val="bottom"/>
          </w:tcPr>
          <w:p>
            <w:pPr>
              <w:spacing w:after="0"/>
              <w:rPr>
                <w:sz w:val="18"/>
                <w:szCs w:val="18"/>
                <w:color w:val="auto"/>
              </w:rPr>
            </w:pPr>
          </w:p>
        </w:tc>
      </w:tr>
      <w:tr>
        <w:trPr>
          <w:trHeight w:val="28"/>
        </w:trPr>
        <w:tc>
          <w:tcPr>
            <w:tcW w:w="5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880" w:type="dxa"/>
            <w:vAlign w:val="bottom"/>
            <w:tcBorders>
              <w:bottom w:val="single" w:sz="8" w:color="E5F1F8"/>
              <w:right w:val="single" w:sz="8" w:color="007CBA"/>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Earnings from contnuing operatons</w:t>
            </w:r>
          </w:p>
        </w:tc>
        <w:tc>
          <w:tcPr>
            <w:tcW w:w="460" w:type="dxa"/>
            <w:vAlign w:val="bottom"/>
            <w:tcBorders>
              <w:bottom w:val="single" w:sz="8" w:color="E5F1F8"/>
            </w:tcBorders>
            <w:shd w:val="clear" w:color="auto" w:fill="E5F1F8"/>
          </w:tcPr>
          <w:p>
            <w:pPr>
              <w:spacing w:after="0"/>
              <w:rPr>
                <w:sz w:val="18"/>
                <w:szCs w:val="18"/>
                <w:color w:val="auto"/>
              </w:rPr>
            </w:pPr>
          </w:p>
        </w:tc>
        <w:tc>
          <w:tcPr>
            <w:tcW w:w="1160" w:type="dxa"/>
            <w:vAlign w:val="bottom"/>
            <w:tcBorders>
              <w:bottom w:val="single" w:sz="8" w:color="E5F1F8"/>
              <w:right w:val="single" w:sz="8" w:color="007CBA"/>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color w:val="auto"/>
              </w:rPr>
              <w:t>856.3</w:t>
            </w:r>
          </w:p>
        </w:tc>
        <w:tc>
          <w:tcPr>
            <w:tcW w:w="1100" w:type="dxa"/>
            <w:vAlign w:val="bottom"/>
            <w:tcBorders>
              <w:bottom w:val="single" w:sz="8" w:color="E5F1F8"/>
              <w:right w:val="single" w:sz="8" w:color="007CBA"/>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13.9</w:t>
            </w:r>
          </w:p>
        </w:tc>
        <w:tc>
          <w:tcPr>
            <w:tcW w:w="440" w:type="dxa"/>
            <w:vAlign w:val="bottom"/>
            <w:tcBorders>
              <w:bottom w:val="single" w:sz="8" w:color="E5F1F8"/>
            </w:tcBorders>
            <w:shd w:val="clear" w:color="auto" w:fill="E5F1F8"/>
          </w:tcPr>
          <w:p>
            <w:pPr>
              <w:spacing w:after="0"/>
              <w:rPr>
                <w:sz w:val="18"/>
                <w:szCs w:val="18"/>
                <w:color w:val="auto"/>
              </w:rPr>
            </w:pPr>
          </w:p>
        </w:tc>
        <w:tc>
          <w:tcPr>
            <w:tcW w:w="1140" w:type="dxa"/>
            <w:vAlign w:val="bottom"/>
            <w:tcBorders>
              <w:bottom w:val="single" w:sz="8" w:color="E5F1F8"/>
              <w:right w:val="single" w:sz="8" w:color="007CBA"/>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702.3</w:t>
            </w:r>
          </w:p>
        </w:tc>
        <w:tc>
          <w:tcPr>
            <w:tcW w:w="106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13.0</w:t>
            </w:r>
          </w:p>
        </w:tc>
      </w:tr>
      <w:tr>
        <w:trPr>
          <w:trHeight w:val="215"/>
        </w:trPr>
        <w:tc>
          <w:tcPr>
            <w:tcW w:w="5880" w:type="dxa"/>
            <w:vAlign w:val="bottom"/>
          </w:tcPr>
          <w:p>
            <w:pPr>
              <w:ind w:left="120"/>
              <w:spacing w:after="0" w:line="215" w:lineRule="exact"/>
              <w:rPr>
                <w:sz w:val="20"/>
                <w:szCs w:val="20"/>
                <w:color w:val="auto"/>
              </w:rPr>
            </w:pPr>
            <w:r>
              <w:rPr>
                <w:rFonts w:ascii="Calibri" w:cs="Calibri" w:eastAsia="Calibri" w:hAnsi="Calibri"/>
                <w:sz w:val="18"/>
                <w:szCs w:val="18"/>
                <w:color w:val="auto"/>
              </w:rPr>
              <w:t>Earnings from discontnued operatons, net of income tax expense</w:t>
            </w:r>
          </w:p>
        </w:tc>
        <w:tc>
          <w:tcPr>
            <w:tcW w:w="460" w:type="dxa"/>
            <w:vAlign w:val="bottom"/>
          </w:tcPr>
          <w:p>
            <w:pPr>
              <w:spacing w:after="0"/>
              <w:rPr>
                <w:sz w:val="18"/>
                <w:szCs w:val="18"/>
                <w:color w:val="auto"/>
              </w:rPr>
            </w:pPr>
          </w:p>
        </w:tc>
        <w:tc>
          <w:tcPr>
            <w:tcW w:w="11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10.5</w:t>
            </w: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0.5</w:t>
            </w:r>
          </w:p>
        </w:tc>
        <w:tc>
          <w:tcPr>
            <w:tcW w:w="1060" w:type="dxa"/>
            <w:vAlign w:val="bottom"/>
          </w:tcPr>
          <w:p>
            <w:pPr>
              <w:spacing w:after="0"/>
              <w:rPr>
                <w:sz w:val="18"/>
                <w:szCs w:val="18"/>
                <w:color w:val="auto"/>
              </w:rPr>
            </w:pPr>
          </w:p>
        </w:tc>
      </w:tr>
      <w:tr>
        <w:trPr>
          <w:trHeight w:val="28"/>
        </w:trPr>
        <w:tc>
          <w:tcPr>
            <w:tcW w:w="5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880" w:type="dxa"/>
            <w:vAlign w:val="bottom"/>
            <w:tcBorders>
              <w:bottom w:val="single" w:sz="8" w:color="E5F1F8"/>
              <w:right w:val="single" w:sz="8" w:color="007CBA"/>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Consolidated net earnings</w:t>
            </w:r>
          </w:p>
        </w:tc>
        <w:tc>
          <w:tcPr>
            <w:tcW w:w="460" w:type="dxa"/>
            <w:vAlign w:val="bottom"/>
            <w:tcBorders>
              <w:bottom w:val="single" w:sz="8" w:color="E5F1F8"/>
            </w:tcBorders>
            <w:shd w:val="clear" w:color="auto" w:fill="E5F1F8"/>
          </w:tcPr>
          <w:p>
            <w:pPr>
              <w:spacing w:after="0"/>
              <w:rPr>
                <w:sz w:val="18"/>
                <w:szCs w:val="18"/>
                <w:color w:val="auto"/>
              </w:rPr>
            </w:pPr>
          </w:p>
        </w:tc>
        <w:tc>
          <w:tcPr>
            <w:tcW w:w="1160" w:type="dxa"/>
            <w:vAlign w:val="bottom"/>
            <w:tcBorders>
              <w:bottom w:val="single" w:sz="8" w:color="E5F1F8"/>
              <w:right w:val="single" w:sz="8" w:color="007CBA"/>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color w:val="auto"/>
              </w:rPr>
              <w:t>866.8</w:t>
            </w:r>
          </w:p>
        </w:tc>
        <w:tc>
          <w:tcPr>
            <w:tcW w:w="1100" w:type="dxa"/>
            <w:vAlign w:val="bottom"/>
            <w:tcBorders>
              <w:bottom w:val="single" w:sz="8" w:color="E5F1F8"/>
              <w:right w:val="single" w:sz="8" w:color="007CBA"/>
            </w:tcBorders>
            <w:shd w:val="clear" w:color="auto" w:fill="E5F1F8"/>
          </w:tcPr>
          <w:p>
            <w:pPr>
              <w:spacing w:after="0"/>
              <w:rPr>
                <w:sz w:val="18"/>
                <w:szCs w:val="18"/>
                <w:color w:val="auto"/>
              </w:rPr>
            </w:pPr>
          </w:p>
        </w:tc>
        <w:tc>
          <w:tcPr>
            <w:tcW w:w="440" w:type="dxa"/>
            <w:vAlign w:val="bottom"/>
            <w:tcBorders>
              <w:bottom w:val="single" w:sz="8" w:color="E5F1F8"/>
            </w:tcBorders>
            <w:shd w:val="clear" w:color="auto" w:fill="E5F1F8"/>
          </w:tcPr>
          <w:p>
            <w:pPr>
              <w:spacing w:after="0"/>
              <w:rPr>
                <w:sz w:val="18"/>
                <w:szCs w:val="18"/>
                <w:color w:val="auto"/>
              </w:rPr>
            </w:pPr>
          </w:p>
        </w:tc>
        <w:tc>
          <w:tcPr>
            <w:tcW w:w="1140" w:type="dxa"/>
            <w:vAlign w:val="bottom"/>
            <w:tcBorders>
              <w:bottom w:val="single" w:sz="8" w:color="E5F1F8"/>
              <w:right w:val="single" w:sz="8" w:color="007CBA"/>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702.8</w:t>
            </w:r>
          </w:p>
        </w:tc>
        <w:tc>
          <w:tcPr>
            <w:tcW w:w="1060" w:type="dxa"/>
            <w:vAlign w:val="bottom"/>
            <w:tcBorders>
              <w:bottom w:val="single" w:sz="8" w:color="E5F1F8"/>
            </w:tcBorders>
            <w:shd w:val="clear" w:color="auto" w:fill="E5F1F8"/>
          </w:tcPr>
          <w:p>
            <w:pPr>
              <w:spacing w:after="0"/>
              <w:rPr>
                <w:sz w:val="18"/>
                <w:szCs w:val="18"/>
                <w:color w:val="auto"/>
              </w:rPr>
            </w:pPr>
          </w:p>
        </w:tc>
      </w:tr>
      <w:tr>
        <w:trPr>
          <w:trHeight w:val="215"/>
        </w:trPr>
        <w:tc>
          <w:tcPr>
            <w:tcW w:w="5880" w:type="dxa"/>
            <w:vAlign w:val="bottom"/>
          </w:tcPr>
          <w:p>
            <w:pPr>
              <w:ind w:left="120"/>
              <w:spacing w:after="0" w:line="215" w:lineRule="exact"/>
              <w:rPr>
                <w:sz w:val="20"/>
                <w:szCs w:val="20"/>
                <w:color w:val="auto"/>
              </w:rPr>
            </w:pPr>
            <w:r>
              <w:rPr>
                <w:rFonts w:ascii="Calibri" w:cs="Calibri" w:eastAsia="Calibri" w:hAnsi="Calibri"/>
                <w:sz w:val="18"/>
                <w:szCs w:val="18"/>
                <w:color w:val="auto"/>
              </w:rPr>
              <w:t>Less: Net earnings atributable to noncontrolling interests</w:t>
            </w:r>
          </w:p>
        </w:tc>
        <w:tc>
          <w:tcPr>
            <w:tcW w:w="460" w:type="dxa"/>
            <w:vAlign w:val="bottom"/>
          </w:tcPr>
          <w:p>
            <w:pPr>
              <w:spacing w:after="0"/>
              <w:rPr>
                <w:sz w:val="18"/>
                <w:szCs w:val="18"/>
                <w:color w:val="auto"/>
              </w:rPr>
            </w:pPr>
          </w:p>
        </w:tc>
        <w:tc>
          <w:tcPr>
            <w:tcW w:w="11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0.3</w:t>
            </w:r>
          </w:p>
        </w:tc>
        <w:tc>
          <w:tcPr>
            <w:tcW w:w="1060" w:type="dxa"/>
            <w:vAlign w:val="bottom"/>
          </w:tcPr>
          <w:p>
            <w:pPr>
              <w:spacing w:after="0"/>
              <w:rPr>
                <w:sz w:val="18"/>
                <w:szCs w:val="18"/>
                <w:color w:val="auto"/>
              </w:rPr>
            </w:pPr>
          </w:p>
        </w:tc>
      </w:tr>
      <w:tr>
        <w:trPr>
          <w:trHeight w:val="28"/>
        </w:trPr>
        <w:tc>
          <w:tcPr>
            <w:tcW w:w="5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1"/>
        </w:trPr>
        <w:tc>
          <w:tcPr>
            <w:tcW w:w="588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b w:val="1"/>
                <w:bCs w:val="1"/>
                <w:color w:val="auto"/>
              </w:rPr>
              <w:t>Net Earnings Atributable to Martn Marieta</w:t>
            </w:r>
          </w:p>
        </w:tc>
        <w:tc>
          <w:tcPr>
            <w:tcW w:w="460" w:type="dxa"/>
            <w:vAlign w:val="bottom"/>
            <w:tcBorders>
              <w:bottom w:val="single" w:sz="8" w:color="E5F1F8"/>
            </w:tcBorders>
            <w:shd w:val="clear" w:color="auto" w:fill="E5F1F8"/>
          </w:tcPr>
          <w:p>
            <w:pPr>
              <w:jc w:val="right"/>
              <w:ind w:right="110"/>
              <w:spacing w:after="0" w:line="208"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b w:val="1"/>
                <w:bCs w:val="1"/>
                <w:color w:val="auto"/>
              </w:rPr>
              <w:t>866.8</w:t>
            </w:r>
          </w:p>
        </w:tc>
        <w:tc>
          <w:tcPr>
            <w:tcW w:w="1100" w:type="dxa"/>
            <w:vAlign w:val="bottom"/>
            <w:tcBorders>
              <w:bottom w:val="single" w:sz="8" w:color="E5F1F8"/>
              <w:right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b w:val="1"/>
                <w:bCs w:val="1"/>
                <w:color w:val="auto"/>
              </w:rPr>
              <w:t>14.1</w:t>
            </w:r>
          </w:p>
        </w:tc>
        <w:tc>
          <w:tcPr>
            <w:tcW w:w="440" w:type="dxa"/>
            <w:vAlign w:val="bottom"/>
            <w:tcBorders>
              <w:bottom w:val="single" w:sz="8" w:color="E5F1F8"/>
            </w:tcBorders>
            <w:shd w:val="clear" w:color="auto" w:fill="E5F1F8"/>
          </w:tcPr>
          <w:p>
            <w:pPr>
              <w:jc w:val="right"/>
              <w:ind w:right="110"/>
              <w:spacing w:after="0" w:line="208" w:lineRule="exact"/>
              <w:rPr>
                <w:sz w:val="20"/>
                <w:szCs w:val="20"/>
                <w:color w:val="auto"/>
              </w:rPr>
            </w:pPr>
            <w:r>
              <w:rPr>
                <w:rFonts w:ascii="Calibri" w:cs="Calibri" w:eastAsia="Calibri" w:hAnsi="Calibri"/>
                <w:sz w:val="18"/>
                <w:szCs w:val="18"/>
                <w:b w:val="1"/>
                <w:bCs w:val="1"/>
                <w:color w:val="auto"/>
              </w:rPr>
              <w:t>$</w:t>
            </w:r>
          </w:p>
        </w:tc>
        <w:tc>
          <w:tcPr>
            <w:tcW w:w="1140" w:type="dxa"/>
            <w:vAlign w:val="bottom"/>
            <w:tcBorders>
              <w:bottom w:val="single" w:sz="8" w:color="E5F1F8"/>
              <w:right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b w:val="1"/>
                <w:bCs w:val="1"/>
                <w:color w:val="auto"/>
              </w:rPr>
              <w:t>702.5</w:t>
            </w:r>
          </w:p>
        </w:tc>
        <w:tc>
          <w:tcPr>
            <w:tcW w:w="106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b w:val="1"/>
                <w:bCs w:val="1"/>
                <w:color w:val="auto"/>
              </w:rPr>
              <w:t>13.0</w:t>
            </w:r>
          </w:p>
        </w:tc>
      </w:tr>
      <w:tr>
        <w:trPr>
          <w:trHeight w:val="20"/>
        </w:trPr>
        <w:tc>
          <w:tcPr>
            <w:tcW w:w="58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-3046730</wp:posOffset>
            </wp:positionV>
            <wp:extent cx="7132320" cy="3511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32320" cy="3511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-2566670</wp:posOffset>
            </wp:positionV>
            <wp:extent cx="7132320" cy="4927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32320" cy="492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-1778000</wp:posOffset>
            </wp:positionV>
            <wp:extent cx="7132320" cy="3295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32320" cy="329565"/>
                    </a:xfrm>
                    <a:prstGeom prst="rect">
                      <a:avLst/>
                    </a:prstGeom>
                    <a:noFill/>
                  </pic:spPr>
                </pic:pic>
              </a:graphicData>
            </a:graphic>
          </wp:anchor>
        </w:drawing>
        <w:drawing>
          <wp:anchor simplePos="0" relativeHeight="251657728" behindDoc="1" locked="0" layoutInCell="0" allowOverlap="1">
            <wp:simplePos x="0" y="0"/>
            <wp:positionH relativeFrom="column">
              <wp:posOffset>3703955</wp:posOffset>
            </wp:positionH>
            <wp:positionV relativeFrom="paragraph">
              <wp:posOffset>-1306195</wp:posOffset>
            </wp:positionV>
            <wp:extent cx="3432810" cy="1885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3432810" cy="188595"/>
                    </a:xfrm>
                    <a:prstGeom prst="rect">
                      <a:avLst/>
                    </a:prstGeom>
                    <a:noFill/>
                  </pic:spPr>
                </pic:pic>
              </a:graphicData>
            </a:graphic>
          </wp:anchor>
        </w:drawing>
        <w:drawing>
          <wp:anchor simplePos="0" relativeHeight="251657728" behindDoc="1" locked="0" layoutInCell="0" allowOverlap="1">
            <wp:simplePos x="0" y="0"/>
            <wp:positionH relativeFrom="column">
              <wp:posOffset>3703955</wp:posOffset>
            </wp:positionH>
            <wp:positionV relativeFrom="paragraph">
              <wp:posOffset>-989330</wp:posOffset>
            </wp:positionV>
            <wp:extent cx="3432810" cy="1885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3432810" cy="188595"/>
                    </a:xfrm>
                    <a:prstGeom prst="rect">
                      <a:avLst/>
                    </a:prstGeom>
                    <a:noFill/>
                  </pic:spPr>
                </pic:pic>
              </a:graphicData>
            </a:graphic>
          </wp:anchor>
        </w:drawing>
        <w:drawing>
          <wp:anchor simplePos="0" relativeHeight="251657728" behindDoc="1" locked="0" layoutInCell="0" allowOverlap="1">
            <wp:simplePos x="0" y="0"/>
            <wp:positionH relativeFrom="column">
              <wp:posOffset>3703955</wp:posOffset>
            </wp:positionH>
            <wp:positionV relativeFrom="paragraph">
              <wp:posOffset>-671830</wp:posOffset>
            </wp:positionV>
            <wp:extent cx="3432810" cy="1879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3432810" cy="187960"/>
                    </a:xfrm>
                    <a:prstGeom prst="rect">
                      <a:avLst/>
                    </a:prstGeom>
                    <a:noFill/>
                  </pic:spPr>
                </pic:pic>
              </a:graphicData>
            </a:graphic>
          </wp:anchor>
        </w:drawing>
        <w:drawing>
          <wp:anchor simplePos="0" relativeHeight="251657728" behindDoc="1" locked="0" layoutInCell="0" allowOverlap="1">
            <wp:simplePos x="0" y="0"/>
            <wp:positionH relativeFrom="column">
              <wp:posOffset>3703955</wp:posOffset>
            </wp:positionH>
            <wp:positionV relativeFrom="paragraph">
              <wp:posOffset>-354965</wp:posOffset>
            </wp:positionV>
            <wp:extent cx="3432810" cy="3683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3432810" cy="36830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Consolidated Adjusted EBITDA</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Earnings from contnuing operatons before interest; income taxes; depreciaton, depleton and amortzaton; earnings/loss from nonconsolidated equity afliates; acquisiton and integraton expenses; the impact of selling acquired inventory afer its markup to fair value as part of acquisiton accountng; and the nonrecurring gain on the divestture of certain ready mixed concrete operatons (Adjusted EBITDA) is an indicator used by the Company and investors to evaluate the Company’s operatng performance from period to period. Adjusted EBITDA is not defned by generally accepted accountng principles (GAAP) and, as such, should not be construed as an alternatve to net earnings atributable to Martn Marieta, earnings from operatons or operatng cash fow. However, the Company’s management believes that Adjusted EBITDA may provide additonal informaton with respect to the Company’s performance. Since Adjusted EBITDA excludes some, but not all, items that afect net earnings and may vary among companies, Adjusted EBITDA as presented by the Company may not be comparable to similarly ttled measures of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95885</wp:posOffset>
            </wp:positionV>
            <wp:extent cx="325755" cy="1968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4"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ind w:left="370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7 – Management’s Discussion and Analysis of Financial Conditon and Results of Operatons</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a reconciliaton of net earnings from contnuing operatons atributable to Martn Marieta to consolidated Adjusted EBITDA:</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20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560" w:type="dxa"/>
            <w:vAlign w:val="bottom"/>
            <w:shd w:val="clear" w:color="auto" w:fill="007CBA"/>
          </w:tcPr>
          <w:p>
            <w:pPr>
              <w:spacing w:after="0"/>
              <w:rPr>
                <w:sz w:val="20"/>
                <w:szCs w:val="20"/>
                <w:color w:val="auto"/>
              </w:rPr>
            </w:pPr>
          </w:p>
        </w:tc>
        <w:tc>
          <w:tcPr>
            <w:tcW w:w="1400" w:type="dxa"/>
            <w:vAlign w:val="bottom"/>
            <w:tcBorders>
              <w:right w:val="single" w:sz="8" w:color="007CBA"/>
            </w:tcBorders>
            <w:shd w:val="clear" w:color="auto" w:fill="007CBA"/>
          </w:tcPr>
          <w:p>
            <w:pPr>
              <w:spacing w:after="0"/>
              <w:rPr>
                <w:sz w:val="20"/>
                <w:szCs w:val="20"/>
                <w:color w:val="auto"/>
              </w:rPr>
            </w:pPr>
          </w:p>
        </w:tc>
        <w:tc>
          <w:tcPr>
            <w:tcW w:w="540" w:type="dxa"/>
            <w:vAlign w:val="bottom"/>
            <w:shd w:val="clear" w:color="auto" w:fill="007CBA"/>
          </w:tcPr>
          <w:p>
            <w:pPr>
              <w:spacing w:after="0"/>
              <w:rPr>
                <w:sz w:val="20"/>
                <w:szCs w:val="20"/>
                <w:color w:val="auto"/>
              </w:rPr>
            </w:pPr>
          </w:p>
        </w:tc>
        <w:tc>
          <w:tcPr>
            <w:tcW w:w="1540" w:type="dxa"/>
            <w:vAlign w:val="bottom"/>
            <w:shd w:val="clear" w:color="auto" w:fill="007CBA"/>
          </w:tcPr>
          <w:p>
            <w:pPr>
              <w:spacing w:after="0"/>
              <w:rPr>
                <w:sz w:val="20"/>
                <w:szCs w:val="20"/>
                <w:color w:val="auto"/>
              </w:rPr>
            </w:pPr>
          </w:p>
        </w:tc>
      </w:tr>
      <w:tr>
        <w:trPr>
          <w:trHeight w:val="231"/>
        </w:trPr>
        <w:tc>
          <w:tcPr>
            <w:tcW w:w="720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560" w:type="dxa"/>
            <w:vAlign w:val="bottom"/>
            <w:tcBorders>
              <w:bottom w:val="single" w:sz="8" w:color="007CBA"/>
            </w:tcBorders>
            <w:shd w:val="clear" w:color="auto" w:fill="007CBA"/>
          </w:tcPr>
          <w:p>
            <w:pPr>
              <w:spacing w:after="0"/>
              <w:rPr>
                <w:sz w:val="20"/>
                <w:szCs w:val="20"/>
                <w:color w:val="auto"/>
              </w:rPr>
            </w:pPr>
          </w:p>
        </w:tc>
        <w:tc>
          <w:tcPr>
            <w:tcW w:w="1400" w:type="dxa"/>
            <w:vAlign w:val="bottom"/>
            <w:tcBorders>
              <w:bottom w:val="single" w:sz="8" w:color="007CBA"/>
              <w:right w:val="single" w:sz="8" w:color="007CBA"/>
            </w:tcBorders>
            <w:shd w:val="clear" w:color="auto" w:fill="007CBA"/>
          </w:tcPr>
          <w:p>
            <w:pPr>
              <w:jc w:val="right"/>
              <w:ind w:right="690"/>
              <w:spacing w:after="0" w:line="215" w:lineRule="exact"/>
              <w:rPr>
                <w:sz w:val="20"/>
                <w:szCs w:val="20"/>
                <w:color w:val="auto"/>
              </w:rPr>
            </w:pPr>
            <w:r>
              <w:rPr>
                <w:rFonts w:ascii="Calibri" w:cs="Calibri" w:eastAsia="Calibri" w:hAnsi="Calibri"/>
                <w:sz w:val="18"/>
                <w:szCs w:val="18"/>
                <w:b w:val="1"/>
                <w:bCs w:val="1"/>
                <w:color w:val="FFFFFF"/>
              </w:rPr>
              <w:t>2022</w:t>
            </w:r>
          </w:p>
        </w:tc>
        <w:tc>
          <w:tcPr>
            <w:tcW w:w="540" w:type="dxa"/>
            <w:vAlign w:val="bottom"/>
            <w:tcBorders>
              <w:bottom w:val="single" w:sz="8" w:color="007CBA"/>
            </w:tcBorders>
            <w:shd w:val="clear" w:color="auto" w:fill="007CBA"/>
          </w:tcPr>
          <w:p>
            <w:pPr>
              <w:spacing w:after="0"/>
              <w:rPr>
                <w:sz w:val="20"/>
                <w:szCs w:val="20"/>
                <w:color w:val="auto"/>
              </w:rPr>
            </w:pPr>
          </w:p>
        </w:tc>
        <w:tc>
          <w:tcPr>
            <w:tcW w:w="1540" w:type="dxa"/>
            <w:vAlign w:val="bottom"/>
            <w:tcBorders>
              <w:bottom w:val="single" w:sz="8" w:color="007CBA"/>
            </w:tcBorders>
            <w:shd w:val="clear" w:color="auto" w:fill="007CBA"/>
          </w:tcPr>
          <w:p>
            <w:pPr>
              <w:jc w:val="right"/>
              <w:ind w:right="830"/>
              <w:spacing w:after="0" w:line="215" w:lineRule="exact"/>
              <w:rPr>
                <w:sz w:val="20"/>
                <w:szCs w:val="20"/>
                <w:color w:val="auto"/>
              </w:rPr>
            </w:pPr>
            <w:r>
              <w:rPr>
                <w:rFonts w:ascii="Calibri" w:cs="Calibri" w:eastAsia="Calibri" w:hAnsi="Calibri"/>
                <w:sz w:val="18"/>
                <w:szCs w:val="18"/>
                <w:color w:val="FFFFFF"/>
              </w:rPr>
              <w:t>2021</w:t>
            </w:r>
          </w:p>
        </w:tc>
      </w:tr>
      <w:tr>
        <w:trPr>
          <w:trHeight w:val="223"/>
        </w:trPr>
        <w:tc>
          <w:tcPr>
            <w:tcW w:w="720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Net earnings from contnuing operatons atributable to Martn Marieta</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140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856.3</w:t>
            </w:r>
          </w:p>
        </w:tc>
        <w:tc>
          <w:tcPr>
            <w:tcW w:w="54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54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702.0</w:t>
            </w:r>
          </w:p>
        </w:tc>
      </w:tr>
      <w:tr>
        <w:trPr>
          <w:trHeight w:val="215"/>
        </w:trPr>
        <w:tc>
          <w:tcPr>
            <w:tcW w:w="72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Add back:</w:t>
            </w:r>
          </w:p>
        </w:tc>
        <w:tc>
          <w:tcPr>
            <w:tcW w:w="560" w:type="dxa"/>
            <w:vAlign w:val="bottom"/>
          </w:tcPr>
          <w:p>
            <w:pPr>
              <w:spacing w:after="0"/>
              <w:rPr>
                <w:sz w:val="18"/>
                <w:szCs w:val="18"/>
                <w:color w:val="auto"/>
              </w:rPr>
            </w:pPr>
          </w:p>
        </w:tc>
        <w:tc>
          <w:tcPr>
            <w:tcW w:w="1400" w:type="dxa"/>
            <w:vAlign w:val="bottom"/>
            <w:tcBorders>
              <w:right w:val="single" w:sz="8" w:color="007CBA"/>
            </w:tcBorders>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8"/>
        </w:trPr>
        <w:tc>
          <w:tcPr>
            <w:tcW w:w="720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400" w:type="dxa"/>
            <w:vAlign w:val="bottom"/>
            <w:tcBorders>
              <w:right w:val="single" w:sz="8" w:color="007CBA"/>
            </w:tcBorders>
          </w:tcPr>
          <w:p>
            <w:pPr>
              <w:spacing w:after="0"/>
              <w:rPr>
                <w:sz w:val="2"/>
                <w:szCs w:val="2"/>
                <w:color w:val="auto"/>
              </w:rPr>
            </w:pPr>
          </w:p>
        </w:tc>
        <w:tc>
          <w:tcPr>
            <w:tcW w:w="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3"/>
        </w:trPr>
        <w:tc>
          <w:tcPr>
            <w:tcW w:w="7200" w:type="dxa"/>
            <w:vAlign w:val="bottom"/>
            <w:tcBorders>
              <w:bottom w:val="single" w:sz="8" w:color="E5F1F8"/>
              <w:right w:val="single" w:sz="8" w:color="007CBA"/>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Interest expense, net of interest income</w:t>
            </w:r>
          </w:p>
        </w:tc>
        <w:tc>
          <w:tcPr>
            <w:tcW w:w="560" w:type="dxa"/>
            <w:vAlign w:val="bottom"/>
            <w:tcBorders>
              <w:bottom w:val="single" w:sz="8" w:color="E5F1F8"/>
            </w:tcBorders>
            <w:shd w:val="clear" w:color="auto" w:fill="E5F1F8"/>
          </w:tcPr>
          <w:p>
            <w:pPr>
              <w:spacing w:after="0"/>
              <w:rPr>
                <w:sz w:val="19"/>
                <w:szCs w:val="19"/>
                <w:color w:val="auto"/>
              </w:rPr>
            </w:pPr>
          </w:p>
        </w:tc>
        <w:tc>
          <w:tcPr>
            <w:tcW w:w="140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155.4</w:t>
            </w:r>
          </w:p>
        </w:tc>
        <w:tc>
          <w:tcPr>
            <w:tcW w:w="540" w:type="dxa"/>
            <w:vAlign w:val="bottom"/>
            <w:tcBorders>
              <w:bottom w:val="single" w:sz="8" w:color="E5F1F8"/>
            </w:tcBorders>
            <w:shd w:val="clear" w:color="auto" w:fill="E5F1F8"/>
          </w:tcPr>
          <w:p>
            <w:pPr>
              <w:spacing w:after="0"/>
              <w:rPr>
                <w:sz w:val="19"/>
                <w:szCs w:val="19"/>
                <w:color w:val="auto"/>
              </w:rPr>
            </w:pPr>
          </w:p>
        </w:tc>
        <w:tc>
          <w:tcPr>
            <w:tcW w:w="154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142.4</w:t>
            </w:r>
          </w:p>
        </w:tc>
      </w:tr>
      <w:tr>
        <w:trPr>
          <w:trHeight w:val="215"/>
        </w:trPr>
        <w:tc>
          <w:tcPr>
            <w:tcW w:w="7200" w:type="dxa"/>
            <w:vAlign w:val="bottom"/>
            <w:tcBorders>
              <w:right w:val="single" w:sz="8" w:color="007CBA"/>
            </w:tcBorders>
          </w:tcPr>
          <w:p>
            <w:pPr>
              <w:ind w:left="200"/>
              <w:spacing w:after="0" w:line="215" w:lineRule="exact"/>
              <w:rPr>
                <w:sz w:val="20"/>
                <w:szCs w:val="20"/>
                <w:color w:val="auto"/>
              </w:rPr>
            </w:pPr>
            <w:r>
              <w:rPr>
                <w:rFonts w:ascii="Calibri" w:cs="Calibri" w:eastAsia="Calibri" w:hAnsi="Calibri"/>
                <w:sz w:val="18"/>
                <w:szCs w:val="18"/>
                <w:color w:val="auto"/>
              </w:rPr>
              <w:t>Income tax expense for controlling interests</w:t>
            </w:r>
          </w:p>
        </w:tc>
        <w:tc>
          <w:tcPr>
            <w:tcW w:w="560" w:type="dxa"/>
            <w:vAlign w:val="bottom"/>
          </w:tcPr>
          <w:p>
            <w:pPr>
              <w:spacing w:after="0"/>
              <w:rPr>
                <w:sz w:val="18"/>
                <w:szCs w:val="18"/>
                <w:color w:val="auto"/>
              </w:rPr>
            </w:pPr>
          </w:p>
        </w:tc>
        <w:tc>
          <w:tcPr>
            <w:tcW w:w="140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234.8</w:t>
            </w:r>
          </w:p>
        </w:tc>
        <w:tc>
          <w:tcPr>
            <w:tcW w:w="540" w:type="dxa"/>
            <w:vAlign w:val="bottom"/>
          </w:tcPr>
          <w:p>
            <w:pPr>
              <w:spacing w:after="0"/>
              <w:rPr>
                <w:sz w:val="18"/>
                <w:szCs w:val="18"/>
                <w:color w:val="auto"/>
              </w:rPr>
            </w:pPr>
          </w:p>
        </w:tc>
        <w:tc>
          <w:tcPr>
            <w:tcW w:w="154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153.1</w:t>
            </w:r>
          </w:p>
        </w:tc>
      </w:tr>
      <w:tr>
        <w:trPr>
          <w:trHeight w:val="28"/>
        </w:trPr>
        <w:tc>
          <w:tcPr>
            <w:tcW w:w="720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400" w:type="dxa"/>
            <w:vAlign w:val="bottom"/>
            <w:tcBorders>
              <w:right w:val="single" w:sz="8" w:color="007CBA"/>
            </w:tcBorders>
          </w:tcPr>
          <w:p>
            <w:pPr>
              <w:spacing w:after="0"/>
              <w:rPr>
                <w:sz w:val="2"/>
                <w:szCs w:val="2"/>
                <w:color w:val="auto"/>
              </w:rPr>
            </w:pPr>
          </w:p>
        </w:tc>
        <w:tc>
          <w:tcPr>
            <w:tcW w:w="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07"/>
        </w:trPr>
        <w:tc>
          <w:tcPr>
            <w:tcW w:w="7200" w:type="dxa"/>
            <w:vAlign w:val="bottom"/>
            <w:tcBorders>
              <w:right w:val="single" w:sz="8" w:color="007CBA"/>
            </w:tcBorders>
            <w:shd w:val="clear" w:color="auto" w:fill="E5F1F8"/>
          </w:tcPr>
          <w:p>
            <w:pPr>
              <w:ind w:left="200"/>
              <w:spacing w:after="0" w:line="207" w:lineRule="exact"/>
              <w:rPr>
                <w:sz w:val="20"/>
                <w:szCs w:val="20"/>
                <w:color w:val="auto"/>
              </w:rPr>
            </w:pPr>
            <w:r>
              <w:rPr>
                <w:rFonts w:ascii="Calibri" w:cs="Calibri" w:eastAsia="Calibri" w:hAnsi="Calibri"/>
                <w:sz w:val="18"/>
                <w:szCs w:val="18"/>
                <w:color w:val="auto"/>
              </w:rPr>
              <w:t>Depreciaton, depleton and amortzaton expense and earnings/loss from</w:t>
            </w:r>
          </w:p>
        </w:tc>
        <w:tc>
          <w:tcPr>
            <w:tcW w:w="560" w:type="dxa"/>
            <w:vAlign w:val="bottom"/>
            <w:shd w:val="clear" w:color="auto" w:fill="E5F1F8"/>
          </w:tcPr>
          <w:p>
            <w:pPr>
              <w:spacing w:after="0"/>
              <w:rPr>
                <w:sz w:val="18"/>
                <w:szCs w:val="18"/>
                <w:color w:val="auto"/>
              </w:rPr>
            </w:pPr>
          </w:p>
        </w:tc>
        <w:tc>
          <w:tcPr>
            <w:tcW w:w="1400" w:type="dxa"/>
            <w:vAlign w:val="bottom"/>
            <w:tcBorders>
              <w:right w:val="single" w:sz="8" w:color="007CBA"/>
            </w:tcBorders>
            <w:shd w:val="clear" w:color="auto" w:fill="E5F1F8"/>
          </w:tcPr>
          <w:p>
            <w:pPr>
              <w:spacing w:after="0"/>
              <w:rPr>
                <w:sz w:val="18"/>
                <w:szCs w:val="18"/>
                <w:color w:val="auto"/>
              </w:rPr>
            </w:pPr>
          </w:p>
        </w:tc>
        <w:tc>
          <w:tcPr>
            <w:tcW w:w="540" w:type="dxa"/>
            <w:vAlign w:val="bottom"/>
            <w:shd w:val="clear" w:color="auto" w:fill="E5F1F8"/>
          </w:tcPr>
          <w:p>
            <w:pPr>
              <w:spacing w:after="0"/>
              <w:rPr>
                <w:sz w:val="18"/>
                <w:szCs w:val="18"/>
                <w:color w:val="auto"/>
              </w:rPr>
            </w:pPr>
          </w:p>
        </w:tc>
        <w:tc>
          <w:tcPr>
            <w:tcW w:w="1540" w:type="dxa"/>
            <w:vAlign w:val="bottom"/>
            <w:shd w:val="clear" w:color="auto" w:fill="E5F1F8"/>
          </w:tcPr>
          <w:p>
            <w:pPr>
              <w:spacing w:after="0"/>
              <w:rPr>
                <w:sz w:val="18"/>
                <w:szCs w:val="18"/>
                <w:color w:val="auto"/>
              </w:rPr>
            </w:pPr>
          </w:p>
        </w:tc>
      </w:tr>
      <w:tr>
        <w:trPr>
          <w:trHeight w:val="232"/>
        </w:trPr>
        <w:tc>
          <w:tcPr>
            <w:tcW w:w="7200" w:type="dxa"/>
            <w:vAlign w:val="bottom"/>
            <w:tcBorders>
              <w:bottom w:val="single" w:sz="8" w:color="E5F1F8"/>
              <w:right w:val="single" w:sz="8" w:color="007CBA"/>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nonconsolidated equity afliates</w:t>
            </w:r>
          </w:p>
        </w:tc>
        <w:tc>
          <w:tcPr>
            <w:tcW w:w="560" w:type="dxa"/>
            <w:vAlign w:val="bottom"/>
            <w:tcBorders>
              <w:bottom w:val="single" w:sz="8" w:color="E5F1F8"/>
            </w:tcBorders>
            <w:shd w:val="clear" w:color="auto" w:fill="E5F1F8"/>
          </w:tcPr>
          <w:p>
            <w:pPr>
              <w:spacing w:after="0"/>
              <w:rPr>
                <w:sz w:val="20"/>
                <w:szCs w:val="20"/>
                <w:color w:val="auto"/>
              </w:rPr>
            </w:pPr>
          </w:p>
        </w:tc>
        <w:tc>
          <w:tcPr>
            <w:tcW w:w="140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496.6</w:t>
            </w:r>
          </w:p>
        </w:tc>
        <w:tc>
          <w:tcPr>
            <w:tcW w:w="540" w:type="dxa"/>
            <w:vAlign w:val="bottom"/>
            <w:tcBorders>
              <w:bottom w:val="single" w:sz="8" w:color="E5F1F8"/>
            </w:tcBorders>
            <w:shd w:val="clear" w:color="auto" w:fill="E5F1F8"/>
          </w:tcPr>
          <w:p>
            <w:pPr>
              <w:spacing w:after="0"/>
              <w:rPr>
                <w:sz w:val="20"/>
                <w:szCs w:val="20"/>
                <w:color w:val="auto"/>
              </w:rPr>
            </w:pPr>
          </w:p>
        </w:tc>
        <w:tc>
          <w:tcPr>
            <w:tcW w:w="154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442.5</w:t>
            </w:r>
          </w:p>
        </w:tc>
      </w:tr>
      <w:tr>
        <w:trPr>
          <w:trHeight w:val="215"/>
        </w:trPr>
        <w:tc>
          <w:tcPr>
            <w:tcW w:w="7200" w:type="dxa"/>
            <w:vAlign w:val="bottom"/>
            <w:tcBorders>
              <w:right w:val="single" w:sz="8" w:color="007CBA"/>
            </w:tcBorders>
          </w:tcPr>
          <w:p>
            <w:pPr>
              <w:ind w:left="200"/>
              <w:spacing w:after="0" w:line="215" w:lineRule="exact"/>
              <w:rPr>
                <w:sz w:val="20"/>
                <w:szCs w:val="20"/>
                <w:color w:val="auto"/>
              </w:rPr>
            </w:pPr>
            <w:r>
              <w:rPr>
                <w:rFonts w:ascii="Calibri" w:cs="Calibri" w:eastAsia="Calibri" w:hAnsi="Calibri"/>
                <w:sz w:val="18"/>
                <w:szCs w:val="18"/>
                <w:color w:val="auto"/>
              </w:rPr>
              <w:t>Acquisiton and integraton expenses</w:t>
            </w:r>
          </w:p>
        </w:tc>
        <w:tc>
          <w:tcPr>
            <w:tcW w:w="560" w:type="dxa"/>
            <w:vAlign w:val="bottom"/>
          </w:tcPr>
          <w:p>
            <w:pPr>
              <w:spacing w:after="0"/>
              <w:rPr>
                <w:sz w:val="18"/>
                <w:szCs w:val="18"/>
                <w:color w:val="auto"/>
              </w:rPr>
            </w:pPr>
          </w:p>
        </w:tc>
        <w:tc>
          <w:tcPr>
            <w:tcW w:w="140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9.1</w:t>
            </w:r>
          </w:p>
        </w:tc>
        <w:tc>
          <w:tcPr>
            <w:tcW w:w="540" w:type="dxa"/>
            <w:vAlign w:val="bottom"/>
          </w:tcPr>
          <w:p>
            <w:pPr>
              <w:spacing w:after="0"/>
              <w:rPr>
                <w:sz w:val="18"/>
                <w:szCs w:val="18"/>
                <w:color w:val="auto"/>
              </w:rPr>
            </w:pPr>
          </w:p>
        </w:tc>
        <w:tc>
          <w:tcPr>
            <w:tcW w:w="154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57.9</w:t>
            </w:r>
          </w:p>
        </w:tc>
      </w:tr>
      <w:tr>
        <w:trPr>
          <w:trHeight w:val="28"/>
        </w:trPr>
        <w:tc>
          <w:tcPr>
            <w:tcW w:w="720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400" w:type="dxa"/>
            <w:vAlign w:val="bottom"/>
            <w:tcBorders>
              <w:right w:val="single" w:sz="8" w:color="007CBA"/>
            </w:tcBorders>
          </w:tcPr>
          <w:p>
            <w:pPr>
              <w:spacing w:after="0"/>
              <w:rPr>
                <w:sz w:val="2"/>
                <w:szCs w:val="2"/>
                <w:color w:val="auto"/>
              </w:rPr>
            </w:pPr>
          </w:p>
        </w:tc>
        <w:tc>
          <w:tcPr>
            <w:tcW w:w="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07"/>
        </w:trPr>
        <w:tc>
          <w:tcPr>
            <w:tcW w:w="7200" w:type="dxa"/>
            <w:vAlign w:val="bottom"/>
            <w:tcBorders>
              <w:right w:val="single" w:sz="8" w:color="007CBA"/>
            </w:tcBorders>
            <w:shd w:val="clear" w:color="auto" w:fill="E5F1F8"/>
          </w:tcPr>
          <w:p>
            <w:pPr>
              <w:ind w:left="200"/>
              <w:spacing w:after="0" w:line="207" w:lineRule="exact"/>
              <w:rPr>
                <w:sz w:val="20"/>
                <w:szCs w:val="20"/>
                <w:color w:val="auto"/>
              </w:rPr>
            </w:pPr>
            <w:r>
              <w:rPr>
                <w:rFonts w:ascii="Calibri" w:cs="Calibri" w:eastAsia="Calibri" w:hAnsi="Calibri"/>
                <w:sz w:val="18"/>
                <w:szCs w:val="18"/>
                <w:color w:val="auto"/>
              </w:rPr>
              <w:t>Impact of selling acquired inventory afer markup</w:t>
            </w:r>
          </w:p>
        </w:tc>
        <w:tc>
          <w:tcPr>
            <w:tcW w:w="560" w:type="dxa"/>
            <w:vAlign w:val="bottom"/>
            <w:shd w:val="clear" w:color="auto" w:fill="E5F1F8"/>
          </w:tcPr>
          <w:p>
            <w:pPr>
              <w:spacing w:after="0"/>
              <w:rPr>
                <w:sz w:val="18"/>
                <w:szCs w:val="18"/>
                <w:color w:val="auto"/>
              </w:rPr>
            </w:pPr>
          </w:p>
        </w:tc>
        <w:tc>
          <w:tcPr>
            <w:tcW w:w="1400" w:type="dxa"/>
            <w:vAlign w:val="bottom"/>
            <w:tcBorders>
              <w:right w:val="single" w:sz="8" w:color="007CBA"/>
            </w:tcBorders>
            <w:shd w:val="clear" w:color="auto" w:fill="E5F1F8"/>
          </w:tcPr>
          <w:p>
            <w:pPr>
              <w:spacing w:after="0"/>
              <w:rPr>
                <w:sz w:val="18"/>
                <w:szCs w:val="18"/>
                <w:color w:val="auto"/>
              </w:rPr>
            </w:pPr>
          </w:p>
        </w:tc>
        <w:tc>
          <w:tcPr>
            <w:tcW w:w="540" w:type="dxa"/>
            <w:vAlign w:val="bottom"/>
            <w:shd w:val="clear" w:color="auto" w:fill="E5F1F8"/>
          </w:tcPr>
          <w:p>
            <w:pPr>
              <w:spacing w:after="0"/>
              <w:rPr>
                <w:sz w:val="18"/>
                <w:szCs w:val="18"/>
                <w:color w:val="auto"/>
              </w:rPr>
            </w:pPr>
          </w:p>
        </w:tc>
        <w:tc>
          <w:tcPr>
            <w:tcW w:w="1540" w:type="dxa"/>
            <w:vAlign w:val="bottom"/>
            <w:shd w:val="clear" w:color="auto" w:fill="E5F1F8"/>
          </w:tcPr>
          <w:p>
            <w:pPr>
              <w:spacing w:after="0"/>
              <w:rPr>
                <w:sz w:val="18"/>
                <w:szCs w:val="18"/>
                <w:color w:val="auto"/>
              </w:rPr>
            </w:pPr>
          </w:p>
        </w:tc>
      </w:tr>
      <w:tr>
        <w:trPr>
          <w:trHeight w:val="232"/>
        </w:trPr>
        <w:tc>
          <w:tcPr>
            <w:tcW w:w="7200" w:type="dxa"/>
            <w:vAlign w:val="bottom"/>
            <w:tcBorders>
              <w:bottom w:val="single" w:sz="8" w:color="E5F1F8"/>
              <w:right w:val="single" w:sz="8" w:color="007CBA"/>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to fair value as part of acquisiton accountng</w:t>
            </w:r>
          </w:p>
        </w:tc>
        <w:tc>
          <w:tcPr>
            <w:tcW w:w="560" w:type="dxa"/>
            <w:vAlign w:val="bottom"/>
            <w:tcBorders>
              <w:bottom w:val="single" w:sz="8" w:color="E5F1F8"/>
            </w:tcBorders>
            <w:shd w:val="clear" w:color="auto" w:fill="E5F1F8"/>
          </w:tcPr>
          <w:p>
            <w:pPr>
              <w:spacing w:after="0"/>
              <w:rPr>
                <w:sz w:val="20"/>
                <w:szCs w:val="20"/>
                <w:color w:val="auto"/>
              </w:rPr>
            </w:pPr>
          </w:p>
        </w:tc>
        <w:tc>
          <w:tcPr>
            <w:tcW w:w="140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540" w:type="dxa"/>
            <w:vAlign w:val="bottom"/>
            <w:tcBorders>
              <w:bottom w:val="single" w:sz="8" w:color="E5F1F8"/>
            </w:tcBorders>
            <w:shd w:val="clear" w:color="auto" w:fill="E5F1F8"/>
          </w:tcPr>
          <w:p>
            <w:pPr>
              <w:spacing w:after="0"/>
              <w:rPr>
                <w:sz w:val="20"/>
                <w:szCs w:val="20"/>
                <w:color w:val="auto"/>
              </w:rPr>
            </w:pPr>
          </w:p>
        </w:tc>
        <w:tc>
          <w:tcPr>
            <w:tcW w:w="154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30.6</w:t>
            </w:r>
          </w:p>
        </w:tc>
      </w:tr>
      <w:tr>
        <w:trPr>
          <w:trHeight w:val="215"/>
        </w:trPr>
        <w:tc>
          <w:tcPr>
            <w:tcW w:w="7200" w:type="dxa"/>
            <w:vAlign w:val="bottom"/>
          </w:tcPr>
          <w:p>
            <w:pPr>
              <w:ind w:left="200"/>
              <w:spacing w:after="0" w:line="215" w:lineRule="exact"/>
              <w:rPr>
                <w:sz w:val="20"/>
                <w:szCs w:val="20"/>
                <w:color w:val="auto"/>
              </w:rPr>
            </w:pPr>
            <w:r>
              <w:rPr>
                <w:rFonts w:ascii="Calibri" w:cs="Calibri" w:eastAsia="Calibri" w:hAnsi="Calibri"/>
                <w:sz w:val="18"/>
                <w:szCs w:val="18"/>
                <w:color w:val="auto"/>
              </w:rPr>
              <w:t>Nonrecurring gain on divestture</w:t>
            </w:r>
          </w:p>
        </w:tc>
        <w:tc>
          <w:tcPr>
            <w:tcW w:w="560" w:type="dxa"/>
            <w:vAlign w:val="bottom"/>
          </w:tcPr>
          <w:p>
            <w:pPr>
              <w:spacing w:after="0"/>
              <w:rPr>
                <w:sz w:val="18"/>
                <w:szCs w:val="18"/>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(151.9 )</w:t>
            </w:r>
          </w:p>
        </w:tc>
        <w:tc>
          <w:tcPr>
            <w:tcW w:w="540" w:type="dxa"/>
            <w:vAlign w:val="bottom"/>
          </w:tcPr>
          <w:p>
            <w:pPr>
              <w:spacing w:after="0"/>
              <w:rPr>
                <w:sz w:val="18"/>
                <w:szCs w:val="18"/>
                <w:color w:val="auto"/>
              </w:rPr>
            </w:pPr>
          </w:p>
        </w:tc>
        <w:tc>
          <w:tcPr>
            <w:tcW w:w="154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7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2"/>
        </w:trPr>
        <w:tc>
          <w:tcPr>
            <w:tcW w:w="720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Consolidated Adjusted EBITDA</w:t>
            </w:r>
          </w:p>
        </w:tc>
        <w:tc>
          <w:tcPr>
            <w:tcW w:w="560" w:type="dxa"/>
            <w:vAlign w:val="bottom"/>
            <w:tcBorders>
              <w:bottom w:val="single" w:sz="8" w:color="E5F1F8"/>
            </w:tcBorders>
            <w:shd w:val="clear" w:color="auto" w:fill="E5F1F8"/>
          </w:tcPr>
          <w:p>
            <w:pPr>
              <w:jc w:val="right"/>
              <w:ind w:right="190"/>
              <w:spacing w:after="0" w:line="208" w:lineRule="exact"/>
              <w:rPr>
                <w:sz w:val="20"/>
                <w:szCs w:val="20"/>
                <w:color w:val="auto"/>
              </w:rPr>
            </w:pPr>
            <w:r>
              <w:rPr>
                <w:rFonts w:ascii="Calibri" w:cs="Calibri" w:eastAsia="Calibri" w:hAnsi="Calibri"/>
                <w:sz w:val="18"/>
                <w:szCs w:val="18"/>
                <w:b w:val="1"/>
                <w:bCs w:val="1"/>
                <w:color w:val="auto"/>
              </w:rPr>
              <w:t>$</w:t>
            </w:r>
          </w:p>
        </w:tc>
        <w:tc>
          <w:tcPr>
            <w:tcW w:w="140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b w:val="1"/>
                <w:bCs w:val="1"/>
                <w:color w:val="auto"/>
              </w:rPr>
              <w:t>1,600.3</w:t>
            </w:r>
          </w:p>
        </w:tc>
        <w:tc>
          <w:tcPr>
            <w:tcW w:w="540" w:type="dxa"/>
            <w:vAlign w:val="bottom"/>
            <w:tcBorders>
              <w:bottom w:val="single" w:sz="8" w:color="E5F1F8"/>
            </w:tcBorders>
            <w:shd w:val="clear" w:color="auto" w:fill="E5F1F8"/>
          </w:tcPr>
          <w:p>
            <w:pPr>
              <w:jc w:val="right"/>
              <w:ind w:right="170"/>
              <w:spacing w:after="0" w:line="208" w:lineRule="exact"/>
              <w:rPr>
                <w:sz w:val="20"/>
                <w:szCs w:val="20"/>
                <w:color w:val="auto"/>
              </w:rPr>
            </w:pPr>
            <w:r>
              <w:rPr>
                <w:rFonts w:ascii="Calibri" w:cs="Calibri" w:eastAsia="Calibri" w:hAnsi="Calibri"/>
                <w:sz w:val="18"/>
                <w:szCs w:val="18"/>
                <w:color w:val="auto"/>
              </w:rPr>
              <w:t>$</w:t>
            </w:r>
          </w:p>
        </w:tc>
        <w:tc>
          <w:tcPr>
            <w:tcW w:w="1540" w:type="dxa"/>
            <w:vAlign w:val="bottom"/>
            <w:tcBorders>
              <w:bottom w:val="single" w:sz="8" w:color="E5F1F8"/>
            </w:tcBorders>
            <w:shd w:val="clear" w:color="auto" w:fill="E5F1F8"/>
          </w:tcPr>
          <w:p>
            <w:pPr>
              <w:jc w:val="right"/>
              <w:ind w:right="210"/>
              <w:spacing w:after="0" w:line="208" w:lineRule="exact"/>
              <w:rPr>
                <w:sz w:val="20"/>
                <w:szCs w:val="20"/>
                <w:color w:val="auto"/>
              </w:rPr>
            </w:pPr>
            <w:r>
              <w:rPr>
                <w:rFonts w:ascii="Calibri" w:cs="Calibri" w:eastAsia="Calibri" w:hAnsi="Calibri"/>
                <w:sz w:val="18"/>
                <w:szCs w:val="18"/>
                <w:color w:val="auto"/>
              </w:rPr>
              <w:t>1,528.5</w:t>
            </w:r>
          </w:p>
        </w:tc>
      </w:tr>
      <w:tr>
        <w:trPr>
          <w:trHeight w:val="20"/>
        </w:trPr>
        <w:tc>
          <w:tcPr>
            <w:tcW w:w="7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4544060</wp:posOffset>
            </wp:positionH>
            <wp:positionV relativeFrom="paragraph">
              <wp:posOffset>-354965</wp:posOffset>
            </wp:positionV>
            <wp:extent cx="2592705" cy="3683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2592705" cy="368300"/>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282575</wp:posOffset>
            </wp:positionV>
            <wp:extent cx="325755" cy="1974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211"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Mix-Adjusted Average Selling Price</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Mix-adjusted average selling price (mix-adjusted ASP) is a non-GAAP measure that excludes the impacts of period-over-period product, geographic and other mix on the average selling price. Mix-adjusted ASP is calculated by comparing current-period shipments to like-for-like shipments in the comparable prior period. Management uses this metric to evaluate the realizaton of pricing increases and believes this informaton is useful to investors. The following reconciles reported average selling price to mix-adjusted ASP and corresponding variances: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543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16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ind w:right="690"/>
              <w:spacing w:after="0" w:line="215" w:lineRule="exact"/>
              <w:rPr>
                <w:sz w:val="20"/>
                <w:szCs w:val="20"/>
                <w:color w:val="auto"/>
              </w:rPr>
            </w:pPr>
            <w:r>
              <w:rPr>
                <w:rFonts w:ascii="Calibri" w:cs="Calibri" w:eastAsia="Calibri" w:hAnsi="Calibri"/>
                <w:sz w:val="18"/>
                <w:szCs w:val="18"/>
                <w:b w:val="1"/>
                <w:bCs w:val="1"/>
                <w:color w:val="FFFFFF"/>
              </w:rPr>
              <w:t>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1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b w:val="1"/>
                <w:bCs w:val="1"/>
                <w:color w:val="auto"/>
              </w:rPr>
              <w:t>East Group - Aggregates: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Borders>
              <w:right w:val="single" w:sz="8" w:color="007CBA"/>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7160" w:type="dxa"/>
            <w:vAlign w:val="bottom"/>
            <w:tcBorders>
              <w:right w:val="single" w:sz="8" w:color="007CBA"/>
            </w:tcBorders>
          </w:tcPr>
          <w:p>
            <w:pPr>
              <w:ind w:left="120"/>
              <w:spacing w:after="0"/>
              <w:rPr>
                <w:sz w:val="20"/>
                <w:szCs w:val="20"/>
                <w:color w:val="auto"/>
              </w:rPr>
            </w:pPr>
            <w:r>
              <w:rPr>
                <w:rFonts w:ascii="Calibri" w:cs="Calibri" w:eastAsia="Calibri" w:hAnsi="Calibri"/>
                <w:sz w:val="18"/>
                <w:szCs w:val="18"/>
                <w:color w:val="auto"/>
              </w:rPr>
              <w:t>Reported average selling price</w:t>
            </w:r>
          </w:p>
        </w:tc>
        <w:tc>
          <w:tcPr>
            <w:tcW w:w="580" w:type="dxa"/>
            <w:vAlign w:val="bottom"/>
            <w:gridSpan w:val="2"/>
          </w:tcPr>
          <w:p>
            <w:pPr>
              <w:jc w:val="right"/>
              <w:ind w:right="190"/>
              <w:spacing w:after="0"/>
              <w:rPr>
                <w:sz w:val="20"/>
                <w:szCs w:val="20"/>
                <w:color w:val="auto"/>
              </w:rPr>
            </w:pPr>
            <w:r>
              <w:rPr>
                <w:rFonts w:ascii="Calibri" w:cs="Calibri" w:eastAsia="Calibri" w:hAnsi="Calibri"/>
                <w:sz w:val="18"/>
                <w:szCs w:val="18"/>
                <w:b w:val="1"/>
                <w:bCs w:val="1"/>
                <w:color w:val="auto"/>
              </w:rPr>
              <w:t>$</w:t>
            </w:r>
          </w:p>
        </w:tc>
        <w:tc>
          <w:tcPr>
            <w:tcW w:w="1420" w:type="dxa"/>
            <w:vAlign w:val="bottom"/>
            <w:tcBorders>
              <w:right w:val="single" w:sz="8" w:color="007CBA"/>
            </w:tcBorders>
          </w:tcPr>
          <w:p>
            <w:pPr>
              <w:jc w:val="right"/>
              <w:ind w:right="50"/>
              <w:spacing w:after="0"/>
              <w:rPr>
                <w:sz w:val="20"/>
                <w:szCs w:val="20"/>
                <w:color w:val="auto"/>
              </w:rPr>
            </w:pPr>
            <w:r>
              <w:rPr>
                <w:rFonts w:ascii="Calibri" w:cs="Calibri" w:eastAsia="Calibri" w:hAnsi="Calibri"/>
                <w:sz w:val="18"/>
                <w:szCs w:val="18"/>
                <w:b w:val="1"/>
                <w:bCs w:val="1"/>
                <w:color w:val="auto"/>
              </w:rPr>
              <w:t>17.19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7160" w:type="dxa"/>
            <w:vAlign w:val="bottom"/>
            <w:tcBorders>
              <w:bottom w:val="single" w:sz="8" w:color="E5F1F8"/>
              <w:right w:val="single" w:sz="8" w:color="007CBA"/>
            </w:tcBorders>
            <w:shd w:val="clear" w:color="auto" w:fill="E5F1F8"/>
          </w:tcPr>
          <w:p>
            <w:pPr>
              <w:ind w:left="120"/>
              <w:spacing w:after="0"/>
              <w:rPr>
                <w:sz w:val="20"/>
                <w:szCs w:val="20"/>
                <w:color w:val="auto"/>
              </w:rPr>
            </w:pPr>
            <w:r>
              <w:rPr>
                <w:rFonts w:ascii="Calibri" w:cs="Calibri" w:eastAsia="Calibri" w:hAnsi="Calibri"/>
                <w:sz w:val="18"/>
                <w:szCs w:val="18"/>
                <w:color w:val="auto"/>
              </w:rPr>
              <w:t>Adjustment for impact of product, geographic and other mix</w:t>
            </w:r>
          </w:p>
        </w:tc>
        <w:tc>
          <w:tcPr>
            <w:tcW w:w="200" w:type="dxa"/>
            <w:vAlign w:val="bottom"/>
            <w:tcBorders>
              <w:bottom w:val="single" w:sz="8" w:color="E5F1F8"/>
            </w:tcBorders>
            <w:shd w:val="clear" w:color="auto" w:fill="E5F1F8"/>
          </w:tcPr>
          <w:p>
            <w:pPr>
              <w:spacing w:after="0"/>
              <w:rPr>
                <w:sz w:val="21"/>
                <w:szCs w:val="21"/>
                <w:color w:val="auto"/>
              </w:rPr>
            </w:pPr>
          </w:p>
        </w:tc>
        <w:tc>
          <w:tcPr>
            <w:tcW w:w="380" w:type="dxa"/>
            <w:vAlign w:val="bottom"/>
            <w:tcBorders>
              <w:bottom w:val="single" w:sz="8" w:color="E5F1F8"/>
            </w:tcBorders>
            <w:shd w:val="clear" w:color="auto" w:fill="E5F1F8"/>
          </w:tcPr>
          <w:p>
            <w:pPr>
              <w:spacing w:after="0"/>
              <w:rPr>
                <w:sz w:val="21"/>
                <w:szCs w:val="21"/>
                <w:color w:val="auto"/>
              </w:rPr>
            </w:pPr>
          </w:p>
        </w:tc>
        <w:tc>
          <w:tcPr>
            <w:tcW w:w="142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(0.19 )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60" w:type="dxa"/>
            <w:vAlign w:val="bottom"/>
            <w:tcBorders>
              <w:top w:val="single" w:sz="8" w:color="E5F1F8"/>
              <w:right w:val="single" w:sz="8" w:color="007CBA"/>
            </w:tcBorders>
          </w:tcPr>
          <w:p>
            <w:pPr>
              <w:ind w:left="120"/>
              <w:spacing w:after="0"/>
              <w:rPr>
                <w:sz w:val="20"/>
                <w:szCs w:val="20"/>
                <w:color w:val="auto"/>
              </w:rPr>
            </w:pPr>
            <w:r>
              <w:rPr>
                <w:rFonts w:ascii="Calibri" w:cs="Calibri" w:eastAsia="Calibri" w:hAnsi="Calibri"/>
                <w:sz w:val="18"/>
                <w:szCs w:val="18"/>
                <w:color w:val="auto"/>
              </w:rPr>
              <w:t>Mix-adjusted ASP</w:t>
            </w:r>
          </w:p>
        </w:tc>
        <w:tc>
          <w:tcPr>
            <w:tcW w:w="200" w:type="dxa"/>
            <w:vAlign w:val="bottom"/>
            <w:tcBorders>
              <w:top w:val="single" w:sz="8" w:color="E5F1F8"/>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90"/>
              <w:spacing w:after="0" w:line="215" w:lineRule="exact"/>
              <w:rPr>
                <w:sz w:val="20"/>
                <w:szCs w:val="20"/>
                <w:color w:val="auto"/>
              </w:rPr>
            </w:pPr>
            <w:r>
              <w:rPr>
                <w:rFonts w:ascii="Calibri" w:cs="Calibri" w:eastAsia="Calibri" w:hAnsi="Calibri"/>
                <w:sz w:val="18"/>
                <w:szCs w:val="18"/>
                <w:b w:val="1"/>
                <w:bCs w:val="1"/>
                <w:color w:val="auto"/>
                <w:w w:val="87"/>
              </w:rPr>
              <w:t>$</w:t>
            </w:r>
          </w:p>
        </w:tc>
        <w:tc>
          <w:tcPr>
            <w:tcW w:w="1420" w:type="dxa"/>
            <w:vAlign w:val="bottom"/>
            <w:tcBorders>
              <w:top w:val="single" w:sz="8" w:color="auto"/>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17.00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60" w:type="dxa"/>
            <w:vAlign w:val="bottom"/>
            <w:tcBorders>
              <w:right w:val="single" w:sz="8" w:color="007CBA"/>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60" w:type="dxa"/>
            <w:vAlign w:val="bottom"/>
            <w:tcBorders>
              <w:right w:val="single" w:sz="8" w:color="007CBA"/>
            </w:tcBorders>
            <w:shd w:val="clear" w:color="auto" w:fill="E5F1F8"/>
          </w:tcPr>
          <w:p>
            <w:pPr>
              <w:spacing w:after="0"/>
              <w:rPr>
                <w:sz w:val="19"/>
                <w:szCs w:val="19"/>
                <w:color w:val="auto"/>
              </w:rPr>
            </w:pPr>
          </w:p>
        </w:tc>
        <w:tc>
          <w:tcPr>
            <w:tcW w:w="200" w:type="dxa"/>
            <w:vAlign w:val="bottom"/>
            <w:shd w:val="clear" w:color="auto" w:fill="E5F1F8"/>
          </w:tcPr>
          <w:p>
            <w:pPr>
              <w:spacing w:after="0"/>
              <w:rPr>
                <w:sz w:val="19"/>
                <w:szCs w:val="19"/>
                <w:color w:val="auto"/>
              </w:rPr>
            </w:pPr>
          </w:p>
        </w:tc>
        <w:tc>
          <w:tcPr>
            <w:tcW w:w="380" w:type="dxa"/>
            <w:vAlign w:val="bottom"/>
            <w:tcBorders>
              <w:top w:val="single" w:sz="8" w:color="auto"/>
            </w:tcBorders>
            <w:shd w:val="clear" w:color="auto" w:fill="E5F1F8"/>
          </w:tcPr>
          <w:p>
            <w:pPr>
              <w:spacing w:after="0"/>
              <w:rPr>
                <w:sz w:val="19"/>
                <w:szCs w:val="19"/>
                <w:color w:val="auto"/>
              </w:rPr>
            </w:pPr>
          </w:p>
        </w:tc>
        <w:tc>
          <w:tcPr>
            <w:tcW w:w="1420" w:type="dxa"/>
            <w:vAlign w:val="bottom"/>
            <w:tcBorders>
              <w:top w:val="single" w:sz="8" w:color="auto"/>
              <w:right w:val="single" w:sz="8" w:color="007CBA"/>
            </w:tcBorders>
            <w:shd w:val="clear" w:color="auto" w:fill="E5F1F8"/>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160" w:type="dxa"/>
            <w:vAlign w:val="bottom"/>
            <w:tcBorders>
              <w:right w:val="single" w:sz="8" w:color="007CBA"/>
            </w:tcBorders>
          </w:tcPr>
          <w:p>
            <w:pPr>
              <w:ind w:left="120"/>
              <w:spacing w:after="0"/>
              <w:rPr>
                <w:sz w:val="20"/>
                <w:szCs w:val="20"/>
                <w:color w:val="auto"/>
              </w:rPr>
            </w:pPr>
            <w:r>
              <w:rPr>
                <w:rFonts w:ascii="Calibri" w:cs="Calibri" w:eastAsia="Calibri" w:hAnsi="Calibri"/>
                <w:sz w:val="18"/>
                <w:szCs w:val="18"/>
                <w:color w:val="auto"/>
              </w:rPr>
              <w:t>Reported average selling price variance</w:t>
            </w:r>
          </w:p>
        </w:tc>
        <w:tc>
          <w:tcPr>
            <w:tcW w:w="2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10.5 %</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160" w:type="dxa"/>
            <w:vAlign w:val="bottom"/>
            <w:tcBorders>
              <w:right w:val="single" w:sz="8" w:color="007CBA"/>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160" w:type="dxa"/>
            <w:vAlign w:val="bottom"/>
            <w:tcBorders>
              <w:bottom w:val="single" w:sz="8" w:color="E5F1F8"/>
              <w:right w:val="single" w:sz="8" w:color="007CBA"/>
            </w:tcBorders>
            <w:shd w:val="clear" w:color="auto" w:fill="E5F1F8"/>
          </w:tcPr>
          <w:p>
            <w:pPr>
              <w:ind w:left="120"/>
              <w:spacing w:after="0"/>
              <w:rPr>
                <w:sz w:val="20"/>
                <w:szCs w:val="20"/>
                <w:color w:val="auto"/>
              </w:rPr>
            </w:pPr>
            <w:r>
              <w:rPr>
                <w:rFonts w:ascii="Calibri" w:cs="Calibri" w:eastAsia="Calibri" w:hAnsi="Calibri"/>
                <w:sz w:val="18"/>
                <w:szCs w:val="18"/>
                <w:color w:val="auto"/>
              </w:rPr>
              <w:t>Mix-adjusted ASP variance</w:t>
            </w:r>
          </w:p>
        </w:tc>
        <w:tc>
          <w:tcPr>
            <w:tcW w:w="200" w:type="dxa"/>
            <w:vAlign w:val="bottom"/>
            <w:tcBorders>
              <w:bottom w:val="single" w:sz="8" w:color="E5F1F8"/>
            </w:tcBorders>
            <w:shd w:val="clear" w:color="auto" w:fill="E5F1F8"/>
          </w:tcPr>
          <w:p>
            <w:pPr>
              <w:spacing w:after="0"/>
              <w:rPr>
                <w:sz w:val="22"/>
                <w:szCs w:val="22"/>
                <w:color w:val="auto"/>
              </w:rPr>
            </w:pPr>
          </w:p>
        </w:tc>
        <w:tc>
          <w:tcPr>
            <w:tcW w:w="380" w:type="dxa"/>
            <w:vAlign w:val="bottom"/>
            <w:tcBorders>
              <w:top w:val="single" w:sz="8" w:color="auto"/>
              <w:bottom w:val="single" w:sz="8" w:color="auto"/>
            </w:tcBorders>
            <w:shd w:val="clear" w:color="auto" w:fill="E5F1F8"/>
          </w:tcPr>
          <w:p>
            <w:pPr>
              <w:spacing w:after="0"/>
              <w:rPr>
                <w:sz w:val="22"/>
                <w:szCs w:val="22"/>
                <w:color w:val="auto"/>
              </w:rPr>
            </w:pPr>
          </w:p>
        </w:tc>
        <w:tc>
          <w:tcPr>
            <w:tcW w:w="1420" w:type="dxa"/>
            <w:vAlign w:val="bottom"/>
            <w:tcBorders>
              <w:top w:val="single" w:sz="8" w:color="auto"/>
              <w:bottom w:val="single" w:sz="8" w:color="auto"/>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9.3 %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0"/>
        </w:trPr>
        <w:tc>
          <w:tcPr>
            <w:tcW w:w="7160" w:type="dxa"/>
            <w:vAlign w:val="bottom"/>
            <w:tcBorders>
              <w:right w:val="single" w:sz="8" w:color="007CBA"/>
            </w:tcBorders>
          </w:tcPr>
          <w:p>
            <w:pPr>
              <w:ind w:left="120"/>
              <w:spacing w:after="0"/>
              <w:rPr>
                <w:sz w:val="20"/>
                <w:szCs w:val="20"/>
                <w:color w:val="auto"/>
              </w:rPr>
            </w:pPr>
            <w:r>
              <w:rPr>
                <w:rFonts w:ascii="Calibri" w:cs="Calibri" w:eastAsia="Calibri" w:hAnsi="Calibri"/>
                <w:sz w:val="18"/>
                <w:szCs w:val="18"/>
                <w:b w:val="1"/>
                <w:bCs w:val="1"/>
                <w:color w:val="auto"/>
              </w:rPr>
              <w:t>West Group - Aggregates:</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Borders>
              <w:right w:val="single" w:sz="8" w:color="007CB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7160" w:type="dxa"/>
            <w:vAlign w:val="bottom"/>
            <w:tcBorders>
              <w:right w:val="single" w:sz="8" w:color="007CBA"/>
            </w:tcBorders>
          </w:tcPr>
          <w:p>
            <w:pPr>
              <w:ind w:left="120"/>
              <w:spacing w:after="0"/>
              <w:rPr>
                <w:sz w:val="20"/>
                <w:szCs w:val="20"/>
                <w:color w:val="auto"/>
              </w:rPr>
            </w:pPr>
            <w:r>
              <w:rPr>
                <w:rFonts w:ascii="Calibri" w:cs="Calibri" w:eastAsia="Calibri" w:hAnsi="Calibri"/>
                <w:sz w:val="18"/>
                <w:szCs w:val="18"/>
                <w:color w:val="auto"/>
              </w:rPr>
              <w:t>Reported average selling price</w:t>
            </w:r>
          </w:p>
        </w:tc>
        <w:tc>
          <w:tcPr>
            <w:tcW w:w="580" w:type="dxa"/>
            <w:vAlign w:val="bottom"/>
            <w:gridSpan w:val="2"/>
          </w:tcPr>
          <w:p>
            <w:pPr>
              <w:jc w:val="right"/>
              <w:ind w:right="190"/>
              <w:spacing w:after="0"/>
              <w:rPr>
                <w:sz w:val="20"/>
                <w:szCs w:val="20"/>
                <w:color w:val="auto"/>
              </w:rPr>
            </w:pPr>
            <w:r>
              <w:rPr>
                <w:rFonts w:ascii="Calibri" w:cs="Calibri" w:eastAsia="Calibri" w:hAnsi="Calibri"/>
                <w:sz w:val="18"/>
                <w:szCs w:val="18"/>
                <w:b w:val="1"/>
                <w:bCs w:val="1"/>
                <w:color w:val="auto"/>
              </w:rPr>
              <w:t>$</w:t>
            </w:r>
          </w:p>
        </w:tc>
        <w:tc>
          <w:tcPr>
            <w:tcW w:w="1420" w:type="dxa"/>
            <w:vAlign w:val="bottom"/>
            <w:tcBorders>
              <w:right w:val="single" w:sz="8" w:color="007CBA"/>
            </w:tcBorders>
          </w:tcPr>
          <w:p>
            <w:pPr>
              <w:jc w:val="right"/>
              <w:ind w:right="50"/>
              <w:spacing w:after="0"/>
              <w:rPr>
                <w:sz w:val="20"/>
                <w:szCs w:val="20"/>
                <w:color w:val="auto"/>
              </w:rPr>
            </w:pPr>
            <w:r>
              <w:rPr>
                <w:rFonts w:ascii="Calibri" w:cs="Calibri" w:eastAsia="Calibri" w:hAnsi="Calibri"/>
                <w:sz w:val="18"/>
                <w:szCs w:val="18"/>
                <w:b w:val="1"/>
                <w:bCs w:val="1"/>
                <w:color w:val="auto"/>
              </w:rPr>
              <w:t>15.93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7160" w:type="dxa"/>
            <w:vAlign w:val="bottom"/>
            <w:tcBorders>
              <w:bottom w:val="single" w:sz="8" w:color="E5F1F8"/>
              <w:right w:val="single" w:sz="8" w:color="007CBA"/>
            </w:tcBorders>
            <w:shd w:val="clear" w:color="auto" w:fill="E5F1F8"/>
          </w:tcPr>
          <w:p>
            <w:pPr>
              <w:ind w:left="120"/>
              <w:spacing w:after="0"/>
              <w:rPr>
                <w:sz w:val="20"/>
                <w:szCs w:val="20"/>
                <w:color w:val="auto"/>
              </w:rPr>
            </w:pPr>
            <w:r>
              <w:rPr>
                <w:rFonts w:ascii="Calibri" w:cs="Calibri" w:eastAsia="Calibri" w:hAnsi="Calibri"/>
                <w:sz w:val="18"/>
                <w:szCs w:val="18"/>
                <w:color w:val="auto"/>
              </w:rPr>
              <w:t>Adjustment for impact of product, geographic and other mix</w:t>
            </w:r>
          </w:p>
        </w:tc>
        <w:tc>
          <w:tcPr>
            <w:tcW w:w="200" w:type="dxa"/>
            <w:vAlign w:val="bottom"/>
            <w:tcBorders>
              <w:bottom w:val="single" w:sz="8" w:color="E5F1F8"/>
            </w:tcBorders>
            <w:shd w:val="clear" w:color="auto" w:fill="E5F1F8"/>
          </w:tcPr>
          <w:p>
            <w:pPr>
              <w:spacing w:after="0"/>
              <w:rPr>
                <w:sz w:val="21"/>
                <w:szCs w:val="21"/>
                <w:color w:val="auto"/>
              </w:rPr>
            </w:pPr>
          </w:p>
        </w:tc>
        <w:tc>
          <w:tcPr>
            <w:tcW w:w="380" w:type="dxa"/>
            <w:vAlign w:val="bottom"/>
            <w:tcBorders>
              <w:bottom w:val="single" w:sz="8" w:color="E5F1F8"/>
            </w:tcBorders>
            <w:shd w:val="clear" w:color="auto" w:fill="E5F1F8"/>
          </w:tcPr>
          <w:p>
            <w:pPr>
              <w:spacing w:after="0"/>
              <w:rPr>
                <w:sz w:val="21"/>
                <w:szCs w:val="21"/>
                <w:color w:val="auto"/>
              </w:rPr>
            </w:pPr>
          </w:p>
        </w:tc>
        <w:tc>
          <w:tcPr>
            <w:tcW w:w="142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(0.06 )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160" w:type="dxa"/>
            <w:vAlign w:val="bottom"/>
            <w:tcBorders>
              <w:top w:val="single" w:sz="8" w:color="E5F1F8"/>
              <w:right w:val="single" w:sz="8" w:color="007CBA"/>
            </w:tcBorders>
          </w:tcPr>
          <w:p>
            <w:pPr>
              <w:ind w:left="120"/>
              <w:spacing w:after="0"/>
              <w:rPr>
                <w:sz w:val="20"/>
                <w:szCs w:val="20"/>
                <w:color w:val="auto"/>
              </w:rPr>
            </w:pPr>
            <w:r>
              <w:rPr>
                <w:rFonts w:ascii="Calibri" w:cs="Calibri" w:eastAsia="Calibri" w:hAnsi="Calibri"/>
                <w:sz w:val="18"/>
                <w:szCs w:val="18"/>
                <w:color w:val="auto"/>
              </w:rPr>
              <w:t>Mix-adjusted ASP</w:t>
            </w:r>
          </w:p>
        </w:tc>
        <w:tc>
          <w:tcPr>
            <w:tcW w:w="200" w:type="dxa"/>
            <w:vAlign w:val="bottom"/>
            <w:tcBorders>
              <w:top w:val="single" w:sz="8" w:color="E5F1F8"/>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90"/>
              <w:spacing w:after="0" w:line="215" w:lineRule="exact"/>
              <w:rPr>
                <w:sz w:val="20"/>
                <w:szCs w:val="20"/>
                <w:color w:val="auto"/>
              </w:rPr>
            </w:pPr>
            <w:r>
              <w:rPr>
                <w:rFonts w:ascii="Calibri" w:cs="Calibri" w:eastAsia="Calibri" w:hAnsi="Calibri"/>
                <w:sz w:val="18"/>
                <w:szCs w:val="18"/>
                <w:b w:val="1"/>
                <w:bCs w:val="1"/>
                <w:color w:val="auto"/>
                <w:w w:val="87"/>
              </w:rPr>
              <w:t>$</w:t>
            </w:r>
          </w:p>
        </w:tc>
        <w:tc>
          <w:tcPr>
            <w:tcW w:w="1420" w:type="dxa"/>
            <w:vAlign w:val="bottom"/>
            <w:tcBorders>
              <w:top w:val="single" w:sz="8" w:color="auto"/>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15.87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60" w:type="dxa"/>
            <w:vAlign w:val="bottom"/>
            <w:tcBorders>
              <w:right w:val="single" w:sz="8" w:color="007CBA"/>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160" w:type="dxa"/>
            <w:vAlign w:val="bottom"/>
            <w:tcBorders>
              <w:right w:val="single" w:sz="8" w:color="007CBA"/>
            </w:tcBorders>
            <w:shd w:val="clear" w:color="auto" w:fill="E5F1F8"/>
          </w:tcPr>
          <w:p>
            <w:pPr>
              <w:spacing w:after="0"/>
              <w:rPr>
                <w:sz w:val="19"/>
                <w:szCs w:val="19"/>
                <w:color w:val="auto"/>
              </w:rPr>
            </w:pPr>
          </w:p>
        </w:tc>
        <w:tc>
          <w:tcPr>
            <w:tcW w:w="200" w:type="dxa"/>
            <w:vAlign w:val="bottom"/>
            <w:shd w:val="clear" w:color="auto" w:fill="E5F1F8"/>
          </w:tcPr>
          <w:p>
            <w:pPr>
              <w:spacing w:after="0"/>
              <w:rPr>
                <w:sz w:val="19"/>
                <w:szCs w:val="19"/>
                <w:color w:val="auto"/>
              </w:rPr>
            </w:pPr>
          </w:p>
        </w:tc>
        <w:tc>
          <w:tcPr>
            <w:tcW w:w="380" w:type="dxa"/>
            <w:vAlign w:val="bottom"/>
            <w:tcBorders>
              <w:top w:val="single" w:sz="8" w:color="auto"/>
            </w:tcBorders>
            <w:shd w:val="clear" w:color="auto" w:fill="E5F1F8"/>
          </w:tcPr>
          <w:p>
            <w:pPr>
              <w:spacing w:after="0"/>
              <w:rPr>
                <w:sz w:val="19"/>
                <w:szCs w:val="19"/>
                <w:color w:val="auto"/>
              </w:rPr>
            </w:pPr>
          </w:p>
        </w:tc>
        <w:tc>
          <w:tcPr>
            <w:tcW w:w="1420" w:type="dxa"/>
            <w:vAlign w:val="bottom"/>
            <w:tcBorders>
              <w:top w:val="single" w:sz="8" w:color="auto"/>
              <w:right w:val="single" w:sz="8" w:color="007CBA"/>
            </w:tcBorders>
            <w:shd w:val="clear" w:color="auto" w:fill="E5F1F8"/>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160" w:type="dxa"/>
            <w:vAlign w:val="bottom"/>
            <w:tcBorders>
              <w:right w:val="single" w:sz="8" w:color="007CBA"/>
            </w:tcBorders>
          </w:tcPr>
          <w:p>
            <w:pPr>
              <w:ind w:left="120"/>
              <w:spacing w:after="0"/>
              <w:rPr>
                <w:sz w:val="20"/>
                <w:szCs w:val="20"/>
                <w:color w:val="auto"/>
              </w:rPr>
            </w:pPr>
            <w:r>
              <w:rPr>
                <w:rFonts w:ascii="Calibri" w:cs="Calibri" w:eastAsia="Calibri" w:hAnsi="Calibri"/>
                <w:sz w:val="18"/>
                <w:szCs w:val="18"/>
                <w:color w:val="auto"/>
              </w:rPr>
              <w:t>Reported average selling price variance</w:t>
            </w:r>
          </w:p>
        </w:tc>
        <w:tc>
          <w:tcPr>
            <w:tcW w:w="2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11.9 %</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160" w:type="dxa"/>
            <w:vAlign w:val="bottom"/>
            <w:tcBorders>
              <w:right w:val="single" w:sz="8" w:color="007CBA"/>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160" w:type="dxa"/>
            <w:vAlign w:val="bottom"/>
            <w:tcBorders>
              <w:bottom w:val="single" w:sz="8" w:color="E5F1F8"/>
              <w:right w:val="single" w:sz="8" w:color="007CBA"/>
            </w:tcBorders>
            <w:shd w:val="clear" w:color="auto" w:fill="E5F1F8"/>
          </w:tcPr>
          <w:p>
            <w:pPr>
              <w:ind w:left="120"/>
              <w:spacing w:after="0"/>
              <w:rPr>
                <w:sz w:val="20"/>
                <w:szCs w:val="20"/>
                <w:color w:val="auto"/>
              </w:rPr>
            </w:pPr>
            <w:r>
              <w:rPr>
                <w:rFonts w:ascii="Calibri" w:cs="Calibri" w:eastAsia="Calibri" w:hAnsi="Calibri"/>
                <w:sz w:val="18"/>
                <w:szCs w:val="18"/>
                <w:color w:val="auto"/>
              </w:rPr>
              <w:t>Mix-adjusted ASP variance</w:t>
            </w:r>
          </w:p>
        </w:tc>
        <w:tc>
          <w:tcPr>
            <w:tcW w:w="200" w:type="dxa"/>
            <w:vAlign w:val="bottom"/>
            <w:tcBorders>
              <w:bottom w:val="single" w:sz="8" w:color="E5F1F8"/>
            </w:tcBorders>
            <w:shd w:val="clear" w:color="auto" w:fill="E5F1F8"/>
          </w:tcPr>
          <w:p>
            <w:pPr>
              <w:spacing w:after="0"/>
              <w:rPr>
                <w:sz w:val="22"/>
                <w:szCs w:val="22"/>
                <w:color w:val="auto"/>
              </w:rPr>
            </w:pPr>
          </w:p>
        </w:tc>
        <w:tc>
          <w:tcPr>
            <w:tcW w:w="380" w:type="dxa"/>
            <w:vAlign w:val="bottom"/>
            <w:tcBorders>
              <w:top w:val="single" w:sz="8" w:color="auto"/>
              <w:bottom w:val="single" w:sz="8" w:color="auto"/>
            </w:tcBorders>
            <w:shd w:val="clear" w:color="auto" w:fill="E5F1F8"/>
          </w:tcPr>
          <w:p>
            <w:pPr>
              <w:spacing w:after="0"/>
              <w:rPr>
                <w:sz w:val="22"/>
                <w:szCs w:val="22"/>
                <w:color w:val="auto"/>
              </w:rPr>
            </w:pPr>
          </w:p>
        </w:tc>
        <w:tc>
          <w:tcPr>
            <w:tcW w:w="1420" w:type="dxa"/>
            <w:vAlign w:val="bottom"/>
            <w:tcBorders>
              <w:top w:val="single" w:sz="8" w:color="auto"/>
              <w:bottom w:val="single" w:sz="8" w:color="auto"/>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11.4 %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0"/>
        </w:trPr>
        <w:tc>
          <w:tcPr>
            <w:tcW w:w="7160" w:type="dxa"/>
            <w:vAlign w:val="bottom"/>
            <w:tcBorders>
              <w:right w:val="single" w:sz="8" w:color="007CBA"/>
            </w:tcBorders>
          </w:tcPr>
          <w:p>
            <w:pPr>
              <w:ind w:left="120"/>
              <w:spacing w:after="0"/>
              <w:rPr>
                <w:sz w:val="20"/>
                <w:szCs w:val="20"/>
                <w:color w:val="auto"/>
              </w:rPr>
            </w:pPr>
            <w:r>
              <w:rPr>
                <w:rFonts w:ascii="Calibri" w:cs="Calibri" w:eastAsia="Calibri" w:hAnsi="Calibri"/>
                <w:sz w:val="18"/>
                <w:szCs w:val="18"/>
                <w:b w:val="1"/>
                <w:bCs w:val="1"/>
                <w:color w:val="auto"/>
              </w:rPr>
              <w:t>Total Aggregates:</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Borders>
              <w:right w:val="single" w:sz="8" w:color="007CB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7160" w:type="dxa"/>
            <w:vAlign w:val="bottom"/>
            <w:tcBorders>
              <w:right w:val="single" w:sz="8" w:color="007CBA"/>
            </w:tcBorders>
          </w:tcPr>
          <w:p>
            <w:pPr>
              <w:ind w:left="120"/>
              <w:spacing w:after="0"/>
              <w:rPr>
                <w:sz w:val="20"/>
                <w:szCs w:val="20"/>
                <w:color w:val="auto"/>
              </w:rPr>
            </w:pPr>
            <w:r>
              <w:rPr>
                <w:rFonts w:ascii="Calibri" w:cs="Calibri" w:eastAsia="Calibri" w:hAnsi="Calibri"/>
                <w:sz w:val="18"/>
                <w:szCs w:val="18"/>
                <w:color w:val="auto"/>
              </w:rPr>
              <w:t>Reported average selling price</w:t>
            </w:r>
          </w:p>
        </w:tc>
        <w:tc>
          <w:tcPr>
            <w:tcW w:w="580" w:type="dxa"/>
            <w:vAlign w:val="bottom"/>
            <w:gridSpan w:val="2"/>
          </w:tcPr>
          <w:p>
            <w:pPr>
              <w:jc w:val="right"/>
              <w:ind w:right="190"/>
              <w:spacing w:after="0"/>
              <w:rPr>
                <w:sz w:val="20"/>
                <w:szCs w:val="20"/>
                <w:color w:val="auto"/>
              </w:rPr>
            </w:pPr>
            <w:r>
              <w:rPr>
                <w:rFonts w:ascii="Calibri" w:cs="Calibri" w:eastAsia="Calibri" w:hAnsi="Calibri"/>
                <w:sz w:val="18"/>
                <w:szCs w:val="18"/>
                <w:b w:val="1"/>
                <w:bCs w:val="1"/>
                <w:color w:val="auto"/>
              </w:rPr>
              <w:t>$</w:t>
            </w:r>
          </w:p>
        </w:tc>
        <w:tc>
          <w:tcPr>
            <w:tcW w:w="1420" w:type="dxa"/>
            <w:vAlign w:val="bottom"/>
            <w:tcBorders>
              <w:right w:val="single" w:sz="8" w:color="007CBA"/>
            </w:tcBorders>
          </w:tcPr>
          <w:p>
            <w:pPr>
              <w:jc w:val="right"/>
              <w:ind w:right="50"/>
              <w:spacing w:after="0"/>
              <w:rPr>
                <w:sz w:val="20"/>
                <w:szCs w:val="20"/>
                <w:color w:val="auto"/>
              </w:rPr>
            </w:pPr>
            <w:r>
              <w:rPr>
                <w:rFonts w:ascii="Calibri" w:cs="Calibri" w:eastAsia="Calibri" w:hAnsi="Calibri"/>
                <w:sz w:val="18"/>
                <w:szCs w:val="18"/>
                <w:b w:val="1"/>
                <w:bCs w:val="1"/>
                <w:color w:val="auto"/>
              </w:rPr>
              <w:t>16.68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7160" w:type="dxa"/>
            <w:vAlign w:val="bottom"/>
            <w:tcBorders>
              <w:bottom w:val="single" w:sz="8" w:color="E5F1F8"/>
              <w:right w:val="single" w:sz="8" w:color="007CBA"/>
            </w:tcBorders>
            <w:shd w:val="clear" w:color="auto" w:fill="E5F1F8"/>
          </w:tcPr>
          <w:p>
            <w:pPr>
              <w:ind w:left="120"/>
              <w:spacing w:after="0"/>
              <w:rPr>
                <w:sz w:val="20"/>
                <w:szCs w:val="20"/>
                <w:color w:val="auto"/>
              </w:rPr>
            </w:pPr>
            <w:r>
              <w:rPr>
                <w:rFonts w:ascii="Calibri" w:cs="Calibri" w:eastAsia="Calibri" w:hAnsi="Calibri"/>
                <w:sz w:val="18"/>
                <w:szCs w:val="18"/>
                <w:color w:val="auto"/>
              </w:rPr>
              <w:t>Adjustment for impact of product, geographic and other mix</w:t>
            </w:r>
          </w:p>
        </w:tc>
        <w:tc>
          <w:tcPr>
            <w:tcW w:w="200" w:type="dxa"/>
            <w:vAlign w:val="bottom"/>
            <w:tcBorders>
              <w:bottom w:val="single" w:sz="8" w:color="E5F1F8"/>
            </w:tcBorders>
            <w:shd w:val="clear" w:color="auto" w:fill="E5F1F8"/>
          </w:tcPr>
          <w:p>
            <w:pPr>
              <w:spacing w:after="0"/>
              <w:rPr>
                <w:sz w:val="21"/>
                <w:szCs w:val="21"/>
                <w:color w:val="auto"/>
              </w:rPr>
            </w:pPr>
          </w:p>
        </w:tc>
        <w:tc>
          <w:tcPr>
            <w:tcW w:w="380" w:type="dxa"/>
            <w:vAlign w:val="bottom"/>
            <w:tcBorders>
              <w:bottom w:val="single" w:sz="8" w:color="E5F1F8"/>
            </w:tcBorders>
            <w:shd w:val="clear" w:color="auto" w:fill="E5F1F8"/>
          </w:tcPr>
          <w:p>
            <w:pPr>
              <w:spacing w:after="0"/>
              <w:rPr>
                <w:sz w:val="21"/>
                <w:szCs w:val="21"/>
                <w:color w:val="auto"/>
              </w:rPr>
            </w:pPr>
          </w:p>
        </w:tc>
        <w:tc>
          <w:tcPr>
            <w:tcW w:w="142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(0.09 )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160" w:type="dxa"/>
            <w:vAlign w:val="bottom"/>
            <w:tcBorders>
              <w:top w:val="single" w:sz="8" w:color="E5F1F8"/>
              <w:right w:val="single" w:sz="8" w:color="007CBA"/>
            </w:tcBorders>
          </w:tcPr>
          <w:p>
            <w:pPr>
              <w:ind w:left="120"/>
              <w:spacing w:after="0"/>
              <w:rPr>
                <w:sz w:val="20"/>
                <w:szCs w:val="20"/>
                <w:color w:val="auto"/>
              </w:rPr>
            </w:pPr>
            <w:r>
              <w:rPr>
                <w:rFonts w:ascii="Calibri" w:cs="Calibri" w:eastAsia="Calibri" w:hAnsi="Calibri"/>
                <w:sz w:val="18"/>
                <w:szCs w:val="18"/>
                <w:color w:val="auto"/>
              </w:rPr>
              <w:t>Mix-adjusted ASP</w:t>
            </w:r>
          </w:p>
        </w:tc>
        <w:tc>
          <w:tcPr>
            <w:tcW w:w="200" w:type="dxa"/>
            <w:vAlign w:val="bottom"/>
            <w:tcBorders>
              <w:top w:val="single" w:sz="8" w:color="E5F1F8"/>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90"/>
              <w:spacing w:after="0" w:line="215" w:lineRule="exact"/>
              <w:rPr>
                <w:sz w:val="20"/>
                <w:szCs w:val="20"/>
                <w:color w:val="auto"/>
              </w:rPr>
            </w:pPr>
            <w:r>
              <w:rPr>
                <w:rFonts w:ascii="Calibri" w:cs="Calibri" w:eastAsia="Calibri" w:hAnsi="Calibri"/>
                <w:sz w:val="18"/>
                <w:szCs w:val="18"/>
                <w:b w:val="1"/>
                <w:bCs w:val="1"/>
                <w:color w:val="auto"/>
                <w:w w:val="87"/>
              </w:rPr>
              <w:t>$</w:t>
            </w:r>
          </w:p>
        </w:tc>
        <w:tc>
          <w:tcPr>
            <w:tcW w:w="1420" w:type="dxa"/>
            <w:vAlign w:val="bottom"/>
            <w:tcBorders>
              <w:top w:val="single" w:sz="8" w:color="auto"/>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16.59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60" w:type="dxa"/>
            <w:vAlign w:val="bottom"/>
            <w:tcBorders>
              <w:right w:val="single" w:sz="8" w:color="007CBA"/>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160" w:type="dxa"/>
            <w:vAlign w:val="bottom"/>
            <w:tcBorders>
              <w:right w:val="single" w:sz="8" w:color="007CBA"/>
            </w:tcBorders>
            <w:shd w:val="clear" w:color="auto" w:fill="E5F1F8"/>
          </w:tcPr>
          <w:p>
            <w:pPr>
              <w:spacing w:after="0"/>
              <w:rPr>
                <w:sz w:val="19"/>
                <w:szCs w:val="19"/>
                <w:color w:val="auto"/>
              </w:rPr>
            </w:pPr>
          </w:p>
        </w:tc>
        <w:tc>
          <w:tcPr>
            <w:tcW w:w="200" w:type="dxa"/>
            <w:vAlign w:val="bottom"/>
            <w:shd w:val="clear" w:color="auto" w:fill="E5F1F8"/>
          </w:tcPr>
          <w:p>
            <w:pPr>
              <w:spacing w:after="0"/>
              <w:rPr>
                <w:sz w:val="19"/>
                <w:szCs w:val="19"/>
                <w:color w:val="auto"/>
              </w:rPr>
            </w:pPr>
          </w:p>
        </w:tc>
        <w:tc>
          <w:tcPr>
            <w:tcW w:w="380" w:type="dxa"/>
            <w:vAlign w:val="bottom"/>
            <w:tcBorders>
              <w:top w:val="single" w:sz="8" w:color="auto"/>
            </w:tcBorders>
            <w:shd w:val="clear" w:color="auto" w:fill="E5F1F8"/>
          </w:tcPr>
          <w:p>
            <w:pPr>
              <w:spacing w:after="0"/>
              <w:rPr>
                <w:sz w:val="19"/>
                <w:szCs w:val="19"/>
                <w:color w:val="auto"/>
              </w:rPr>
            </w:pPr>
          </w:p>
        </w:tc>
        <w:tc>
          <w:tcPr>
            <w:tcW w:w="1420" w:type="dxa"/>
            <w:vAlign w:val="bottom"/>
            <w:tcBorders>
              <w:top w:val="single" w:sz="8" w:color="auto"/>
              <w:right w:val="single" w:sz="8" w:color="007CBA"/>
            </w:tcBorders>
            <w:shd w:val="clear" w:color="auto" w:fill="E5F1F8"/>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160" w:type="dxa"/>
            <w:vAlign w:val="bottom"/>
            <w:tcBorders>
              <w:right w:val="single" w:sz="8" w:color="007CBA"/>
            </w:tcBorders>
          </w:tcPr>
          <w:p>
            <w:pPr>
              <w:ind w:left="120"/>
              <w:spacing w:after="0"/>
              <w:rPr>
                <w:sz w:val="20"/>
                <w:szCs w:val="20"/>
                <w:color w:val="auto"/>
              </w:rPr>
            </w:pPr>
            <w:r>
              <w:rPr>
                <w:rFonts w:ascii="Calibri" w:cs="Calibri" w:eastAsia="Calibri" w:hAnsi="Calibri"/>
                <w:sz w:val="18"/>
                <w:szCs w:val="18"/>
                <w:color w:val="auto"/>
              </w:rPr>
              <w:t>Reported average selling price variance</w:t>
            </w:r>
          </w:p>
        </w:tc>
        <w:tc>
          <w:tcPr>
            <w:tcW w:w="2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10.6 %</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160" w:type="dxa"/>
            <w:vAlign w:val="bottom"/>
            <w:tcBorders>
              <w:right w:val="single" w:sz="8" w:color="007CBA"/>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160" w:type="dxa"/>
            <w:vAlign w:val="bottom"/>
            <w:tcBorders>
              <w:bottom w:val="single" w:sz="8" w:color="E5F1F8"/>
              <w:right w:val="single" w:sz="8" w:color="007CBA"/>
            </w:tcBorders>
            <w:shd w:val="clear" w:color="auto" w:fill="E5F1F8"/>
          </w:tcPr>
          <w:p>
            <w:pPr>
              <w:ind w:left="120"/>
              <w:spacing w:after="0"/>
              <w:rPr>
                <w:sz w:val="20"/>
                <w:szCs w:val="20"/>
                <w:color w:val="auto"/>
              </w:rPr>
            </w:pPr>
            <w:r>
              <w:rPr>
                <w:rFonts w:ascii="Calibri" w:cs="Calibri" w:eastAsia="Calibri" w:hAnsi="Calibri"/>
                <w:sz w:val="18"/>
                <w:szCs w:val="18"/>
                <w:color w:val="auto"/>
              </w:rPr>
              <w:t>Mix-adjusted ASP variance</w:t>
            </w:r>
          </w:p>
        </w:tc>
        <w:tc>
          <w:tcPr>
            <w:tcW w:w="200" w:type="dxa"/>
            <w:vAlign w:val="bottom"/>
            <w:tcBorders>
              <w:bottom w:val="single" w:sz="8" w:color="E5F1F8"/>
            </w:tcBorders>
            <w:shd w:val="clear" w:color="auto" w:fill="E5F1F8"/>
          </w:tcPr>
          <w:p>
            <w:pPr>
              <w:spacing w:after="0"/>
              <w:rPr>
                <w:sz w:val="22"/>
                <w:szCs w:val="22"/>
                <w:color w:val="auto"/>
              </w:rPr>
            </w:pPr>
          </w:p>
        </w:tc>
        <w:tc>
          <w:tcPr>
            <w:tcW w:w="380" w:type="dxa"/>
            <w:vAlign w:val="bottom"/>
            <w:tcBorders>
              <w:top w:val="single" w:sz="8" w:color="auto"/>
              <w:bottom w:val="single" w:sz="8" w:color="auto"/>
            </w:tcBorders>
            <w:shd w:val="clear" w:color="auto" w:fill="E5F1F8"/>
          </w:tcPr>
          <w:p>
            <w:pPr>
              <w:spacing w:after="0"/>
              <w:rPr>
                <w:sz w:val="22"/>
                <w:szCs w:val="22"/>
                <w:color w:val="auto"/>
              </w:rPr>
            </w:pPr>
          </w:p>
        </w:tc>
        <w:tc>
          <w:tcPr>
            <w:tcW w:w="1420" w:type="dxa"/>
            <w:vAlign w:val="bottom"/>
            <w:tcBorders>
              <w:top w:val="single" w:sz="8" w:color="auto"/>
              <w:bottom w:val="single" w:sz="8" w:color="auto"/>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10.0 %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0"/>
        </w:trPr>
        <w:tc>
          <w:tcPr>
            <w:tcW w:w="7160" w:type="dxa"/>
            <w:vAlign w:val="bottom"/>
            <w:tcBorders>
              <w:right w:val="single" w:sz="8" w:color="007CBA"/>
            </w:tcBorders>
          </w:tcPr>
          <w:p>
            <w:pPr>
              <w:ind w:left="120"/>
              <w:spacing w:after="0"/>
              <w:rPr>
                <w:sz w:val="20"/>
                <w:szCs w:val="20"/>
                <w:color w:val="auto"/>
              </w:rPr>
            </w:pPr>
            <w:r>
              <w:rPr>
                <w:rFonts w:ascii="Calibri" w:cs="Calibri" w:eastAsia="Calibri" w:hAnsi="Calibri"/>
                <w:sz w:val="18"/>
                <w:szCs w:val="18"/>
                <w:b w:val="1"/>
                <w:bCs w:val="1"/>
                <w:color w:val="auto"/>
              </w:rPr>
              <w:t>Cement - Contnuing Operatons:</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Borders>
              <w:right w:val="single" w:sz="8" w:color="007CB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7160" w:type="dxa"/>
            <w:vAlign w:val="bottom"/>
            <w:tcBorders>
              <w:right w:val="single" w:sz="8" w:color="007CBA"/>
            </w:tcBorders>
          </w:tcPr>
          <w:p>
            <w:pPr>
              <w:ind w:left="120"/>
              <w:spacing w:after="0"/>
              <w:rPr>
                <w:sz w:val="20"/>
                <w:szCs w:val="20"/>
                <w:color w:val="auto"/>
              </w:rPr>
            </w:pPr>
            <w:r>
              <w:rPr>
                <w:rFonts w:ascii="Calibri" w:cs="Calibri" w:eastAsia="Calibri" w:hAnsi="Calibri"/>
                <w:sz w:val="18"/>
                <w:szCs w:val="18"/>
                <w:color w:val="auto"/>
              </w:rPr>
              <w:t>Reported average selling price</w:t>
            </w:r>
          </w:p>
        </w:tc>
        <w:tc>
          <w:tcPr>
            <w:tcW w:w="580" w:type="dxa"/>
            <w:vAlign w:val="bottom"/>
            <w:gridSpan w:val="2"/>
          </w:tcPr>
          <w:p>
            <w:pPr>
              <w:jc w:val="right"/>
              <w:ind w:right="190"/>
              <w:spacing w:after="0"/>
              <w:rPr>
                <w:sz w:val="20"/>
                <w:szCs w:val="20"/>
                <w:color w:val="auto"/>
              </w:rPr>
            </w:pPr>
            <w:r>
              <w:rPr>
                <w:rFonts w:ascii="Calibri" w:cs="Calibri" w:eastAsia="Calibri" w:hAnsi="Calibri"/>
                <w:sz w:val="18"/>
                <w:szCs w:val="18"/>
                <w:b w:val="1"/>
                <w:bCs w:val="1"/>
                <w:color w:val="auto"/>
              </w:rPr>
              <w:t>$</w:t>
            </w:r>
          </w:p>
        </w:tc>
        <w:tc>
          <w:tcPr>
            <w:tcW w:w="1420" w:type="dxa"/>
            <w:vAlign w:val="bottom"/>
            <w:tcBorders>
              <w:right w:val="single" w:sz="8" w:color="007CBA"/>
            </w:tcBorders>
          </w:tcPr>
          <w:p>
            <w:pPr>
              <w:jc w:val="right"/>
              <w:ind w:right="50"/>
              <w:spacing w:after="0"/>
              <w:rPr>
                <w:sz w:val="20"/>
                <w:szCs w:val="20"/>
                <w:color w:val="auto"/>
              </w:rPr>
            </w:pPr>
            <w:r>
              <w:rPr>
                <w:rFonts w:ascii="Calibri" w:cs="Calibri" w:eastAsia="Calibri" w:hAnsi="Calibri"/>
                <w:sz w:val="18"/>
                <w:szCs w:val="18"/>
                <w:b w:val="1"/>
                <w:bCs w:val="1"/>
                <w:color w:val="auto"/>
              </w:rPr>
              <w:t>142.83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7160" w:type="dxa"/>
            <w:vAlign w:val="bottom"/>
            <w:tcBorders>
              <w:bottom w:val="single" w:sz="8" w:color="E5F1F8"/>
              <w:right w:val="single" w:sz="8" w:color="007CBA"/>
            </w:tcBorders>
            <w:shd w:val="clear" w:color="auto" w:fill="E5F1F8"/>
          </w:tcPr>
          <w:p>
            <w:pPr>
              <w:ind w:left="120"/>
              <w:spacing w:after="0"/>
              <w:rPr>
                <w:sz w:val="20"/>
                <w:szCs w:val="20"/>
                <w:color w:val="auto"/>
              </w:rPr>
            </w:pPr>
            <w:r>
              <w:rPr>
                <w:rFonts w:ascii="Calibri" w:cs="Calibri" w:eastAsia="Calibri" w:hAnsi="Calibri"/>
                <w:sz w:val="18"/>
                <w:szCs w:val="18"/>
                <w:color w:val="auto"/>
              </w:rPr>
              <w:t>Adjustment for impact of product, geographic and other mix</w:t>
            </w:r>
          </w:p>
        </w:tc>
        <w:tc>
          <w:tcPr>
            <w:tcW w:w="200" w:type="dxa"/>
            <w:vAlign w:val="bottom"/>
            <w:tcBorders>
              <w:bottom w:val="single" w:sz="8" w:color="E5F1F8"/>
            </w:tcBorders>
            <w:shd w:val="clear" w:color="auto" w:fill="E5F1F8"/>
          </w:tcPr>
          <w:p>
            <w:pPr>
              <w:spacing w:after="0"/>
              <w:rPr>
                <w:sz w:val="21"/>
                <w:szCs w:val="21"/>
                <w:color w:val="auto"/>
              </w:rPr>
            </w:pPr>
          </w:p>
        </w:tc>
        <w:tc>
          <w:tcPr>
            <w:tcW w:w="380" w:type="dxa"/>
            <w:vAlign w:val="bottom"/>
            <w:tcBorders>
              <w:bottom w:val="single" w:sz="8" w:color="E5F1F8"/>
            </w:tcBorders>
            <w:shd w:val="clear" w:color="auto" w:fill="E5F1F8"/>
          </w:tcPr>
          <w:p>
            <w:pPr>
              <w:spacing w:after="0"/>
              <w:rPr>
                <w:sz w:val="21"/>
                <w:szCs w:val="21"/>
                <w:color w:val="auto"/>
              </w:rPr>
            </w:pPr>
          </w:p>
        </w:tc>
        <w:tc>
          <w:tcPr>
            <w:tcW w:w="142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(0.51 )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60" w:type="dxa"/>
            <w:vAlign w:val="bottom"/>
            <w:tcBorders>
              <w:top w:val="single" w:sz="8" w:color="E5F1F8"/>
              <w:right w:val="single" w:sz="8" w:color="007CBA"/>
            </w:tcBorders>
          </w:tcPr>
          <w:p>
            <w:pPr>
              <w:ind w:left="120"/>
              <w:spacing w:after="0"/>
              <w:rPr>
                <w:sz w:val="20"/>
                <w:szCs w:val="20"/>
                <w:color w:val="auto"/>
              </w:rPr>
            </w:pPr>
            <w:r>
              <w:rPr>
                <w:rFonts w:ascii="Calibri" w:cs="Calibri" w:eastAsia="Calibri" w:hAnsi="Calibri"/>
                <w:sz w:val="18"/>
                <w:szCs w:val="18"/>
                <w:color w:val="auto"/>
              </w:rPr>
              <w:t>Mix-adjusted ASP</w:t>
            </w:r>
          </w:p>
        </w:tc>
        <w:tc>
          <w:tcPr>
            <w:tcW w:w="200" w:type="dxa"/>
            <w:vAlign w:val="bottom"/>
            <w:tcBorders>
              <w:top w:val="single" w:sz="8" w:color="E5F1F8"/>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90"/>
              <w:spacing w:after="0" w:line="215" w:lineRule="exact"/>
              <w:rPr>
                <w:sz w:val="20"/>
                <w:szCs w:val="20"/>
                <w:color w:val="auto"/>
              </w:rPr>
            </w:pPr>
            <w:r>
              <w:rPr>
                <w:rFonts w:ascii="Calibri" w:cs="Calibri" w:eastAsia="Calibri" w:hAnsi="Calibri"/>
                <w:sz w:val="18"/>
                <w:szCs w:val="18"/>
                <w:b w:val="1"/>
                <w:bCs w:val="1"/>
                <w:color w:val="auto"/>
                <w:w w:val="87"/>
              </w:rPr>
              <w:t>$</w:t>
            </w:r>
          </w:p>
        </w:tc>
        <w:tc>
          <w:tcPr>
            <w:tcW w:w="1420" w:type="dxa"/>
            <w:vAlign w:val="bottom"/>
            <w:tcBorders>
              <w:top w:val="single" w:sz="8" w:color="auto"/>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142.32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60" w:type="dxa"/>
            <w:vAlign w:val="bottom"/>
            <w:tcBorders>
              <w:right w:val="single" w:sz="8" w:color="007CBA"/>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60" w:type="dxa"/>
            <w:vAlign w:val="bottom"/>
            <w:tcBorders>
              <w:right w:val="single" w:sz="8" w:color="007CBA"/>
            </w:tcBorders>
            <w:shd w:val="clear" w:color="auto" w:fill="E5F1F8"/>
          </w:tcPr>
          <w:p>
            <w:pPr>
              <w:spacing w:after="0"/>
              <w:rPr>
                <w:sz w:val="19"/>
                <w:szCs w:val="19"/>
                <w:color w:val="auto"/>
              </w:rPr>
            </w:pPr>
          </w:p>
        </w:tc>
        <w:tc>
          <w:tcPr>
            <w:tcW w:w="200" w:type="dxa"/>
            <w:vAlign w:val="bottom"/>
            <w:shd w:val="clear" w:color="auto" w:fill="E5F1F8"/>
          </w:tcPr>
          <w:p>
            <w:pPr>
              <w:spacing w:after="0"/>
              <w:rPr>
                <w:sz w:val="19"/>
                <w:szCs w:val="19"/>
                <w:color w:val="auto"/>
              </w:rPr>
            </w:pPr>
          </w:p>
        </w:tc>
        <w:tc>
          <w:tcPr>
            <w:tcW w:w="380" w:type="dxa"/>
            <w:vAlign w:val="bottom"/>
            <w:tcBorders>
              <w:top w:val="single" w:sz="8" w:color="auto"/>
            </w:tcBorders>
            <w:shd w:val="clear" w:color="auto" w:fill="E5F1F8"/>
          </w:tcPr>
          <w:p>
            <w:pPr>
              <w:spacing w:after="0"/>
              <w:rPr>
                <w:sz w:val="19"/>
                <w:szCs w:val="19"/>
                <w:color w:val="auto"/>
              </w:rPr>
            </w:pPr>
          </w:p>
        </w:tc>
        <w:tc>
          <w:tcPr>
            <w:tcW w:w="1420" w:type="dxa"/>
            <w:vAlign w:val="bottom"/>
            <w:tcBorders>
              <w:top w:val="single" w:sz="8" w:color="auto"/>
              <w:right w:val="single" w:sz="8" w:color="007CBA"/>
            </w:tcBorders>
            <w:shd w:val="clear" w:color="auto" w:fill="E5F1F8"/>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160" w:type="dxa"/>
            <w:vAlign w:val="bottom"/>
            <w:tcBorders>
              <w:right w:val="single" w:sz="8" w:color="007CBA"/>
            </w:tcBorders>
          </w:tcPr>
          <w:p>
            <w:pPr>
              <w:ind w:left="120"/>
              <w:spacing w:after="0"/>
              <w:rPr>
                <w:sz w:val="20"/>
                <w:szCs w:val="20"/>
                <w:color w:val="auto"/>
              </w:rPr>
            </w:pPr>
            <w:r>
              <w:rPr>
                <w:rFonts w:ascii="Calibri" w:cs="Calibri" w:eastAsia="Calibri" w:hAnsi="Calibri"/>
                <w:sz w:val="18"/>
                <w:szCs w:val="18"/>
                <w:color w:val="auto"/>
              </w:rPr>
              <w:t>Reported average selling price variance</w:t>
            </w:r>
          </w:p>
        </w:tc>
        <w:tc>
          <w:tcPr>
            <w:tcW w:w="2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16.9 %</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160" w:type="dxa"/>
            <w:vAlign w:val="bottom"/>
            <w:tcBorders>
              <w:right w:val="single" w:sz="8" w:color="007CBA"/>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160" w:type="dxa"/>
            <w:vAlign w:val="bottom"/>
            <w:tcBorders>
              <w:bottom w:val="single" w:sz="8" w:color="E5F1F8"/>
              <w:right w:val="single" w:sz="8" w:color="007CBA"/>
            </w:tcBorders>
            <w:shd w:val="clear" w:color="auto" w:fill="E5F1F8"/>
          </w:tcPr>
          <w:p>
            <w:pPr>
              <w:ind w:left="120"/>
              <w:spacing w:after="0"/>
              <w:rPr>
                <w:sz w:val="20"/>
                <w:szCs w:val="20"/>
                <w:color w:val="auto"/>
              </w:rPr>
            </w:pPr>
            <w:r>
              <w:rPr>
                <w:rFonts w:ascii="Calibri" w:cs="Calibri" w:eastAsia="Calibri" w:hAnsi="Calibri"/>
                <w:sz w:val="18"/>
                <w:szCs w:val="18"/>
                <w:color w:val="auto"/>
              </w:rPr>
              <w:t>Mix-adjusted ASP variance</w:t>
            </w:r>
          </w:p>
        </w:tc>
        <w:tc>
          <w:tcPr>
            <w:tcW w:w="200" w:type="dxa"/>
            <w:vAlign w:val="bottom"/>
            <w:tcBorders>
              <w:bottom w:val="single" w:sz="8" w:color="E5F1F8"/>
            </w:tcBorders>
            <w:shd w:val="clear" w:color="auto" w:fill="E5F1F8"/>
          </w:tcPr>
          <w:p>
            <w:pPr>
              <w:spacing w:after="0"/>
              <w:rPr>
                <w:sz w:val="22"/>
                <w:szCs w:val="22"/>
                <w:color w:val="auto"/>
              </w:rPr>
            </w:pPr>
          </w:p>
        </w:tc>
        <w:tc>
          <w:tcPr>
            <w:tcW w:w="380" w:type="dxa"/>
            <w:vAlign w:val="bottom"/>
            <w:tcBorders>
              <w:top w:val="single" w:sz="8" w:color="auto"/>
              <w:bottom w:val="single" w:sz="8" w:color="auto"/>
            </w:tcBorders>
            <w:shd w:val="clear" w:color="auto" w:fill="E5F1F8"/>
          </w:tcPr>
          <w:p>
            <w:pPr>
              <w:spacing w:after="0"/>
              <w:rPr>
                <w:sz w:val="22"/>
                <w:szCs w:val="22"/>
                <w:color w:val="auto"/>
              </w:rPr>
            </w:pPr>
          </w:p>
        </w:tc>
        <w:tc>
          <w:tcPr>
            <w:tcW w:w="1420" w:type="dxa"/>
            <w:vAlign w:val="bottom"/>
            <w:tcBorders>
              <w:top w:val="single" w:sz="8" w:color="auto"/>
              <w:bottom w:val="single" w:sz="8" w:color="auto"/>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16.5 %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-5382895</wp:posOffset>
            </wp:positionV>
            <wp:extent cx="7132320" cy="3086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-4906645</wp:posOffset>
            </wp:positionV>
            <wp:extent cx="7132320" cy="49199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32320" cy="4919980"/>
                    </a:xfrm>
                    <a:prstGeom prst="rect">
                      <a:avLst/>
                    </a:prstGeom>
                    <a:noFill/>
                  </pic:spPr>
                </pic:pic>
              </a:graphicData>
            </a:graphic>
          </wp:anchor>
        </w:drawing>
      </w:r>
    </w:p>
    <w:p>
      <w:pPr>
        <w:spacing w:after="0" w:line="34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ind w:left="610"/>
        <w:spacing w:after="0"/>
        <w:rPr>
          <w:sz w:val="20"/>
          <w:szCs w:val="20"/>
          <w:color w:val="auto"/>
        </w:rPr>
      </w:pPr>
      <w:r>
        <w:rPr>
          <w:rFonts w:ascii="Calibri" w:cs="Calibri" w:eastAsia="Calibri" w:hAnsi="Calibri"/>
          <w:sz w:val="18"/>
          <w:szCs w:val="18"/>
          <w:color w:val="FFFFFF"/>
        </w:rPr>
        <w:t>2021</w:t>
      </w:r>
    </w:p>
    <w:p>
      <w:pPr>
        <w:spacing w:after="0" w:line="271" w:lineRule="exact"/>
        <w:rPr>
          <w:sz w:val="20"/>
          <w:szCs w:val="20"/>
          <w:color w:val="auto"/>
        </w:rPr>
      </w:pPr>
    </w:p>
    <w:p>
      <w:pPr>
        <w:ind w:left="1190" w:hanging="1190"/>
        <w:spacing w:after="0"/>
        <w:tabs>
          <w:tab w:leader="none" w:pos="1190" w:val="left"/>
        </w:tabs>
        <w:numPr>
          <w:ilvl w:val="0"/>
          <w:numId w:val="18"/>
        </w:numPr>
        <w:rPr>
          <w:rFonts w:ascii="Calibri" w:cs="Calibri" w:eastAsia="Calibri" w:hAnsi="Calibri"/>
          <w:sz w:val="17"/>
          <w:szCs w:val="17"/>
          <w:color w:val="auto"/>
        </w:rPr>
      </w:pPr>
      <w:r>
        <w:rPr>
          <w:rFonts w:ascii="Calibri" w:cs="Calibri" w:eastAsia="Calibri" w:hAnsi="Calibri"/>
          <w:sz w:val="17"/>
          <w:szCs w:val="17"/>
          <w:color w:val="auto"/>
        </w:rPr>
        <w:t>15.56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27940</wp:posOffset>
            </wp:positionV>
            <wp:extent cx="10972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190" w:hanging="1190"/>
        <w:spacing w:after="0"/>
        <w:tabs>
          <w:tab w:leader="none" w:pos="1190" w:val="left"/>
        </w:tabs>
        <w:numPr>
          <w:ilvl w:val="0"/>
          <w:numId w:val="19"/>
        </w:numPr>
        <w:rPr>
          <w:rFonts w:ascii="Calibri" w:cs="Calibri" w:eastAsia="Calibri" w:hAnsi="Calibri"/>
          <w:sz w:val="17"/>
          <w:szCs w:val="17"/>
          <w:color w:val="auto"/>
        </w:rPr>
      </w:pPr>
      <w:r>
        <w:rPr>
          <w:rFonts w:ascii="Calibri" w:cs="Calibri" w:eastAsia="Calibri" w:hAnsi="Calibri"/>
          <w:sz w:val="17"/>
          <w:szCs w:val="17"/>
          <w:color w:val="auto"/>
        </w:rPr>
        <w:t>14.25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27940</wp:posOffset>
            </wp:positionV>
            <wp:extent cx="10972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190" w:hanging="1190"/>
        <w:spacing w:after="0"/>
        <w:tabs>
          <w:tab w:leader="none" w:pos="1190" w:val="left"/>
        </w:tabs>
        <w:numPr>
          <w:ilvl w:val="0"/>
          <w:numId w:val="20"/>
        </w:numPr>
        <w:rPr>
          <w:rFonts w:ascii="Calibri" w:cs="Calibri" w:eastAsia="Calibri" w:hAnsi="Calibri"/>
          <w:sz w:val="17"/>
          <w:szCs w:val="17"/>
          <w:color w:val="auto"/>
        </w:rPr>
      </w:pPr>
      <w:r>
        <w:rPr>
          <w:rFonts w:ascii="Calibri" w:cs="Calibri" w:eastAsia="Calibri" w:hAnsi="Calibri"/>
          <w:sz w:val="17"/>
          <w:szCs w:val="17"/>
          <w:color w:val="auto"/>
        </w:rPr>
        <w:t>15.08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27940</wp:posOffset>
            </wp:positionV>
            <wp:extent cx="10972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110" w:hanging="1110"/>
        <w:spacing w:after="0"/>
        <w:tabs>
          <w:tab w:leader="none" w:pos="1110" w:val="left"/>
        </w:tabs>
        <w:numPr>
          <w:ilvl w:val="0"/>
          <w:numId w:val="21"/>
        </w:numPr>
        <w:rPr>
          <w:rFonts w:ascii="Calibri" w:cs="Calibri" w:eastAsia="Calibri" w:hAnsi="Calibri"/>
          <w:sz w:val="17"/>
          <w:szCs w:val="17"/>
          <w:color w:val="auto"/>
        </w:rPr>
      </w:pPr>
      <w:r>
        <w:rPr>
          <w:rFonts w:ascii="Calibri" w:cs="Calibri" w:eastAsia="Calibri" w:hAnsi="Calibri"/>
          <w:sz w:val="17"/>
          <w:szCs w:val="17"/>
          <w:color w:val="auto"/>
        </w:rPr>
        <w:t>122.14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27940</wp:posOffset>
            </wp:positionV>
            <wp:extent cx="10972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097280" cy="8255"/>
                    </a:xfrm>
                    <a:prstGeom prst="rect">
                      <a:avLst/>
                    </a:prstGeom>
                    <a:noFill/>
                  </pic:spPr>
                </pic:pic>
              </a:graphicData>
            </a:graphic>
          </wp:anchor>
        </w:drawing>
        <w:drawing>
          <wp:anchor simplePos="0" relativeHeight="251657728" behindDoc="1" locked="0" layoutInCell="0" allowOverlap="1">
            <wp:simplePos x="0" y="0"/>
            <wp:positionH relativeFrom="column">
              <wp:posOffset>840105</wp:posOffset>
            </wp:positionH>
            <wp:positionV relativeFrom="paragraph">
              <wp:posOffset>1125220</wp:posOffset>
            </wp:positionV>
            <wp:extent cx="325755" cy="1968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2">
            <w:col w:w="9180" w:space="170"/>
            <w:col w:w="1890"/>
          </w:cols>
          <w:pgMar w:left="320" w:top="122" w:right="339" w:bottom="1440" w:gutter="0" w:footer="0" w:header="0"/>
          <w:type w:val="continuous"/>
        </w:sectPr>
      </w:pPr>
    </w:p>
    <w:bookmarkStart w:id="53" w:name="page54"/>
    <w:bookmarkEnd w:id="53"/>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211"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Total Revenues</w:t>
      </w:r>
    </w:p>
    <w:p>
      <w:pPr>
        <w:spacing w:after="0" w:line="5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revenues data for the Company and its reportable segments by product line: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22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560" w:type="dxa"/>
            <w:vAlign w:val="bottom"/>
            <w:shd w:val="clear" w:color="auto" w:fill="007CBA"/>
          </w:tcPr>
          <w:p>
            <w:pPr>
              <w:spacing w:after="0"/>
              <w:rPr>
                <w:sz w:val="20"/>
                <w:szCs w:val="20"/>
                <w:color w:val="auto"/>
              </w:rPr>
            </w:pPr>
          </w:p>
        </w:tc>
        <w:tc>
          <w:tcPr>
            <w:tcW w:w="1420" w:type="dxa"/>
            <w:vAlign w:val="bottom"/>
            <w:tcBorders>
              <w:right w:val="single" w:sz="8" w:color="007CBA"/>
            </w:tcBorders>
            <w:shd w:val="clear" w:color="auto" w:fill="007CBA"/>
          </w:tcPr>
          <w:p>
            <w:pPr>
              <w:spacing w:after="0"/>
              <w:rPr>
                <w:sz w:val="20"/>
                <w:szCs w:val="20"/>
                <w:color w:val="auto"/>
              </w:rPr>
            </w:pPr>
          </w:p>
        </w:tc>
        <w:tc>
          <w:tcPr>
            <w:tcW w:w="540" w:type="dxa"/>
            <w:vAlign w:val="bottom"/>
            <w:shd w:val="clear" w:color="auto" w:fill="007CBA"/>
          </w:tcPr>
          <w:p>
            <w:pPr>
              <w:spacing w:after="0"/>
              <w:rPr>
                <w:sz w:val="20"/>
                <w:szCs w:val="20"/>
                <w:color w:val="auto"/>
              </w:rPr>
            </w:pPr>
          </w:p>
        </w:tc>
        <w:tc>
          <w:tcPr>
            <w:tcW w:w="1500" w:type="dxa"/>
            <w:vAlign w:val="bottom"/>
            <w:shd w:val="clear" w:color="auto" w:fill="007CBA"/>
          </w:tcPr>
          <w:p>
            <w:pPr>
              <w:spacing w:after="0"/>
              <w:rPr>
                <w:sz w:val="20"/>
                <w:szCs w:val="20"/>
                <w:color w:val="auto"/>
              </w:rPr>
            </w:pPr>
          </w:p>
        </w:tc>
      </w:tr>
      <w:tr>
        <w:trPr>
          <w:trHeight w:val="231"/>
        </w:trPr>
        <w:tc>
          <w:tcPr>
            <w:tcW w:w="722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560" w:type="dxa"/>
            <w:vAlign w:val="bottom"/>
            <w:tcBorders>
              <w:bottom w:val="single" w:sz="8" w:color="007CBA"/>
            </w:tcBorders>
            <w:shd w:val="clear" w:color="auto" w:fill="007CBA"/>
          </w:tcPr>
          <w:p>
            <w:pPr>
              <w:spacing w:after="0"/>
              <w:rPr>
                <w:sz w:val="20"/>
                <w:szCs w:val="20"/>
                <w:color w:val="auto"/>
              </w:rPr>
            </w:pPr>
          </w:p>
        </w:tc>
        <w:tc>
          <w:tcPr>
            <w:tcW w:w="1420" w:type="dxa"/>
            <w:vAlign w:val="bottom"/>
            <w:tcBorders>
              <w:bottom w:val="single" w:sz="8" w:color="007CBA"/>
              <w:right w:val="single" w:sz="8" w:color="007CBA"/>
            </w:tcBorders>
            <w:shd w:val="clear" w:color="auto" w:fill="007CBA"/>
          </w:tcPr>
          <w:p>
            <w:pPr>
              <w:jc w:val="right"/>
              <w:ind w:right="690"/>
              <w:spacing w:after="0" w:line="215" w:lineRule="exact"/>
              <w:rPr>
                <w:sz w:val="20"/>
                <w:szCs w:val="20"/>
                <w:color w:val="auto"/>
              </w:rPr>
            </w:pPr>
            <w:r>
              <w:rPr>
                <w:rFonts w:ascii="Calibri" w:cs="Calibri" w:eastAsia="Calibri" w:hAnsi="Calibri"/>
                <w:sz w:val="18"/>
                <w:szCs w:val="18"/>
                <w:b w:val="1"/>
                <w:bCs w:val="1"/>
                <w:color w:val="FFFFFF"/>
              </w:rPr>
              <w:t>2022</w:t>
            </w:r>
          </w:p>
        </w:tc>
        <w:tc>
          <w:tcPr>
            <w:tcW w:w="540" w:type="dxa"/>
            <w:vAlign w:val="bottom"/>
            <w:tcBorders>
              <w:bottom w:val="single" w:sz="8" w:color="007CBA"/>
            </w:tcBorders>
            <w:shd w:val="clear" w:color="auto" w:fill="007CBA"/>
          </w:tcPr>
          <w:p>
            <w:pPr>
              <w:spacing w:after="0"/>
              <w:rPr>
                <w:sz w:val="20"/>
                <w:szCs w:val="20"/>
                <w:color w:val="auto"/>
              </w:rPr>
            </w:pPr>
          </w:p>
        </w:tc>
        <w:tc>
          <w:tcPr>
            <w:tcW w:w="1500" w:type="dxa"/>
            <w:vAlign w:val="bottom"/>
            <w:tcBorders>
              <w:bottom w:val="single" w:sz="8" w:color="007CBA"/>
            </w:tcBorders>
            <w:shd w:val="clear" w:color="auto" w:fill="007CBA"/>
          </w:tcPr>
          <w:p>
            <w:pPr>
              <w:jc w:val="right"/>
              <w:ind w:right="790"/>
              <w:spacing w:after="0" w:line="215" w:lineRule="exact"/>
              <w:rPr>
                <w:sz w:val="20"/>
                <w:szCs w:val="20"/>
                <w:color w:val="auto"/>
              </w:rPr>
            </w:pPr>
            <w:r>
              <w:rPr>
                <w:rFonts w:ascii="Calibri" w:cs="Calibri" w:eastAsia="Calibri" w:hAnsi="Calibri"/>
                <w:sz w:val="18"/>
                <w:szCs w:val="18"/>
                <w:color w:val="FFFFFF"/>
              </w:rPr>
              <w:t>2021</w:t>
            </w:r>
          </w:p>
        </w:tc>
      </w:tr>
      <w:tr>
        <w:trPr>
          <w:trHeight w:val="223"/>
        </w:trPr>
        <w:tc>
          <w:tcPr>
            <w:tcW w:w="722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Building Materials business:</w:t>
            </w:r>
          </w:p>
        </w:tc>
        <w:tc>
          <w:tcPr>
            <w:tcW w:w="560" w:type="dxa"/>
            <w:vAlign w:val="bottom"/>
            <w:tcBorders>
              <w:bottom w:val="single" w:sz="8" w:color="E5F1F8"/>
            </w:tcBorders>
            <w:shd w:val="clear" w:color="auto" w:fill="E5F1F8"/>
          </w:tcPr>
          <w:p>
            <w:pPr>
              <w:spacing w:after="0"/>
              <w:rPr>
                <w:sz w:val="19"/>
                <w:szCs w:val="19"/>
                <w:color w:val="auto"/>
              </w:rPr>
            </w:pPr>
          </w:p>
        </w:tc>
        <w:tc>
          <w:tcPr>
            <w:tcW w:w="1420" w:type="dxa"/>
            <w:vAlign w:val="bottom"/>
            <w:tcBorders>
              <w:bottom w:val="single" w:sz="8" w:color="E5F1F8"/>
              <w:right w:val="single" w:sz="8" w:color="007CBA"/>
            </w:tcBorders>
            <w:shd w:val="clear" w:color="auto" w:fill="E5F1F8"/>
          </w:tcPr>
          <w:p>
            <w:pPr>
              <w:spacing w:after="0"/>
              <w:rPr>
                <w:sz w:val="19"/>
                <w:szCs w:val="19"/>
                <w:color w:val="auto"/>
              </w:rPr>
            </w:pPr>
          </w:p>
        </w:tc>
        <w:tc>
          <w:tcPr>
            <w:tcW w:w="540" w:type="dxa"/>
            <w:vAlign w:val="bottom"/>
            <w:tcBorders>
              <w:bottom w:val="single" w:sz="8" w:color="E5F1F8"/>
            </w:tcBorders>
            <w:shd w:val="clear" w:color="auto" w:fill="E5F1F8"/>
          </w:tcPr>
          <w:p>
            <w:pPr>
              <w:spacing w:after="0"/>
              <w:rPr>
                <w:sz w:val="19"/>
                <w:szCs w:val="19"/>
                <w:color w:val="auto"/>
              </w:rPr>
            </w:pPr>
          </w:p>
        </w:tc>
        <w:tc>
          <w:tcPr>
            <w:tcW w:w="1500" w:type="dxa"/>
            <w:vAlign w:val="bottom"/>
            <w:tcBorders>
              <w:bottom w:val="single" w:sz="8" w:color="E5F1F8"/>
            </w:tcBorders>
            <w:shd w:val="clear" w:color="auto" w:fill="E5F1F8"/>
          </w:tcPr>
          <w:p>
            <w:pPr>
              <w:spacing w:after="0"/>
              <w:rPr>
                <w:sz w:val="19"/>
                <w:szCs w:val="19"/>
                <w:color w:val="auto"/>
              </w:rPr>
            </w:pPr>
          </w:p>
        </w:tc>
      </w:tr>
      <w:tr>
        <w:trPr>
          <w:trHeight w:val="215"/>
        </w:trPr>
        <w:tc>
          <w:tcPr>
            <w:tcW w:w="7220" w:type="dxa"/>
            <w:vAlign w:val="bottom"/>
            <w:tcBorders>
              <w:right w:val="single" w:sz="8" w:color="007CBA"/>
            </w:tcBorders>
          </w:tcPr>
          <w:p>
            <w:pPr>
              <w:ind w:left="200"/>
              <w:spacing w:after="0" w:line="215" w:lineRule="exact"/>
              <w:rPr>
                <w:sz w:val="20"/>
                <w:szCs w:val="20"/>
                <w:color w:val="auto"/>
              </w:rPr>
            </w:pPr>
            <w:r>
              <w:rPr>
                <w:rFonts w:ascii="Calibri" w:cs="Calibri" w:eastAsia="Calibri" w:hAnsi="Calibri"/>
                <w:sz w:val="18"/>
                <w:szCs w:val="18"/>
                <w:color w:val="auto"/>
              </w:rPr>
              <w:t>Products and services</w:t>
            </w:r>
          </w:p>
        </w:tc>
        <w:tc>
          <w:tcPr>
            <w:tcW w:w="560" w:type="dxa"/>
            <w:vAlign w:val="bottom"/>
          </w:tcPr>
          <w:p>
            <w:pPr>
              <w:spacing w:after="0"/>
              <w:rPr>
                <w:sz w:val="18"/>
                <w:szCs w:val="18"/>
                <w:color w:val="auto"/>
              </w:rPr>
            </w:pPr>
          </w:p>
        </w:tc>
        <w:tc>
          <w:tcPr>
            <w:tcW w:w="1420" w:type="dxa"/>
            <w:vAlign w:val="bottom"/>
            <w:tcBorders>
              <w:right w:val="single" w:sz="8" w:color="007CBA"/>
            </w:tcBorders>
          </w:tcPr>
          <w:p>
            <w:pPr>
              <w:spacing w:after="0"/>
              <w:rPr>
                <w:sz w:val="18"/>
                <w:szCs w:val="18"/>
                <w:color w:val="auto"/>
              </w:rPr>
            </w:pPr>
          </w:p>
        </w:tc>
        <w:tc>
          <w:tcPr>
            <w:tcW w:w="5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8"/>
        </w:trPr>
        <w:tc>
          <w:tcPr>
            <w:tcW w:w="722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420" w:type="dxa"/>
            <w:vAlign w:val="bottom"/>
            <w:tcBorders>
              <w:right w:val="single" w:sz="8" w:color="007CBA"/>
            </w:tcBorders>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3"/>
        </w:trPr>
        <w:tc>
          <w:tcPr>
            <w:tcW w:w="7220" w:type="dxa"/>
            <w:vAlign w:val="bottom"/>
            <w:tcBorders>
              <w:bottom w:val="single" w:sz="8" w:color="E5F1F8"/>
              <w:right w:val="single" w:sz="8" w:color="007CBA"/>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East Group:</w:t>
            </w:r>
          </w:p>
        </w:tc>
        <w:tc>
          <w:tcPr>
            <w:tcW w:w="560" w:type="dxa"/>
            <w:vAlign w:val="bottom"/>
            <w:tcBorders>
              <w:bottom w:val="single" w:sz="8" w:color="E5F1F8"/>
            </w:tcBorders>
            <w:shd w:val="clear" w:color="auto" w:fill="E5F1F8"/>
          </w:tcPr>
          <w:p>
            <w:pPr>
              <w:spacing w:after="0"/>
              <w:rPr>
                <w:sz w:val="19"/>
                <w:szCs w:val="19"/>
                <w:color w:val="auto"/>
              </w:rPr>
            </w:pPr>
          </w:p>
        </w:tc>
        <w:tc>
          <w:tcPr>
            <w:tcW w:w="1420" w:type="dxa"/>
            <w:vAlign w:val="bottom"/>
            <w:tcBorders>
              <w:bottom w:val="single" w:sz="8" w:color="E5F1F8"/>
              <w:right w:val="single" w:sz="8" w:color="007CBA"/>
            </w:tcBorders>
            <w:shd w:val="clear" w:color="auto" w:fill="E5F1F8"/>
          </w:tcPr>
          <w:p>
            <w:pPr>
              <w:spacing w:after="0"/>
              <w:rPr>
                <w:sz w:val="19"/>
                <w:szCs w:val="19"/>
                <w:color w:val="auto"/>
              </w:rPr>
            </w:pPr>
          </w:p>
        </w:tc>
        <w:tc>
          <w:tcPr>
            <w:tcW w:w="540" w:type="dxa"/>
            <w:vAlign w:val="bottom"/>
            <w:tcBorders>
              <w:bottom w:val="single" w:sz="8" w:color="E5F1F8"/>
            </w:tcBorders>
            <w:shd w:val="clear" w:color="auto" w:fill="E5F1F8"/>
          </w:tcPr>
          <w:p>
            <w:pPr>
              <w:spacing w:after="0"/>
              <w:rPr>
                <w:sz w:val="19"/>
                <w:szCs w:val="19"/>
                <w:color w:val="auto"/>
              </w:rPr>
            </w:pPr>
          </w:p>
        </w:tc>
        <w:tc>
          <w:tcPr>
            <w:tcW w:w="1500" w:type="dxa"/>
            <w:vAlign w:val="bottom"/>
            <w:tcBorders>
              <w:bottom w:val="single" w:sz="8" w:color="E5F1F8"/>
            </w:tcBorders>
            <w:shd w:val="clear" w:color="auto" w:fill="E5F1F8"/>
          </w:tcPr>
          <w:p>
            <w:pPr>
              <w:spacing w:after="0"/>
              <w:rPr>
                <w:sz w:val="19"/>
                <w:szCs w:val="19"/>
                <w:color w:val="auto"/>
              </w:rPr>
            </w:pPr>
          </w:p>
        </w:tc>
      </w:tr>
      <w:tr>
        <w:trPr>
          <w:trHeight w:val="215"/>
        </w:trPr>
        <w:tc>
          <w:tcPr>
            <w:tcW w:w="7220" w:type="dxa"/>
            <w:vAlign w:val="bottom"/>
            <w:tcBorders>
              <w:right w:val="single" w:sz="8" w:color="007CBA"/>
            </w:tcBorders>
          </w:tcPr>
          <w:p>
            <w:pPr>
              <w:ind w:left="380"/>
              <w:spacing w:after="0" w:line="215" w:lineRule="exact"/>
              <w:rPr>
                <w:sz w:val="20"/>
                <w:szCs w:val="20"/>
                <w:color w:val="auto"/>
              </w:rPr>
            </w:pPr>
            <w:r>
              <w:rPr>
                <w:rFonts w:ascii="Calibri" w:cs="Calibri" w:eastAsia="Calibri" w:hAnsi="Calibri"/>
                <w:sz w:val="18"/>
                <w:szCs w:val="18"/>
                <w:color w:val="auto"/>
              </w:rPr>
              <w:t>Aggregates</w:t>
            </w:r>
          </w:p>
        </w:tc>
        <w:tc>
          <w:tcPr>
            <w:tcW w:w="560" w:type="dxa"/>
            <w:vAlign w:val="bottom"/>
          </w:tcPr>
          <w:p>
            <w:pPr>
              <w:jc w:val="right"/>
              <w:ind w:right="170"/>
              <w:spacing w:after="0" w:line="215" w:lineRule="exact"/>
              <w:rPr>
                <w:sz w:val="20"/>
                <w:szCs w:val="20"/>
                <w:color w:val="auto"/>
              </w:rPr>
            </w:pPr>
            <w:r>
              <w:rPr>
                <w:rFonts w:ascii="Calibri" w:cs="Calibri" w:eastAsia="Calibri" w:hAnsi="Calibri"/>
                <w:sz w:val="18"/>
                <w:szCs w:val="18"/>
                <w:b w:val="1"/>
                <w:bCs w:val="1"/>
                <w:color w:val="auto"/>
              </w:rPr>
              <w:t>$</w:t>
            </w:r>
          </w:p>
        </w:tc>
        <w:tc>
          <w:tcPr>
            <w:tcW w:w="14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2,152.3</w:t>
            </w:r>
          </w:p>
        </w:tc>
        <w:tc>
          <w:tcPr>
            <w:tcW w:w="5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5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2,011.0</w:t>
            </w:r>
          </w:p>
        </w:tc>
      </w:tr>
      <w:tr>
        <w:trPr>
          <w:trHeight w:val="28"/>
        </w:trPr>
        <w:tc>
          <w:tcPr>
            <w:tcW w:w="722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420" w:type="dxa"/>
            <w:vAlign w:val="bottom"/>
            <w:tcBorders>
              <w:right w:val="single" w:sz="8" w:color="007CBA"/>
            </w:tcBorders>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3"/>
        </w:trPr>
        <w:tc>
          <w:tcPr>
            <w:tcW w:w="7220" w:type="dxa"/>
            <w:vAlign w:val="bottom"/>
            <w:tcBorders>
              <w:bottom w:val="single" w:sz="8" w:color="E5F1F8"/>
              <w:right w:val="single" w:sz="8" w:color="007CBA"/>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Asphalt</w:t>
            </w:r>
          </w:p>
        </w:tc>
        <w:tc>
          <w:tcPr>
            <w:tcW w:w="560" w:type="dxa"/>
            <w:vAlign w:val="bottom"/>
            <w:tcBorders>
              <w:bottom w:val="single" w:sz="8" w:color="E5F1F8"/>
            </w:tcBorders>
            <w:shd w:val="clear" w:color="auto" w:fill="E5F1F8"/>
          </w:tcPr>
          <w:p>
            <w:pPr>
              <w:spacing w:after="0"/>
              <w:rPr>
                <w:sz w:val="19"/>
                <w:szCs w:val="19"/>
                <w:color w:val="auto"/>
              </w:rPr>
            </w:pPr>
          </w:p>
        </w:tc>
        <w:tc>
          <w:tcPr>
            <w:tcW w:w="142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192.3</w:t>
            </w:r>
          </w:p>
        </w:tc>
        <w:tc>
          <w:tcPr>
            <w:tcW w:w="540" w:type="dxa"/>
            <w:vAlign w:val="bottom"/>
            <w:tcBorders>
              <w:bottom w:val="single" w:sz="8" w:color="E5F1F8"/>
            </w:tcBorders>
            <w:shd w:val="clear" w:color="auto" w:fill="E5F1F8"/>
          </w:tcPr>
          <w:p>
            <w:pPr>
              <w:spacing w:after="0"/>
              <w:rPr>
                <w:sz w:val="19"/>
                <w:szCs w:val="19"/>
                <w:color w:val="auto"/>
              </w:rPr>
            </w:pPr>
          </w:p>
        </w:tc>
        <w:tc>
          <w:tcPr>
            <w:tcW w:w="15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167.9</w:t>
            </w:r>
          </w:p>
        </w:tc>
      </w:tr>
      <w:tr>
        <w:trPr>
          <w:trHeight w:val="215"/>
        </w:trPr>
        <w:tc>
          <w:tcPr>
            <w:tcW w:w="7220" w:type="dxa"/>
            <w:vAlign w:val="bottom"/>
          </w:tcPr>
          <w:p>
            <w:pPr>
              <w:ind w:left="380"/>
              <w:spacing w:after="0" w:line="215" w:lineRule="exact"/>
              <w:rPr>
                <w:sz w:val="20"/>
                <w:szCs w:val="20"/>
                <w:color w:val="auto"/>
              </w:rPr>
            </w:pPr>
            <w:r>
              <w:rPr>
                <w:rFonts w:ascii="Calibri" w:cs="Calibri" w:eastAsia="Calibri" w:hAnsi="Calibri"/>
                <w:sz w:val="18"/>
                <w:szCs w:val="18"/>
                <w:color w:val="auto"/>
              </w:rPr>
              <w:t>Less: Interproduct revenues</w:t>
            </w:r>
          </w:p>
        </w:tc>
        <w:tc>
          <w:tcPr>
            <w:tcW w:w="56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(20.5 )</w:t>
            </w:r>
          </w:p>
        </w:tc>
        <w:tc>
          <w:tcPr>
            <w:tcW w:w="540" w:type="dxa"/>
            <w:vAlign w:val="bottom"/>
          </w:tcPr>
          <w:p>
            <w:pPr>
              <w:spacing w:after="0"/>
              <w:rPr>
                <w:sz w:val="18"/>
                <w:szCs w:val="18"/>
                <w:color w:val="auto"/>
              </w:rPr>
            </w:pPr>
          </w:p>
        </w:tc>
        <w:tc>
          <w:tcPr>
            <w:tcW w:w="150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(17.3 )</w:t>
            </w:r>
          </w:p>
        </w:tc>
      </w:tr>
      <w:tr>
        <w:trPr>
          <w:trHeight w:val="28"/>
        </w:trPr>
        <w:tc>
          <w:tcPr>
            <w:tcW w:w="7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1"/>
        </w:trPr>
        <w:tc>
          <w:tcPr>
            <w:tcW w:w="7220" w:type="dxa"/>
            <w:vAlign w:val="bottom"/>
            <w:tcBorders>
              <w:bottom w:val="single" w:sz="8" w:color="E5F1F8"/>
              <w:right w:val="single" w:sz="8" w:color="E5F1F8"/>
            </w:tcBorders>
            <w:shd w:val="clear" w:color="auto" w:fill="E5F1F8"/>
          </w:tcPr>
          <w:p>
            <w:pPr>
              <w:ind w:left="300"/>
              <w:spacing w:after="0" w:line="208" w:lineRule="exact"/>
              <w:rPr>
                <w:sz w:val="20"/>
                <w:szCs w:val="20"/>
                <w:color w:val="auto"/>
              </w:rPr>
            </w:pPr>
            <w:r>
              <w:rPr>
                <w:rFonts w:ascii="Calibri" w:cs="Calibri" w:eastAsia="Calibri" w:hAnsi="Calibri"/>
                <w:sz w:val="18"/>
                <w:szCs w:val="18"/>
                <w:color w:val="auto"/>
              </w:rPr>
              <w:t>East Group Total</w:t>
            </w:r>
          </w:p>
        </w:tc>
        <w:tc>
          <w:tcPr>
            <w:tcW w:w="560" w:type="dxa"/>
            <w:vAlign w:val="bottom"/>
            <w:tcBorders>
              <w:bottom w:val="single" w:sz="8" w:color="E5F1F8"/>
            </w:tcBorders>
            <w:shd w:val="clear" w:color="auto" w:fill="E5F1F8"/>
          </w:tcPr>
          <w:p>
            <w:pPr>
              <w:spacing w:after="0"/>
              <w:rPr>
                <w:sz w:val="20"/>
                <w:szCs w:val="20"/>
                <w:color w:val="auto"/>
              </w:rPr>
            </w:pPr>
          </w:p>
        </w:tc>
        <w:tc>
          <w:tcPr>
            <w:tcW w:w="142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b w:val="1"/>
                <w:bCs w:val="1"/>
                <w:color w:val="auto"/>
              </w:rPr>
              <w:t>2,324.1</w:t>
            </w:r>
          </w:p>
        </w:tc>
        <w:tc>
          <w:tcPr>
            <w:tcW w:w="540" w:type="dxa"/>
            <w:vAlign w:val="bottom"/>
            <w:tcBorders>
              <w:bottom w:val="single" w:sz="8" w:color="E5F1F8"/>
            </w:tcBorders>
            <w:shd w:val="clear" w:color="auto" w:fill="E5F1F8"/>
          </w:tcPr>
          <w:p>
            <w:pPr>
              <w:spacing w:after="0"/>
              <w:rPr>
                <w:sz w:val="20"/>
                <w:szCs w:val="20"/>
                <w:color w:val="auto"/>
              </w:rPr>
            </w:pPr>
          </w:p>
        </w:tc>
        <w:tc>
          <w:tcPr>
            <w:tcW w:w="1500" w:type="dxa"/>
            <w:vAlign w:val="bottom"/>
            <w:tcBorders>
              <w:bottom w:val="single" w:sz="8" w:color="E5F1F8"/>
            </w:tcBorders>
            <w:shd w:val="clear" w:color="auto" w:fill="E5F1F8"/>
          </w:tcPr>
          <w:p>
            <w:pPr>
              <w:jc w:val="right"/>
              <w:ind w:right="170"/>
              <w:spacing w:after="0" w:line="208" w:lineRule="exact"/>
              <w:rPr>
                <w:sz w:val="20"/>
                <w:szCs w:val="20"/>
                <w:color w:val="auto"/>
              </w:rPr>
            </w:pPr>
            <w:r>
              <w:rPr>
                <w:rFonts w:ascii="Calibri" w:cs="Calibri" w:eastAsia="Calibri" w:hAnsi="Calibri"/>
                <w:sz w:val="18"/>
                <w:szCs w:val="18"/>
                <w:color w:val="auto"/>
              </w:rPr>
              <w:t>2,161.6</w:t>
            </w:r>
          </w:p>
        </w:tc>
      </w:tr>
      <w:tr>
        <w:trPr>
          <w:trHeight w:val="208"/>
        </w:trPr>
        <w:tc>
          <w:tcPr>
            <w:tcW w:w="7220" w:type="dxa"/>
            <w:vAlign w:val="bottom"/>
            <w:tcBorders>
              <w:top w:val="single" w:sz="8" w:color="auto"/>
              <w:right w:val="single" w:sz="8" w:color="007CBA"/>
            </w:tcBorders>
          </w:tcPr>
          <w:p>
            <w:pPr>
              <w:ind w:left="300"/>
              <w:spacing w:after="0" w:line="208" w:lineRule="exact"/>
              <w:rPr>
                <w:sz w:val="20"/>
                <w:szCs w:val="20"/>
                <w:color w:val="auto"/>
              </w:rPr>
            </w:pPr>
            <w:r>
              <w:rPr>
                <w:rFonts w:ascii="Calibri" w:cs="Calibri" w:eastAsia="Calibri" w:hAnsi="Calibri"/>
                <w:sz w:val="18"/>
                <w:szCs w:val="18"/>
                <w:color w:val="auto"/>
              </w:rPr>
              <w:t>West Group:</w:t>
            </w:r>
          </w:p>
        </w:tc>
        <w:tc>
          <w:tcPr>
            <w:tcW w:w="560" w:type="dxa"/>
            <w:vAlign w:val="bottom"/>
            <w:tcBorders>
              <w:top w:val="single" w:sz="8" w:color="auto"/>
            </w:tcBorders>
          </w:tcPr>
          <w:p>
            <w:pPr>
              <w:spacing w:after="0"/>
              <w:rPr>
                <w:sz w:val="18"/>
                <w:szCs w:val="18"/>
                <w:color w:val="auto"/>
              </w:rPr>
            </w:pPr>
          </w:p>
        </w:tc>
        <w:tc>
          <w:tcPr>
            <w:tcW w:w="1420" w:type="dxa"/>
            <w:vAlign w:val="bottom"/>
            <w:tcBorders>
              <w:top w:val="single" w:sz="8" w:color="auto"/>
              <w:right w:val="single" w:sz="8" w:color="007CBA"/>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r>
      <w:tr>
        <w:trPr>
          <w:trHeight w:val="28"/>
        </w:trPr>
        <w:tc>
          <w:tcPr>
            <w:tcW w:w="722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420" w:type="dxa"/>
            <w:vAlign w:val="bottom"/>
            <w:tcBorders>
              <w:right w:val="single" w:sz="8" w:color="007CBA"/>
            </w:tcBorders>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3"/>
        </w:trPr>
        <w:tc>
          <w:tcPr>
            <w:tcW w:w="7220" w:type="dxa"/>
            <w:vAlign w:val="bottom"/>
            <w:tcBorders>
              <w:bottom w:val="single" w:sz="8" w:color="E5F1F8"/>
              <w:right w:val="single" w:sz="8" w:color="007CBA"/>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Aggregates</w:t>
            </w:r>
          </w:p>
        </w:tc>
        <w:tc>
          <w:tcPr>
            <w:tcW w:w="560" w:type="dxa"/>
            <w:vAlign w:val="bottom"/>
            <w:tcBorders>
              <w:bottom w:val="single" w:sz="8" w:color="E5F1F8"/>
            </w:tcBorders>
            <w:shd w:val="clear" w:color="auto" w:fill="E5F1F8"/>
          </w:tcPr>
          <w:p>
            <w:pPr>
              <w:spacing w:after="0"/>
              <w:rPr>
                <w:sz w:val="19"/>
                <w:szCs w:val="19"/>
                <w:color w:val="auto"/>
              </w:rPr>
            </w:pPr>
          </w:p>
        </w:tc>
        <w:tc>
          <w:tcPr>
            <w:tcW w:w="142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1,353.7</w:t>
            </w:r>
          </w:p>
        </w:tc>
        <w:tc>
          <w:tcPr>
            <w:tcW w:w="540" w:type="dxa"/>
            <w:vAlign w:val="bottom"/>
            <w:tcBorders>
              <w:bottom w:val="single" w:sz="8" w:color="E5F1F8"/>
            </w:tcBorders>
            <w:shd w:val="clear" w:color="auto" w:fill="E5F1F8"/>
          </w:tcPr>
          <w:p>
            <w:pPr>
              <w:spacing w:after="0"/>
              <w:rPr>
                <w:sz w:val="19"/>
                <w:szCs w:val="19"/>
                <w:color w:val="auto"/>
              </w:rPr>
            </w:pPr>
          </w:p>
        </w:tc>
        <w:tc>
          <w:tcPr>
            <w:tcW w:w="15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1,047.5</w:t>
            </w:r>
          </w:p>
        </w:tc>
      </w:tr>
      <w:tr>
        <w:trPr>
          <w:trHeight w:val="215"/>
        </w:trPr>
        <w:tc>
          <w:tcPr>
            <w:tcW w:w="7220" w:type="dxa"/>
            <w:vAlign w:val="bottom"/>
            <w:tcBorders>
              <w:right w:val="single" w:sz="8" w:color="007CBA"/>
            </w:tcBorders>
          </w:tcPr>
          <w:p>
            <w:pPr>
              <w:ind w:left="380"/>
              <w:spacing w:after="0" w:line="215" w:lineRule="exact"/>
              <w:rPr>
                <w:sz w:val="20"/>
                <w:szCs w:val="20"/>
                <w:color w:val="auto"/>
              </w:rPr>
            </w:pPr>
            <w:r>
              <w:rPr>
                <w:rFonts w:ascii="Calibri" w:cs="Calibri" w:eastAsia="Calibri" w:hAnsi="Calibri"/>
                <w:sz w:val="18"/>
                <w:szCs w:val="18"/>
                <w:color w:val="auto"/>
              </w:rPr>
              <w:t>Cement</w:t>
            </w:r>
          </w:p>
        </w:tc>
        <w:tc>
          <w:tcPr>
            <w:tcW w:w="560" w:type="dxa"/>
            <w:vAlign w:val="bottom"/>
          </w:tcPr>
          <w:p>
            <w:pPr>
              <w:spacing w:after="0"/>
              <w:rPr>
                <w:sz w:val="18"/>
                <w:szCs w:val="18"/>
                <w:color w:val="auto"/>
              </w:rPr>
            </w:pPr>
          </w:p>
        </w:tc>
        <w:tc>
          <w:tcPr>
            <w:tcW w:w="14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602.3</w:t>
            </w:r>
          </w:p>
        </w:tc>
        <w:tc>
          <w:tcPr>
            <w:tcW w:w="540" w:type="dxa"/>
            <w:vAlign w:val="bottom"/>
          </w:tcPr>
          <w:p>
            <w:pPr>
              <w:spacing w:after="0"/>
              <w:rPr>
                <w:sz w:val="18"/>
                <w:szCs w:val="18"/>
                <w:color w:val="auto"/>
              </w:rPr>
            </w:pPr>
          </w:p>
        </w:tc>
        <w:tc>
          <w:tcPr>
            <w:tcW w:w="15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494.5</w:t>
            </w:r>
          </w:p>
        </w:tc>
      </w:tr>
      <w:tr>
        <w:trPr>
          <w:trHeight w:val="28"/>
        </w:trPr>
        <w:tc>
          <w:tcPr>
            <w:tcW w:w="722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420" w:type="dxa"/>
            <w:vAlign w:val="bottom"/>
            <w:tcBorders>
              <w:right w:val="single" w:sz="8" w:color="007CBA"/>
            </w:tcBorders>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3"/>
        </w:trPr>
        <w:tc>
          <w:tcPr>
            <w:tcW w:w="7220" w:type="dxa"/>
            <w:vAlign w:val="bottom"/>
            <w:tcBorders>
              <w:bottom w:val="single" w:sz="8" w:color="E5F1F8"/>
              <w:right w:val="single" w:sz="8" w:color="007CBA"/>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Ready mixed concrete</w:t>
            </w:r>
          </w:p>
        </w:tc>
        <w:tc>
          <w:tcPr>
            <w:tcW w:w="560" w:type="dxa"/>
            <w:vAlign w:val="bottom"/>
            <w:tcBorders>
              <w:bottom w:val="single" w:sz="8" w:color="E5F1F8"/>
            </w:tcBorders>
            <w:shd w:val="clear" w:color="auto" w:fill="E5F1F8"/>
          </w:tcPr>
          <w:p>
            <w:pPr>
              <w:spacing w:after="0"/>
              <w:rPr>
                <w:sz w:val="19"/>
                <w:szCs w:val="19"/>
                <w:color w:val="auto"/>
              </w:rPr>
            </w:pPr>
          </w:p>
        </w:tc>
        <w:tc>
          <w:tcPr>
            <w:tcW w:w="142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951.3</w:t>
            </w:r>
          </w:p>
        </w:tc>
        <w:tc>
          <w:tcPr>
            <w:tcW w:w="540" w:type="dxa"/>
            <w:vAlign w:val="bottom"/>
            <w:tcBorders>
              <w:bottom w:val="single" w:sz="8" w:color="E5F1F8"/>
            </w:tcBorders>
            <w:shd w:val="clear" w:color="auto" w:fill="E5F1F8"/>
          </w:tcPr>
          <w:p>
            <w:pPr>
              <w:spacing w:after="0"/>
              <w:rPr>
                <w:sz w:val="19"/>
                <w:szCs w:val="19"/>
                <w:color w:val="auto"/>
              </w:rPr>
            </w:pPr>
          </w:p>
        </w:tc>
        <w:tc>
          <w:tcPr>
            <w:tcW w:w="15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1,145.8</w:t>
            </w:r>
          </w:p>
        </w:tc>
      </w:tr>
      <w:tr>
        <w:trPr>
          <w:trHeight w:val="243"/>
        </w:trPr>
        <w:tc>
          <w:tcPr>
            <w:tcW w:w="7220" w:type="dxa"/>
            <w:vAlign w:val="bottom"/>
            <w:tcBorders>
              <w:right w:val="single" w:sz="8" w:color="007CBA"/>
            </w:tcBorders>
          </w:tcPr>
          <w:p>
            <w:pPr>
              <w:ind w:left="380"/>
              <w:spacing w:after="0" w:line="215" w:lineRule="exact"/>
              <w:rPr>
                <w:sz w:val="20"/>
                <w:szCs w:val="20"/>
                <w:color w:val="auto"/>
              </w:rPr>
            </w:pPr>
            <w:r>
              <w:rPr>
                <w:rFonts w:ascii="Calibri" w:cs="Calibri" w:eastAsia="Calibri" w:hAnsi="Calibri"/>
                <w:sz w:val="18"/>
                <w:szCs w:val="18"/>
                <w:color w:val="auto"/>
              </w:rPr>
              <w:t>Asphalt and paving services</w:t>
            </w:r>
          </w:p>
        </w:tc>
        <w:tc>
          <w:tcPr>
            <w:tcW w:w="560" w:type="dxa"/>
            <w:vAlign w:val="bottom"/>
          </w:tcPr>
          <w:p>
            <w:pPr>
              <w:spacing w:after="0"/>
              <w:rPr>
                <w:sz w:val="21"/>
                <w:szCs w:val="21"/>
                <w:color w:val="auto"/>
              </w:rPr>
            </w:pPr>
          </w:p>
        </w:tc>
        <w:tc>
          <w:tcPr>
            <w:tcW w:w="14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583.1</w:t>
            </w:r>
          </w:p>
        </w:tc>
        <w:tc>
          <w:tcPr>
            <w:tcW w:w="540" w:type="dxa"/>
            <w:vAlign w:val="bottom"/>
          </w:tcPr>
          <w:p>
            <w:pPr>
              <w:spacing w:after="0"/>
              <w:rPr>
                <w:sz w:val="21"/>
                <w:szCs w:val="21"/>
                <w:color w:val="auto"/>
              </w:rPr>
            </w:pPr>
          </w:p>
        </w:tc>
        <w:tc>
          <w:tcPr>
            <w:tcW w:w="15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346.3</w:t>
            </w:r>
          </w:p>
        </w:tc>
      </w:tr>
      <w:tr>
        <w:trPr>
          <w:trHeight w:val="248"/>
        </w:trPr>
        <w:tc>
          <w:tcPr>
            <w:tcW w:w="7220" w:type="dxa"/>
            <w:vAlign w:val="bottom"/>
            <w:tcBorders>
              <w:bottom w:val="single" w:sz="8" w:color="E5F1F8"/>
              <w:right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Less: Interproduct revenues</w:t>
            </w:r>
          </w:p>
        </w:tc>
        <w:tc>
          <w:tcPr>
            <w:tcW w:w="560" w:type="dxa"/>
            <w:vAlign w:val="bottom"/>
            <w:tcBorders>
              <w:bottom w:val="single" w:sz="8" w:color="E5F1F8"/>
            </w:tcBorders>
            <w:shd w:val="clear" w:color="auto" w:fill="E5F1F8"/>
          </w:tcPr>
          <w:p>
            <w:pPr>
              <w:spacing w:after="0"/>
              <w:rPr>
                <w:sz w:val="21"/>
                <w:szCs w:val="21"/>
                <w:color w:val="auto"/>
              </w:rPr>
            </w:pPr>
          </w:p>
        </w:tc>
        <w:tc>
          <w:tcPr>
            <w:tcW w:w="142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(362.0 )</w:t>
            </w:r>
          </w:p>
        </w:tc>
        <w:tc>
          <w:tcPr>
            <w:tcW w:w="540" w:type="dxa"/>
            <w:vAlign w:val="bottom"/>
            <w:tcBorders>
              <w:bottom w:val="single" w:sz="8" w:color="E5F1F8"/>
            </w:tcBorders>
            <w:shd w:val="clear" w:color="auto" w:fill="E5F1F8"/>
          </w:tcPr>
          <w:p>
            <w:pPr>
              <w:spacing w:after="0"/>
              <w:rPr>
                <w:sz w:val="21"/>
                <w:szCs w:val="21"/>
                <w:color w:val="auto"/>
              </w:rPr>
            </w:pPr>
          </w:p>
        </w:tc>
        <w:tc>
          <w:tcPr>
            <w:tcW w:w="1500" w:type="dxa"/>
            <w:vAlign w:val="bottom"/>
            <w:tcBorders>
              <w:bottom w:val="single" w:sz="8" w:color="E5F1F8"/>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(385.7 )</w:t>
            </w:r>
          </w:p>
        </w:tc>
      </w:tr>
      <w:tr>
        <w:trPr>
          <w:trHeight w:val="208"/>
        </w:trPr>
        <w:tc>
          <w:tcPr>
            <w:tcW w:w="7220" w:type="dxa"/>
            <w:vAlign w:val="bottom"/>
            <w:tcBorders>
              <w:top w:val="single" w:sz="8" w:color="auto"/>
            </w:tcBorders>
          </w:tcPr>
          <w:p>
            <w:pPr>
              <w:ind w:left="300"/>
              <w:spacing w:after="0" w:line="208" w:lineRule="exact"/>
              <w:rPr>
                <w:sz w:val="20"/>
                <w:szCs w:val="20"/>
                <w:color w:val="auto"/>
              </w:rPr>
            </w:pPr>
            <w:r>
              <w:rPr>
                <w:rFonts w:ascii="Calibri" w:cs="Calibri" w:eastAsia="Calibri" w:hAnsi="Calibri"/>
                <w:sz w:val="18"/>
                <w:szCs w:val="18"/>
                <w:color w:val="auto"/>
              </w:rPr>
              <w:t>West Group Total</w:t>
            </w:r>
          </w:p>
        </w:tc>
        <w:tc>
          <w:tcPr>
            <w:tcW w:w="5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3,128.4</w:t>
            </w:r>
          </w:p>
        </w:tc>
        <w:tc>
          <w:tcPr>
            <w:tcW w:w="5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70"/>
              <w:spacing w:after="0" w:line="208" w:lineRule="exact"/>
              <w:rPr>
                <w:sz w:val="20"/>
                <w:szCs w:val="20"/>
                <w:color w:val="auto"/>
              </w:rPr>
            </w:pPr>
            <w:r>
              <w:rPr>
                <w:rFonts w:ascii="Calibri" w:cs="Calibri" w:eastAsia="Calibri" w:hAnsi="Calibri"/>
                <w:sz w:val="18"/>
                <w:szCs w:val="18"/>
                <w:color w:val="auto"/>
              </w:rPr>
              <w:t>2,648.4</w:t>
            </w:r>
          </w:p>
        </w:tc>
      </w:tr>
      <w:tr>
        <w:trPr>
          <w:trHeight w:val="28"/>
        </w:trPr>
        <w:tc>
          <w:tcPr>
            <w:tcW w:w="7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7"/>
        </w:trPr>
        <w:tc>
          <w:tcPr>
            <w:tcW w:w="7220" w:type="dxa"/>
            <w:vAlign w:val="bottom"/>
            <w:tcBorders>
              <w:bottom w:val="single" w:sz="8" w:color="E5F1F8"/>
              <w:right w:val="single" w:sz="8" w:color="007CBA"/>
            </w:tcBorders>
            <w:shd w:val="clear" w:color="auto" w:fill="E5F1F8"/>
          </w:tcPr>
          <w:p>
            <w:pPr>
              <w:ind w:left="200"/>
              <w:spacing w:after="0" w:line="208" w:lineRule="exact"/>
              <w:rPr>
                <w:sz w:val="20"/>
                <w:szCs w:val="20"/>
                <w:color w:val="auto"/>
              </w:rPr>
            </w:pPr>
            <w:r>
              <w:rPr>
                <w:rFonts w:ascii="Calibri" w:cs="Calibri" w:eastAsia="Calibri" w:hAnsi="Calibri"/>
                <w:sz w:val="18"/>
                <w:szCs w:val="18"/>
                <w:color w:val="auto"/>
              </w:rPr>
              <w:t>Products and services</w:t>
            </w:r>
          </w:p>
        </w:tc>
        <w:tc>
          <w:tcPr>
            <w:tcW w:w="560" w:type="dxa"/>
            <w:vAlign w:val="bottom"/>
            <w:tcBorders>
              <w:bottom w:val="single" w:sz="8" w:color="E5F1F8"/>
            </w:tcBorders>
            <w:shd w:val="clear" w:color="auto" w:fill="E5F1F8"/>
          </w:tcPr>
          <w:p>
            <w:pPr>
              <w:spacing w:after="0"/>
              <w:rPr>
                <w:sz w:val="18"/>
                <w:szCs w:val="18"/>
                <w:color w:val="auto"/>
              </w:rPr>
            </w:pPr>
          </w:p>
        </w:tc>
        <w:tc>
          <w:tcPr>
            <w:tcW w:w="1420" w:type="dxa"/>
            <w:vAlign w:val="bottom"/>
            <w:tcBorders>
              <w:bottom w:val="single" w:sz="8" w:color="E5F1F8"/>
              <w:right w:val="single" w:sz="8" w:color="007CBA"/>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b w:val="1"/>
                <w:bCs w:val="1"/>
                <w:color w:val="auto"/>
              </w:rPr>
              <w:t>5,452.5</w:t>
            </w:r>
          </w:p>
        </w:tc>
        <w:tc>
          <w:tcPr>
            <w:tcW w:w="540" w:type="dxa"/>
            <w:vAlign w:val="bottom"/>
            <w:tcBorders>
              <w:bottom w:val="single" w:sz="8" w:color="E5F1F8"/>
            </w:tcBorders>
            <w:shd w:val="clear" w:color="auto" w:fill="E5F1F8"/>
          </w:tcPr>
          <w:p>
            <w:pPr>
              <w:spacing w:after="0"/>
              <w:rPr>
                <w:sz w:val="18"/>
                <w:szCs w:val="18"/>
                <w:color w:val="auto"/>
              </w:rPr>
            </w:pPr>
          </w:p>
        </w:tc>
        <w:tc>
          <w:tcPr>
            <w:tcW w:w="1500" w:type="dxa"/>
            <w:vAlign w:val="bottom"/>
            <w:tcBorders>
              <w:bottom w:val="single" w:sz="8" w:color="E5F1F8"/>
            </w:tcBorders>
            <w:shd w:val="clear" w:color="auto" w:fill="E5F1F8"/>
          </w:tcPr>
          <w:p>
            <w:pPr>
              <w:jc w:val="right"/>
              <w:ind w:right="170"/>
              <w:spacing w:after="0" w:line="208" w:lineRule="exact"/>
              <w:rPr>
                <w:sz w:val="20"/>
                <w:szCs w:val="20"/>
                <w:color w:val="auto"/>
              </w:rPr>
            </w:pPr>
            <w:r>
              <w:rPr>
                <w:rFonts w:ascii="Calibri" w:cs="Calibri" w:eastAsia="Calibri" w:hAnsi="Calibri"/>
                <w:sz w:val="18"/>
                <w:szCs w:val="18"/>
                <w:color w:val="auto"/>
              </w:rPr>
              <w:t>4,810.0</w:t>
            </w:r>
          </w:p>
        </w:tc>
      </w:tr>
      <w:tr>
        <w:trPr>
          <w:trHeight w:val="215"/>
        </w:trPr>
        <w:tc>
          <w:tcPr>
            <w:tcW w:w="7220" w:type="dxa"/>
            <w:vAlign w:val="bottom"/>
          </w:tcPr>
          <w:p>
            <w:pPr>
              <w:ind w:left="200"/>
              <w:spacing w:after="0" w:line="215" w:lineRule="exact"/>
              <w:rPr>
                <w:sz w:val="20"/>
                <w:szCs w:val="20"/>
                <w:color w:val="auto"/>
              </w:rPr>
            </w:pPr>
            <w:r>
              <w:rPr>
                <w:rFonts w:ascii="Calibri" w:cs="Calibri" w:eastAsia="Calibri" w:hAnsi="Calibri"/>
                <w:sz w:val="18"/>
                <w:szCs w:val="18"/>
                <w:color w:val="auto"/>
              </w:rPr>
              <w:t>Freight</w:t>
            </w:r>
          </w:p>
        </w:tc>
        <w:tc>
          <w:tcPr>
            <w:tcW w:w="560" w:type="dxa"/>
            <w:vAlign w:val="bottom"/>
          </w:tcPr>
          <w:p>
            <w:pPr>
              <w:spacing w:after="0"/>
              <w:rPr>
                <w:sz w:val="18"/>
                <w:szCs w:val="18"/>
                <w:color w:val="auto"/>
              </w:rPr>
            </w:pPr>
          </w:p>
        </w:tc>
        <w:tc>
          <w:tcPr>
            <w:tcW w:w="142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404.2</w:t>
            </w:r>
          </w:p>
        </w:tc>
        <w:tc>
          <w:tcPr>
            <w:tcW w:w="540" w:type="dxa"/>
            <w:vAlign w:val="bottom"/>
          </w:tcPr>
          <w:p>
            <w:pPr>
              <w:spacing w:after="0"/>
              <w:rPr>
                <w:sz w:val="18"/>
                <w:szCs w:val="18"/>
                <w:color w:val="auto"/>
              </w:rPr>
            </w:pPr>
          </w:p>
        </w:tc>
        <w:tc>
          <w:tcPr>
            <w:tcW w:w="15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305.3</w:t>
            </w:r>
          </w:p>
        </w:tc>
      </w:tr>
      <w:tr>
        <w:trPr>
          <w:trHeight w:val="28"/>
        </w:trPr>
        <w:tc>
          <w:tcPr>
            <w:tcW w:w="7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2"/>
        </w:trPr>
        <w:tc>
          <w:tcPr>
            <w:tcW w:w="722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Total Building Materials business</w:t>
            </w:r>
          </w:p>
        </w:tc>
        <w:tc>
          <w:tcPr>
            <w:tcW w:w="560" w:type="dxa"/>
            <w:vAlign w:val="bottom"/>
            <w:tcBorders>
              <w:bottom w:val="single" w:sz="8" w:color="E5F1F8"/>
            </w:tcBorders>
            <w:shd w:val="clear" w:color="auto" w:fill="E5F1F8"/>
          </w:tcPr>
          <w:p>
            <w:pPr>
              <w:spacing w:after="0"/>
              <w:rPr>
                <w:sz w:val="20"/>
                <w:szCs w:val="20"/>
                <w:color w:val="auto"/>
              </w:rPr>
            </w:pPr>
          </w:p>
        </w:tc>
        <w:tc>
          <w:tcPr>
            <w:tcW w:w="142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b w:val="1"/>
                <w:bCs w:val="1"/>
                <w:color w:val="auto"/>
              </w:rPr>
              <w:t>5,856.7</w:t>
            </w:r>
          </w:p>
        </w:tc>
        <w:tc>
          <w:tcPr>
            <w:tcW w:w="540" w:type="dxa"/>
            <w:vAlign w:val="bottom"/>
            <w:tcBorders>
              <w:bottom w:val="single" w:sz="8" w:color="E5F1F8"/>
            </w:tcBorders>
            <w:shd w:val="clear" w:color="auto" w:fill="E5F1F8"/>
          </w:tcPr>
          <w:p>
            <w:pPr>
              <w:spacing w:after="0"/>
              <w:rPr>
                <w:sz w:val="20"/>
                <w:szCs w:val="20"/>
                <w:color w:val="auto"/>
              </w:rPr>
            </w:pPr>
          </w:p>
        </w:tc>
        <w:tc>
          <w:tcPr>
            <w:tcW w:w="1500" w:type="dxa"/>
            <w:vAlign w:val="bottom"/>
            <w:tcBorders>
              <w:bottom w:val="single" w:sz="8" w:color="E5F1F8"/>
            </w:tcBorders>
            <w:shd w:val="clear" w:color="auto" w:fill="E5F1F8"/>
          </w:tcPr>
          <w:p>
            <w:pPr>
              <w:jc w:val="right"/>
              <w:ind w:right="170"/>
              <w:spacing w:after="0" w:line="208" w:lineRule="exact"/>
              <w:rPr>
                <w:sz w:val="20"/>
                <w:szCs w:val="20"/>
                <w:color w:val="auto"/>
              </w:rPr>
            </w:pPr>
            <w:r>
              <w:rPr>
                <w:rFonts w:ascii="Calibri" w:cs="Calibri" w:eastAsia="Calibri" w:hAnsi="Calibri"/>
                <w:sz w:val="18"/>
                <w:szCs w:val="18"/>
                <w:color w:val="auto"/>
              </w:rPr>
              <w:t>5,115.3</w:t>
            </w:r>
          </w:p>
        </w:tc>
      </w:tr>
      <w:tr>
        <w:trPr>
          <w:trHeight w:val="208"/>
        </w:trPr>
        <w:tc>
          <w:tcPr>
            <w:tcW w:w="722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color w:val="auto"/>
              </w:rPr>
              <w:t>Magnesia Specialtes:</w:t>
            </w:r>
          </w:p>
        </w:tc>
        <w:tc>
          <w:tcPr>
            <w:tcW w:w="560" w:type="dxa"/>
            <w:vAlign w:val="bottom"/>
            <w:tcBorders>
              <w:top w:val="single" w:sz="8" w:color="auto"/>
            </w:tcBorders>
          </w:tcPr>
          <w:p>
            <w:pPr>
              <w:spacing w:after="0"/>
              <w:rPr>
                <w:sz w:val="18"/>
                <w:szCs w:val="18"/>
                <w:color w:val="auto"/>
              </w:rPr>
            </w:pPr>
          </w:p>
        </w:tc>
        <w:tc>
          <w:tcPr>
            <w:tcW w:w="1420" w:type="dxa"/>
            <w:vAlign w:val="bottom"/>
            <w:tcBorders>
              <w:top w:val="single" w:sz="8" w:color="auto"/>
              <w:right w:val="single" w:sz="8" w:color="007CBA"/>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r>
      <w:tr>
        <w:trPr>
          <w:trHeight w:val="28"/>
        </w:trPr>
        <w:tc>
          <w:tcPr>
            <w:tcW w:w="722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420" w:type="dxa"/>
            <w:vAlign w:val="bottom"/>
            <w:tcBorders>
              <w:right w:val="single" w:sz="8" w:color="007CBA"/>
            </w:tcBorders>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3"/>
        </w:trPr>
        <w:tc>
          <w:tcPr>
            <w:tcW w:w="7220" w:type="dxa"/>
            <w:vAlign w:val="bottom"/>
            <w:tcBorders>
              <w:bottom w:val="single" w:sz="8" w:color="E5F1F8"/>
              <w:right w:val="single" w:sz="8" w:color="007CBA"/>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Products</w:t>
            </w:r>
          </w:p>
        </w:tc>
        <w:tc>
          <w:tcPr>
            <w:tcW w:w="560" w:type="dxa"/>
            <w:vAlign w:val="bottom"/>
            <w:tcBorders>
              <w:bottom w:val="single" w:sz="8" w:color="E5F1F8"/>
            </w:tcBorders>
            <w:shd w:val="clear" w:color="auto" w:fill="E5F1F8"/>
          </w:tcPr>
          <w:p>
            <w:pPr>
              <w:spacing w:after="0"/>
              <w:rPr>
                <w:sz w:val="19"/>
                <w:szCs w:val="19"/>
                <w:color w:val="auto"/>
              </w:rPr>
            </w:pPr>
          </w:p>
        </w:tc>
        <w:tc>
          <w:tcPr>
            <w:tcW w:w="142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278.0</w:t>
            </w:r>
          </w:p>
        </w:tc>
        <w:tc>
          <w:tcPr>
            <w:tcW w:w="540" w:type="dxa"/>
            <w:vAlign w:val="bottom"/>
            <w:tcBorders>
              <w:bottom w:val="single" w:sz="8" w:color="E5F1F8"/>
            </w:tcBorders>
            <w:shd w:val="clear" w:color="auto" w:fill="E5F1F8"/>
          </w:tcPr>
          <w:p>
            <w:pPr>
              <w:spacing w:after="0"/>
              <w:rPr>
                <w:sz w:val="19"/>
                <w:szCs w:val="19"/>
                <w:color w:val="auto"/>
              </w:rPr>
            </w:pPr>
          </w:p>
        </w:tc>
        <w:tc>
          <w:tcPr>
            <w:tcW w:w="15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274.7</w:t>
            </w:r>
          </w:p>
        </w:tc>
      </w:tr>
      <w:tr>
        <w:trPr>
          <w:trHeight w:val="215"/>
        </w:trPr>
        <w:tc>
          <w:tcPr>
            <w:tcW w:w="7220" w:type="dxa"/>
            <w:vAlign w:val="bottom"/>
          </w:tcPr>
          <w:p>
            <w:pPr>
              <w:ind w:left="200"/>
              <w:spacing w:after="0" w:line="215" w:lineRule="exact"/>
              <w:rPr>
                <w:sz w:val="20"/>
                <w:szCs w:val="20"/>
                <w:color w:val="auto"/>
              </w:rPr>
            </w:pPr>
            <w:r>
              <w:rPr>
                <w:rFonts w:ascii="Calibri" w:cs="Calibri" w:eastAsia="Calibri" w:hAnsi="Calibri"/>
                <w:sz w:val="18"/>
                <w:szCs w:val="18"/>
                <w:color w:val="auto"/>
              </w:rPr>
              <w:t>Freight</w:t>
            </w:r>
          </w:p>
        </w:tc>
        <w:tc>
          <w:tcPr>
            <w:tcW w:w="560" w:type="dxa"/>
            <w:vAlign w:val="bottom"/>
          </w:tcPr>
          <w:p>
            <w:pPr>
              <w:spacing w:after="0"/>
              <w:rPr>
                <w:sz w:val="18"/>
                <w:szCs w:val="18"/>
                <w:color w:val="auto"/>
              </w:rPr>
            </w:pPr>
          </w:p>
        </w:tc>
        <w:tc>
          <w:tcPr>
            <w:tcW w:w="142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26.0</w:t>
            </w:r>
          </w:p>
        </w:tc>
        <w:tc>
          <w:tcPr>
            <w:tcW w:w="540" w:type="dxa"/>
            <w:vAlign w:val="bottom"/>
          </w:tcPr>
          <w:p>
            <w:pPr>
              <w:spacing w:after="0"/>
              <w:rPr>
                <w:sz w:val="18"/>
                <w:szCs w:val="18"/>
                <w:color w:val="auto"/>
              </w:rPr>
            </w:pPr>
          </w:p>
        </w:tc>
        <w:tc>
          <w:tcPr>
            <w:tcW w:w="15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24.0</w:t>
            </w:r>
          </w:p>
        </w:tc>
      </w:tr>
      <w:tr>
        <w:trPr>
          <w:trHeight w:val="28"/>
        </w:trPr>
        <w:tc>
          <w:tcPr>
            <w:tcW w:w="7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1"/>
        </w:trPr>
        <w:tc>
          <w:tcPr>
            <w:tcW w:w="722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Total Magnesia Specialtes</w:t>
            </w:r>
          </w:p>
        </w:tc>
        <w:tc>
          <w:tcPr>
            <w:tcW w:w="560" w:type="dxa"/>
            <w:vAlign w:val="bottom"/>
            <w:tcBorders>
              <w:bottom w:val="single" w:sz="8" w:color="E5F1F8"/>
            </w:tcBorders>
            <w:shd w:val="clear" w:color="auto" w:fill="E5F1F8"/>
          </w:tcPr>
          <w:p>
            <w:pPr>
              <w:spacing w:after="0"/>
              <w:rPr>
                <w:sz w:val="20"/>
                <w:szCs w:val="20"/>
                <w:color w:val="auto"/>
              </w:rPr>
            </w:pPr>
          </w:p>
        </w:tc>
        <w:tc>
          <w:tcPr>
            <w:tcW w:w="142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b w:val="1"/>
                <w:bCs w:val="1"/>
                <w:color w:val="auto"/>
              </w:rPr>
              <w:t>304.0</w:t>
            </w:r>
          </w:p>
        </w:tc>
        <w:tc>
          <w:tcPr>
            <w:tcW w:w="540" w:type="dxa"/>
            <w:vAlign w:val="bottom"/>
            <w:tcBorders>
              <w:bottom w:val="single" w:sz="8" w:color="E5F1F8"/>
            </w:tcBorders>
            <w:shd w:val="clear" w:color="auto" w:fill="E5F1F8"/>
          </w:tcPr>
          <w:p>
            <w:pPr>
              <w:spacing w:after="0"/>
              <w:rPr>
                <w:sz w:val="20"/>
                <w:szCs w:val="20"/>
                <w:color w:val="auto"/>
              </w:rPr>
            </w:pPr>
          </w:p>
        </w:tc>
        <w:tc>
          <w:tcPr>
            <w:tcW w:w="1500" w:type="dxa"/>
            <w:vAlign w:val="bottom"/>
            <w:tcBorders>
              <w:bottom w:val="single" w:sz="8" w:color="E5F1F8"/>
            </w:tcBorders>
            <w:shd w:val="clear" w:color="auto" w:fill="E5F1F8"/>
          </w:tcPr>
          <w:p>
            <w:pPr>
              <w:jc w:val="right"/>
              <w:ind w:right="170"/>
              <w:spacing w:after="0" w:line="208" w:lineRule="exact"/>
              <w:rPr>
                <w:sz w:val="20"/>
                <w:szCs w:val="20"/>
                <w:color w:val="auto"/>
              </w:rPr>
            </w:pPr>
            <w:r>
              <w:rPr>
                <w:rFonts w:ascii="Calibri" w:cs="Calibri" w:eastAsia="Calibri" w:hAnsi="Calibri"/>
                <w:sz w:val="18"/>
                <w:szCs w:val="18"/>
                <w:color w:val="auto"/>
              </w:rPr>
              <w:t>298.7</w:t>
            </w:r>
          </w:p>
        </w:tc>
      </w:tr>
      <w:tr>
        <w:trPr>
          <w:trHeight w:val="208"/>
        </w:trPr>
        <w:tc>
          <w:tcPr>
            <w:tcW w:w="722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 consolidated revenues</w:t>
            </w:r>
          </w:p>
        </w:tc>
        <w:tc>
          <w:tcPr>
            <w:tcW w:w="560" w:type="dxa"/>
            <w:vAlign w:val="bottom"/>
            <w:tcBorders>
              <w:top w:val="single" w:sz="8" w:color="auto"/>
            </w:tcBorders>
          </w:tcPr>
          <w:p>
            <w:pPr>
              <w:jc w:val="right"/>
              <w:ind w:right="170"/>
              <w:spacing w:after="0" w:line="208" w:lineRule="exact"/>
              <w:rPr>
                <w:sz w:val="20"/>
                <w:szCs w:val="20"/>
                <w:color w:val="auto"/>
              </w:rPr>
            </w:pPr>
            <w:r>
              <w:rPr>
                <w:rFonts w:ascii="Calibri" w:cs="Calibri" w:eastAsia="Calibri" w:hAnsi="Calibri"/>
                <w:sz w:val="18"/>
                <w:szCs w:val="18"/>
                <w:b w:val="1"/>
                <w:bCs w:val="1"/>
                <w:color w:val="auto"/>
              </w:rPr>
              <w:t>$</w:t>
            </w:r>
          </w:p>
        </w:tc>
        <w:tc>
          <w:tcPr>
            <w:tcW w:w="142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6,160.7</w:t>
            </w:r>
          </w:p>
        </w:tc>
        <w:tc>
          <w:tcPr>
            <w:tcW w:w="540" w:type="dxa"/>
            <w:vAlign w:val="bottom"/>
            <w:tcBorders>
              <w:top w:val="single" w:sz="8" w:color="auto"/>
            </w:tcBorders>
          </w:tcPr>
          <w:p>
            <w:pPr>
              <w:jc w:val="right"/>
              <w:ind w:right="190"/>
              <w:spacing w:after="0" w:line="208" w:lineRule="exact"/>
              <w:rPr>
                <w:sz w:val="20"/>
                <w:szCs w:val="20"/>
                <w:color w:val="auto"/>
              </w:rPr>
            </w:pPr>
            <w:r>
              <w:rPr>
                <w:rFonts w:ascii="Calibri" w:cs="Calibri" w:eastAsia="Calibri" w:hAnsi="Calibri"/>
                <w:sz w:val="18"/>
                <w:szCs w:val="18"/>
                <w:color w:val="auto"/>
              </w:rPr>
              <w:t>$</w:t>
            </w:r>
          </w:p>
        </w:tc>
        <w:tc>
          <w:tcPr>
            <w:tcW w:w="1500" w:type="dxa"/>
            <w:vAlign w:val="bottom"/>
            <w:tcBorders>
              <w:top w:val="single" w:sz="8" w:color="auto"/>
            </w:tcBorders>
          </w:tcPr>
          <w:p>
            <w:pPr>
              <w:jc w:val="right"/>
              <w:ind w:right="170"/>
              <w:spacing w:after="0" w:line="208" w:lineRule="exact"/>
              <w:rPr>
                <w:sz w:val="20"/>
                <w:szCs w:val="20"/>
                <w:color w:val="auto"/>
              </w:rPr>
            </w:pPr>
            <w:r>
              <w:rPr>
                <w:rFonts w:ascii="Calibri" w:cs="Calibri" w:eastAsia="Calibri" w:hAnsi="Calibri"/>
                <w:sz w:val="18"/>
                <w:szCs w:val="18"/>
                <w:color w:val="auto"/>
              </w:rPr>
              <w:t>5,414.0</w:t>
            </w:r>
          </w:p>
        </w:tc>
      </w:tr>
      <w:tr>
        <w:trPr>
          <w:trHeight w:val="28"/>
        </w:trPr>
        <w:tc>
          <w:tcPr>
            <w:tcW w:w="7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-2729230</wp:posOffset>
            </wp:positionV>
            <wp:extent cx="7132320" cy="4927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32320" cy="492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-1631950</wp:posOffset>
            </wp:positionV>
            <wp:extent cx="7132320" cy="3511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32320" cy="3511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-1151890</wp:posOffset>
            </wp:positionV>
            <wp:extent cx="7132320" cy="4927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32320" cy="492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-517525</wp:posOffset>
            </wp:positionV>
            <wp:extent cx="7132320" cy="5308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32320" cy="53086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Gross Proft</w:t>
      </w:r>
    </w:p>
    <w:p>
      <w:pPr>
        <w:spacing w:after="0" w:line="5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gross proft and gross margin data for the Company by product line: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080" w:type="dxa"/>
            <w:vAlign w:val="bottom"/>
            <w:tcBorders>
              <w:right w:val="single" w:sz="8" w:color="007CBA"/>
            </w:tcBorders>
            <w:shd w:val="clear" w:color="auto" w:fill="007CBA"/>
          </w:tcPr>
          <w:p>
            <w:pPr>
              <w:spacing w:after="0"/>
              <w:rPr>
                <w:sz w:val="20"/>
                <w:szCs w:val="20"/>
                <w:color w:val="auto"/>
              </w:rPr>
            </w:pPr>
          </w:p>
        </w:tc>
        <w:tc>
          <w:tcPr>
            <w:tcW w:w="280" w:type="dxa"/>
            <w:vAlign w:val="bottom"/>
            <w:shd w:val="clear" w:color="auto" w:fill="007CBA"/>
          </w:tcPr>
          <w:p>
            <w:pPr>
              <w:spacing w:after="0"/>
              <w:rPr>
                <w:sz w:val="20"/>
                <w:szCs w:val="20"/>
                <w:color w:val="auto"/>
              </w:rPr>
            </w:pPr>
          </w:p>
        </w:tc>
        <w:tc>
          <w:tcPr>
            <w:tcW w:w="1120" w:type="dxa"/>
            <w:vAlign w:val="bottom"/>
            <w:tcBorders>
              <w:right w:val="single" w:sz="8" w:color="007CBA"/>
            </w:tcBorders>
            <w:shd w:val="clear" w:color="auto" w:fill="007CBA"/>
          </w:tcPr>
          <w:p>
            <w:pPr>
              <w:jc w:val="right"/>
              <w:ind w:right="90"/>
              <w:spacing w:after="0"/>
              <w:rPr>
                <w:sz w:val="20"/>
                <w:szCs w:val="20"/>
                <w:color w:val="auto"/>
              </w:rPr>
            </w:pPr>
            <w:r>
              <w:rPr>
                <w:rFonts w:ascii="Calibri" w:cs="Calibri" w:eastAsia="Calibri" w:hAnsi="Calibri"/>
                <w:sz w:val="18"/>
                <w:szCs w:val="18"/>
                <w:b w:val="1"/>
                <w:bCs w:val="1"/>
                <w:color w:val="FFFFFF"/>
              </w:rPr>
              <w:t>2022</w:t>
            </w:r>
          </w:p>
        </w:tc>
        <w:tc>
          <w:tcPr>
            <w:tcW w:w="720" w:type="dxa"/>
            <w:vAlign w:val="bottom"/>
            <w:tcBorders>
              <w:right w:val="single" w:sz="8" w:color="007CBA"/>
            </w:tcBorders>
            <w:shd w:val="clear" w:color="auto" w:fill="007CBA"/>
          </w:tcPr>
          <w:p>
            <w:pPr>
              <w:spacing w:after="0"/>
              <w:rPr>
                <w:sz w:val="20"/>
                <w:szCs w:val="20"/>
                <w:color w:val="auto"/>
              </w:rPr>
            </w:pPr>
          </w:p>
        </w:tc>
        <w:tc>
          <w:tcPr>
            <w:tcW w:w="220" w:type="dxa"/>
            <w:vAlign w:val="bottom"/>
            <w:shd w:val="clear" w:color="auto" w:fill="007CBA"/>
          </w:tcPr>
          <w:p>
            <w:pPr>
              <w:spacing w:after="0"/>
              <w:rPr>
                <w:sz w:val="20"/>
                <w:szCs w:val="20"/>
                <w:color w:val="auto"/>
              </w:rPr>
            </w:pPr>
          </w:p>
        </w:tc>
        <w:tc>
          <w:tcPr>
            <w:tcW w:w="1080" w:type="dxa"/>
            <w:vAlign w:val="bottom"/>
            <w:tcBorders>
              <w:right w:val="single" w:sz="8" w:color="007CBA"/>
            </w:tcBorders>
            <w:shd w:val="clear" w:color="auto" w:fill="007CBA"/>
          </w:tcPr>
          <w:p>
            <w:pPr>
              <w:jc w:val="right"/>
              <w:ind w:right="90"/>
              <w:spacing w:after="0"/>
              <w:rPr>
                <w:sz w:val="20"/>
                <w:szCs w:val="20"/>
                <w:color w:val="auto"/>
              </w:rPr>
            </w:pPr>
            <w:r>
              <w:rPr>
                <w:rFonts w:ascii="Calibri" w:cs="Calibri" w:eastAsia="Calibri" w:hAnsi="Calibri"/>
                <w:sz w:val="18"/>
                <w:szCs w:val="18"/>
                <w:color w:val="FFFFFF"/>
              </w:rPr>
              <w:t>2021</w:t>
            </w:r>
          </w:p>
        </w:tc>
        <w:tc>
          <w:tcPr>
            <w:tcW w:w="740" w:type="dxa"/>
            <w:vAlign w:val="bottom"/>
            <w:shd w:val="clear" w:color="auto" w:fill="007CBA"/>
          </w:tcPr>
          <w:p>
            <w:pPr>
              <w:spacing w:after="0"/>
              <w:rPr>
                <w:sz w:val="20"/>
                <w:szCs w:val="20"/>
                <w:color w:val="auto"/>
              </w:rPr>
            </w:pPr>
          </w:p>
        </w:tc>
      </w:tr>
      <w:tr>
        <w:trPr>
          <w:trHeight w:val="228"/>
        </w:trPr>
        <w:tc>
          <w:tcPr>
            <w:tcW w:w="7080" w:type="dxa"/>
            <w:vAlign w:val="bottom"/>
            <w:tcBorders>
              <w:right w:val="single" w:sz="8" w:color="007CBA"/>
            </w:tcBorders>
            <w:shd w:val="clear" w:color="auto" w:fill="007CBA"/>
          </w:tcPr>
          <w:p>
            <w:pPr>
              <w:spacing w:after="0"/>
              <w:rPr>
                <w:sz w:val="19"/>
                <w:szCs w:val="19"/>
                <w:color w:val="auto"/>
              </w:rPr>
            </w:pPr>
          </w:p>
        </w:tc>
        <w:tc>
          <w:tcPr>
            <w:tcW w:w="280" w:type="dxa"/>
            <w:vAlign w:val="bottom"/>
            <w:shd w:val="clear" w:color="auto" w:fill="007CBA"/>
          </w:tcPr>
          <w:p>
            <w:pPr>
              <w:spacing w:after="0"/>
              <w:rPr>
                <w:sz w:val="19"/>
                <w:szCs w:val="19"/>
                <w:color w:val="auto"/>
              </w:rPr>
            </w:pPr>
          </w:p>
        </w:tc>
        <w:tc>
          <w:tcPr>
            <w:tcW w:w="1120" w:type="dxa"/>
            <w:vAlign w:val="bottom"/>
            <w:tcBorders>
              <w:right w:val="single" w:sz="8" w:color="007CBA"/>
            </w:tcBorders>
            <w:shd w:val="clear" w:color="auto" w:fill="007CBA"/>
          </w:tcPr>
          <w:p>
            <w:pPr>
              <w:spacing w:after="0"/>
              <w:rPr>
                <w:sz w:val="19"/>
                <w:szCs w:val="19"/>
                <w:color w:val="auto"/>
              </w:rPr>
            </w:pPr>
          </w:p>
        </w:tc>
        <w:tc>
          <w:tcPr>
            <w:tcW w:w="940" w:type="dxa"/>
            <w:vAlign w:val="bottom"/>
            <w:gridSpan w:val="2"/>
            <w:shd w:val="clear" w:color="auto" w:fill="007CBA"/>
          </w:tcPr>
          <w:p>
            <w:pPr>
              <w:jc w:val="center"/>
              <w:ind w:right="380"/>
              <w:spacing w:after="0"/>
              <w:rPr>
                <w:sz w:val="20"/>
                <w:szCs w:val="20"/>
                <w:color w:val="auto"/>
              </w:rPr>
            </w:pPr>
            <w:r>
              <w:rPr>
                <w:rFonts w:ascii="Calibri" w:cs="Calibri" w:eastAsia="Calibri" w:hAnsi="Calibri"/>
                <w:sz w:val="18"/>
                <w:szCs w:val="18"/>
                <w:b w:val="1"/>
                <w:bCs w:val="1"/>
                <w:color w:val="FFFFFF"/>
                <w:w w:val="98"/>
              </w:rPr>
              <w:t>% of</w:t>
            </w:r>
          </w:p>
        </w:tc>
        <w:tc>
          <w:tcPr>
            <w:tcW w:w="1080" w:type="dxa"/>
            <w:vAlign w:val="bottom"/>
            <w:tcBorders>
              <w:right w:val="single" w:sz="8" w:color="007CBA"/>
            </w:tcBorders>
            <w:shd w:val="clear" w:color="auto" w:fill="007CBA"/>
          </w:tcPr>
          <w:p>
            <w:pPr>
              <w:spacing w:after="0"/>
              <w:rPr>
                <w:sz w:val="19"/>
                <w:szCs w:val="19"/>
                <w:color w:val="auto"/>
              </w:rPr>
            </w:pPr>
          </w:p>
        </w:tc>
        <w:tc>
          <w:tcPr>
            <w:tcW w:w="740" w:type="dxa"/>
            <w:vAlign w:val="bottom"/>
            <w:shd w:val="clear" w:color="auto" w:fill="007CBA"/>
          </w:tcPr>
          <w:p>
            <w:pPr>
              <w:jc w:val="center"/>
              <w:ind w:right="130"/>
              <w:spacing w:after="0"/>
              <w:rPr>
                <w:sz w:val="20"/>
                <w:szCs w:val="20"/>
                <w:color w:val="auto"/>
              </w:rPr>
            </w:pPr>
            <w:r>
              <w:rPr>
                <w:rFonts w:ascii="Calibri" w:cs="Calibri" w:eastAsia="Calibri" w:hAnsi="Calibri"/>
                <w:sz w:val="18"/>
                <w:szCs w:val="18"/>
                <w:color w:val="FFFFFF"/>
              </w:rPr>
              <w:t>% of</w:t>
            </w:r>
          </w:p>
        </w:tc>
      </w:tr>
      <w:tr>
        <w:trPr>
          <w:trHeight w:val="216"/>
        </w:trPr>
        <w:tc>
          <w:tcPr>
            <w:tcW w:w="7080" w:type="dxa"/>
            <w:vAlign w:val="bottom"/>
            <w:tcBorders>
              <w:right w:val="single" w:sz="8" w:color="007CBA"/>
            </w:tcBorders>
            <w:shd w:val="clear" w:color="auto" w:fill="007CBA"/>
          </w:tcPr>
          <w:p>
            <w:pPr>
              <w:ind w:left="120"/>
              <w:spacing w:after="0" w:line="216" w:lineRule="exact"/>
              <w:rPr>
                <w:sz w:val="20"/>
                <w:szCs w:val="20"/>
                <w:color w:val="auto"/>
              </w:rPr>
            </w:pPr>
            <w:r>
              <w:rPr>
                <w:rFonts w:ascii="Calibri" w:cs="Calibri" w:eastAsia="Calibri" w:hAnsi="Calibri"/>
                <w:sz w:val="18"/>
                <w:szCs w:val="18"/>
                <w:i w:val="1"/>
                <w:iCs w:val="1"/>
                <w:color w:val="FFFFFF"/>
              </w:rPr>
              <w:t>years ended December 31</w:t>
            </w:r>
          </w:p>
        </w:tc>
        <w:tc>
          <w:tcPr>
            <w:tcW w:w="280" w:type="dxa"/>
            <w:vAlign w:val="bottom"/>
            <w:shd w:val="clear" w:color="auto" w:fill="007CBA"/>
          </w:tcPr>
          <w:p>
            <w:pPr>
              <w:spacing w:after="0"/>
              <w:rPr>
                <w:sz w:val="18"/>
                <w:szCs w:val="18"/>
                <w:color w:val="auto"/>
              </w:rPr>
            </w:pPr>
          </w:p>
        </w:tc>
        <w:tc>
          <w:tcPr>
            <w:tcW w:w="1120" w:type="dxa"/>
            <w:vAlign w:val="bottom"/>
            <w:tcBorders>
              <w:right w:val="single" w:sz="8" w:color="007CBA"/>
            </w:tcBorders>
            <w:shd w:val="clear" w:color="auto" w:fill="007CBA"/>
          </w:tcPr>
          <w:p>
            <w:pPr>
              <w:spacing w:after="0"/>
              <w:rPr>
                <w:sz w:val="18"/>
                <w:szCs w:val="18"/>
                <w:color w:val="auto"/>
              </w:rPr>
            </w:pPr>
          </w:p>
        </w:tc>
        <w:tc>
          <w:tcPr>
            <w:tcW w:w="940" w:type="dxa"/>
            <w:vAlign w:val="bottom"/>
            <w:gridSpan w:val="2"/>
            <w:shd w:val="clear" w:color="auto" w:fill="007CBA"/>
          </w:tcPr>
          <w:p>
            <w:pPr>
              <w:jc w:val="center"/>
              <w:ind w:right="320"/>
              <w:spacing w:after="0" w:line="216" w:lineRule="exact"/>
              <w:rPr>
                <w:sz w:val="20"/>
                <w:szCs w:val="20"/>
                <w:color w:val="auto"/>
              </w:rPr>
            </w:pPr>
            <w:r>
              <w:rPr>
                <w:rFonts w:ascii="Calibri" w:cs="Calibri" w:eastAsia="Calibri" w:hAnsi="Calibri"/>
                <w:sz w:val="18"/>
                <w:szCs w:val="18"/>
                <w:b w:val="1"/>
                <w:bCs w:val="1"/>
                <w:color w:val="FFFFFF"/>
                <w:w w:val="96"/>
              </w:rPr>
              <w:t>Revenu</w:t>
            </w:r>
          </w:p>
        </w:tc>
        <w:tc>
          <w:tcPr>
            <w:tcW w:w="1080" w:type="dxa"/>
            <w:vAlign w:val="bottom"/>
            <w:tcBorders>
              <w:right w:val="single" w:sz="8" w:color="007CBA"/>
            </w:tcBorders>
            <w:shd w:val="clear" w:color="auto" w:fill="007CBA"/>
          </w:tcPr>
          <w:p>
            <w:pPr>
              <w:spacing w:after="0"/>
              <w:rPr>
                <w:sz w:val="18"/>
                <w:szCs w:val="18"/>
                <w:color w:val="auto"/>
              </w:rPr>
            </w:pPr>
          </w:p>
        </w:tc>
        <w:tc>
          <w:tcPr>
            <w:tcW w:w="740" w:type="dxa"/>
            <w:vAlign w:val="bottom"/>
            <w:shd w:val="clear" w:color="auto" w:fill="007CBA"/>
          </w:tcPr>
          <w:p>
            <w:pPr>
              <w:jc w:val="center"/>
              <w:ind w:right="90"/>
              <w:spacing w:after="0" w:line="216" w:lineRule="exact"/>
              <w:rPr>
                <w:sz w:val="20"/>
                <w:szCs w:val="20"/>
                <w:color w:val="auto"/>
              </w:rPr>
            </w:pPr>
            <w:r>
              <w:rPr>
                <w:rFonts w:ascii="Calibri" w:cs="Calibri" w:eastAsia="Calibri" w:hAnsi="Calibri"/>
                <w:sz w:val="18"/>
                <w:szCs w:val="18"/>
                <w:color w:val="FFFFFF"/>
                <w:w w:val="94"/>
              </w:rPr>
              <w:t>Revenu</w:t>
            </w:r>
          </w:p>
        </w:tc>
      </w:tr>
      <w:tr>
        <w:trPr>
          <w:trHeight w:val="233"/>
        </w:trPr>
        <w:tc>
          <w:tcPr>
            <w:tcW w:w="7080" w:type="dxa"/>
            <w:vAlign w:val="bottom"/>
            <w:tcBorders>
              <w:bottom w:val="single" w:sz="8" w:color="007CBA"/>
              <w:right w:val="single" w:sz="8" w:color="007CBA"/>
            </w:tcBorders>
            <w:shd w:val="clear" w:color="auto" w:fill="007CBA"/>
          </w:tcPr>
          <w:p>
            <w:pPr>
              <w:ind w:left="120"/>
              <w:spacing w:after="0" w:line="216" w:lineRule="exact"/>
              <w:rPr>
                <w:sz w:val="20"/>
                <w:szCs w:val="20"/>
                <w:color w:val="auto"/>
              </w:rPr>
            </w:pPr>
            <w:r>
              <w:rPr>
                <w:rFonts w:ascii="Calibri" w:cs="Calibri" w:eastAsia="Calibri" w:hAnsi="Calibri"/>
                <w:sz w:val="18"/>
                <w:szCs w:val="18"/>
                <w:color w:val="FFFFFF"/>
              </w:rPr>
              <w:t>(dollars in millions)</w:t>
            </w:r>
          </w:p>
        </w:tc>
        <w:tc>
          <w:tcPr>
            <w:tcW w:w="280" w:type="dxa"/>
            <w:vAlign w:val="bottom"/>
            <w:tcBorders>
              <w:bottom w:val="single" w:sz="8" w:color="007CBA"/>
            </w:tcBorders>
            <w:shd w:val="clear" w:color="auto" w:fill="007CBA"/>
          </w:tcPr>
          <w:p>
            <w:pPr>
              <w:spacing w:after="0"/>
              <w:rPr>
                <w:sz w:val="20"/>
                <w:szCs w:val="20"/>
                <w:color w:val="auto"/>
              </w:rPr>
            </w:pPr>
          </w:p>
        </w:tc>
        <w:tc>
          <w:tcPr>
            <w:tcW w:w="1120" w:type="dxa"/>
            <w:vAlign w:val="bottom"/>
            <w:tcBorders>
              <w:bottom w:val="single" w:sz="8" w:color="007CBA"/>
              <w:right w:val="single" w:sz="8" w:color="007CBA"/>
            </w:tcBorders>
            <w:shd w:val="clear" w:color="auto" w:fill="007CBA"/>
          </w:tcPr>
          <w:p>
            <w:pPr>
              <w:jc w:val="right"/>
              <w:ind w:right="330"/>
              <w:spacing w:after="0" w:line="216" w:lineRule="exact"/>
              <w:rPr>
                <w:sz w:val="20"/>
                <w:szCs w:val="20"/>
                <w:color w:val="auto"/>
              </w:rPr>
            </w:pPr>
            <w:r>
              <w:rPr>
                <w:rFonts w:ascii="Calibri" w:cs="Calibri" w:eastAsia="Calibri" w:hAnsi="Calibri"/>
                <w:sz w:val="18"/>
                <w:szCs w:val="18"/>
                <w:b w:val="1"/>
                <w:bCs w:val="1"/>
                <w:color w:val="FFFFFF"/>
              </w:rPr>
              <w:t>Amount</w:t>
            </w:r>
          </w:p>
        </w:tc>
        <w:tc>
          <w:tcPr>
            <w:tcW w:w="940" w:type="dxa"/>
            <w:vAlign w:val="bottom"/>
            <w:tcBorders>
              <w:bottom w:val="single" w:sz="8" w:color="007CBA"/>
            </w:tcBorders>
            <w:gridSpan w:val="2"/>
            <w:shd w:val="clear" w:color="auto" w:fill="007CBA"/>
          </w:tcPr>
          <w:p>
            <w:pPr>
              <w:jc w:val="center"/>
              <w:ind w:right="340"/>
              <w:spacing w:after="0" w:line="216" w:lineRule="exact"/>
              <w:rPr>
                <w:sz w:val="20"/>
                <w:szCs w:val="20"/>
                <w:color w:val="auto"/>
              </w:rPr>
            </w:pPr>
            <w:r>
              <w:rPr>
                <w:rFonts w:ascii="Calibri" w:cs="Calibri" w:eastAsia="Calibri" w:hAnsi="Calibri"/>
                <w:sz w:val="18"/>
                <w:szCs w:val="18"/>
                <w:b w:val="1"/>
                <w:bCs w:val="1"/>
                <w:color w:val="FFFFFF"/>
                <w:w w:val="98"/>
              </w:rPr>
              <w:t>es</w:t>
            </w:r>
          </w:p>
        </w:tc>
        <w:tc>
          <w:tcPr>
            <w:tcW w:w="1080" w:type="dxa"/>
            <w:vAlign w:val="bottom"/>
            <w:tcBorders>
              <w:bottom w:val="single" w:sz="8" w:color="007CBA"/>
              <w:right w:val="single" w:sz="8" w:color="007CBA"/>
            </w:tcBorders>
            <w:shd w:val="clear" w:color="auto" w:fill="007CBA"/>
          </w:tcPr>
          <w:p>
            <w:pPr>
              <w:jc w:val="right"/>
              <w:ind w:right="330"/>
              <w:spacing w:after="0" w:line="216" w:lineRule="exact"/>
              <w:rPr>
                <w:sz w:val="20"/>
                <w:szCs w:val="20"/>
                <w:color w:val="auto"/>
              </w:rPr>
            </w:pPr>
            <w:r>
              <w:rPr>
                <w:rFonts w:ascii="Calibri" w:cs="Calibri" w:eastAsia="Calibri" w:hAnsi="Calibri"/>
                <w:sz w:val="18"/>
                <w:szCs w:val="18"/>
                <w:color w:val="FFFFFF"/>
              </w:rPr>
              <w:t>Amount</w:t>
            </w:r>
          </w:p>
        </w:tc>
        <w:tc>
          <w:tcPr>
            <w:tcW w:w="740" w:type="dxa"/>
            <w:vAlign w:val="bottom"/>
            <w:tcBorders>
              <w:bottom w:val="single" w:sz="8" w:color="007CBA"/>
            </w:tcBorders>
            <w:shd w:val="clear" w:color="auto" w:fill="007CBA"/>
          </w:tcPr>
          <w:p>
            <w:pPr>
              <w:jc w:val="center"/>
              <w:ind w:right="90"/>
              <w:spacing w:after="0" w:line="216" w:lineRule="exact"/>
              <w:rPr>
                <w:sz w:val="20"/>
                <w:szCs w:val="20"/>
                <w:color w:val="auto"/>
              </w:rPr>
            </w:pPr>
            <w:r>
              <w:rPr>
                <w:rFonts w:ascii="Calibri" w:cs="Calibri" w:eastAsia="Calibri" w:hAnsi="Calibri"/>
                <w:sz w:val="18"/>
                <w:szCs w:val="18"/>
                <w:color w:val="FFFFFF"/>
                <w:w w:val="99"/>
              </w:rPr>
              <w:t>es</w:t>
            </w:r>
          </w:p>
        </w:tc>
      </w:tr>
      <w:tr>
        <w:trPr>
          <w:trHeight w:val="223"/>
        </w:trPr>
        <w:tc>
          <w:tcPr>
            <w:tcW w:w="708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Building Materials business:</w:t>
            </w:r>
          </w:p>
        </w:tc>
        <w:tc>
          <w:tcPr>
            <w:tcW w:w="280" w:type="dxa"/>
            <w:vAlign w:val="bottom"/>
            <w:tcBorders>
              <w:bottom w:val="single" w:sz="8" w:color="E5F1F8"/>
            </w:tcBorders>
            <w:shd w:val="clear" w:color="auto" w:fill="E5F1F8"/>
          </w:tcPr>
          <w:p>
            <w:pPr>
              <w:spacing w:after="0"/>
              <w:rPr>
                <w:sz w:val="19"/>
                <w:szCs w:val="19"/>
                <w:color w:val="auto"/>
              </w:rPr>
            </w:pPr>
          </w:p>
        </w:tc>
        <w:tc>
          <w:tcPr>
            <w:tcW w:w="1120" w:type="dxa"/>
            <w:vAlign w:val="bottom"/>
            <w:tcBorders>
              <w:bottom w:val="single" w:sz="8" w:color="E5F1F8"/>
              <w:right w:val="single" w:sz="8" w:color="007CBA"/>
            </w:tcBorders>
            <w:shd w:val="clear" w:color="auto" w:fill="E5F1F8"/>
          </w:tcPr>
          <w:p>
            <w:pPr>
              <w:spacing w:after="0"/>
              <w:rPr>
                <w:sz w:val="19"/>
                <w:szCs w:val="19"/>
                <w:color w:val="auto"/>
              </w:rPr>
            </w:pPr>
          </w:p>
        </w:tc>
        <w:tc>
          <w:tcPr>
            <w:tcW w:w="720" w:type="dxa"/>
            <w:vAlign w:val="bottom"/>
            <w:tcBorders>
              <w:bottom w:val="single" w:sz="8" w:color="E5F1F8"/>
              <w:right w:val="single" w:sz="8" w:color="E5F1F8"/>
            </w:tcBorders>
            <w:shd w:val="clear" w:color="auto" w:fill="E5F1F8"/>
          </w:tcPr>
          <w:p>
            <w:pPr>
              <w:spacing w:after="0"/>
              <w:rPr>
                <w:sz w:val="19"/>
                <w:szCs w:val="19"/>
                <w:color w:val="auto"/>
              </w:rPr>
            </w:pPr>
          </w:p>
        </w:tc>
        <w:tc>
          <w:tcPr>
            <w:tcW w:w="220" w:type="dxa"/>
            <w:vAlign w:val="bottom"/>
            <w:tcBorders>
              <w:bottom w:val="single" w:sz="8" w:color="E5F1F8"/>
            </w:tcBorders>
            <w:shd w:val="clear" w:color="auto" w:fill="E5F1F8"/>
          </w:tcPr>
          <w:p>
            <w:pPr>
              <w:spacing w:after="0"/>
              <w:rPr>
                <w:sz w:val="19"/>
                <w:szCs w:val="19"/>
                <w:color w:val="auto"/>
              </w:rPr>
            </w:pPr>
          </w:p>
        </w:tc>
        <w:tc>
          <w:tcPr>
            <w:tcW w:w="1080" w:type="dxa"/>
            <w:vAlign w:val="bottom"/>
            <w:tcBorders>
              <w:bottom w:val="single" w:sz="8" w:color="E5F1F8"/>
              <w:right w:val="single" w:sz="8" w:color="007CBA"/>
            </w:tcBorders>
            <w:shd w:val="clear" w:color="auto" w:fill="E5F1F8"/>
          </w:tcPr>
          <w:p>
            <w:pPr>
              <w:spacing w:after="0"/>
              <w:rPr>
                <w:sz w:val="19"/>
                <w:szCs w:val="19"/>
                <w:color w:val="auto"/>
              </w:rPr>
            </w:pPr>
          </w:p>
        </w:tc>
        <w:tc>
          <w:tcPr>
            <w:tcW w:w="740" w:type="dxa"/>
            <w:vAlign w:val="bottom"/>
            <w:tcBorders>
              <w:bottom w:val="single" w:sz="8" w:color="E5F1F8"/>
            </w:tcBorders>
            <w:shd w:val="clear" w:color="auto" w:fill="E5F1F8"/>
          </w:tcPr>
          <w:p>
            <w:pPr>
              <w:spacing w:after="0"/>
              <w:rPr>
                <w:sz w:val="19"/>
                <w:szCs w:val="19"/>
                <w:color w:val="auto"/>
              </w:rPr>
            </w:pPr>
          </w:p>
        </w:tc>
      </w:tr>
      <w:tr>
        <w:trPr>
          <w:trHeight w:val="215"/>
        </w:trPr>
        <w:tc>
          <w:tcPr>
            <w:tcW w:w="7080" w:type="dxa"/>
            <w:vAlign w:val="bottom"/>
            <w:tcBorders>
              <w:right w:val="single" w:sz="8" w:color="007CBA"/>
            </w:tcBorders>
          </w:tcPr>
          <w:p>
            <w:pPr>
              <w:ind w:left="300"/>
              <w:spacing w:after="0" w:line="215" w:lineRule="exact"/>
              <w:rPr>
                <w:sz w:val="20"/>
                <w:szCs w:val="20"/>
                <w:color w:val="auto"/>
              </w:rPr>
            </w:pPr>
            <w:r>
              <w:rPr>
                <w:rFonts w:ascii="Calibri" w:cs="Calibri" w:eastAsia="Calibri" w:hAnsi="Calibri"/>
                <w:sz w:val="18"/>
                <w:szCs w:val="18"/>
                <w:color w:val="auto"/>
              </w:rPr>
              <w:t>Aggregates</w:t>
            </w:r>
          </w:p>
        </w:tc>
        <w:tc>
          <w:tcPr>
            <w:tcW w:w="28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11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980.3</w:t>
            </w:r>
          </w:p>
        </w:tc>
        <w:tc>
          <w:tcPr>
            <w:tcW w:w="94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b w:val="1"/>
                <w:bCs w:val="1"/>
                <w:color w:val="auto"/>
              </w:rPr>
              <w:t>28.0 %</w:t>
            </w:r>
            <w:r>
              <w:rPr>
                <w:rFonts w:ascii="Calibri" w:cs="Calibri" w:eastAsia="Calibri" w:hAnsi="Calibri"/>
                <w:sz w:val="18"/>
                <w:szCs w:val="18"/>
                <w:color w:val="auto"/>
              </w:rPr>
              <w:t>$</w:t>
            </w:r>
          </w:p>
        </w:tc>
        <w:tc>
          <w:tcPr>
            <w:tcW w:w="10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904.8</w:t>
            </w: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29.6 %</w:t>
            </w:r>
          </w:p>
        </w:tc>
      </w:tr>
      <w:tr>
        <w:trPr>
          <w:trHeight w:val="28"/>
        </w:trPr>
        <w:tc>
          <w:tcPr>
            <w:tcW w:w="7080" w:type="dxa"/>
            <w:vAlign w:val="bottom"/>
            <w:tcBorders>
              <w:right w:val="single" w:sz="8" w:color="007CBA"/>
            </w:tcBorders>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Borders>
              <w:right w:val="single" w:sz="8" w:color="007CBA"/>
            </w:tcBorders>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Borders>
              <w:right w:val="single" w:sz="8" w:color="007CBA"/>
            </w:tcBorders>
          </w:tcPr>
          <w:p>
            <w:pPr>
              <w:spacing w:after="0"/>
              <w:rPr>
                <w:sz w:val="2"/>
                <w:szCs w:val="2"/>
                <w:color w:val="auto"/>
              </w:rPr>
            </w:pPr>
          </w:p>
        </w:tc>
        <w:tc>
          <w:tcPr>
            <w:tcW w:w="740" w:type="dxa"/>
            <w:vAlign w:val="bottom"/>
          </w:tcPr>
          <w:p>
            <w:pPr>
              <w:spacing w:after="0"/>
              <w:rPr>
                <w:sz w:val="2"/>
                <w:szCs w:val="2"/>
                <w:color w:val="auto"/>
              </w:rPr>
            </w:pPr>
          </w:p>
        </w:tc>
      </w:tr>
      <w:tr>
        <w:trPr>
          <w:trHeight w:val="223"/>
        </w:trPr>
        <w:tc>
          <w:tcPr>
            <w:tcW w:w="7080" w:type="dxa"/>
            <w:vAlign w:val="bottom"/>
            <w:tcBorders>
              <w:bottom w:val="single" w:sz="8" w:color="E5F1F8"/>
              <w:right w:val="single" w:sz="8" w:color="007CBA"/>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Cement</w:t>
            </w:r>
          </w:p>
        </w:tc>
        <w:tc>
          <w:tcPr>
            <w:tcW w:w="280" w:type="dxa"/>
            <w:vAlign w:val="bottom"/>
            <w:tcBorders>
              <w:bottom w:val="single" w:sz="8" w:color="E5F1F8"/>
            </w:tcBorders>
            <w:shd w:val="clear" w:color="auto" w:fill="E5F1F8"/>
          </w:tcPr>
          <w:p>
            <w:pPr>
              <w:spacing w:after="0"/>
              <w:rPr>
                <w:sz w:val="19"/>
                <w:szCs w:val="19"/>
                <w:color w:val="auto"/>
              </w:rPr>
            </w:pPr>
          </w:p>
        </w:tc>
        <w:tc>
          <w:tcPr>
            <w:tcW w:w="112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204.4</w:t>
            </w:r>
          </w:p>
        </w:tc>
        <w:tc>
          <w:tcPr>
            <w:tcW w:w="940" w:type="dxa"/>
            <w:vAlign w:val="bottom"/>
            <w:tcBorders>
              <w:bottom w:val="single" w:sz="8" w:color="E5F1F8"/>
            </w:tcBorders>
            <w:gridSpan w:val="2"/>
            <w:shd w:val="clear" w:color="auto" w:fill="E5F1F8"/>
          </w:tcPr>
          <w:p>
            <w:pPr>
              <w:jc w:val="right"/>
              <w:ind w:right="180"/>
              <w:spacing w:after="0" w:line="215" w:lineRule="exact"/>
              <w:rPr>
                <w:sz w:val="20"/>
                <w:szCs w:val="20"/>
                <w:color w:val="auto"/>
              </w:rPr>
            </w:pPr>
            <w:r>
              <w:rPr>
                <w:rFonts w:ascii="Calibri" w:cs="Calibri" w:eastAsia="Calibri" w:hAnsi="Calibri"/>
                <w:sz w:val="18"/>
                <w:szCs w:val="18"/>
                <w:b w:val="1"/>
                <w:bCs w:val="1"/>
                <w:color w:val="auto"/>
              </w:rPr>
              <w:t>33.9 %</w:t>
            </w:r>
          </w:p>
        </w:tc>
        <w:tc>
          <w:tcPr>
            <w:tcW w:w="108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157.0</w:t>
            </w:r>
          </w:p>
        </w:tc>
        <w:tc>
          <w:tcPr>
            <w:tcW w:w="74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31.8 %</w:t>
            </w:r>
          </w:p>
        </w:tc>
      </w:tr>
      <w:tr>
        <w:trPr>
          <w:trHeight w:val="243"/>
        </w:trPr>
        <w:tc>
          <w:tcPr>
            <w:tcW w:w="7080" w:type="dxa"/>
            <w:vAlign w:val="bottom"/>
            <w:tcBorders>
              <w:right w:val="single" w:sz="8" w:color="007CBA"/>
            </w:tcBorders>
          </w:tcPr>
          <w:p>
            <w:pPr>
              <w:ind w:left="300"/>
              <w:spacing w:after="0" w:line="215" w:lineRule="exact"/>
              <w:rPr>
                <w:sz w:val="20"/>
                <w:szCs w:val="20"/>
                <w:color w:val="auto"/>
              </w:rPr>
            </w:pPr>
            <w:r>
              <w:rPr>
                <w:rFonts w:ascii="Calibri" w:cs="Calibri" w:eastAsia="Calibri" w:hAnsi="Calibri"/>
                <w:sz w:val="18"/>
                <w:szCs w:val="18"/>
                <w:color w:val="auto"/>
              </w:rPr>
              <w:t>Ready mixed concrete</w:t>
            </w:r>
          </w:p>
        </w:tc>
        <w:tc>
          <w:tcPr>
            <w:tcW w:w="280" w:type="dxa"/>
            <w:vAlign w:val="bottom"/>
          </w:tcPr>
          <w:p>
            <w:pPr>
              <w:spacing w:after="0"/>
              <w:rPr>
                <w:sz w:val="21"/>
                <w:szCs w:val="21"/>
                <w:color w:val="auto"/>
              </w:rPr>
            </w:pPr>
          </w:p>
        </w:tc>
        <w:tc>
          <w:tcPr>
            <w:tcW w:w="11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69.6</w:t>
            </w:r>
          </w:p>
        </w:tc>
        <w:tc>
          <w:tcPr>
            <w:tcW w:w="94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b w:val="1"/>
                <w:bCs w:val="1"/>
                <w:color w:val="auto"/>
              </w:rPr>
              <w:t>7.3 %</w:t>
            </w:r>
          </w:p>
        </w:tc>
        <w:tc>
          <w:tcPr>
            <w:tcW w:w="10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95.6</w:t>
            </w: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8.3 %</w:t>
            </w:r>
          </w:p>
        </w:tc>
      </w:tr>
      <w:tr>
        <w:trPr>
          <w:trHeight w:val="243"/>
        </w:trPr>
        <w:tc>
          <w:tcPr>
            <w:tcW w:w="7080" w:type="dxa"/>
            <w:vAlign w:val="bottom"/>
            <w:tcBorders>
              <w:bottom w:val="single" w:sz="8" w:color="E5F1F8"/>
              <w:right w:val="single" w:sz="8" w:color="007CBA"/>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Asphalt and paving services</w:t>
            </w:r>
          </w:p>
        </w:tc>
        <w:tc>
          <w:tcPr>
            <w:tcW w:w="280" w:type="dxa"/>
            <w:vAlign w:val="bottom"/>
            <w:tcBorders>
              <w:bottom w:val="single" w:sz="8" w:color="E5F1F8"/>
            </w:tcBorders>
            <w:shd w:val="clear" w:color="auto" w:fill="E5F1F8"/>
          </w:tcPr>
          <w:p>
            <w:pPr>
              <w:spacing w:after="0"/>
              <w:rPr>
                <w:sz w:val="21"/>
                <w:szCs w:val="21"/>
                <w:color w:val="auto"/>
              </w:rPr>
            </w:pPr>
          </w:p>
        </w:tc>
        <w:tc>
          <w:tcPr>
            <w:tcW w:w="112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81.9</w:t>
            </w:r>
          </w:p>
        </w:tc>
        <w:tc>
          <w:tcPr>
            <w:tcW w:w="940" w:type="dxa"/>
            <w:vAlign w:val="bottom"/>
            <w:gridSpan w:val="2"/>
          </w:tcPr>
          <w:p>
            <w:pPr>
              <w:jc w:val="right"/>
              <w:ind w:right="180"/>
              <w:spacing w:after="0" w:line="206" w:lineRule="exact"/>
              <w:rPr>
                <w:sz w:val="20"/>
                <w:szCs w:val="20"/>
                <w:color w:val="auto"/>
              </w:rPr>
            </w:pPr>
            <w:r>
              <w:rPr>
                <w:rFonts w:ascii="Calibri" w:cs="Calibri" w:eastAsia="Calibri" w:hAnsi="Calibri"/>
                <w:sz w:val="18"/>
                <w:szCs w:val="18"/>
                <w:b w:val="1"/>
                <w:bCs w:val="1"/>
                <w:color w:val="auto"/>
              </w:rPr>
              <w:t>10.6 %</w:t>
            </w:r>
          </w:p>
        </w:tc>
        <w:tc>
          <w:tcPr>
            <w:tcW w:w="1080" w:type="dxa"/>
            <w:vAlign w:val="bottom"/>
          </w:tcPr>
          <w:p>
            <w:pPr>
              <w:jc w:val="right"/>
              <w:ind w:right="50"/>
              <w:spacing w:after="0" w:line="206" w:lineRule="exact"/>
              <w:rPr>
                <w:sz w:val="20"/>
                <w:szCs w:val="20"/>
                <w:color w:val="auto"/>
              </w:rPr>
            </w:pPr>
            <w:r>
              <w:rPr>
                <w:rFonts w:ascii="Calibri" w:cs="Calibri" w:eastAsia="Calibri" w:hAnsi="Calibri"/>
                <w:sz w:val="18"/>
                <w:szCs w:val="18"/>
                <w:color w:val="auto"/>
              </w:rPr>
              <w:t>79.2</w:t>
            </w:r>
          </w:p>
        </w:tc>
        <w:tc>
          <w:tcPr>
            <w:tcW w:w="74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15.4 %</w:t>
            </w:r>
          </w:p>
        </w:tc>
      </w:tr>
      <w:tr>
        <w:trPr>
          <w:trHeight w:val="236"/>
        </w:trPr>
        <w:tc>
          <w:tcPr>
            <w:tcW w:w="7080" w:type="dxa"/>
            <w:vAlign w:val="bottom"/>
            <w:tcBorders>
              <w:top w:val="single" w:sz="8" w:color="E5F1F8"/>
              <w:right w:val="single" w:sz="8" w:color="007CBA"/>
            </w:tcBorders>
          </w:tcPr>
          <w:p>
            <w:pPr>
              <w:ind w:left="200"/>
              <w:spacing w:after="0" w:line="208" w:lineRule="exact"/>
              <w:rPr>
                <w:sz w:val="20"/>
                <w:szCs w:val="20"/>
                <w:color w:val="auto"/>
              </w:rPr>
            </w:pPr>
            <w:r>
              <w:rPr>
                <w:rFonts w:ascii="Calibri" w:cs="Calibri" w:eastAsia="Calibri" w:hAnsi="Calibri"/>
                <w:sz w:val="18"/>
                <w:szCs w:val="18"/>
                <w:color w:val="auto"/>
              </w:rPr>
              <w:t>Products and services</w:t>
            </w: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right w:val="single" w:sz="8" w:color="007CBA"/>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1,336.2</w:t>
            </w:r>
          </w:p>
        </w:tc>
        <w:tc>
          <w:tcPr>
            <w:tcW w:w="940" w:type="dxa"/>
            <w:vAlign w:val="bottom"/>
            <w:tcBorders>
              <w:top w:val="single" w:sz="8" w:color="auto"/>
            </w:tcBorders>
            <w:gridSpan w:val="2"/>
          </w:tcPr>
          <w:p>
            <w:pPr>
              <w:jc w:val="right"/>
              <w:ind w:right="180"/>
              <w:spacing w:after="0" w:line="208" w:lineRule="exact"/>
              <w:rPr>
                <w:sz w:val="20"/>
                <w:szCs w:val="20"/>
                <w:color w:val="auto"/>
              </w:rPr>
            </w:pPr>
            <w:r>
              <w:rPr>
                <w:rFonts w:ascii="Calibri" w:cs="Calibri" w:eastAsia="Calibri" w:hAnsi="Calibri"/>
                <w:sz w:val="18"/>
                <w:szCs w:val="18"/>
                <w:b w:val="1"/>
                <w:bCs w:val="1"/>
                <w:color w:val="auto"/>
              </w:rPr>
              <w:t>24.5 %</w:t>
            </w:r>
          </w:p>
        </w:tc>
        <w:tc>
          <w:tcPr>
            <w:tcW w:w="1080" w:type="dxa"/>
            <w:vAlign w:val="bottom"/>
            <w:tcBorders>
              <w:top w:val="single" w:sz="8" w:color="auto"/>
              <w:right w:val="single" w:sz="8" w:color="007CBA"/>
            </w:tcBorders>
          </w:tcPr>
          <w:p>
            <w:pPr>
              <w:jc w:val="right"/>
              <w:ind w:right="50"/>
              <w:spacing w:after="0" w:line="208" w:lineRule="exact"/>
              <w:rPr>
                <w:sz w:val="20"/>
                <w:szCs w:val="20"/>
                <w:color w:val="auto"/>
              </w:rPr>
            </w:pPr>
            <w:r>
              <w:rPr>
                <w:rFonts w:ascii="Calibri" w:cs="Calibri" w:eastAsia="Calibri" w:hAnsi="Calibri"/>
                <w:sz w:val="18"/>
                <w:szCs w:val="18"/>
                <w:color w:val="auto"/>
              </w:rPr>
              <w:t>1,236.6</w:t>
            </w:r>
          </w:p>
        </w:tc>
        <w:tc>
          <w:tcPr>
            <w:tcW w:w="7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25.7 %</w:t>
            </w:r>
          </w:p>
        </w:tc>
      </w:tr>
      <w:tr>
        <w:trPr>
          <w:trHeight w:val="248"/>
        </w:trPr>
        <w:tc>
          <w:tcPr>
            <w:tcW w:w="7080" w:type="dxa"/>
            <w:vAlign w:val="bottom"/>
            <w:tcBorders>
              <w:bottom w:val="single" w:sz="8" w:color="E5F1F8"/>
              <w:right w:val="single" w:sz="8" w:color="E5F1F8"/>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Freight</w:t>
            </w:r>
          </w:p>
        </w:tc>
        <w:tc>
          <w:tcPr>
            <w:tcW w:w="280" w:type="dxa"/>
            <w:vAlign w:val="bottom"/>
            <w:tcBorders>
              <w:bottom w:val="single" w:sz="8" w:color="E5F1F8"/>
            </w:tcBorders>
            <w:shd w:val="clear" w:color="auto" w:fill="E5F1F8"/>
          </w:tcPr>
          <w:p>
            <w:pPr>
              <w:spacing w:after="0"/>
              <w:rPr>
                <w:sz w:val="21"/>
                <w:szCs w:val="21"/>
                <w:color w:val="auto"/>
              </w:rPr>
            </w:pPr>
          </w:p>
        </w:tc>
        <w:tc>
          <w:tcPr>
            <w:tcW w:w="112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2.0</w:t>
            </w:r>
          </w:p>
        </w:tc>
        <w:tc>
          <w:tcPr>
            <w:tcW w:w="720" w:type="dxa"/>
            <w:vAlign w:val="bottom"/>
            <w:tcBorders>
              <w:bottom w:val="single" w:sz="8" w:color="E5F1F8"/>
              <w:right w:val="single" w:sz="8" w:color="E5F1F8"/>
            </w:tcBorders>
            <w:shd w:val="clear" w:color="auto" w:fill="E5F1F8"/>
          </w:tcPr>
          <w:p>
            <w:pPr>
              <w:ind w:left="340"/>
              <w:spacing w:after="0" w:line="215" w:lineRule="exact"/>
              <w:rPr>
                <w:sz w:val="20"/>
                <w:szCs w:val="20"/>
                <w:color w:val="auto"/>
              </w:rPr>
            </w:pPr>
            <w:r>
              <w:rPr>
                <w:rFonts w:ascii="Calibri" w:cs="Calibri" w:eastAsia="Calibri" w:hAnsi="Calibri"/>
                <w:sz w:val="18"/>
                <w:szCs w:val="18"/>
                <w:b w:val="1"/>
                <w:bCs w:val="1"/>
                <w:color w:val="auto"/>
              </w:rPr>
              <w:t>NM</w:t>
            </w:r>
          </w:p>
        </w:tc>
        <w:tc>
          <w:tcPr>
            <w:tcW w:w="220" w:type="dxa"/>
            <w:vAlign w:val="bottom"/>
            <w:tcBorders>
              <w:bottom w:val="single" w:sz="8" w:color="E5F1F8"/>
            </w:tcBorders>
            <w:shd w:val="clear" w:color="auto" w:fill="E5F1F8"/>
          </w:tcPr>
          <w:p>
            <w:pPr>
              <w:spacing w:after="0"/>
              <w:rPr>
                <w:sz w:val="21"/>
                <w:szCs w:val="21"/>
                <w:color w:val="auto"/>
              </w:rPr>
            </w:pPr>
          </w:p>
        </w:tc>
        <w:tc>
          <w:tcPr>
            <w:tcW w:w="108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3.3</w:t>
            </w:r>
          </w:p>
        </w:tc>
        <w:tc>
          <w:tcPr>
            <w:tcW w:w="740" w:type="dxa"/>
            <w:vAlign w:val="bottom"/>
            <w:tcBorders>
              <w:bottom w:val="single" w:sz="8" w:color="E5F1F8"/>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NM</w:t>
            </w:r>
          </w:p>
        </w:tc>
      </w:tr>
      <w:tr>
        <w:trPr>
          <w:trHeight w:val="208"/>
        </w:trPr>
        <w:tc>
          <w:tcPr>
            <w:tcW w:w="708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 Building Materials business</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1,338.2</w:t>
            </w:r>
          </w:p>
        </w:tc>
        <w:tc>
          <w:tcPr>
            <w:tcW w:w="940" w:type="dxa"/>
            <w:vAlign w:val="bottom"/>
            <w:tcBorders>
              <w:top w:val="single" w:sz="8" w:color="auto"/>
            </w:tcBorders>
            <w:gridSpan w:val="2"/>
          </w:tcPr>
          <w:p>
            <w:pPr>
              <w:jc w:val="right"/>
              <w:ind w:right="180"/>
              <w:spacing w:after="0" w:line="208" w:lineRule="exact"/>
              <w:rPr>
                <w:sz w:val="20"/>
                <w:szCs w:val="20"/>
                <w:color w:val="auto"/>
              </w:rPr>
            </w:pPr>
            <w:r>
              <w:rPr>
                <w:rFonts w:ascii="Calibri" w:cs="Calibri" w:eastAsia="Calibri" w:hAnsi="Calibri"/>
                <w:sz w:val="18"/>
                <w:szCs w:val="18"/>
                <w:b w:val="1"/>
                <w:bCs w:val="1"/>
                <w:color w:val="auto"/>
              </w:rPr>
              <w:t>22.8 %</w:t>
            </w:r>
          </w:p>
        </w:tc>
        <w:tc>
          <w:tcPr>
            <w:tcW w:w="108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color w:val="auto"/>
              </w:rPr>
              <w:t>1,239.9</w:t>
            </w:r>
          </w:p>
        </w:tc>
        <w:tc>
          <w:tcPr>
            <w:tcW w:w="7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24.2 %</w:t>
            </w:r>
          </w:p>
        </w:tc>
      </w:tr>
      <w:tr>
        <w:trPr>
          <w:trHeight w:val="28"/>
        </w:trPr>
        <w:tc>
          <w:tcPr>
            <w:tcW w:w="7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7"/>
        </w:trPr>
        <w:tc>
          <w:tcPr>
            <w:tcW w:w="7080" w:type="dxa"/>
            <w:vAlign w:val="bottom"/>
            <w:tcBorders>
              <w:bottom w:val="single" w:sz="8" w:color="E5F1F8"/>
              <w:right w:val="single" w:sz="8" w:color="007CBA"/>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Magnesia Specialtes:</w:t>
            </w:r>
          </w:p>
        </w:tc>
        <w:tc>
          <w:tcPr>
            <w:tcW w:w="280" w:type="dxa"/>
            <w:vAlign w:val="bottom"/>
            <w:tcBorders>
              <w:bottom w:val="single" w:sz="8" w:color="E5F1F8"/>
            </w:tcBorders>
            <w:shd w:val="clear" w:color="auto" w:fill="E5F1F8"/>
          </w:tcPr>
          <w:p>
            <w:pPr>
              <w:spacing w:after="0"/>
              <w:rPr>
                <w:sz w:val="18"/>
                <w:szCs w:val="18"/>
                <w:color w:val="auto"/>
              </w:rPr>
            </w:pPr>
          </w:p>
        </w:tc>
        <w:tc>
          <w:tcPr>
            <w:tcW w:w="1120" w:type="dxa"/>
            <w:vAlign w:val="bottom"/>
            <w:tcBorders>
              <w:bottom w:val="single" w:sz="8" w:color="E5F1F8"/>
              <w:right w:val="single" w:sz="8" w:color="007CBA"/>
            </w:tcBorders>
            <w:shd w:val="clear" w:color="auto" w:fill="E5F1F8"/>
          </w:tcPr>
          <w:p>
            <w:pPr>
              <w:spacing w:after="0"/>
              <w:rPr>
                <w:sz w:val="18"/>
                <w:szCs w:val="18"/>
                <w:color w:val="auto"/>
              </w:rPr>
            </w:pPr>
          </w:p>
        </w:tc>
        <w:tc>
          <w:tcPr>
            <w:tcW w:w="720" w:type="dxa"/>
            <w:vAlign w:val="bottom"/>
            <w:tcBorders>
              <w:bottom w:val="single" w:sz="8" w:color="E5F1F8"/>
              <w:right w:val="single" w:sz="8" w:color="E5F1F8"/>
            </w:tcBorders>
            <w:shd w:val="clear" w:color="auto" w:fill="E5F1F8"/>
          </w:tcPr>
          <w:p>
            <w:pPr>
              <w:spacing w:after="0"/>
              <w:rPr>
                <w:sz w:val="18"/>
                <w:szCs w:val="18"/>
                <w:color w:val="auto"/>
              </w:rPr>
            </w:pPr>
          </w:p>
        </w:tc>
        <w:tc>
          <w:tcPr>
            <w:tcW w:w="220" w:type="dxa"/>
            <w:vAlign w:val="bottom"/>
            <w:tcBorders>
              <w:bottom w:val="single" w:sz="8" w:color="E5F1F8"/>
            </w:tcBorders>
            <w:shd w:val="clear" w:color="auto" w:fill="E5F1F8"/>
          </w:tcPr>
          <w:p>
            <w:pPr>
              <w:spacing w:after="0"/>
              <w:rPr>
                <w:sz w:val="18"/>
                <w:szCs w:val="18"/>
                <w:color w:val="auto"/>
              </w:rPr>
            </w:pPr>
          </w:p>
        </w:tc>
        <w:tc>
          <w:tcPr>
            <w:tcW w:w="1080" w:type="dxa"/>
            <w:vAlign w:val="bottom"/>
            <w:tcBorders>
              <w:bottom w:val="single" w:sz="8" w:color="E5F1F8"/>
              <w:right w:val="single" w:sz="8" w:color="007CBA"/>
            </w:tcBorders>
            <w:shd w:val="clear" w:color="auto" w:fill="E5F1F8"/>
          </w:tcPr>
          <w:p>
            <w:pPr>
              <w:spacing w:after="0"/>
              <w:rPr>
                <w:sz w:val="18"/>
                <w:szCs w:val="18"/>
                <w:color w:val="auto"/>
              </w:rPr>
            </w:pPr>
          </w:p>
        </w:tc>
        <w:tc>
          <w:tcPr>
            <w:tcW w:w="740" w:type="dxa"/>
            <w:vAlign w:val="bottom"/>
            <w:tcBorders>
              <w:bottom w:val="single" w:sz="8" w:color="E5F1F8"/>
            </w:tcBorders>
            <w:shd w:val="clear" w:color="auto" w:fill="E5F1F8"/>
          </w:tcPr>
          <w:p>
            <w:pPr>
              <w:spacing w:after="0"/>
              <w:rPr>
                <w:sz w:val="18"/>
                <w:szCs w:val="18"/>
                <w:color w:val="auto"/>
              </w:rPr>
            </w:pPr>
          </w:p>
        </w:tc>
      </w:tr>
      <w:tr>
        <w:trPr>
          <w:trHeight w:val="243"/>
        </w:trPr>
        <w:tc>
          <w:tcPr>
            <w:tcW w:w="7080" w:type="dxa"/>
            <w:vAlign w:val="bottom"/>
            <w:tcBorders>
              <w:right w:val="single" w:sz="8" w:color="007CBA"/>
            </w:tcBorders>
          </w:tcPr>
          <w:p>
            <w:pPr>
              <w:ind w:left="200"/>
              <w:spacing w:after="0" w:line="215" w:lineRule="exact"/>
              <w:rPr>
                <w:sz w:val="20"/>
                <w:szCs w:val="20"/>
                <w:color w:val="auto"/>
              </w:rPr>
            </w:pPr>
            <w:r>
              <w:rPr>
                <w:rFonts w:ascii="Calibri" w:cs="Calibri" w:eastAsia="Calibri" w:hAnsi="Calibri"/>
                <w:sz w:val="18"/>
                <w:szCs w:val="18"/>
                <w:color w:val="auto"/>
              </w:rPr>
              <w:t>Products and services</w:t>
            </w:r>
          </w:p>
        </w:tc>
        <w:tc>
          <w:tcPr>
            <w:tcW w:w="280" w:type="dxa"/>
            <w:vAlign w:val="bottom"/>
          </w:tcPr>
          <w:p>
            <w:pPr>
              <w:spacing w:after="0"/>
              <w:rPr>
                <w:sz w:val="21"/>
                <w:szCs w:val="21"/>
                <w:color w:val="auto"/>
              </w:rPr>
            </w:pPr>
          </w:p>
        </w:tc>
        <w:tc>
          <w:tcPr>
            <w:tcW w:w="11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95.5</w:t>
            </w:r>
          </w:p>
        </w:tc>
        <w:tc>
          <w:tcPr>
            <w:tcW w:w="94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b w:val="1"/>
                <w:bCs w:val="1"/>
                <w:color w:val="auto"/>
              </w:rPr>
              <w:t>34.4 %</w:t>
            </w:r>
          </w:p>
        </w:tc>
        <w:tc>
          <w:tcPr>
            <w:tcW w:w="10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110.4</w:t>
            </w: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40.2 %</w:t>
            </w:r>
          </w:p>
        </w:tc>
      </w:tr>
      <w:tr>
        <w:trPr>
          <w:trHeight w:val="248"/>
        </w:trPr>
        <w:tc>
          <w:tcPr>
            <w:tcW w:w="7080" w:type="dxa"/>
            <w:vAlign w:val="bottom"/>
            <w:tcBorders>
              <w:bottom w:val="single" w:sz="8" w:color="E5F1F8"/>
              <w:right w:val="single" w:sz="8" w:color="E5F1F8"/>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Freight</w:t>
            </w:r>
          </w:p>
        </w:tc>
        <w:tc>
          <w:tcPr>
            <w:tcW w:w="280" w:type="dxa"/>
            <w:vAlign w:val="bottom"/>
            <w:tcBorders>
              <w:bottom w:val="single" w:sz="8" w:color="E5F1F8"/>
            </w:tcBorders>
            <w:shd w:val="clear" w:color="auto" w:fill="E5F1F8"/>
          </w:tcPr>
          <w:p>
            <w:pPr>
              <w:spacing w:after="0"/>
              <w:rPr>
                <w:sz w:val="21"/>
                <w:szCs w:val="21"/>
                <w:color w:val="auto"/>
              </w:rPr>
            </w:pPr>
          </w:p>
        </w:tc>
        <w:tc>
          <w:tcPr>
            <w:tcW w:w="112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(4.6 )</w:t>
            </w:r>
          </w:p>
        </w:tc>
        <w:tc>
          <w:tcPr>
            <w:tcW w:w="720" w:type="dxa"/>
            <w:vAlign w:val="bottom"/>
            <w:tcBorders>
              <w:bottom w:val="single" w:sz="8" w:color="E5F1F8"/>
              <w:right w:val="single" w:sz="8" w:color="E5F1F8"/>
            </w:tcBorders>
            <w:shd w:val="clear" w:color="auto" w:fill="E5F1F8"/>
          </w:tcPr>
          <w:p>
            <w:pPr>
              <w:ind w:left="340"/>
              <w:spacing w:after="0" w:line="215" w:lineRule="exact"/>
              <w:rPr>
                <w:sz w:val="20"/>
                <w:szCs w:val="20"/>
                <w:color w:val="auto"/>
              </w:rPr>
            </w:pPr>
            <w:r>
              <w:rPr>
                <w:rFonts w:ascii="Calibri" w:cs="Calibri" w:eastAsia="Calibri" w:hAnsi="Calibri"/>
                <w:sz w:val="18"/>
                <w:szCs w:val="18"/>
                <w:b w:val="1"/>
                <w:bCs w:val="1"/>
                <w:color w:val="auto"/>
              </w:rPr>
              <w:t>NM</w:t>
            </w:r>
          </w:p>
        </w:tc>
        <w:tc>
          <w:tcPr>
            <w:tcW w:w="220" w:type="dxa"/>
            <w:vAlign w:val="bottom"/>
            <w:tcBorders>
              <w:bottom w:val="single" w:sz="8" w:color="E5F1F8"/>
            </w:tcBorders>
            <w:shd w:val="clear" w:color="auto" w:fill="E5F1F8"/>
          </w:tcPr>
          <w:p>
            <w:pPr>
              <w:spacing w:after="0"/>
              <w:rPr>
                <w:sz w:val="21"/>
                <w:szCs w:val="21"/>
                <w:color w:val="auto"/>
              </w:rPr>
            </w:pPr>
          </w:p>
        </w:tc>
        <w:tc>
          <w:tcPr>
            <w:tcW w:w="108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(3.9 )</w:t>
            </w:r>
          </w:p>
        </w:tc>
        <w:tc>
          <w:tcPr>
            <w:tcW w:w="740" w:type="dxa"/>
            <w:vAlign w:val="bottom"/>
            <w:tcBorders>
              <w:bottom w:val="single" w:sz="8" w:color="E5F1F8"/>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NM</w:t>
            </w:r>
          </w:p>
        </w:tc>
      </w:tr>
      <w:tr>
        <w:trPr>
          <w:trHeight w:val="208"/>
        </w:trPr>
        <w:tc>
          <w:tcPr>
            <w:tcW w:w="708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 Magnesia Specialtes</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90.9</w:t>
            </w:r>
          </w:p>
        </w:tc>
        <w:tc>
          <w:tcPr>
            <w:tcW w:w="940" w:type="dxa"/>
            <w:vAlign w:val="bottom"/>
            <w:tcBorders>
              <w:top w:val="single" w:sz="8" w:color="auto"/>
            </w:tcBorders>
            <w:gridSpan w:val="2"/>
          </w:tcPr>
          <w:p>
            <w:pPr>
              <w:jc w:val="right"/>
              <w:ind w:right="180"/>
              <w:spacing w:after="0" w:line="208" w:lineRule="exact"/>
              <w:rPr>
                <w:sz w:val="20"/>
                <w:szCs w:val="20"/>
                <w:color w:val="auto"/>
              </w:rPr>
            </w:pPr>
            <w:r>
              <w:rPr>
                <w:rFonts w:ascii="Calibri" w:cs="Calibri" w:eastAsia="Calibri" w:hAnsi="Calibri"/>
                <w:sz w:val="18"/>
                <w:szCs w:val="18"/>
                <w:b w:val="1"/>
                <w:bCs w:val="1"/>
                <w:color w:val="auto"/>
              </w:rPr>
              <w:t>29.9 %</w:t>
            </w:r>
          </w:p>
        </w:tc>
        <w:tc>
          <w:tcPr>
            <w:tcW w:w="108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color w:val="auto"/>
              </w:rPr>
              <w:t>106.5</w:t>
            </w:r>
          </w:p>
        </w:tc>
        <w:tc>
          <w:tcPr>
            <w:tcW w:w="7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35.6 %</w:t>
            </w:r>
          </w:p>
        </w:tc>
      </w:tr>
      <w:tr>
        <w:trPr>
          <w:trHeight w:val="28"/>
        </w:trPr>
        <w:tc>
          <w:tcPr>
            <w:tcW w:w="7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1"/>
        </w:trPr>
        <w:tc>
          <w:tcPr>
            <w:tcW w:w="7080" w:type="dxa"/>
            <w:vAlign w:val="bottom"/>
            <w:tcBorders>
              <w:bottom w:val="single" w:sz="8" w:color="E5F1F8"/>
              <w:right w:val="single" w:sz="8" w:color="007CBA"/>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Corporate</w:t>
            </w:r>
          </w:p>
        </w:tc>
        <w:tc>
          <w:tcPr>
            <w:tcW w:w="280" w:type="dxa"/>
            <w:vAlign w:val="bottom"/>
            <w:tcBorders>
              <w:bottom w:val="single" w:sz="8" w:color="E5F1F8"/>
            </w:tcBorders>
            <w:shd w:val="clear" w:color="auto" w:fill="E5F1F8"/>
          </w:tcPr>
          <w:p>
            <w:pPr>
              <w:spacing w:after="0"/>
              <w:rPr>
                <w:sz w:val="20"/>
                <w:szCs w:val="20"/>
                <w:color w:val="auto"/>
              </w:rPr>
            </w:pPr>
          </w:p>
        </w:tc>
        <w:tc>
          <w:tcPr>
            <w:tcW w:w="1120" w:type="dxa"/>
            <w:vAlign w:val="bottom"/>
            <w:tcBorders>
              <w:bottom w:val="single" w:sz="8" w:color="E5F1F8"/>
              <w:right w:val="single" w:sz="8" w:color="007CBA"/>
            </w:tcBorders>
            <w:shd w:val="clear" w:color="auto" w:fill="E5F1F8"/>
          </w:tcPr>
          <w:p>
            <w:pPr>
              <w:jc w:val="right"/>
              <w:spacing w:after="0" w:line="208" w:lineRule="exact"/>
              <w:rPr>
                <w:sz w:val="20"/>
                <w:szCs w:val="20"/>
                <w:color w:val="auto"/>
              </w:rPr>
            </w:pPr>
            <w:r>
              <w:rPr>
                <w:rFonts w:ascii="Calibri" w:cs="Calibri" w:eastAsia="Calibri" w:hAnsi="Calibri"/>
                <w:sz w:val="18"/>
                <w:szCs w:val="18"/>
                <w:b w:val="1"/>
                <w:bCs w:val="1"/>
                <w:color w:val="auto"/>
              </w:rPr>
              <w:t>(5.8 )</w:t>
            </w:r>
          </w:p>
        </w:tc>
        <w:tc>
          <w:tcPr>
            <w:tcW w:w="720" w:type="dxa"/>
            <w:vAlign w:val="bottom"/>
            <w:tcBorders>
              <w:bottom w:val="single" w:sz="8" w:color="E5F1F8"/>
              <w:right w:val="single" w:sz="8" w:color="007CBA"/>
            </w:tcBorders>
            <w:shd w:val="clear" w:color="auto" w:fill="E5F1F8"/>
          </w:tcPr>
          <w:p>
            <w:pPr>
              <w:ind w:left="340"/>
              <w:spacing w:after="0" w:line="208" w:lineRule="exact"/>
              <w:rPr>
                <w:sz w:val="20"/>
                <w:szCs w:val="20"/>
                <w:color w:val="auto"/>
              </w:rPr>
            </w:pPr>
            <w:r>
              <w:rPr>
                <w:rFonts w:ascii="Calibri" w:cs="Calibri" w:eastAsia="Calibri" w:hAnsi="Calibri"/>
                <w:sz w:val="18"/>
                <w:szCs w:val="18"/>
                <w:b w:val="1"/>
                <w:bCs w:val="1"/>
                <w:color w:val="auto"/>
              </w:rPr>
              <w:t>NM</w:t>
            </w:r>
          </w:p>
        </w:tc>
        <w:tc>
          <w:tcPr>
            <w:tcW w:w="220" w:type="dxa"/>
            <w:vAlign w:val="bottom"/>
            <w:tcBorders>
              <w:bottom w:val="single" w:sz="8" w:color="E5F1F8"/>
            </w:tcBorders>
            <w:shd w:val="clear" w:color="auto" w:fill="E5F1F8"/>
          </w:tcPr>
          <w:p>
            <w:pPr>
              <w:spacing w:after="0"/>
              <w:rPr>
                <w:sz w:val="20"/>
                <w:szCs w:val="20"/>
                <w:color w:val="auto"/>
              </w:rPr>
            </w:pPr>
          </w:p>
        </w:tc>
        <w:tc>
          <w:tcPr>
            <w:tcW w:w="1080" w:type="dxa"/>
            <w:vAlign w:val="bottom"/>
            <w:tcBorders>
              <w:bottom w:val="single" w:sz="8" w:color="E5F1F8"/>
              <w:right w:val="single" w:sz="8" w:color="007CBA"/>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color w:val="auto"/>
              </w:rPr>
              <w:t>2.0</w:t>
            </w:r>
          </w:p>
        </w:tc>
        <w:tc>
          <w:tcPr>
            <w:tcW w:w="740" w:type="dxa"/>
            <w:vAlign w:val="bottom"/>
            <w:tcBorders>
              <w:bottom w:val="single" w:sz="8" w:color="E5F1F8"/>
            </w:tcBorders>
            <w:shd w:val="clear" w:color="auto" w:fill="E5F1F8"/>
          </w:tcPr>
          <w:p>
            <w:pPr>
              <w:jc w:val="right"/>
              <w:ind w:right="90"/>
              <w:spacing w:after="0" w:line="208" w:lineRule="exact"/>
              <w:rPr>
                <w:sz w:val="20"/>
                <w:szCs w:val="20"/>
                <w:color w:val="auto"/>
              </w:rPr>
            </w:pPr>
            <w:r>
              <w:rPr>
                <w:rFonts w:ascii="Calibri" w:cs="Calibri" w:eastAsia="Calibri" w:hAnsi="Calibri"/>
                <w:sz w:val="18"/>
                <w:szCs w:val="18"/>
                <w:color w:val="auto"/>
              </w:rPr>
              <w:t>NM</w:t>
            </w:r>
          </w:p>
        </w:tc>
      </w:tr>
      <w:tr>
        <w:trPr>
          <w:trHeight w:val="208"/>
        </w:trPr>
        <w:tc>
          <w:tcPr>
            <w:tcW w:w="708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 consolidated gross proft</w:t>
            </w:r>
          </w:p>
        </w:tc>
        <w:tc>
          <w:tcPr>
            <w:tcW w:w="280" w:type="dxa"/>
            <w:vAlign w:val="bottom"/>
            <w:tcBorders>
              <w:top w:val="single" w:sz="8" w:color="auto"/>
            </w:tcBorders>
          </w:tcPr>
          <w:p>
            <w:pPr>
              <w:jc w:val="right"/>
              <w:ind w:right="10"/>
              <w:spacing w:after="0" w:line="208" w:lineRule="exact"/>
              <w:rPr>
                <w:sz w:val="20"/>
                <w:szCs w:val="20"/>
                <w:color w:val="auto"/>
              </w:rPr>
            </w:pPr>
            <w:r>
              <w:rPr>
                <w:rFonts w:ascii="Calibri" w:cs="Calibri" w:eastAsia="Calibri" w:hAnsi="Calibri"/>
                <w:sz w:val="18"/>
                <w:szCs w:val="18"/>
                <w:b w:val="1"/>
                <w:bCs w:val="1"/>
                <w:color w:val="auto"/>
              </w:rPr>
              <w:t>$</w:t>
            </w:r>
          </w:p>
        </w:tc>
        <w:tc>
          <w:tcPr>
            <w:tcW w:w="112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1,423.3</w:t>
            </w:r>
          </w:p>
        </w:tc>
        <w:tc>
          <w:tcPr>
            <w:tcW w:w="940" w:type="dxa"/>
            <w:vAlign w:val="bottom"/>
            <w:tcBorders>
              <w:top w:val="single" w:sz="8" w:color="auto"/>
            </w:tcBorders>
            <w:gridSpan w:val="2"/>
          </w:tcPr>
          <w:p>
            <w:pPr>
              <w:jc w:val="right"/>
              <w:ind w:right="100"/>
              <w:spacing w:after="0" w:line="208" w:lineRule="exact"/>
              <w:rPr>
                <w:sz w:val="20"/>
                <w:szCs w:val="20"/>
                <w:color w:val="auto"/>
              </w:rPr>
            </w:pPr>
            <w:r>
              <w:rPr>
                <w:rFonts w:ascii="Calibri" w:cs="Calibri" w:eastAsia="Calibri" w:hAnsi="Calibri"/>
                <w:sz w:val="18"/>
                <w:szCs w:val="18"/>
                <w:b w:val="1"/>
                <w:bCs w:val="1"/>
                <w:color w:val="auto"/>
              </w:rPr>
              <w:t>23.1 %</w:t>
            </w:r>
            <w:r>
              <w:rPr>
                <w:rFonts w:ascii="Calibri" w:cs="Calibri" w:eastAsia="Calibri" w:hAnsi="Calibri"/>
                <w:sz w:val="18"/>
                <w:szCs w:val="18"/>
                <w:color w:val="auto"/>
              </w:rPr>
              <w:t>$</w:t>
            </w:r>
          </w:p>
        </w:tc>
        <w:tc>
          <w:tcPr>
            <w:tcW w:w="108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color w:val="auto"/>
              </w:rPr>
              <w:t>1,348.4</w:t>
            </w:r>
          </w:p>
        </w:tc>
        <w:tc>
          <w:tcPr>
            <w:tcW w:w="7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24.9 %</w:t>
            </w:r>
          </w:p>
        </w:tc>
      </w:tr>
      <w:tr>
        <w:trPr>
          <w:trHeight w:val="28"/>
        </w:trPr>
        <w:tc>
          <w:tcPr>
            <w:tcW w:w="7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7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-2673985</wp:posOffset>
            </wp:positionV>
            <wp:extent cx="264033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26403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-2236470</wp:posOffset>
            </wp:positionV>
            <wp:extent cx="7132320" cy="22498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32320" cy="2249805"/>
                    </a:xfrm>
                    <a:prstGeom prst="rect">
                      <a:avLst/>
                    </a:prstGeom>
                    <a:noFill/>
                  </pic:spPr>
                </pic:pic>
              </a:graphicData>
            </a:graphic>
          </wp:anchor>
        </w:drawing>
      </w:r>
    </w:p>
    <w:p>
      <w:pPr>
        <w:spacing w:after="0" w:line="1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increase in Building Materials business gross proft in 2022 compared with 2021 was primarily atributable to pricing growth and the accretve impacts of acquisitons, which more than ofset historically high cost infaton and the divestture of the Colorado and Central Texas ready mixed concrete operatons on an absolute basis. The Building Materials business gross margin was negatvely impacted by infatonary cost increases throughout the year. While pricing increases were implemented during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93345</wp:posOffset>
            </wp:positionV>
            <wp:extent cx="325755" cy="1974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15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year, the full benefts are achieved over tme as existng contracts are replaced with new contracts with updated pricing. The decrease in gross proft in Magnesia Specialtes was driven by lower demand from domestc steel industry customers for dolomitc lime products and higher energy and contract services costs.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Corporate gross proft includes intercompany royalty and rental revenue and expenses, depreciaton and unallocated operatonal expenses excluded from the Company’s evaluaton of business segment performance.</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4EAD8A"/>
        </w:rPr>
        <w:t xml:space="preserve">Aggregates. </w:t>
      </w:r>
      <w:r>
        <w:rPr>
          <w:rFonts w:ascii="Calibri" w:cs="Calibri" w:eastAsia="Calibri" w:hAnsi="Calibri"/>
          <w:sz w:val="18"/>
          <w:szCs w:val="18"/>
          <w:color w:val="000000"/>
        </w:rPr>
        <w:t>The average selling price per ton for aggregates was $16.68 and $15.08 for 2022 and 2021, respectvely.</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260" w:type="dxa"/>
            <w:vAlign w:val="bottom"/>
          </w:tcPr>
          <w:p>
            <w:pPr>
              <w:spacing w:after="0"/>
              <w:rPr>
                <w:sz w:val="20"/>
                <w:szCs w:val="20"/>
                <w:color w:val="auto"/>
              </w:rPr>
            </w:pPr>
            <w:r>
              <w:rPr>
                <w:rFonts w:ascii="Calibri" w:cs="Calibri" w:eastAsia="Calibri" w:hAnsi="Calibri"/>
                <w:sz w:val="18"/>
                <w:szCs w:val="18"/>
                <w:color w:val="auto"/>
              </w:rPr>
              <w:t>Aggregates average selling price increases compared to the prior year are as follows:</w:t>
            </w:r>
          </w:p>
        </w:tc>
        <w:tc>
          <w:tcPr>
            <w:tcW w:w="194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132"/>
        </w:trPr>
        <w:tc>
          <w:tcPr>
            <w:tcW w:w="72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040" w:type="dxa"/>
            <w:vAlign w:val="bottom"/>
          </w:tcPr>
          <w:p>
            <w:pPr>
              <w:spacing w:after="0"/>
              <w:rPr>
                <w:sz w:val="11"/>
                <w:szCs w:val="11"/>
                <w:color w:val="auto"/>
              </w:rPr>
            </w:pPr>
          </w:p>
        </w:tc>
      </w:tr>
      <w:tr>
        <w:trPr>
          <w:trHeight w:val="223"/>
        </w:trPr>
        <w:tc>
          <w:tcPr>
            <w:tcW w:w="726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i w:val="1"/>
                <w:iCs w:val="1"/>
                <w:color w:val="FFFFFF"/>
              </w:rPr>
              <w:t>years ended December 31</w:t>
            </w:r>
          </w:p>
        </w:tc>
        <w:tc>
          <w:tcPr>
            <w:tcW w:w="1940" w:type="dxa"/>
            <w:vAlign w:val="bottom"/>
            <w:tcBorders>
              <w:bottom w:val="single" w:sz="8" w:color="007CBA"/>
              <w:right w:val="single" w:sz="8" w:color="007CBA"/>
            </w:tcBorders>
            <w:shd w:val="clear" w:color="auto" w:fill="007CBA"/>
          </w:tcPr>
          <w:p>
            <w:pPr>
              <w:jc w:val="center"/>
              <w:ind w:left="90"/>
              <w:spacing w:after="0" w:line="215" w:lineRule="exact"/>
              <w:rPr>
                <w:sz w:val="20"/>
                <w:szCs w:val="20"/>
                <w:color w:val="auto"/>
              </w:rPr>
            </w:pPr>
            <w:r>
              <w:rPr>
                <w:rFonts w:ascii="Calibri" w:cs="Calibri" w:eastAsia="Calibri" w:hAnsi="Calibri"/>
                <w:sz w:val="18"/>
                <w:szCs w:val="18"/>
                <w:b w:val="1"/>
                <w:bCs w:val="1"/>
                <w:color w:val="FFFFFF"/>
                <w:w w:val="98"/>
              </w:rPr>
              <w:t>2022</w:t>
            </w:r>
          </w:p>
        </w:tc>
        <w:tc>
          <w:tcPr>
            <w:tcW w:w="2040" w:type="dxa"/>
            <w:vAlign w:val="bottom"/>
            <w:tcBorders>
              <w:bottom w:val="single" w:sz="8" w:color="007CBA"/>
            </w:tcBorders>
            <w:shd w:val="clear" w:color="auto" w:fill="007CBA"/>
          </w:tcPr>
          <w:p>
            <w:pPr>
              <w:jc w:val="right"/>
              <w:ind w:right="730"/>
              <w:spacing w:after="0" w:line="215" w:lineRule="exact"/>
              <w:rPr>
                <w:sz w:val="20"/>
                <w:szCs w:val="20"/>
                <w:color w:val="auto"/>
              </w:rPr>
            </w:pPr>
            <w:r>
              <w:rPr>
                <w:rFonts w:ascii="Calibri" w:cs="Calibri" w:eastAsia="Calibri" w:hAnsi="Calibri"/>
                <w:sz w:val="18"/>
                <w:szCs w:val="18"/>
                <w:color w:val="FFFFFF"/>
              </w:rPr>
              <w:t>2021</w:t>
            </w:r>
          </w:p>
        </w:tc>
      </w:tr>
      <w:tr>
        <w:trPr>
          <w:trHeight w:val="223"/>
        </w:trPr>
        <w:tc>
          <w:tcPr>
            <w:tcW w:w="7260" w:type="dxa"/>
            <w:vAlign w:val="bottom"/>
            <w:tcBorders>
              <w:bottom w:val="single" w:sz="8" w:color="E5F1F8"/>
              <w:right w:val="single" w:sz="8" w:color="007CBA"/>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East Group</w:t>
            </w:r>
          </w:p>
        </w:tc>
        <w:tc>
          <w:tcPr>
            <w:tcW w:w="1940" w:type="dxa"/>
            <w:vAlign w:val="bottom"/>
            <w:tcBorders>
              <w:bottom w:val="single" w:sz="8" w:color="E5F1F8"/>
              <w:right w:val="single" w:sz="8" w:color="007CBA"/>
            </w:tcBorders>
            <w:shd w:val="clear" w:color="auto" w:fill="E5F1F8"/>
          </w:tcPr>
          <w:p>
            <w:pPr>
              <w:jc w:val="center"/>
              <w:ind w:left="70"/>
              <w:spacing w:after="0" w:line="215" w:lineRule="exact"/>
              <w:rPr>
                <w:sz w:val="20"/>
                <w:szCs w:val="20"/>
                <w:color w:val="auto"/>
              </w:rPr>
            </w:pPr>
            <w:r>
              <w:rPr>
                <w:rFonts w:ascii="Calibri" w:cs="Calibri" w:eastAsia="Calibri" w:hAnsi="Calibri"/>
                <w:sz w:val="18"/>
                <w:szCs w:val="18"/>
                <w:b w:val="1"/>
                <w:bCs w:val="1"/>
                <w:color w:val="auto"/>
              </w:rPr>
              <w:t>10.5%</w:t>
            </w:r>
          </w:p>
        </w:tc>
        <w:tc>
          <w:tcPr>
            <w:tcW w:w="2040" w:type="dxa"/>
            <w:vAlign w:val="bottom"/>
            <w:tcBorders>
              <w:bottom w:val="single" w:sz="8" w:color="E5F1F8"/>
            </w:tcBorders>
            <w:shd w:val="clear" w:color="auto" w:fill="E5F1F8"/>
          </w:tcPr>
          <w:p>
            <w:pPr>
              <w:jc w:val="right"/>
              <w:ind w:right="730"/>
              <w:spacing w:after="0" w:line="215" w:lineRule="exact"/>
              <w:rPr>
                <w:sz w:val="20"/>
                <w:szCs w:val="20"/>
                <w:color w:val="auto"/>
              </w:rPr>
            </w:pPr>
            <w:r>
              <w:rPr>
                <w:rFonts w:ascii="Calibri" w:cs="Calibri" w:eastAsia="Calibri" w:hAnsi="Calibri"/>
                <w:sz w:val="18"/>
                <w:szCs w:val="18"/>
                <w:color w:val="auto"/>
              </w:rPr>
              <w:t>1.6%</w:t>
            </w:r>
          </w:p>
        </w:tc>
      </w:tr>
      <w:tr>
        <w:trPr>
          <w:trHeight w:val="243"/>
        </w:trPr>
        <w:tc>
          <w:tcPr>
            <w:tcW w:w="7260" w:type="dxa"/>
            <w:vAlign w:val="bottom"/>
            <w:tcBorders>
              <w:right w:val="single" w:sz="8" w:color="007CBA"/>
            </w:tcBorders>
          </w:tcPr>
          <w:p>
            <w:pPr>
              <w:ind w:left="200"/>
              <w:spacing w:after="0" w:line="215" w:lineRule="exact"/>
              <w:rPr>
                <w:sz w:val="20"/>
                <w:szCs w:val="20"/>
                <w:color w:val="auto"/>
              </w:rPr>
            </w:pPr>
            <w:r>
              <w:rPr>
                <w:rFonts w:ascii="Calibri" w:cs="Calibri" w:eastAsia="Calibri" w:hAnsi="Calibri"/>
                <w:sz w:val="18"/>
                <w:szCs w:val="18"/>
                <w:color w:val="auto"/>
              </w:rPr>
              <w:t>West Group</w:t>
            </w:r>
          </w:p>
        </w:tc>
        <w:tc>
          <w:tcPr>
            <w:tcW w:w="1940" w:type="dxa"/>
            <w:vAlign w:val="bottom"/>
            <w:tcBorders>
              <w:right w:val="single" w:sz="8" w:color="007CBA"/>
            </w:tcBorders>
          </w:tcPr>
          <w:p>
            <w:pPr>
              <w:jc w:val="center"/>
              <w:ind w:left="70"/>
              <w:spacing w:after="0" w:line="215" w:lineRule="exact"/>
              <w:rPr>
                <w:sz w:val="20"/>
                <w:szCs w:val="20"/>
                <w:color w:val="auto"/>
              </w:rPr>
            </w:pPr>
            <w:r>
              <w:rPr>
                <w:rFonts w:ascii="Calibri" w:cs="Calibri" w:eastAsia="Calibri" w:hAnsi="Calibri"/>
                <w:sz w:val="18"/>
                <w:szCs w:val="18"/>
                <w:b w:val="1"/>
                <w:bCs w:val="1"/>
                <w:color w:val="auto"/>
              </w:rPr>
              <w:t>11.9%</w:t>
            </w:r>
          </w:p>
        </w:tc>
        <w:tc>
          <w:tcPr>
            <w:tcW w:w="2040" w:type="dxa"/>
            <w:vAlign w:val="bottom"/>
          </w:tcPr>
          <w:p>
            <w:pPr>
              <w:jc w:val="right"/>
              <w:ind w:right="730"/>
              <w:spacing w:after="0" w:line="215" w:lineRule="exact"/>
              <w:rPr>
                <w:sz w:val="20"/>
                <w:szCs w:val="20"/>
                <w:color w:val="auto"/>
              </w:rPr>
            </w:pPr>
            <w:r>
              <w:rPr>
                <w:rFonts w:ascii="Calibri" w:cs="Calibri" w:eastAsia="Calibri" w:hAnsi="Calibri"/>
                <w:sz w:val="18"/>
                <w:szCs w:val="18"/>
                <w:color w:val="auto"/>
              </w:rPr>
              <w:t>3.1%</w:t>
            </w:r>
          </w:p>
        </w:tc>
      </w:tr>
      <w:tr>
        <w:trPr>
          <w:trHeight w:val="243"/>
        </w:trPr>
        <w:tc>
          <w:tcPr>
            <w:tcW w:w="7260" w:type="dxa"/>
            <w:vAlign w:val="bottom"/>
            <w:tcBorders>
              <w:bottom w:val="single" w:sz="8" w:color="auto"/>
              <w:right w:val="single" w:sz="8" w:color="E5F1F8"/>
            </w:tcBorders>
            <w:shd w:val="clear" w:color="auto" w:fill="E5F1F8"/>
          </w:tcPr>
          <w:p>
            <w:pPr>
              <w:ind w:left="120"/>
              <w:spacing w:after="0" w:line="243" w:lineRule="exact"/>
              <w:rPr>
                <w:sz w:val="20"/>
                <w:szCs w:val="20"/>
                <w:color w:val="auto"/>
              </w:rPr>
            </w:pPr>
            <w:r>
              <w:rPr>
                <w:rFonts w:ascii="Calibri" w:cs="Calibri" w:eastAsia="Calibri" w:hAnsi="Calibri"/>
                <w:sz w:val="18"/>
                <w:szCs w:val="18"/>
                <w:color w:val="auto"/>
              </w:rPr>
              <w:t>Total aggregates operatons</w:t>
            </w:r>
            <w:r>
              <w:rPr>
                <w:rFonts w:ascii="Calibri" w:cs="Calibri" w:eastAsia="Calibri" w:hAnsi="Calibri"/>
                <w:sz w:val="24"/>
                <w:szCs w:val="24"/>
                <w:color w:val="auto"/>
                <w:vertAlign w:val="superscript"/>
              </w:rPr>
              <w:t>1</w:t>
            </w:r>
          </w:p>
        </w:tc>
        <w:tc>
          <w:tcPr>
            <w:tcW w:w="1940" w:type="dxa"/>
            <w:vAlign w:val="bottom"/>
            <w:tcBorders>
              <w:bottom w:val="single" w:sz="8" w:color="auto"/>
              <w:right w:val="single" w:sz="8" w:color="E5F1F8"/>
            </w:tcBorders>
            <w:shd w:val="clear" w:color="auto" w:fill="E5F1F8"/>
          </w:tcPr>
          <w:p>
            <w:pPr>
              <w:jc w:val="center"/>
              <w:ind w:left="70"/>
              <w:spacing w:after="0" w:line="215" w:lineRule="exact"/>
              <w:rPr>
                <w:sz w:val="20"/>
                <w:szCs w:val="20"/>
                <w:color w:val="auto"/>
              </w:rPr>
            </w:pPr>
            <w:r>
              <w:rPr>
                <w:rFonts w:ascii="Calibri" w:cs="Calibri" w:eastAsia="Calibri" w:hAnsi="Calibri"/>
                <w:sz w:val="18"/>
                <w:szCs w:val="18"/>
                <w:b w:val="1"/>
                <w:bCs w:val="1"/>
                <w:color w:val="auto"/>
              </w:rPr>
              <w:t>10.6%</w:t>
            </w:r>
          </w:p>
        </w:tc>
        <w:tc>
          <w:tcPr>
            <w:tcW w:w="2040" w:type="dxa"/>
            <w:vAlign w:val="bottom"/>
            <w:tcBorders>
              <w:bottom w:val="single" w:sz="8" w:color="auto"/>
            </w:tcBorders>
            <w:shd w:val="clear" w:color="auto" w:fill="E5F1F8"/>
          </w:tcPr>
          <w:p>
            <w:pPr>
              <w:jc w:val="right"/>
              <w:ind w:right="730"/>
              <w:spacing w:after="0" w:line="215" w:lineRule="exact"/>
              <w:rPr>
                <w:sz w:val="20"/>
                <w:szCs w:val="20"/>
                <w:color w:val="auto"/>
              </w:rPr>
            </w:pPr>
            <w:r>
              <w:rPr>
                <w:rFonts w:ascii="Calibri" w:cs="Calibri" w:eastAsia="Calibri" w:hAnsi="Calibri"/>
                <w:sz w:val="18"/>
                <w:szCs w:val="18"/>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4587240</wp:posOffset>
            </wp:positionH>
            <wp:positionV relativeFrom="paragraph">
              <wp:posOffset>-175260</wp:posOffset>
            </wp:positionV>
            <wp:extent cx="34290" cy="1885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34290" cy="18859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-175260</wp:posOffset>
            </wp:positionV>
            <wp:extent cx="33655" cy="1885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33655" cy="188595"/>
                    </a:xfrm>
                    <a:prstGeom prst="rect">
                      <a:avLst/>
                    </a:prstGeom>
                    <a:noFill/>
                  </pic:spPr>
                </pic:pic>
              </a:graphicData>
            </a:graphic>
          </wp:anchor>
        </w:drawing>
      </w:r>
    </w:p>
    <w:p>
      <w:pPr>
        <w:ind w:left="800" w:hanging="401"/>
        <w:spacing w:after="0" w:line="216" w:lineRule="auto"/>
        <w:tabs>
          <w:tab w:leader="none" w:pos="800" w:val="left"/>
        </w:tabs>
        <w:numPr>
          <w:ilvl w:val="0"/>
          <w:numId w:val="22"/>
        </w:numPr>
        <w:rPr>
          <w:rFonts w:ascii="Calibri" w:cs="Calibri" w:eastAsia="Calibri" w:hAnsi="Calibri"/>
          <w:sz w:val="19"/>
          <w:szCs w:val="19"/>
          <w:color w:val="auto"/>
          <w:vertAlign w:val="superscript"/>
        </w:rPr>
      </w:pPr>
      <w:r>
        <w:rPr>
          <w:rFonts w:ascii="Calibri" w:cs="Calibri" w:eastAsia="Calibri" w:hAnsi="Calibri"/>
          <w:sz w:val="14"/>
          <w:szCs w:val="14"/>
          <w:color w:val="auto"/>
        </w:rPr>
        <w:t>Total aggregates operatons include acquisitons from the date of acquisiton and divesttures through the date of disposal.</w:t>
      </w:r>
    </w:p>
    <w:p>
      <w:pPr>
        <w:spacing w:after="0" w:line="18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Aggregates pricing improved 10.6%, or 10.0% on a mix-adjusted basis, compared with 2021. The East Group reported an increase of 10.5%, or 9.3% on a mix-adjusted basis, and West Group pricing increased 11.9%, or 11.4% on a mix-adjusted basis, compared with 2021, refectng multple price actons implemented throughout the year.</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940" w:type="dxa"/>
            <w:vAlign w:val="bottom"/>
            <w:gridSpan w:val="3"/>
          </w:tcPr>
          <w:p>
            <w:pPr>
              <w:spacing w:after="0"/>
              <w:rPr>
                <w:sz w:val="20"/>
                <w:szCs w:val="20"/>
                <w:color w:val="auto"/>
              </w:rPr>
            </w:pPr>
            <w:r>
              <w:rPr>
                <w:rFonts w:ascii="Calibri" w:cs="Calibri" w:eastAsia="Calibri" w:hAnsi="Calibri"/>
                <w:sz w:val="18"/>
                <w:szCs w:val="18"/>
                <w:color w:val="auto"/>
                <w:w w:val="99"/>
              </w:rPr>
              <w:t>The following presents aggregates shipments for each reportable segment of the Building Materials business:</w:t>
            </w:r>
          </w:p>
        </w:tc>
        <w:tc>
          <w:tcPr>
            <w:tcW w:w="128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132"/>
        </w:trPr>
        <w:tc>
          <w:tcPr>
            <w:tcW w:w="7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20" w:type="dxa"/>
            <w:vAlign w:val="bottom"/>
          </w:tcPr>
          <w:p>
            <w:pPr>
              <w:spacing w:after="0"/>
              <w:rPr>
                <w:sz w:val="11"/>
                <w:szCs w:val="11"/>
                <w:color w:val="auto"/>
              </w:rPr>
            </w:pPr>
          </w:p>
        </w:tc>
      </w:tr>
      <w:tr>
        <w:trPr>
          <w:trHeight w:val="215"/>
        </w:trPr>
        <w:tc>
          <w:tcPr>
            <w:tcW w:w="730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i w:val="1"/>
                <w:iCs w:val="1"/>
                <w:color w:val="FFFFFF"/>
              </w:rPr>
              <w:t>years ended December 31</w:t>
            </w:r>
          </w:p>
        </w:tc>
        <w:tc>
          <w:tcPr>
            <w:tcW w:w="260" w:type="dxa"/>
            <w:vAlign w:val="bottom"/>
            <w:shd w:val="clear" w:color="auto" w:fill="007CBA"/>
          </w:tcPr>
          <w:p>
            <w:pPr>
              <w:spacing w:after="0"/>
              <w:rPr>
                <w:sz w:val="18"/>
                <w:szCs w:val="18"/>
                <w:color w:val="auto"/>
              </w:rPr>
            </w:pPr>
          </w:p>
        </w:tc>
        <w:tc>
          <w:tcPr>
            <w:tcW w:w="380" w:type="dxa"/>
            <w:vAlign w:val="bottom"/>
            <w:shd w:val="clear" w:color="auto" w:fill="007CBA"/>
          </w:tcPr>
          <w:p>
            <w:pPr>
              <w:spacing w:after="0"/>
              <w:rPr>
                <w:sz w:val="18"/>
                <w:szCs w:val="18"/>
                <w:color w:val="auto"/>
              </w:rPr>
            </w:pPr>
          </w:p>
        </w:tc>
        <w:tc>
          <w:tcPr>
            <w:tcW w:w="1280" w:type="dxa"/>
            <w:vAlign w:val="bottom"/>
            <w:tcBorders>
              <w:right w:val="single" w:sz="8" w:color="007CBA"/>
            </w:tcBorders>
            <w:shd w:val="clear" w:color="auto" w:fill="007CBA"/>
          </w:tcPr>
          <w:p>
            <w:pPr>
              <w:spacing w:after="0"/>
              <w:rPr>
                <w:sz w:val="18"/>
                <w:szCs w:val="18"/>
                <w:color w:val="auto"/>
              </w:rPr>
            </w:pPr>
          </w:p>
        </w:tc>
        <w:tc>
          <w:tcPr>
            <w:tcW w:w="2020" w:type="dxa"/>
            <w:vAlign w:val="bottom"/>
            <w:shd w:val="clear" w:color="auto" w:fill="007CBA"/>
          </w:tcPr>
          <w:p>
            <w:pPr>
              <w:spacing w:after="0"/>
              <w:rPr>
                <w:sz w:val="18"/>
                <w:szCs w:val="18"/>
                <w:color w:val="auto"/>
              </w:rPr>
            </w:pPr>
          </w:p>
        </w:tc>
      </w:tr>
      <w:tr>
        <w:trPr>
          <w:trHeight w:val="251"/>
        </w:trPr>
        <w:tc>
          <w:tcPr>
            <w:tcW w:w="7300" w:type="dxa"/>
            <w:vAlign w:val="bottom"/>
            <w:tcBorders>
              <w:bottom w:val="single" w:sz="8" w:color="007CBA"/>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color w:val="FFFFFF"/>
              </w:rPr>
              <w:t>Tons (in millions)</w:t>
            </w:r>
          </w:p>
        </w:tc>
        <w:tc>
          <w:tcPr>
            <w:tcW w:w="260" w:type="dxa"/>
            <w:vAlign w:val="bottom"/>
            <w:tcBorders>
              <w:bottom w:val="single" w:sz="8" w:color="007CBA"/>
            </w:tcBorders>
            <w:shd w:val="clear" w:color="auto" w:fill="007CBA"/>
          </w:tcPr>
          <w:p>
            <w:pPr>
              <w:spacing w:after="0"/>
              <w:rPr>
                <w:sz w:val="21"/>
                <w:szCs w:val="21"/>
                <w:color w:val="auto"/>
              </w:rPr>
            </w:pPr>
          </w:p>
        </w:tc>
        <w:tc>
          <w:tcPr>
            <w:tcW w:w="380" w:type="dxa"/>
            <w:vAlign w:val="bottom"/>
            <w:tcBorders>
              <w:bottom w:val="single" w:sz="8" w:color="007CBA"/>
            </w:tcBorders>
            <w:shd w:val="clear" w:color="auto" w:fill="007CBA"/>
          </w:tcPr>
          <w:p>
            <w:pPr>
              <w:spacing w:after="0"/>
              <w:rPr>
                <w:sz w:val="21"/>
                <w:szCs w:val="21"/>
                <w:color w:val="auto"/>
              </w:rPr>
            </w:pPr>
          </w:p>
        </w:tc>
        <w:tc>
          <w:tcPr>
            <w:tcW w:w="1280" w:type="dxa"/>
            <w:vAlign w:val="bottom"/>
            <w:tcBorders>
              <w:bottom w:val="single" w:sz="8" w:color="007CBA"/>
              <w:right w:val="single" w:sz="8" w:color="007CBA"/>
            </w:tcBorders>
            <w:shd w:val="clear" w:color="auto" w:fill="007CBA"/>
          </w:tcPr>
          <w:p>
            <w:pPr>
              <w:jc w:val="right"/>
              <w:ind w:right="670"/>
              <w:spacing w:after="0"/>
              <w:rPr>
                <w:sz w:val="20"/>
                <w:szCs w:val="20"/>
                <w:color w:val="auto"/>
              </w:rPr>
            </w:pPr>
            <w:r>
              <w:rPr>
                <w:rFonts w:ascii="Calibri" w:cs="Calibri" w:eastAsia="Calibri" w:hAnsi="Calibri"/>
                <w:sz w:val="18"/>
                <w:szCs w:val="18"/>
                <w:b w:val="1"/>
                <w:bCs w:val="1"/>
                <w:color w:val="FFFFFF"/>
              </w:rPr>
              <w:t>2022</w:t>
            </w:r>
          </w:p>
        </w:tc>
        <w:tc>
          <w:tcPr>
            <w:tcW w:w="2020" w:type="dxa"/>
            <w:vAlign w:val="bottom"/>
            <w:tcBorders>
              <w:bottom w:val="single" w:sz="8" w:color="007CBA"/>
            </w:tcBorders>
            <w:shd w:val="clear" w:color="auto" w:fill="007CBA"/>
          </w:tcPr>
          <w:p>
            <w:pPr>
              <w:jc w:val="right"/>
              <w:ind w:right="790"/>
              <w:spacing w:after="0"/>
              <w:rPr>
                <w:sz w:val="20"/>
                <w:szCs w:val="20"/>
                <w:color w:val="auto"/>
              </w:rPr>
            </w:pPr>
            <w:r>
              <w:rPr>
                <w:rFonts w:ascii="Calibri" w:cs="Calibri" w:eastAsia="Calibri" w:hAnsi="Calibri"/>
                <w:sz w:val="18"/>
                <w:szCs w:val="18"/>
                <w:color w:val="FFFFFF"/>
              </w:rPr>
              <w:t>2021</w:t>
            </w:r>
          </w:p>
        </w:tc>
      </w:tr>
      <w:tr>
        <w:trPr>
          <w:trHeight w:val="223"/>
        </w:trPr>
        <w:tc>
          <w:tcPr>
            <w:tcW w:w="7300" w:type="dxa"/>
            <w:vAlign w:val="bottom"/>
            <w:tcBorders>
              <w:bottom w:val="single" w:sz="8" w:color="E5F1F8"/>
              <w:right w:val="single" w:sz="8" w:color="007CBA"/>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East Group</w:t>
            </w:r>
          </w:p>
        </w:tc>
        <w:tc>
          <w:tcPr>
            <w:tcW w:w="260" w:type="dxa"/>
            <w:vAlign w:val="bottom"/>
            <w:tcBorders>
              <w:bottom w:val="single" w:sz="8" w:color="E5F1F8"/>
            </w:tcBorders>
            <w:shd w:val="clear" w:color="auto" w:fill="E5F1F8"/>
          </w:tcPr>
          <w:p>
            <w:pPr>
              <w:spacing w:after="0"/>
              <w:rPr>
                <w:sz w:val="19"/>
                <w:szCs w:val="19"/>
                <w:color w:val="auto"/>
              </w:rPr>
            </w:pPr>
          </w:p>
        </w:tc>
        <w:tc>
          <w:tcPr>
            <w:tcW w:w="380" w:type="dxa"/>
            <w:vAlign w:val="bottom"/>
            <w:tcBorders>
              <w:bottom w:val="single" w:sz="8" w:color="E5F1F8"/>
            </w:tcBorders>
            <w:shd w:val="clear" w:color="auto" w:fill="E5F1F8"/>
          </w:tcPr>
          <w:p>
            <w:pPr>
              <w:spacing w:after="0"/>
              <w:rPr>
                <w:sz w:val="19"/>
                <w:szCs w:val="19"/>
                <w:color w:val="auto"/>
              </w:rPr>
            </w:pPr>
          </w:p>
        </w:tc>
        <w:tc>
          <w:tcPr>
            <w:tcW w:w="128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124.0</w:t>
            </w:r>
          </w:p>
        </w:tc>
        <w:tc>
          <w:tcPr>
            <w:tcW w:w="20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128.5</w:t>
            </w:r>
          </w:p>
        </w:tc>
      </w:tr>
      <w:tr>
        <w:trPr>
          <w:trHeight w:val="257"/>
        </w:trPr>
        <w:tc>
          <w:tcPr>
            <w:tcW w:w="7940" w:type="dxa"/>
            <w:vAlign w:val="bottom"/>
            <w:gridSpan w:val="3"/>
          </w:tcPr>
          <w:p>
            <w:pPr>
              <w:ind w:left="200"/>
              <w:spacing w:after="0" w:line="215" w:lineRule="exact"/>
              <w:rPr>
                <w:sz w:val="20"/>
                <w:szCs w:val="20"/>
                <w:color w:val="auto"/>
              </w:rPr>
            </w:pPr>
            <w:r>
              <w:rPr>
                <w:rFonts w:ascii="Calibri" w:cs="Calibri" w:eastAsia="Calibri" w:hAnsi="Calibri"/>
                <w:sz w:val="18"/>
                <w:szCs w:val="18"/>
                <w:color w:val="auto"/>
              </w:rPr>
              <w:t>West Group</w:t>
            </w:r>
          </w:p>
        </w:tc>
        <w:tc>
          <w:tcPr>
            <w:tcW w:w="1280" w:type="dxa"/>
            <w:vAlign w:val="bottom"/>
            <w:tcBorders>
              <w:right w:val="single" w:sz="8" w:color="007CBA"/>
            </w:tcBorders>
          </w:tcPr>
          <w:p>
            <w:pPr>
              <w:jc w:val="right"/>
              <w:ind w:right="30"/>
              <w:spacing w:after="0"/>
              <w:rPr>
                <w:sz w:val="20"/>
                <w:szCs w:val="20"/>
                <w:color w:val="auto"/>
              </w:rPr>
            </w:pPr>
            <w:r>
              <w:rPr>
                <w:rFonts w:ascii="Calibri" w:cs="Calibri" w:eastAsia="Calibri" w:hAnsi="Calibri"/>
                <w:sz w:val="18"/>
                <w:szCs w:val="18"/>
                <w:b w:val="1"/>
                <w:bCs w:val="1"/>
                <w:color w:val="auto"/>
              </w:rPr>
              <w:t>83.7</w:t>
            </w:r>
          </w:p>
        </w:tc>
        <w:tc>
          <w:tcPr>
            <w:tcW w:w="2020" w:type="dxa"/>
            <w:vAlign w:val="bottom"/>
          </w:tcPr>
          <w:p>
            <w:pPr>
              <w:jc w:val="right"/>
              <w:ind w:right="170"/>
              <w:spacing w:after="0"/>
              <w:rPr>
                <w:sz w:val="20"/>
                <w:szCs w:val="20"/>
                <w:color w:val="auto"/>
              </w:rPr>
            </w:pPr>
            <w:r>
              <w:rPr>
                <w:rFonts w:ascii="Calibri" w:cs="Calibri" w:eastAsia="Calibri" w:hAnsi="Calibri"/>
                <w:sz w:val="18"/>
                <w:szCs w:val="18"/>
                <w:color w:val="auto"/>
              </w:rPr>
              <w:t>72.7</w:t>
            </w:r>
          </w:p>
        </w:tc>
      </w:tr>
      <w:tr>
        <w:trPr>
          <w:trHeight w:val="270"/>
        </w:trPr>
        <w:tc>
          <w:tcPr>
            <w:tcW w:w="7300" w:type="dxa"/>
            <w:vAlign w:val="bottom"/>
            <w:tcBorders>
              <w:bottom w:val="single" w:sz="8" w:color="auto"/>
            </w:tcBorders>
          </w:tcPr>
          <w:p>
            <w:pPr>
              <w:ind w:left="120"/>
              <w:spacing w:after="0" w:line="223" w:lineRule="exact"/>
              <w:rPr>
                <w:sz w:val="20"/>
                <w:szCs w:val="20"/>
                <w:color w:val="auto"/>
              </w:rPr>
            </w:pPr>
            <w:r>
              <w:rPr>
                <w:rFonts w:ascii="Calibri" w:cs="Calibri" w:eastAsia="Calibri" w:hAnsi="Calibri"/>
                <w:sz w:val="18"/>
                <w:szCs w:val="18"/>
                <w:color w:val="auto"/>
              </w:rPr>
              <w:t>Total aggregates operatons</w:t>
            </w:r>
            <w:r>
              <w:rPr>
                <w:rFonts w:ascii="Calibri" w:cs="Calibri" w:eastAsia="Calibri" w:hAnsi="Calibri"/>
                <w:sz w:val="24"/>
                <w:szCs w:val="24"/>
                <w:color w:val="auto"/>
                <w:vertAlign w:val="superscript"/>
              </w:rPr>
              <w:t>1</w:t>
            </w:r>
          </w:p>
        </w:tc>
        <w:tc>
          <w:tcPr>
            <w:tcW w:w="260" w:type="dxa"/>
            <w:vAlign w:val="bottom"/>
            <w:tcBorders>
              <w:top w:val="single" w:sz="8" w:color="E5F1F8"/>
              <w:bottom w:val="single" w:sz="8" w:color="auto"/>
            </w:tcBorders>
            <w:shd w:val="clear" w:color="auto" w:fill="E5F1F8"/>
          </w:tcPr>
          <w:p>
            <w:pPr>
              <w:spacing w:after="0"/>
              <w:rPr>
                <w:sz w:val="23"/>
                <w:szCs w:val="23"/>
                <w:color w:val="auto"/>
              </w:rPr>
            </w:pPr>
          </w:p>
        </w:tc>
        <w:tc>
          <w:tcPr>
            <w:tcW w:w="380" w:type="dxa"/>
            <w:vAlign w:val="bottom"/>
            <w:tcBorders>
              <w:top w:val="single" w:sz="8" w:color="auto"/>
              <w:bottom w:val="single" w:sz="8" w:color="auto"/>
            </w:tcBorders>
            <w:shd w:val="clear" w:color="auto" w:fill="E5F1F8"/>
          </w:tcPr>
          <w:p>
            <w:pPr>
              <w:spacing w:after="0"/>
              <w:rPr>
                <w:sz w:val="23"/>
                <w:szCs w:val="23"/>
                <w:color w:val="auto"/>
              </w:rPr>
            </w:pPr>
          </w:p>
        </w:tc>
        <w:tc>
          <w:tcPr>
            <w:tcW w:w="1280" w:type="dxa"/>
            <w:vAlign w:val="bottom"/>
            <w:tcBorders>
              <w:top w:val="single" w:sz="8" w:color="auto"/>
              <w:bottom w:val="single" w:sz="8" w:color="auto"/>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207.7</w:t>
            </w:r>
          </w:p>
        </w:tc>
        <w:tc>
          <w:tcPr>
            <w:tcW w:w="2020" w:type="dxa"/>
            <w:vAlign w:val="bottom"/>
            <w:tcBorders>
              <w:top w:val="single" w:sz="8" w:color="auto"/>
              <w:bottom w:val="single" w:sz="8" w:color="auto"/>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201.2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132320" cy="3765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32320" cy="376555"/>
                    </a:xfrm>
                    <a:prstGeom prst="rect">
                      <a:avLst/>
                    </a:prstGeom>
                    <a:noFill/>
                  </pic:spPr>
                </pic:pic>
              </a:graphicData>
            </a:graphic>
          </wp:anchor>
        </w:drawing>
      </w:r>
    </w:p>
    <w:p>
      <w:pPr>
        <w:ind w:left="800" w:hanging="401"/>
        <w:spacing w:after="0" w:line="216" w:lineRule="auto"/>
        <w:tabs>
          <w:tab w:leader="none" w:pos="800" w:val="left"/>
        </w:tabs>
        <w:numPr>
          <w:ilvl w:val="0"/>
          <w:numId w:val="23"/>
        </w:numPr>
        <w:rPr>
          <w:rFonts w:ascii="Calibri" w:cs="Calibri" w:eastAsia="Calibri" w:hAnsi="Calibri"/>
          <w:sz w:val="19"/>
          <w:szCs w:val="19"/>
          <w:color w:val="auto"/>
          <w:vertAlign w:val="superscript"/>
        </w:rPr>
      </w:pPr>
      <w:r>
        <w:rPr>
          <w:rFonts w:ascii="Calibri" w:cs="Calibri" w:eastAsia="Calibri" w:hAnsi="Calibri"/>
          <w:sz w:val="14"/>
          <w:szCs w:val="14"/>
          <w:color w:val="auto"/>
        </w:rPr>
        <w:t>Total aggregates operatons include acquisitons from the date of acquisiton and divesttures through the date of disposal.</w:t>
      </w:r>
    </w:p>
    <w:p>
      <w:pPr>
        <w:spacing w:after="0" w:line="169" w:lineRule="exact"/>
        <w:rPr>
          <w:sz w:val="20"/>
          <w:szCs w:val="20"/>
          <w:color w:val="auto"/>
        </w:rPr>
      </w:pPr>
    </w:p>
    <w:p>
      <w:pPr>
        <w:spacing w:after="0"/>
        <w:rPr>
          <w:sz w:val="20"/>
          <w:szCs w:val="20"/>
          <w:color w:val="auto"/>
        </w:rPr>
      </w:pPr>
      <w:r>
        <w:rPr>
          <w:rFonts w:ascii="Calibri" w:cs="Calibri" w:eastAsia="Calibri" w:hAnsi="Calibri"/>
          <w:sz w:val="18"/>
          <w:szCs w:val="18"/>
          <w:color w:val="auto"/>
        </w:rPr>
        <w:t>Aggregates shipments sold to external customers and internal tons used in other product lines are as follows:</w:t>
      </w:r>
    </w:p>
    <w:p>
      <w:pPr>
        <w:spacing w:after="0" w:line="3" w:lineRule="exact"/>
        <w:rPr>
          <w:sz w:val="20"/>
          <w:szCs w:val="20"/>
          <w:color w:val="auto"/>
        </w:rPr>
      </w:pPr>
    </w:p>
    <w:p>
      <w:pPr>
        <w:spacing w:after="0"/>
        <w:rPr>
          <w:sz w:val="20"/>
          <w:szCs w:val="20"/>
          <w:color w:val="auto"/>
        </w:rPr>
      </w:pPr>
      <w:r>
        <w:rPr>
          <w:rFonts w:ascii="Calibri" w:cs="Calibri" w:eastAsia="Calibri" w:hAnsi="Calibri"/>
          <w:sz w:val="9"/>
          <w:szCs w:val="9"/>
          <w:color w:val="auto"/>
        </w:rPr>
        <w:t>.</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30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1920" w:type="dxa"/>
            <w:vAlign w:val="bottom"/>
            <w:tcBorders>
              <w:right w:val="single" w:sz="8" w:color="007CBA"/>
            </w:tcBorders>
            <w:shd w:val="clear" w:color="auto" w:fill="007CBA"/>
          </w:tcPr>
          <w:p>
            <w:pPr>
              <w:spacing w:after="0"/>
              <w:rPr>
                <w:sz w:val="20"/>
                <w:szCs w:val="20"/>
                <w:color w:val="auto"/>
              </w:rPr>
            </w:pPr>
          </w:p>
        </w:tc>
        <w:tc>
          <w:tcPr>
            <w:tcW w:w="2020" w:type="dxa"/>
            <w:vAlign w:val="bottom"/>
            <w:shd w:val="clear" w:color="auto" w:fill="007CBA"/>
          </w:tcPr>
          <w:p>
            <w:pPr>
              <w:spacing w:after="0"/>
              <w:rPr>
                <w:sz w:val="20"/>
                <w:szCs w:val="20"/>
                <w:color w:val="auto"/>
              </w:rPr>
            </w:pPr>
          </w:p>
        </w:tc>
      </w:tr>
      <w:tr>
        <w:trPr>
          <w:trHeight w:val="230"/>
        </w:trPr>
        <w:tc>
          <w:tcPr>
            <w:tcW w:w="730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Tons (in millions)</w:t>
            </w:r>
          </w:p>
        </w:tc>
        <w:tc>
          <w:tcPr>
            <w:tcW w:w="1920" w:type="dxa"/>
            <w:vAlign w:val="bottom"/>
            <w:tcBorders>
              <w:bottom w:val="single" w:sz="8" w:color="007CBA"/>
              <w:right w:val="single" w:sz="8" w:color="007CBA"/>
            </w:tcBorders>
            <w:shd w:val="clear" w:color="auto" w:fill="007CBA"/>
          </w:tcPr>
          <w:p>
            <w:pPr>
              <w:jc w:val="right"/>
              <w:ind w:right="670"/>
              <w:spacing w:after="0" w:line="215" w:lineRule="exact"/>
              <w:rPr>
                <w:sz w:val="20"/>
                <w:szCs w:val="20"/>
                <w:color w:val="auto"/>
              </w:rPr>
            </w:pPr>
            <w:r>
              <w:rPr>
                <w:rFonts w:ascii="Calibri" w:cs="Calibri" w:eastAsia="Calibri" w:hAnsi="Calibri"/>
                <w:sz w:val="18"/>
                <w:szCs w:val="18"/>
                <w:b w:val="1"/>
                <w:bCs w:val="1"/>
                <w:color w:val="FFFFFF"/>
              </w:rPr>
              <w:t>2022</w:t>
            </w:r>
          </w:p>
        </w:tc>
        <w:tc>
          <w:tcPr>
            <w:tcW w:w="2020" w:type="dxa"/>
            <w:vAlign w:val="bottom"/>
            <w:tcBorders>
              <w:bottom w:val="single" w:sz="8" w:color="007CBA"/>
            </w:tcBorders>
            <w:shd w:val="clear" w:color="auto" w:fill="007CBA"/>
          </w:tcPr>
          <w:p>
            <w:pPr>
              <w:jc w:val="right"/>
              <w:ind w:right="790"/>
              <w:spacing w:after="0" w:line="215" w:lineRule="exact"/>
              <w:rPr>
                <w:sz w:val="20"/>
                <w:szCs w:val="20"/>
                <w:color w:val="auto"/>
              </w:rPr>
            </w:pPr>
            <w:r>
              <w:rPr>
                <w:rFonts w:ascii="Calibri" w:cs="Calibri" w:eastAsia="Calibri" w:hAnsi="Calibri"/>
                <w:sz w:val="18"/>
                <w:szCs w:val="18"/>
                <w:color w:val="FFFFFF"/>
              </w:rPr>
              <w:t>2021</w:t>
            </w:r>
          </w:p>
        </w:tc>
      </w:tr>
      <w:tr>
        <w:trPr>
          <w:trHeight w:val="243"/>
        </w:trPr>
        <w:tc>
          <w:tcPr>
            <w:tcW w:w="7300" w:type="dxa"/>
            <w:vAlign w:val="bottom"/>
            <w:tcBorders>
              <w:right w:val="single" w:sz="8" w:color="007CBA"/>
            </w:tcBorders>
          </w:tcPr>
          <w:p>
            <w:pPr>
              <w:ind w:left="200"/>
              <w:spacing w:after="0" w:line="215" w:lineRule="exact"/>
              <w:rPr>
                <w:sz w:val="20"/>
                <w:szCs w:val="20"/>
                <w:color w:val="auto"/>
              </w:rPr>
            </w:pPr>
            <w:r>
              <w:rPr>
                <w:rFonts w:ascii="Calibri" w:cs="Calibri" w:eastAsia="Calibri" w:hAnsi="Calibri"/>
                <w:sz w:val="18"/>
                <w:szCs w:val="18"/>
                <w:color w:val="auto"/>
              </w:rPr>
              <w:t>Tons to external customers</w:t>
            </w:r>
          </w:p>
        </w:tc>
        <w:tc>
          <w:tcPr>
            <w:tcW w:w="192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192.3</w:t>
            </w:r>
          </w:p>
        </w:tc>
        <w:tc>
          <w:tcPr>
            <w:tcW w:w="20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184.2</w:t>
            </w:r>
          </w:p>
        </w:tc>
      </w:tr>
      <w:tr>
        <w:trPr>
          <w:trHeight w:val="248"/>
        </w:trPr>
        <w:tc>
          <w:tcPr>
            <w:tcW w:w="7300" w:type="dxa"/>
            <w:vAlign w:val="bottom"/>
            <w:tcBorders>
              <w:bottom w:val="single" w:sz="8" w:color="E5F1F8"/>
              <w:right w:val="single" w:sz="8" w:color="E5F1F8"/>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Internal tons used in other product lines</w:t>
            </w:r>
          </w:p>
        </w:tc>
        <w:tc>
          <w:tcPr>
            <w:tcW w:w="192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15.4</w:t>
            </w:r>
          </w:p>
        </w:tc>
        <w:tc>
          <w:tcPr>
            <w:tcW w:w="20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17.0</w:t>
            </w:r>
          </w:p>
        </w:tc>
      </w:tr>
      <w:tr>
        <w:trPr>
          <w:trHeight w:val="208"/>
        </w:trPr>
        <w:tc>
          <w:tcPr>
            <w:tcW w:w="730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Aggregates tons</w:t>
            </w:r>
          </w:p>
        </w:tc>
        <w:tc>
          <w:tcPr>
            <w:tcW w:w="192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207.7</w:t>
            </w:r>
          </w:p>
        </w:tc>
        <w:tc>
          <w:tcPr>
            <w:tcW w:w="2020" w:type="dxa"/>
            <w:vAlign w:val="bottom"/>
            <w:tcBorders>
              <w:top w:val="single" w:sz="8" w:color="auto"/>
            </w:tcBorders>
          </w:tcPr>
          <w:p>
            <w:pPr>
              <w:jc w:val="right"/>
              <w:ind w:right="170"/>
              <w:spacing w:after="0" w:line="208" w:lineRule="exact"/>
              <w:rPr>
                <w:sz w:val="20"/>
                <w:szCs w:val="20"/>
                <w:color w:val="auto"/>
              </w:rPr>
            </w:pPr>
            <w:r>
              <w:rPr>
                <w:rFonts w:ascii="Calibri" w:cs="Calibri" w:eastAsia="Calibri" w:hAnsi="Calibri"/>
                <w:sz w:val="18"/>
                <w:szCs w:val="18"/>
                <w:color w:val="auto"/>
              </w:rPr>
              <w:t>201.2</w:t>
            </w:r>
          </w:p>
        </w:tc>
      </w:tr>
      <w:tr>
        <w:trPr>
          <w:trHeight w:val="28"/>
        </w:trPr>
        <w:tc>
          <w:tcPr>
            <w:tcW w:w="7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0"/>
        </w:trPr>
        <w:tc>
          <w:tcPr>
            <w:tcW w:w="73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3683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260" w:type="dxa"/>
            <w:vAlign w:val="bottom"/>
          </w:tcPr>
          <w:p>
            <w:pPr>
              <w:spacing w:after="0"/>
              <w:rPr>
                <w:sz w:val="20"/>
                <w:szCs w:val="20"/>
                <w:color w:val="auto"/>
              </w:rPr>
            </w:pPr>
            <w:r>
              <w:rPr>
                <w:rFonts w:ascii="Calibri" w:cs="Calibri" w:eastAsia="Calibri" w:hAnsi="Calibri"/>
                <w:sz w:val="18"/>
                <w:szCs w:val="18"/>
                <w:color w:val="auto"/>
              </w:rPr>
              <w:t>Aggregates volume variance compared to the prior year by reportable segment is as follows:</w:t>
            </w:r>
          </w:p>
        </w:tc>
        <w:tc>
          <w:tcPr>
            <w:tcW w:w="194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131"/>
        </w:trPr>
        <w:tc>
          <w:tcPr>
            <w:tcW w:w="72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040" w:type="dxa"/>
            <w:vAlign w:val="bottom"/>
          </w:tcPr>
          <w:p>
            <w:pPr>
              <w:spacing w:after="0"/>
              <w:rPr>
                <w:sz w:val="11"/>
                <w:szCs w:val="11"/>
                <w:color w:val="auto"/>
              </w:rPr>
            </w:pPr>
          </w:p>
        </w:tc>
      </w:tr>
      <w:tr>
        <w:trPr>
          <w:trHeight w:val="223"/>
        </w:trPr>
        <w:tc>
          <w:tcPr>
            <w:tcW w:w="726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i w:val="1"/>
                <w:iCs w:val="1"/>
                <w:color w:val="FFFFFF"/>
              </w:rPr>
              <w:t>years ended December 31</w:t>
            </w:r>
          </w:p>
        </w:tc>
        <w:tc>
          <w:tcPr>
            <w:tcW w:w="1940" w:type="dxa"/>
            <w:vAlign w:val="bottom"/>
            <w:tcBorders>
              <w:bottom w:val="single" w:sz="8" w:color="007CBA"/>
              <w:right w:val="single" w:sz="8" w:color="007CBA"/>
            </w:tcBorders>
            <w:shd w:val="clear" w:color="auto" w:fill="007CBA"/>
          </w:tcPr>
          <w:p>
            <w:pPr>
              <w:jc w:val="right"/>
              <w:ind w:right="610"/>
              <w:spacing w:after="0" w:line="215" w:lineRule="exact"/>
              <w:rPr>
                <w:sz w:val="20"/>
                <w:szCs w:val="20"/>
                <w:color w:val="auto"/>
              </w:rPr>
            </w:pPr>
            <w:r>
              <w:rPr>
                <w:rFonts w:ascii="Calibri" w:cs="Calibri" w:eastAsia="Calibri" w:hAnsi="Calibri"/>
                <w:sz w:val="18"/>
                <w:szCs w:val="18"/>
                <w:b w:val="1"/>
                <w:bCs w:val="1"/>
                <w:color w:val="FFFFFF"/>
              </w:rPr>
              <w:t>2022</w:t>
            </w:r>
          </w:p>
        </w:tc>
        <w:tc>
          <w:tcPr>
            <w:tcW w:w="2040" w:type="dxa"/>
            <w:vAlign w:val="bottom"/>
            <w:tcBorders>
              <w:bottom w:val="single" w:sz="8" w:color="007CBA"/>
            </w:tcBorders>
            <w:shd w:val="clear" w:color="auto" w:fill="007CBA"/>
          </w:tcPr>
          <w:p>
            <w:pPr>
              <w:jc w:val="right"/>
              <w:ind w:right="730"/>
              <w:spacing w:after="0" w:line="215" w:lineRule="exact"/>
              <w:rPr>
                <w:sz w:val="20"/>
                <w:szCs w:val="20"/>
                <w:color w:val="auto"/>
              </w:rPr>
            </w:pPr>
            <w:r>
              <w:rPr>
                <w:rFonts w:ascii="Calibri" w:cs="Calibri" w:eastAsia="Calibri" w:hAnsi="Calibri"/>
                <w:sz w:val="18"/>
                <w:szCs w:val="18"/>
                <w:color w:val="FFFFFF"/>
              </w:rPr>
              <w:t>2021</w:t>
            </w:r>
          </w:p>
        </w:tc>
      </w:tr>
      <w:tr>
        <w:trPr>
          <w:trHeight w:val="223"/>
        </w:trPr>
        <w:tc>
          <w:tcPr>
            <w:tcW w:w="7260" w:type="dxa"/>
            <w:vAlign w:val="bottom"/>
            <w:tcBorders>
              <w:bottom w:val="single" w:sz="8" w:color="E5F1F8"/>
              <w:right w:val="single" w:sz="8" w:color="007CBA"/>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East Group</w:t>
            </w:r>
          </w:p>
        </w:tc>
        <w:tc>
          <w:tcPr>
            <w:tcW w:w="1940" w:type="dxa"/>
            <w:vAlign w:val="bottom"/>
            <w:tcBorders>
              <w:bottom w:val="single" w:sz="8" w:color="E5F1F8"/>
              <w:right w:val="single" w:sz="8" w:color="007CBA"/>
            </w:tcBorders>
            <w:shd w:val="clear" w:color="auto" w:fill="E5F1F8"/>
          </w:tcPr>
          <w:p>
            <w:pPr>
              <w:jc w:val="center"/>
              <w:ind w:left="70"/>
              <w:spacing w:after="0" w:line="215" w:lineRule="exact"/>
              <w:rPr>
                <w:sz w:val="20"/>
                <w:szCs w:val="20"/>
                <w:color w:val="auto"/>
              </w:rPr>
            </w:pPr>
            <w:r>
              <w:rPr>
                <w:rFonts w:ascii="Calibri" w:cs="Calibri" w:eastAsia="Calibri" w:hAnsi="Calibri"/>
                <w:sz w:val="18"/>
                <w:szCs w:val="18"/>
                <w:b w:val="1"/>
                <w:bCs w:val="1"/>
                <w:color w:val="auto"/>
                <w:w w:val="96"/>
              </w:rPr>
              <w:t>(3.5%)</w:t>
            </w:r>
          </w:p>
        </w:tc>
        <w:tc>
          <w:tcPr>
            <w:tcW w:w="2040" w:type="dxa"/>
            <w:vAlign w:val="bottom"/>
            <w:tcBorders>
              <w:bottom w:val="single" w:sz="8" w:color="E5F1F8"/>
            </w:tcBorders>
            <w:shd w:val="clear" w:color="auto" w:fill="E5F1F8"/>
          </w:tcPr>
          <w:p>
            <w:pPr>
              <w:jc w:val="right"/>
              <w:ind w:right="730"/>
              <w:spacing w:after="0" w:line="215" w:lineRule="exact"/>
              <w:rPr>
                <w:sz w:val="20"/>
                <w:szCs w:val="20"/>
                <w:color w:val="auto"/>
              </w:rPr>
            </w:pPr>
            <w:r>
              <w:rPr>
                <w:rFonts w:ascii="Calibri" w:cs="Calibri" w:eastAsia="Calibri" w:hAnsi="Calibri"/>
                <w:sz w:val="18"/>
                <w:szCs w:val="18"/>
                <w:color w:val="auto"/>
              </w:rPr>
              <w:t>8.3%</w:t>
            </w:r>
          </w:p>
        </w:tc>
      </w:tr>
      <w:tr>
        <w:trPr>
          <w:trHeight w:val="243"/>
        </w:trPr>
        <w:tc>
          <w:tcPr>
            <w:tcW w:w="7260" w:type="dxa"/>
            <w:vAlign w:val="bottom"/>
            <w:tcBorders>
              <w:right w:val="single" w:sz="8" w:color="007CBA"/>
            </w:tcBorders>
          </w:tcPr>
          <w:p>
            <w:pPr>
              <w:ind w:left="200"/>
              <w:spacing w:after="0" w:line="215" w:lineRule="exact"/>
              <w:rPr>
                <w:sz w:val="20"/>
                <w:szCs w:val="20"/>
                <w:color w:val="auto"/>
              </w:rPr>
            </w:pPr>
            <w:r>
              <w:rPr>
                <w:rFonts w:ascii="Calibri" w:cs="Calibri" w:eastAsia="Calibri" w:hAnsi="Calibri"/>
                <w:sz w:val="18"/>
                <w:szCs w:val="18"/>
                <w:color w:val="auto"/>
              </w:rPr>
              <w:t>West Group</w:t>
            </w:r>
          </w:p>
        </w:tc>
        <w:tc>
          <w:tcPr>
            <w:tcW w:w="1940" w:type="dxa"/>
            <w:vAlign w:val="bottom"/>
            <w:tcBorders>
              <w:right w:val="single" w:sz="8" w:color="007CBA"/>
            </w:tcBorders>
          </w:tcPr>
          <w:p>
            <w:pPr>
              <w:jc w:val="center"/>
              <w:ind w:left="70"/>
              <w:spacing w:after="0" w:line="215" w:lineRule="exact"/>
              <w:rPr>
                <w:sz w:val="20"/>
                <w:szCs w:val="20"/>
                <w:color w:val="auto"/>
              </w:rPr>
            </w:pPr>
            <w:r>
              <w:rPr>
                <w:rFonts w:ascii="Calibri" w:cs="Calibri" w:eastAsia="Calibri" w:hAnsi="Calibri"/>
                <w:sz w:val="18"/>
                <w:szCs w:val="18"/>
                <w:b w:val="1"/>
                <w:bCs w:val="1"/>
                <w:color w:val="auto"/>
              </w:rPr>
              <w:t>15.2%</w:t>
            </w:r>
          </w:p>
        </w:tc>
        <w:tc>
          <w:tcPr>
            <w:tcW w:w="2040" w:type="dxa"/>
            <w:vAlign w:val="bottom"/>
          </w:tcPr>
          <w:p>
            <w:pPr>
              <w:jc w:val="right"/>
              <w:ind w:right="730"/>
              <w:spacing w:after="0" w:line="215" w:lineRule="exact"/>
              <w:rPr>
                <w:sz w:val="20"/>
                <w:szCs w:val="20"/>
                <w:color w:val="auto"/>
              </w:rPr>
            </w:pPr>
            <w:r>
              <w:rPr>
                <w:rFonts w:ascii="Calibri" w:cs="Calibri" w:eastAsia="Calibri" w:hAnsi="Calibri"/>
                <w:sz w:val="18"/>
                <w:szCs w:val="18"/>
                <w:color w:val="auto"/>
              </w:rPr>
              <w:t>7.2%</w:t>
            </w:r>
          </w:p>
        </w:tc>
      </w:tr>
      <w:tr>
        <w:trPr>
          <w:trHeight w:val="243"/>
        </w:trPr>
        <w:tc>
          <w:tcPr>
            <w:tcW w:w="7260" w:type="dxa"/>
            <w:vAlign w:val="bottom"/>
            <w:tcBorders>
              <w:bottom w:val="single" w:sz="8" w:color="auto"/>
              <w:right w:val="single" w:sz="8" w:color="E5F1F8"/>
            </w:tcBorders>
            <w:shd w:val="clear" w:color="auto" w:fill="E5F1F8"/>
          </w:tcPr>
          <w:p>
            <w:pPr>
              <w:ind w:left="120"/>
              <w:spacing w:after="0" w:line="243" w:lineRule="exact"/>
              <w:rPr>
                <w:sz w:val="20"/>
                <w:szCs w:val="20"/>
                <w:color w:val="auto"/>
              </w:rPr>
            </w:pPr>
            <w:r>
              <w:rPr>
                <w:rFonts w:ascii="Calibri" w:cs="Calibri" w:eastAsia="Calibri" w:hAnsi="Calibri"/>
                <w:sz w:val="18"/>
                <w:szCs w:val="18"/>
                <w:color w:val="auto"/>
              </w:rPr>
              <w:t>Total aggregates operatons</w:t>
            </w:r>
            <w:r>
              <w:rPr>
                <w:rFonts w:ascii="Calibri" w:cs="Calibri" w:eastAsia="Calibri" w:hAnsi="Calibri"/>
                <w:sz w:val="24"/>
                <w:szCs w:val="24"/>
                <w:color w:val="auto"/>
                <w:vertAlign w:val="superscript"/>
              </w:rPr>
              <w:t>1</w:t>
            </w:r>
          </w:p>
        </w:tc>
        <w:tc>
          <w:tcPr>
            <w:tcW w:w="1940" w:type="dxa"/>
            <w:vAlign w:val="bottom"/>
            <w:tcBorders>
              <w:bottom w:val="single" w:sz="8" w:color="auto"/>
              <w:right w:val="single" w:sz="8" w:color="E5F1F8"/>
            </w:tcBorders>
            <w:shd w:val="clear" w:color="auto" w:fill="E5F1F8"/>
          </w:tcPr>
          <w:p>
            <w:pPr>
              <w:jc w:val="center"/>
              <w:ind w:left="90"/>
              <w:spacing w:after="0" w:line="215" w:lineRule="exact"/>
              <w:rPr>
                <w:sz w:val="20"/>
                <w:szCs w:val="20"/>
                <w:color w:val="auto"/>
              </w:rPr>
            </w:pPr>
            <w:r>
              <w:rPr>
                <w:rFonts w:ascii="Calibri" w:cs="Calibri" w:eastAsia="Calibri" w:hAnsi="Calibri"/>
                <w:sz w:val="18"/>
                <w:szCs w:val="18"/>
                <w:b w:val="1"/>
                <w:bCs w:val="1"/>
                <w:color w:val="auto"/>
                <w:w w:val="99"/>
              </w:rPr>
              <w:t>3.3%</w:t>
            </w:r>
          </w:p>
        </w:tc>
        <w:tc>
          <w:tcPr>
            <w:tcW w:w="2040" w:type="dxa"/>
            <w:vAlign w:val="bottom"/>
            <w:tcBorders>
              <w:bottom w:val="single" w:sz="8" w:color="auto"/>
            </w:tcBorders>
            <w:shd w:val="clear" w:color="auto" w:fill="E5F1F8"/>
          </w:tcPr>
          <w:p>
            <w:pPr>
              <w:jc w:val="right"/>
              <w:ind w:right="730"/>
              <w:spacing w:after="0" w:line="215" w:lineRule="exact"/>
              <w:rPr>
                <w:sz w:val="20"/>
                <w:szCs w:val="20"/>
                <w:color w:val="auto"/>
              </w:rPr>
            </w:pPr>
            <w:r>
              <w:rPr>
                <w:rFonts w:ascii="Calibri" w:cs="Calibri" w:eastAsia="Calibri" w:hAnsi="Calibri"/>
                <w:sz w:val="18"/>
                <w:szCs w:val="18"/>
                <w:color w:val="auto"/>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4587240</wp:posOffset>
            </wp:positionH>
            <wp:positionV relativeFrom="paragraph">
              <wp:posOffset>-175260</wp:posOffset>
            </wp:positionV>
            <wp:extent cx="34290" cy="1885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34290" cy="18859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-175260</wp:posOffset>
            </wp:positionV>
            <wp:extent cx="33655" cy="1885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33655" cy="188595"/>
                    </a:xfrm>
                    <a:prstGeom prst="rect">
                      <a:avLst/>
                    </a:prstGeom>
                    <a:noFill/>
                  </pic:spPr>
                </pic:pic>
              </a:graphicData>
            </a:graphic>
          </wp:anchor>
        </w:drawing>
      </w:r>
    </w:p>
    <w:p>
      <w:pPr>
        <w:ind w:left="800" w:hanging="401"/>
        <w:spacing w:after="0" w:line="216" w:lineRule="auto"/>
        <w:tabs>
          <w:tab w:leader="none" w:pos="800" w:val="left"/>
        </w:tabs>
        <w:numPr>
          <w:ilvl w:val="0"/>
          <w:numId w:val="24"/>
        </w:numPr>
        <w:rPr>
          <w:rFonts w:ascii="Calibri" w:cs="Calibri" w:eastAsia="Calibri" w:hAnsi="Calibri"/>
          <w:sz w:val="19"/>
          <w:szCs w:val="19"/>
          <w:color w:val="auto"/>
          <w:vertAlign w:val="superscript"/>
        </w:rPr>
      </w:pPr>
      <w:r>
        <w:rPr>
          <w:rFonts w:ascii="Calibri" w:cs="Calibri" w:eastAsia="Calibri" w:hAnsi="Calibri"/>
          <w:sz w:val="14"/>
          <w:szCs w:val="14"/>
          <w:color w:val="auto"/>
        </w:rPr>
        <w:t>Total aggregates operatons include acquisitons from the date of acquisiton and divesttures through the date of disposal.</w:t>
      </w:r>
    </w:p>
    <w:p>
      <w:pPr>
        <w:spacing w:after="0" w:line="18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Aggregates volume increased in 2022, beneftng from contributons from acquired operatons and solid constructon actvity across all three primary end-use markets.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4EAD8A"/>
        </w:rPr>
        <w:t xml:space="preserve">Cement, Ready Mixed Concrete, Asphalt and Paving Services. </w:t>
      </w:r>
      <w:r>
        <w:rPr>
          <w:rFonts w:ascii="Calibri" w:cs="Calibri" w:eastAsia="Calibri" w:hAnsi="Calibri"/>
          <w:sz w:val="18"/>
          <w:szCs w:val="18"/>
          <w:color w:val="000000"/>
        </w:rPr>
        <w:t>Average selling prices for cement, ready mixed concrete and asphalt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20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1280" w:type="dxa"/>
            <w:vAlign w:val="bottom"/>
            <w:shd w:val="clear" w:color="auto" w:fill="007CBA"/>
          </w:tcPr>
          <w:p>
            <w:pPr>
              <w:jc w:val="right"/>
              <w:spacing w:after="0"/>
              <w:rPr>
                <w:sz w:val="20"/>
                <w:szCs w:val="20"/>
                <w:color w:val="auto"/>
              </w:rPr>
            </w:pPr>
            <w:r>
              <w:rPr>
                <w:rFonts w:ascii="Calibri" w:cs="Calibri" w:eastAsia="Calibri" w:hAnsi="Calibri"/>
                <w:sz w:val="18"/>
                <w:szCs w:val="18"/>
                <w:b w:val="1"/>
                <w:bCs w:val="1"/>
                <w:color w:val="FFFFFF"/>
              </w:rPr>
              <w:t>2022</w:t>
            </w:r>
          </w:p>
        </w:tc>
        <w:tc>
          <w:tcPr>
            <w:tcW w:w="700" w:type="dxa"/>
            <w:vAlign w:val="bottom"/>
            <w:tcBorders>
              <w:right w:val="single" w:sz="8" w:color="007CBA"/>
            </w:tcBorders>
            <w:shd w:val="clear" w:color="auto" w:fill="007CBA"/>
          </w:tcPr>
          <w:p>
            <w:pPr>
              <w:spacing w:after="0"/>
              <w:rPr>
                <w:sz w:val="21"/>
                <w:szCs w:val="21"/>
                <w:color w:val="auto"/>
              </w:rPr>
            </w:pPr>
          </w:p>
        </w:tc>
        <w:tc>
          <w:tcPr>
            <w:tcW w:w="540" w:type="dxa"/>
            <w:vAlign w:val="bottom"/>
            <w:shd w:val="clear" w:color="auto" w:fill="007CBA"/>
          </w:tcPr>
          <w:p>
            <w:pPr>
              <w:spacing w:after="0"/>
              <w:rPr>
                <w:sz w:val="21"/>
                <w:szCs w:val="21"/>
                <w:color w:val="auto"/>
              </w:rPr>
            </w:pPr>
          </w:p>
        </w:tc>
        <w:tc>
          <w:tcPr>
            <w:tcW w:w="1520" w:type="dxa"/>
            <w:vAlign w:val="bottom"/>
            <w:shd w:val="clear" w:color="auto" w:fill="007CBA"/>
          </w:tcPr>
          <w:p>
            <w:pPr>
              <w:jc w:val="right"/>
              <w:ind w:right="790"/>
              <w:spacing w:after="0"/>
              <w:rPr>
                <w:sz w:val="20"/>
                <w:szCs w:val="20"/>
                <w:color w:val="auto"/>
              </w:rPr>
            </w:pPr>
            <w:r>
              <w:rPr>
                <w:rFonts w:ascii="Calibri" w:cs="Calibri" w:eastAsia="Calibri" w:hAnsi="Calibri"/>
                <w:sz w:val="18"/>
                <w:szCs w:val="18"/>
                <w:color w:val="FFFFFF"/>
              </w:rPr>
              <w:t>2021</w:t>
            </w:r>
          </w:p>
        </w:tc>
      </w:tr>
      <w:tr>
        <w:trPr>
          <w:trHeight w:val="215"/>
        </w:trPr>
        <w:tc>
          <w:tcPr>
            <w:tcW w:w="7200" w:type="dxa"/>
            <w:vAlign w:val="bottom"/>
            <w:tcBorders>
              <w:right w:val="single" w:sz="8" w:color="007CBA"/>
            </w:tcBorders>
          </w:tcPr>
          <w:p>
            <w:pPr>
              <w:ind w:left="200"/>
              <w:spacing w:after="0" w:line="215" w:lineRule="exact"/>
              <w:rPr>
                <w:sz w:val="20"/>
                <w:szCs w:val="20"/>
                <w:color w:val="auto"/>
              </w:rPr>
            </w:pPr>
            <w:r>
              <w:rPr>
                <w:rFonts w:ascii="Calibri" w:cs="Calibri" w:eastAsia="Calibri" w:hAnsi="Calibri"/>
                <w:sz w:val="18"/>
                <w:szCs w:val="18"/>
                <w:color w:val="auto"/>
              </w:rPr>
              <w:t>Cement – per ton</w:t>
            </w:r>
          </w:p>
        </w:tc>
        <w:tc>
          <w:tcPr>
            <w:tcW w:w="1280" w:type="dxa"/>
            <w:vAlign w:val="bottom"/>
          </w:tcPr>
          <w:p>
            <w:pPr>
              <w:jc w:val="right"/>
              <w:ind w:right="910"/>
              <w:spacing w:after="0" w:line="215" w:lineRule="exact"/>
              <w:rPr>
                <w:sz w:val="20"/>
                <w:szCs w:val="20"/>
                <w:color w:val="auto"/>
              </w:rPr>
            </w:pPr>
            <w:r>
              <w:rPr>
                <w:rFonts w:ascii="Calibri" w:cs="Calibri" w:eastAsia="Calibri" w:hAnsi="Calibri"/>
                <w:sz w:val="18"/>
                <w:szCs w:val="18"/>
                <w:b w:val="1"/>
                <w:bCs w:val="1"/>
                <w:color w:val="auto"/>
              </w:rPr>
              <w:t>$</w:t>
            </w:r>
          </w:p>
        </w:tc>
        <w:tc>
          <w:tcPr>
            <w:tcW w:w="70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142.83</w:t>
            </w:r>
          </w:p>
        </w:tc>
        <w:tc>
          <w:tcPr>
            <w:tcW w:w="54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122.14</w:t>
            </w:r>
          </w:p>
        </w:tc>
      </w:tr>
      <w:tr>
        <w:trPr>
          <w:trHeight w:val="28"/>
        </w:trPr>
        <w:tc>
          <w:tcPr>
            <w:tcW w:w="7200" w:type="dxa"/>
            <w:vAlign w:val="bottom"/>
            <w:tcBorders>
              <w:right w:val="single" w:sz="8" w:color="007CBA"/>
            </w:tcBorders>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Borders>
              <w:right w:val="single" w:sz="8" w:color="007CBA"/>
            </w:tcBorders>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3"/>
        </w:trPr>
        <w:tc>
          <w:tcPr>
            <w:tcW w:w="7200" w:type="dxa"/>
            <w:vAlign w:val="bottom"/>
            <w:tcBorders>
              <w:bottom w:val="single" w:sz="8" w:color="E5F1F8"/>
              <w:right w:val="single" w:sz="8" w:color="007CBA"/>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Ready mixed concrete – per cubic yard</w:t>
            </w:r>
          </w:p>
        </w:tc>
        <w:tc>
          <w:tcPr>
            <w:tcW w:w="1280" w:type="dxa"/>
            <w:vAlign w:val="bottom"/>
            <w:tcBorders>
              <w:bottom w:val="single" w:sz="8" w:color="E5F1F8"/>
            </w:tcBorders>
            <w:shd w:val="clear" w:color="auto" w:fill="E5F1F8"/>
          </w:tcPr>
          <w:p>
            <w:pPr>
              <w:jc w:val="right"/>
              <w:ind w:right="910"/>
              <w:spacing w:after="0" w:line="215" w:lineRule="exact"/>
              <w:rPr>
                <w:sz w:val="20"/>
                <w:szCs w:val="20"/>
                <w:color w:val="auto"/>
              </w:rPr>
            </w:pPr>
            <w:r>
              <w:rPr>
                <w:rFonts w:ascii="Calibri" w:cs="Calibri" w:eastAsia="Calibri" w:hAnsi="Calibri"/>
                <w:sz w:val="18"/>
                <w:szCs w:val="18"/>
                <w:b w:val="1"/>
                <w:bCs w:val="1"/>
                <w:color w:val="auto"/>
              </w:rPr>
              <w:t>$</w:t>
            </w:r>
          </w:p>
        </w:tc>
        <w:tc>
          <w:tcPr>
            <w:tcW w:w="70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128.15</w:t>
            </w:r>
          </w:p>
        </w:tc>
        <w:tc>
          <w:tcPr>
            <w:tcW w:w="54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115.14</w:t>
            </w:r>
          </w:p>
        </w:tc>
      </w:tr>
      <w:tr>
        <w:trPr>
          <w:trHeight w:val="215"/>
        </w:trPr>
        <w:tc>
          <w:tcPr>
            <w:tcW w:w="7200" w:type="dxa"/>
            <w:vAlign w:val="bottom"/>
          </w:tcPr>
          <w:p>
            <w:pPr>
              <w:ind w:left="200"/>
              <w:spacing w:after="0" w:line="215" w:lineRule="exact"/>
              <w:rPr>
                <w:sz w:val="20"/>
                <w:szCs w:val="20"/>
                <w:color w:val="auto"/>
              </w:rPr>
            </w:pPr>
            <w:r>
              <w:rPr>
                <w:rFonts w:ascii="Calibri" w:cs="Calibri" w:eastAsia="Calibri" w:hAnsi="Calibri"/>
                <w:sz w:val="18"/>
                <w:szCs w:val="18"/>
                <w:color w:val="auto"/>
              </w:rPr>
              <w:t>Asphalt – per ton</w:t>
            </w:r>
          </w:p>
        </w:tc>
        <w:tc>
          <w:tcPr>
            <w:tcW w:w="1280" w:type="dxa"/>
            <w:vAlign w:val="bottom"/>
          </w:tcPr>
          <w:p>
            <w:pPr>
              <w:jc w:val="right"/>
              <w:ind w:right="910"/>
              <w:spacing w:after="0" w:line="215" w:lineRule="exact"/>
              <w:rPr>
                <w:sz w:val="20"/>
                <w:szCs w:val="20"/>
                <w:color w:val="auto"/>
              </w:rPr>
            </w:pPr>
            <w:r>
              <w:rPr>
                <w:rFonts w:ascii="Calibri" w:cs="Calibri" w:eastAsia="Calibri" w:hAnsi="Calibri"/>
                <w:sz w:val="18"/>
                <w:szCs w:val="18"/>
                <w:b w:val="1"/>
                <w:bCs w:val="1"/>
                <w:color w:val="auto"/>
              </w:rPr>
              <w:t>$</w:t>
            </w:r>
          </w:p>
        </w:tc>
        <w:tc>
          <w:tcPr>
            <w:tcW w:w="70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61.77</w:t>
            </w:r>
          </w:p>
        </w:tc>
        <w:tc>
          <w:tcPr>
            <w:tcW w:w="54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49.96</w:t>
            </w:r>
          </w:p>
        </w:tc>
      </w:tr>
      <w:tr>
        <w:trPr>
          <w:trHeight w:val="28"/>
        </w:trPr>
        <w:tc>
          <w:tcPr>
            <w:tcW w:w="7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4544060</wp:posOffset>
            </wp:positionH>
            <wp:positionV relativeFrom="paragraph">
              <wp:posOffset>-174625</wp:posOffset>
            </wp:positionV>
            <wp:extent cx="2592705" cy="1885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2592705" cy="18859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213995</wp:posOffset>
            </wp:positionV>
            <wp:extent cx="325755" cy="1974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34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308"/>
        </w:trPr>
        <w:tc>
          <w:tcPr>
            <w:tcW w:w="3460" w:type="dxa"/>
            <w:vAlign w:val="bottom"/>
          </w:tcPr>
          <w:p>
            <w:pPr>
              <w:spacing w:after="0"/>
              <w:rPr>
                <w:sz w:val="24"/>
                <w:szCs w:val="24"/>
                <w:color w:val="auto"/>
              </w:rPr>
            </w:pPr>
          </w:p>
        </w:tc>
        <w:tc>
          <w:tcPr>
            <w:tcW w:w="7780" w:type="dxa"/>
            <w:vAlign w:val="bottom"/>
            <w:gridSpan w:val="3"/>
          </w:tcPr>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tc>
      </w:tr>
      <w:tr>
        <w:trPr>
          <w:trHeight w:val="362"/>
        </w:trPr>
        <w:tc>
          <w:tcPr>
            <w:tcW w:w="9220" w:type="dxa"/>
            <w:vAlign w:val="bottom"/>
            <w:gridSpan w:val="3"/>
          </w:tcPr>
          <w:p>
            <w:pPr>
              <w:spacing w:after="0"/>
              <w:rPr>
                <w:sz w:val="20"/>
                <w:szCs w:val="20"/>
                <w:color w:val="auto"/>
              </w:rPr>
            </w:pPr>
            <w:r>
              <w:rPr>
                <w:rFonts w:ascii="Calibri" w:cs="Calibri" w:eastAsia="Calibri" w:hAnsi="Calibri"/>
                <w:sz w:val="18"/>
                <w:szCs w:val="18"/>
                <w:color w:val="auto"/>
              </w:rPr>
              <w:t>Unit shipments for cement, ready mixed concrete and asphalt are as follows:</w:t>
            </w:r>
          </w:p>
        </w:tc>
        <w:tc>
          <w:tcPr>
            <w:tcW w:w="2020" w:type="dxa"/>
            <w:vAlign w:val="bottom"/>
          </w:tcPr>
          <w:p>
            <w:pPr>
              <w:spacing w:after="0"/>
              <w:rPr>
                <w:sz w:val="24"/>
                <w:szCs w:val="24"/>
                <w:color w:val="auto"/>
              </w:rPr>
            </w:pPr>
          </w:p>
        </w:tc>
      </w:tr>
      <w:tr>
        <w:trPr>
          <w:trHeight w:val="131"/>
        </w:trPr>
        <w:tc>
          <w:tcPr>
            <w:tcW w:w="346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020" w:type="dxa"/>
            <w:vAlign w:val="bottom"/>
          </w:tcPr>
          <w:p>
            <w:pPr>
              <w:spacing w:after="0"/>
              <w:rPr>
                <w:sz w:val="11"/>
                <w:szCs w:val="11"/>
                <w:color w:val="auto"/>
              </w:rPr>
            </w:pPr>
          </w:p>
        </w:tc>
      </w:tr>
      <w:tr>
        <w:trPr>
          <w:trHeight w:val="207"/>
        </w:trPr>
        <w:tc>
          <w:tcPr>
            <w:tcW w:w="3460" w:type="dxa"/>
            <w:vAlign w:val="bottom"/>
            <w:shd w:val="clear" w:color="auto" w:fill="007CBA"/>
          </w:tcPr>
          <w:p>
            <w:pPr>
              <w:ind w:left="120"/>
              <w:spacing w:after="0" w:line="207" w:lineRule="exact"/>
              <w:rPr>
                <w:sz w:val="20"/>
                <w:szCs w:val="20"/>
                <w:color w:val="auto"/>
              </w:rPr>
            </w:pPr>
            <w:r>
              <w:rPr>
                <w:rFonts w:ascii="Calibri" w:cs="Calibri" w:eastAsia="Calibri" w:hAnsi="Calibri"/>
                <w:sz w:val="18"/>
                <w:szCs w:val="18"/>
                <w:i w:val="1"/>
                <w:iCs w:val="1"/>
                <w:color w:val="FFFFFF"/>
              </w:rPr>
              <w:t>years ended December 31</w:t>
            </w:r>
          </w:p>
        </w:tc>
        <w:tc>
          <w:tcPr>
            <w:tcW w:w="3840" w:type="dxa"/>
            <w:vAlign w:val="bottom"/>
            <w:tcBorders>
              <w:right w:val="single" w:sz="8" w:color="007CBA"/>
            </w:tcBorders>
            <w:shd w:val="clear" w:color="auto" w:fill="007CBA"/>
          </w:tcPr>
          <w:p>
            <w:pPr>
              <w:spacing w:after="0"/>
              <w:rPr>
                <w:sz w:val="18"/>
                <w:szCs w:val="18"/>
                <w:color w:val="auto"/>
              </w:rPr>
            </w:pPr>
          </w:p>
        </w:tc>
        <w:tc>
          <w:tcPr>
            <w:tcW w:w="1920" w:type="dxa"/>
            <w:vAlign w:val="bottom"/>
            <w:tcBorders>
              <w:right w:val="single" w:sz="8" w:color="007CBA"/>
            </w:tcBorders>
            <w:shd w:val="clear" w:color="auto" w:fill="007CBA"/>
          </w:tcPr>
          <w:p>
            <w:pPr>
              <w:spacing w:after="0"/>
              <w:rPr>
                <w:sz w:val="18"/>
                <w:szCs w:val="18"/>
                <w:color w:val="auto"/>
              </w:rPr>
            </w:pPr>
          </w:p>
        </w:tc>
        <w:tc>
          <w:tcPr>
            <w:tcW w:w="2020" w:type="dxa"/>
            <w:vAlign w:val="bottom"/>
            <w:shd w:val="clear" w:color="auto" w:fill="007CBA"/>
          </w:tcPr>
          <w:p>
            <w:pPr>
              <w:spacing w:after="0"/>
              <w:rPr>
                <w:sz w:val="18"/>
                <w:szCs w:val="18"/>
                <w:color w:val="auto"/>
              </w:rPr>
            </w:pPr>
          </w:p>
        </w:tc>
      </w:tr>
      <w:tr>
        <w:trPr>
          <w:trHeight w:val="232"/>
        </w:trPr>
        <w:tc>
          <w:tcPr>
            <w:tcW w:w="3460" w:type="dxa"/>
            <w:vAlign w:val="bottom"/>
            <w:tcBorders>
              <w:bottom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5760" w:type="dxa"/>
            <w:vAlign w:val="bottom"/>
            <w:tcBorders>
              <w:bottom w:val="single" w:sz="8" w:color="007CBA"/>
              <w:right w:val="single" w:sz="8" w:color="007CBA"/>
            </w:tcBorders>
            <w:gridSpan w:val="2"/>
            <w:shd w:val="clear" w:color="auto" w:fill="007CBA"/>
          </w:tcPr>
          <w:p>
            <w:pPr>
              <w:jc w:val="right"/>
              <w:ind w:right="670"/>
              <w:spacing w:after="0" w:line="215" w:lineRule="exact"/>
              <w:rPr>
                <w:sz w:val="20"/>
                <w:szCs w:val="20"/>
                <w:color w:val="auto"/>
              </w:rPr>
            </w:pPr>
            <w:r>
              <w:rPr>
                <w:rFonts w:ascii="Calibri" w:cs="Calibri" w:eastAsia="Calibri" w:hAnsi="Calibri"/>
                <w:sz w:val="18"/>
                <w:szCs w:val="18"/>
                <w:b w:val="1"/>
                <w:bCs w:val="1"/>
                <w:color w:val="FFFFFF"/>
              </w:rPr>
              <w:t>2022</w:t>
            </w:r>
          </w:p>
        </w:tc>
        <w:tc>
          <w:tcPr>
            <w:tcW w:w="2020" w:type="dxa"/>
            <w:vAlign w:val="bottom"/>
            <w:tcBorders>
              <w:bottom w:val="single" w:sz="8" w:color="007CBA"/>
            </w:tcBorders>
            <w:shd w:val="clear" w:color="auto" w:fill="007CBA"/>
          </w:tcPr>
          <w:p>
            <w:pPr>
              <w:jc w:val="right"/>
              <w:ind w:right="790"/>
              <w:spacing w:after="0" w:line="215" w:lineRule="exact"/>
              <w:rPr>
                <w:sz w:val="20"/>
                <w:szCs w:val="20"/>
                <w:color w:val="auto"/>
              </w:rPr>
            </w:pPr>
            <w:r>
              <w:rPr>
                <w:rFonts w:ascii="Calibri" w:cs="Calibri" w:eastAsia="Calibri" w:hAnsi="Calibri"/>
                <w:sz w:val="18"/>
                <w:szCs w:val="18"/>
                <w:color w:val="FFFFFF"/>
              </w:rPr>
              <w:t>2021</w:t>
            </w:r>
          </w:p>
        </w:tc>
      </w:tr>
      <w:tr>
        <w:trPr>
          <w:trHeight w:val="215"/>
        </w:trPr>
        <w:tc>
          <w:tcPr>
            <w:tcW w:w="3460" w:type="dxa"/>
            <w:vAlign w:val="bottom"/>
          </w:tcPr>
          <w:p>
            <w:pPr>
              <w:ind w:left="120"/>
              <w:spacing w:after="0" w:line="215" w:lineRule="exact"/>
              <w:rPr>
                <w:sz w:val="20"/>
                <w:szCs w:val="20"/>
                <w:color w:val="auto"/>
              </w:rPr>
            </w:pPr>
            <w:r>
              <w:rPr>
                <w:rFonts w:ascii="Calibri" w:cs="Calibri" w:eastAsia="Calibri" w:hAnsi="Calibri"/>
                <w:sz w:val="18"/>
                <w:szCs w:val="18"/>
                <w:color w:val="auto"/>
              </w:rPr>
              <w:t>Cement:</w:t>
            </w:r>
          </w:p>
        </w:tc>
        <w:tc>
          <w:tcPr>
            <w:tcW w:w="3840" w:type="dxa"/>
            <w:vAlign w:val="bottom"/>
            <w:tcBorders>
              <w:right w:val="single" w:sz="8" w:color="007CBA"/>
            </w:tcBorders>
          </w:tcPr>
          <w:p>
            <w:pPr>
              <w:spacing w:after="0"/>
              <w:rPr>
                <w:sz w:val="18"/>
                <w:szCs w:val="18"/>
                <w:color w:val="auto"/>
              </w:rPr>
            </w:pPr>
          </w:p>
        </w:tc>
        <w:tc>
          <w:tcPr>
            <w:tcW w:w="1920" w:type="dxa"/>
            <w:vAlign w:val="bottom"/>
            <w:tcBorders>
              <w:right w:val="single" w:sz="8" w:color="007CBA"/>
            </w:tcBorders>
          </w:tcPr>
          <w:p>
            <w:pPr>
              <w:spacing w:after="0"/>
              <w:rPr>
                <w:sz w:val="18"/>
                <w:szCs w:val="18"/>
                <w:color w:val="auto"/>
              </w:rPr>
            </w:pPr>
          </w:p>
        </w:tc>
        <w:tc>
          <w:tcPr>
            <w:tcW w:w="2020" w:type="dxa"/>
            <w:vAlign w:val="bottom"/>
          </w:tcPr>
          <w:p>
            <w:pPr>
              <w:spacing w:after="0"/>
              <w:rPr>
                <w:sz w:val="18"/>
                <w:szCs w:val="18"/>
                <w:color w:val="auto"/>
              </w:rPr>
            </w:pPr>
          </w:p>
        </w:tc>
      </w:tr>
      <w:tr>
        <w:trPr>
          <w:trHeight w:val="28"/>
        </w:trPr>
        <w:tc>
          <w:tcPr>
            <w:tcW w:w="3460" w:type="dxa"/>
            <w:vAlign w:val="bottom"/>
          </w:tcPr>
          <w:p>
            <w:pPr>
              <w:spacing w:after="0"/>
              <w:rPr>
                <w:sz w:val="2"/>
                <w:szCs w:val="2"/>
                <w:color w:val="auto"/>
              </w:rPr>
            </w:pPr>
          </w:p>
        </w:tc>
        <w:tc>
          <w:tcPr>
            <w:tcW w:w="3840" w:type="dxa"/>
            <w:vAlign w:val="bottom"/>
            <w:tcBorders>
              <w:right w:val="single" w:sz="8" w:color="007CBA"/>
            </w:tcBorders>
          </w:tcPr>
          <w:p>
            <w:pPr>
              <w:spacing w:after="0"/>
              <w:rPr>
                <w:sz w:val="2"/>
                <w:szCs w:val="2"/>
                <w:color w:val="auto"/>
              </w:rPr>
            </w:pPr>
          </w:p>
        </w:tc>
        <w:tc>
          <w:tcPr>
            <w:tcW w:w="1920" w:type="dxa"/>
            <w:vAlign w:val="bottom"/>
            <w:tcBorders>
              <w:right w:val="single" w:sz="8" w:color="007CBA"/>
            </w:tcBorders>
          </w:tcPr>
          <w:p>
            <w:pPr>
              <w:spacing w:after="0"/>
              <w:rPr>
                <w:sz w:val="2"/>
                <w:szCs w:val="2"/>
                <w:color w:val="auto"/>
              </w:rPr>
            </w:pPr>
          </w:p>
        </w:tc>
        <w:tc>
          <w:tcPr>
            <w:tcW w:w="2020" w:type="dxa"/>
            <w:vAlign w:val="bottom"/>
          </w:tcPr>
          <w:p>
            <w:pPr>
              <w:spacing w:after="0"/>
              <w:rPr>
                <w:sz w:val="2"/>
                <w:szCs w:val="2"/>
                <w:color w:val="auto"/>
              </w:rPr>
            </w:pPr>
          </w:p>
        </w:tc>
      </w:tr>
      <w:tr>
        <w:trPr>
          <w:trHeight w:val="223"/>
        </w:trPr>
        <w:tc>
          <w:tcPr>
            <w:tcW w:w="3460" w:type="dxa"/>
            <w:vAlign w:val="bottom"/>
            <w:tcBorders>
              <w:bottom w:val="single" w:sz="8" w:color="E5F1F8"/>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Tons to external customers</w:t>
            </w:r>
          </w:p>
        </w:tc>
        <w:tc>
          <w:tcPr>
            <w:tcW w:w="3840" w:type="dxa"/>
            <w:vAlign w:val="bottom"/>
            <w:tcBorders>
              <w:bottom w:val="single" w:sz="8" w:color="E5F1F8"/>
              <w:right w:val="single" w:sz="8" w:color="007CBA"/>
            </w:tcBorders>
            <w:shd w:val="clear" w:color="auto" w:fill="E5F1F8"/>
          </w:tcPr>
          <w:p>
            <w:pPr>
              <w:spacing w:after="0"/>
              <w:rPr>
                <w:sz w:val="19"/>
                <w:szCs w:val="19"/>
                <w:color w:val="auto"/>
              </w:rPr>
            </w:pPr>
          </w:p>
        </w:tc>
        <w:tc>
          <w:tcPr>
            <w:tcW w:w="192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2.9</w:t>
            </w:r>
          </w:p>
        </w:tc>
        <w:tc>
          <w:tcPr>
            <w:tcW w:w="20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2.5</w:t>
            </w:r>
          </w:p>
        </w:tc>
      </w:tr>
      <w:tr>
        <w:trPr>
          <w:trHeight w:val="215"/>
        </w:trPr>
        <w:tc>
          <w:tcPr>
            <w:tcW w:w="3460" w:type="dxa"/>
            <w:vAlign w:val="bottom"/>
          </w:tcPr>
          <w:p>
            <w:pPr>
              <w:ind w:left="200"/>
              <w:spacing w:after="0" w:line="215" w:lineRule="exact"/>
              <w:rPr>
                <w:sz w:val="20"/>
                <w:szCs w:val="20"/>
                <w:color w:val="auto"/>
              </w:rPr>
            </w:pPr>
            <w:r>
              <w:rPr>
                <w:rFonts w:ascii="Calibri" w:cs="Calibri" w:eastAsia="Calibri" w:hAnsi="Calibri"/>
                <w:sz w:val="18"/>
                <w:szCs w:val="18"/>
                <w:color w:val="auto"/>
              </w:rPr>
              <w:t>Internal tons used in ready mixed concrete</w:t>
            </w:r>
          </w:p>
        </w:tc>
        <w:tc>
          <w:tcPr>
            <w:tcW w:w="576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b w:val="1"/>
                <w:bCs w:val="1"/>
                <w:color w:val="auto"/>
              </w:rPr>
              <w:t>1.3</w:t>
            </w:r>
          </w:p>
        </w:tc>
        <w:tc>
          <w:tcPr>
            <w:tcW w:w="20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1.5</w:t>
            </w:r>
          </w:p>
        </w:tc>
      </w:tr>
      <w:tr>
        <w:trPr>
          <w:trHeight w:val="28"/>
        </w:trPr>
        <w:tc>
          <w:tcPr>
            <w:tcW w:w="3460" w:type="dxa"/>
            <w:vAlign w:val="bottom"/>
            <w:tcBorders>
              <w:bottom w:val="single" w:sz="8" w:color="auto"/>
            </w:tcBorders>
          </w:tcPr>
          <w:p>
            <w:pPr>
              <w:spacing w:after="0"/>
              <w:rPr>
                <w:sz w:val="2"/>
                <w:szCs w:val="2"/>
                <w:color w:val="auto"/>
              </w:rPr>
            </w:pPr>
          </w:p>
        </w:tc>
        <w:tc>
          <w:tcPr>
            <w:tcW w:w="5760" w:type="dxa"/>
            <w:vAlign w:val="bottom"/>
            <w:tcBorders>
              <w:bottom w:val="single" w:sz="8" w:color="auto"/>
            </w:tcBorders>
            <w:gridSpan w:val="2"/>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82"/>
        </w:trPr>
        <w:tc>
          <w:tcPr>
            <w:tcW w:w="3460" w:type="dxa"/>
            <w:vAlign w:val="bottom"/>
            <w:tcBorders>
              <w:bottom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Total cement tons</w:t>
            </w:r>
          </w:p>
        </w:tc>
        <w:tc>
          <w:tcPr>
            <w:tcW w:w="3840" w:type="dxa"/>
            <w:vAlign w:val="bottom"/>
            <w:tcBorders>
              <w:bottom w:val="single" w:sz="8" w:color="E5F1F8"/>
              <w:right w:val="single" w:sz="8" w:color="E5F1F8"/>
            </w:tcBorders>
            <w:shd w:val="clear" w:color="auto" w:fill="E5F1F8"/>
          </w:tcPr>
          <w:p>
            <w:pPr>
              <w:spacing w:after="0"/>
              <w:rPr>
                <w:sz w:val="24"/>
                <w:szCs w:val="24"/>
                <w:color w:val="auto"/>
              </w:rPr>
            </w:pPr>
          </w:p>
        </w:tc>
        <w:tc>
          <w:tcPr>
            <w:tcW w:w="1920" w:type="dxa"/>
            <w:vAlign w:val="bottom"/>
            <w:tcBorders>
              <w:bottom w:val="single" w:sz="8" w:color="E5F1F8"/>
              <w:right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b w:val="1"/>
                <w:bCs w:val="1"/>
                <w:color w:val="auto"/>
              </w:rPr>
              <w:t>4.2</w:t>
            </w:r>
          </w:p>
        </w:tc>
        <w:tc>
          <w:tcPr>
            <w:tcW w:w="2020" w:type="dxa"/>
            <w:vAlign w:val="bottom"/>
            <w:tcBorders>
              <w:bottom w:val="single" w:sz="8" w:color="E5F1F8"/>
            </w:tcBorders>
            <w:shd w:val="clear" w:color="auto" w:fill="E5F1F8"/>
          </w:tcPr>
          <w:p>
            <w:pPr>
              <w:jc w:val="right"/>
              <w:ind w:right="170"/>
              <w:spacing w:after="0" w:line="208" w:lineRule="exact"/>
              <w:rPr>
                <w:sz w:val="20"/>
                <w:szCs w:val="20"/>
                <w:color w:val="auto"/>
              </w:rPr>
            </w:pPr>
            <w:r>
              <w:rPr>
                <w:rFonts w:ascii="Calibri" w:cs="Calibri" w:eastAsia="Calibri" w:hAnsi="Calibri"/>
                <w:sz w:val="18"/>
                <w:szCs w:val="18"/>
                <w:color w:val="auto"/>
              </w:rPr>
              <w:t>4.0</w:t>
            </w:r>
          </w:p>
        </w:tc>
      </w:tr>
      <w:tr>
        <w:trPr>
          <w:trHeight w:val="224"/>
        </w:trPr>
        <w:tc>
          <w:tcPr>
            <w:tcW w:w="3460" w:type="dxa"/>
            <w:vAlign w:val="bottom"/>
            <w:tcBorders>
              <w:top w:val="single" w:sz="8" w:color="auto"/>
            </w:tcBorders>
          </w:tcPr>
          <w:p>
            <w:pPr>
              <w:spacing w:after="0"/>
              <w:rPr>
                <w:sz w:val="19"/>
                <w:szCs w:val="19"/>
                <w:color w:val="auto"/>
              </w:rPr>
            </w:pPr>
          </w:p>
        </w:tc>
        <w:tc>
          <w:tcPr>
            <w:tcW w:w="3840" w:type="dxa"/>
            <w:vAlign w:val="bottom"/>
            <w:tcBorders>
              <w:top w:val="single" w:sz="8" w:color="auto"/>
              <w:right w:val="single" w:sz="8" w:color="007CBA"/>
            </w:tcBorders>
          </w:tcPr>
          <w:p>
            <w:pPr>
              <w:spacing w:after="0"/>
              <w:rPr>
                <w:sz w:val="19"/>
                <w:szCs w:val="19"/>
                <w:color w:val="auto"/>
              </w:rPr>
            </w:pPr>
          </w:p>
        </w:tc>
        <w:tc>
          <w:tcPr>
            <w:tcW w:w="1920" w:type="dxa"/>
            <w:vAlign w:val="bottom"/>
            <w:tcBorders>
              <w:top w:val="single" w:sz="8" w:color="auto"/>
              <w:right w:val="single" w:sz="8" w:color="007CBA"/>
            </w:tcBorders>
          </w:tcPr>
          <w:p>
            <w:pPr>
              <w:spacing w:after="0"/>
              <w:rPr>
                <w:sz w:val="19"/>
                <w:szCs w:val="19"/>
                <w:color w:val="auto"/>
              </w:rPr>
            </w:pPr>
          </w:p>
        </w:tc>
        <w:tc>
          <w:tcPr>
            <w:tcW w:w="2020" w:type="dxa"/>
            <w:vAlign w:val="bottom"/>
            <w:tcBorders>
              <w:top w:val="single" w:sz="8" w:color="auto"/>
            </w:tcBorders>
          </w:tcPr>
          <w:p>
            <w:pPr>
              <w:spacing w:after="0"/>
              <w:rPr>
                <w:sz w:val="19"/>
                <w:szCs w:val="19"/>
                <w:color w:val="auto"/>
              </w:rPr>
            </w:pPr>
          </w:p>
        </w:tc>
      </w:tr>
      <w:tr>
        <w:trPr>
          <w:trHeight w:val="248"/>
        </w:trPr>
        <w:tc>
          <w:tcPr>
            <w:tcW w:w="3460" w:type="dxa"/>
            <w:vAlign w:val="bottom"/>
            <w:tcBorders>
              <w:bottom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Ready mixed concrete – cubic yards</w:t>
            </w:r>
          </w:p>
        </w:tc>
        <w:tc>
          <w:tcPr>
            <w:tcW w:w="3840" w:type="dxa"/>
            <w:vAlign w:val="bottom"/>
            <w:tcBorders>
              <w:bottom w:val="single" w:sz="8" w:color="E5F1F8"/>
              <w:right w:val="single" w:sz="8" w:color="E5F1F8"/>
            </w:tcBorders>
            <w:shd w:val="clear" w:color="auto" w:fill="E5F1F8"/>
          </w:tcPr>
          <w:p>
            <w:pPr>
              <w:spacing w:after="0"/>
              <w:rPr>
                <w:sz w:val="21"/>
                <w:szCs w:val="21"/>
                <w:color w:val="auto"/>
              </w:rPr>
            </w:pPr>
          </w:p>
        </w:tc>
        <w:tc>
          <w:tcPr>
            <w:tcW w:w="192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7.4</w:t>
            </w:r>
          </w:p>
        </w:tc>
        <w:tc>
          <w:tcPr>
            <w:tcW w:w="20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10.0</w:t>
            </w:r>
          </w:p>
        </w:tc>
      </w:tr>
      <w:tr>
        <w:trPr>
          <w:trHeight w:val="237"/>
        </w:trPr>
        <w:tc>
          <w:tcPr>
            <w:tcW w:w="3460" w:type="dxa"/>
            <w:vAlign w:val="bottom"/>
            <w:tcBorders>
              <w:top w:val="single" w:sz="8" w:color="auto"/>
            </w:tcBorders>
          </w:tcPr>
          <w:p>
            <w:pPr>
              <w:spacing w:after="0"/>
              <w:rPr>
                <w:sz w:val="20"/>
                <w:szCs w:val="20"/>
                <w:color w:val="auto"/>
              </w:rPr>
            </w:pPr>
          </w:p>
        </w:tc>
        <w:tc>
          <w:tcPr>
            <w:tcW w:w="3840" w:type="dxa"/>
            <w:vAlign w:val="bottom"/>
            <w:tcBorders>
              <w:top w:val="single" w:sz="8" w:color="auto"/>
              <w:right w:val="single" w:sz="8" w:color="007CBA"/>
            </w:tcBorders>
          </w:tcPr>
          <w:p>
            <w:pPr>
              <w:spacing w:after="0"/>
              <w:rPr>
                <w:sz w:val="20"/>
                <w:szCs w:val="20"/>
                <w:color w:val="auto"/>
              </w:rPr>
            </w:pPr>
          </w:p>
        </w:tc>
        <w:tc>
          <w:tcPr>
            <w:tcW w:w="1920" w:type="dxa"/>
            <w:vAlign w:val="bottom"/>
            <w:tcBorders>
              <w:top w:val="single" w:sz="8" w:color="auto"/>
              <w:right w:val="single" w:sz="8" w:color="007CBA"/>
            </w:tcBorders>
          </w:tcPr>
          <w:p>
            <w:pPr>
              <w:spacing w:after="0"/>
              <w:rPr>
                <w:sz w:val="20"/>
                <w:szCs w:val="20"/>
                <w:color w:val="auto"/>
              </w:rPr>
            </w:pPr>
          </w:p>
        </w:tc>
        <w:tc>
          <w:tcPr>
            <w:tcW w:w="2020" w:type="dxa"/>
            <w:vAlign w:val="bottom"/>
            <w:tcBorders>
              <w:top w:val="single" w:sz="8" w:color="auto"/>
            </w:tcBorders>
          </w:tcPr>
          <w:p>
            <w:pPr>
              <w:spacing w:after="0"/>
              <w:rPr>
                <w:sz w:val="20"/>
                <w:szCs w:val="20"/>
                <w:color w:val="auto"/>
              </w:rPr>
            </w:pPr>
          </w:p>
        </w:tc>
      </w:tr>
      <w:tr>
        <w:trPr>
          <w:trHeight w:val="223"/>
        </w:trPr>
        <w:tc>
          <w:tcPr>
            <w:tcW w:w="3460" w:type="dxa"/>
            <w:vAlign w:val="bottom"/>
            <w:tcBorders>
              <w:bottom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Asphalt:</w:t>
            </w:r>
          </w:p>
        </w:tc>
        <w:tc>
          <w:tcPr>
            <w:tcW w:w="3840" w:type="dxa"/>
            <w:vAlign w:val="bottom"/>
            <w:tcBorders>
              <w:bottom w:val="single" w:sz="8" w:color="E5F1F8"/>
              <w:right w:val="single" w:sz="8" w:color="007CBA"/>
            </w:tcBorders>
            <w:shd w:val="clear" w:color="auto" w:fill="E5F1F8"/>
          </w:tcPr>
          <w:p>
            <w:pPr>
              <w:spacing w:after="0"/>
              <w:rPr>
                <w:sz w:val="19"/>
                <w:szCs w:val="19"/>
                <w:color w:val="auto"/>
              </w:rPr>
            </w:pPr>
          </w:p>
        </w:tc>
        <w:tc>
          <w:tcPr>
            <w:tcW w:w="1920" w:type="dxa"/>
            <w:vAlign w:val="bottom"/>
            <w:tcBorders>
              <w:bottom w:val="single" w:sz="8" w:color="E5F1F8"/>
              <w:right w:val="single" w:sz="8" w:color="007CBA"/>
            </w:tcBorders>
            <w:shd w:val="clear" w:color="auto" w:fill="E5F1F8"/>
          </w:tcPr>
          <w:p>
            <w:pPr>
              <w:spacing w:after="0"/>
              <w:rPr>
                <w:sz w:val="19"/>
                <w:szCs w:val="19"/>
                <w:color w:val="auto"/>
              </w:rPr>
            </w:pPr>
          </w:p>
        </w:tc>
        <w:tc>
          <w:tcPr>
            <w:tcW w:w="2020" w:type="dxa"/>
            <w:vAlign w:val="bottom"/>
            <w:tcBorders>
              <w:bottom w:val="single" w:sz="8" w:color="E5F1F8"/>
            </w:tcBorders>
            <w:shd w:val="clear" w:color="auto" w:fill="E5F1F8"/>
          </w:tcPr>
          <w:p>
            <w:pPr>
              <w:spacing w:after="0"/>
              <w:rPr>
                <w:sz w:val="19"/>
                <w:szCs w:val="19"/>
                <w:color w:val="auto"/>
              </w:rPr>
            </w:pPr>
          </w:p>
        </w:tc>
      </w:tr>
      <w:tr>
        <w:trPr>
          <w:trHeight w:val="243"/>
        </w:trPr>
        <w:tc>
          <w:tcPr>
            <w:tcW w:w="3460" w:type="dxa"/>
            <w:vAlign w:val="bottom"/>
          </w:tcPr>
          <w:p>
            <w:pPr>
              <w:ind w:left="200"/>
              <w:spacing w:after="0" w:line="215" w:lineRule="exact"/>
              <w:rPr>
                <w:sz w:val="20"/>
                <w:szCs w:val="20"/>
                <w:color w:val="auto"/>
              </w:rPr>
            </w:pPr>
            <w:r>
              <w:rPr>
                <w:rFonts w:ascii="Calibri" w:cs="Calibri" w:eastAsia="Calibri" w:hAnsi="Calibri"/>
                <w:sz w:val="18"/>
                <w:szCs w:val="18"/>
                <w:color w:val="auto"/>
              </w:rPr>
              <w:t>Tons to external customers</w:t>
            </w:r>
          </w:p>
        </w:tc>
        <w:tc>
          <w:tcPr>
            <w:tcW w:w="3840" w:type="dxa"/>
            <w:vAlign w:val="bottom"/>
            <w:tcBorders>
              <w:right w:val="single" w:sz="8" w:color="007CBA"/>
            </w:tcBorders>
          </w:tcPr>
          <w:p>
            <w:pPr>
              <w:spacing w:after="0"/>
              <w:rPr>
                <w:sz w:val="21"/>
                <w:szCs w:val="21"/>
                <w:color w:val="auto"/>
              </w:rPr>
            </w:pPr>
          </w:p>
        </w:tc>
        <w:tc>
          <w:tcPr>
            <w:tcW w:w="192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6.8</w:t>
            </w:r>
          </w:p>
        </w:tc>
        <w:tc>
          <w:tcPr>
            <w:tcW w:w="20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5.1</w:t>
            </w:r>
          </w:p>
        </w:tc>
      </w:tr>
      <w:tr>
        <w:trPr>
          <w:trHeight w:val="248"/>
        </w:trPr>
        <w:tc>
          <w:tcPr>
            <w:tcW w:w="3460" w:type="dxa"/>
            <w:vAlign w:val="bottom"/>
            <w:tcBorders>
              <w:bottom w:val="single" w:sz="8" w:color="E5F1F8"/>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Internal tons used in paving operatons</w:t>
            </w:r>
          </w:p>
        </w:tc>
        <w:tc>
          <w:tcPr>
            <w:tcW w:w="3840" w:type="dxa"/>
            <w:vAlign w:val="bottom"/>
            <w:tcBorders>
              <w:bottom w:val="single" w:sz="8" w:color="E5F1F8"/>
              <w:right w:val="single" w:sz="8" w:color="E5F1F8"/>
            </w:tcBorders>
            <w:shd w:val="clear" w:color="auto" w:fill="E5F1F8"/>
          </w:tcPr>
          <w:p>
            <w:pPr>
              <w:spacing w:after="0"/>
              <w:rPr>
                <w:sz w:val="21"/>
                <w:szCs w:val="21"/>
                <w:color w:val="auto"/>
              </w:rPr>
            </w:pPr>
          </w:p>
        </w:tc>
        <w:tc>
          <w:tcPr>
            <w:tcW w:w="192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2.3</w:t>
            </w:r>
          </w:p>
        </w:tc>
        <w:tc>
          <w:tcPr>
            <w:tcW w:w="20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2.0</w:t>
            </w:r>
          </w:p>
        </w:tc>
      </w:tr>
      <w:tr>
        <w:trPr>
          <w:trHeight w:val="208"/>
        </w:trPr>
        <w:tc>
          <w:tcPr>
            <w:tcW w:w="346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 asphalt tons</w:t>
            </w:r>
          </w:p>
        </w:tc>
        <w:tc>
          <w:tcPr>
            <w:tcW w:w="384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9.1</w:t>
            </w:r>
          </w:p>
        </w:tc>
        <w:tc>
          <w:tcPr>
            <w:tcW w:w="2020" w:type="dxa"/>
            <w:vAlign w:val="bottom"/>
            <w:tcBorders>
              <w:top w:val="single" w:sz="8" w:color="auto"/>
            </w:tcBorders>
          </w:tcPr>
          <w:p>
            <w:pPr>
              <w:jc w:val="right"/>
              <w:ind w:right="170"/>
              <w:spacing w:after="0" w:line="208" w:lineRule="exact"/>
              <w:rPr>
                <w:sz w:val="20"/>
                <w:szCs w:val="20"/>
                <w:color w:val="auto"/>
              </w:rPr>
            </w:pPr>
            <w:r>
              <w:rPr>
                <w:rFonts w:ascii="Calibri" w:cs="Calibri" w:eastAsia="Calibri" w:hAnsi="Calibri"/>
                <w:sz w:val="18"/>
                <w:szCs w:val="18"/>
                <w:color w:val="auto"/>
              </w:rPr>
              <w:t>7.1</w:t>
            </w:r>
          </w:p>
        </w:tc>
      </w:tr>
      <w:tr>
        <w:trPr>
          <w:trHeight w:val="28"/>
        </w:trPr>
        <w:tc>
          <w:tcPr>
            <w:tcW w:w="346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-1477645</wp:posOffset>
            </wp:positionV>
            <wp:extent cx="7132320" cy="8274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74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3683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spacing w:after="0" w:line="147"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Cement shipments increased 4.7% in 2022 versus prior year from contnued strong demand and tght supply in North and South Texas. Cement pricing improved 16.9%, or 16.5% on a mix-adjusted basis, compared with the prior year, driven by the impact of multple price increases during the year. Cement product gross margin expanded 210 basis points, as shipment and pricing growth more than ofset higher energy, maintenance and raw materials costs.</w:t>
      </w:r>
    </w:p>
    <w:p>
      <w:pPr>
        <w:spacing w:after="0" w:line="97" w:lineRule="exact"/>
        <w:rPr>
          <w:sz w:val="20"/>
          <w:szCs w:val="20"/>
          <w:color w:val="auto"/>
        </w:rPr>
      </w:pPr>
    </w:p>
    <w:p>
      <w:pPr>
        <w:jc w:val="both"/>
        <w:spacing w:after="0" w:line="248" w:lineRule="auto"/>
        <w:rPr>
          <w:sz w:val="20"/>
          <w:szCs w:val="20"/>
          <w:color w:val="auto"/>
        </w:rPr>
      </w:pPr>
      <w:r>
        <w:rPr>
          <w:rFonts w:ascii="Calibri" w:cs="Calibri" w:eastAsia="Calibri" w:hAnsi="Calibri"/>
          <w:sz w:val="18"/>
          <w:szCs w:val="18"/>
          <w:color w:val="auto"/>
        </w:rPr>
        <w:t>Ready mixed concrete shipments decreased 25.4%, primarily refectng the impact of divested operatons, partally ofset by the acquired Arizona operatons and pricing increased 11.3%. In 2022, asphalt pricing increased 23.6% primarily atributable to price increases implemented throughout the year, following increases in raw material costs, while volumes improved 28.4%, driven by shipments from the acquired Lehigh West Region operatons.</w:t>
      </w:r>
    </w:p>
    <w:p>
      <w:pPr>
        <w:spacing w:after="0" w:line="102"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b w:val="1"/>
          <w:bCs w:val="1"/>
          <w:i w:val="1"/>
          <w:iCs w:val="1"/>
          <w:color w:val="4EAD8A"/>
        </w:rPr>
        <w:t xml:space="preserve">Magnesia Specialtes. </w:t>
      </w:r>
      <w:r>
        <w:rPr>
          <w:rFonts w:ascii="Calibri" w:cs="Calibri" w:eastAsia="Calibri" w:hAnsi="Calibri"/>
          <w:sz w:val="17"/>
          <w:szCs w:val="17"/>
          <w:color w:val="000000"/>
        </w:rPr>
        <w:t>In 2022, Magnesia Specialtes reported total revenues of $304.0 million, gross proft of $90.9 million and earnings from operatons of</w:t>
      </w:r>
      <w:r>
        <w:rPr>
          <w:rFonts w:ascii="Calibri" w:cs="Calibri" w:eastAsia="Calibri" w:hAnsi="Calibri"/>
          <w:sz w:val="17"/>
          <w:szCs w:val="17"/>
          <w:b w:val="1"/>
          <w:bCs w:val="1"/>
          <w:i w:val="1"/>
          <w:iCs w:val="1"/>
          <w:color w:val="4EAD8A"/>
        </w:rPr>
        <w:t xml:space="preserve"> </w:t>
      </w:r>
      <w:r>
        <w:rPr>
          <w:rFonts w:ascii="Calibri" w:cs="Calibri" w:eastAsia="Calibri" w:hAnsi="Calibri"/>
          <w:sz w:val="17"/>
          <w:szCs w:val="17"/>
          <w:color w:val="000000"/>
        </w:rPr>
        <w:t>$75.2 million, representng an increase of 1.8%, a decrease of 14.7% and a decrease of 17.1%, respectvely, compared with 2021. The proftability decreases in 2022 were refectve of lower domestc steel producton and demand for chemicals products, coupled with higher energy and maintenance costs.</w:t>
      </w:r>
    </w:p>
    <w:p>
      <w:pPr>
        <w:spacing w:after="0" w:line="202"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Selling, General and Administratve Expenses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SG&amp;A expenses for 2022 and 2021 were 6.4% and 6.5% of total revenues, respectvely. The $45.7 million increase in total expense was primarily driven by a full year of expense for operatons acquired in 2021.</w:t>
      </w:r>
    </w:p>
    <w:p>
      <w:pPr>
        <w:spacing w:after="0" w:line="213"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Acquisiton and Integraton Expenses</w:t>
      </w:r>
    </w:p>
    <w:p>
      <w:pPr>
        <w:spacing w:after="0" w:line="61" w:lineRule="exact"/>
        <w:rPr>
          <w:sz w:val="20"/>
          <w:szCs w:val="20"/>
          <w:color w:val="auto"/>
        </w:rPr>
      </w:pPr>
    </w:p>
    <w:p>
      <w:pPr>
        <w:spacing w:after="0"/>
        <w:rPr>
          <w:sz w:val="20"/>
          <w:szCs w:val="20"/>
          <w:color w:val="auto"/>
        </w:rPr>
      </w:pPr>
      <w:r>
        <w:rPr>
          <w:rFonts w:ascii="Calibri" w:cs="Calibri" w:eastAsia="Calibri" w:hAnsi="Calibri"/>
          <w:sz w:val="17"/>
          <w:szCs w:val="17"/>
          <w:color w:val="auto"/>
        </w:rPr>
        <w:t>The Company incurred $57.9 million of acquisiton and integraton expenses in 2021, primarily associated with the Tiller and Lehigh West Region acquisitons.</w:t>
      </w:r>
    </w:p>
    <w:p>
      <w:pPr>
        <w:spacing w:after="0" w:line="221"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Other Operatng Income, Net</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Other operatng income, net, is comprised generally of gains and losses on the sale of assets; recoveries and losses related to certain customer accounts receivable; rental, royalty and services income; accreton expense, depreciaton expense and gains and losses related to asset retrement obligatons. These net amounts represented income of $189.2 million in 2022 and $34.3 million in 2021. In 2022, other operatng income, net, included a $151.9 million pretax gain on the divestture of the Colorado and Central Texas ready mixed concrete operatons. For 2021, other operatng income, net, included $21.6 million of nonrecurring gains on land sales and divested assets driven primarily by the sale of the Company’s former corporate headquarters.</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Earnings from Operatons</w:t>
      </w:r>
    </w:p>
    <w:p>
      <w:pPr>
        <w:spacing w:after="0" w:line="56" w:lineRule="exact"/>
        <w:rPr>
          <w:sz w:val="20"/>
          <w:szCs w:val="20"/>
          <w:color w:val="auto"/>
        </w:rPr>
      </w:pPr>
    </w:p>
    <w:p>
      <w:pPr>
        <w:spacing w:after="0"/>
        <w:rPr>
          <w:sz w:val="20"/>
          <w:szCs w:val="20"/>
          <w:color w:val="auto"/>
        </w:rPr>
      </w:pPr>
      <w:r>
        <w:rPr>
          <w:rFonts w:ascii="Calibri" w:cs="Calibri" w:eastAsia="Calibri" w:hAnsi="Calibri"/>
          <w:sz w:val="18"/>
          <w:szCs w:val="18"/>
          <w:color w:val="auto"/>
        </w:rPr>
        <w:t>Consolidated earnings from operatons were $1.21 billion and $973.8 million in 2022 and 2021, respectvely.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92075</wp:posOffset>
            </wp:positionV>
            <wp:extent cx="325755" cy="1968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ind w:left="370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7 – Management’s Discussion and Analysis of Financial Conditon and Results of Operatons</w:t>
      </w:r>
    </w:p>
    <w:p>
      <w:pPr>
        <w:spacing w:after="0" w:line="223"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Interest Expense</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Interest expense was $169.0 million in 2022 and $142.7 million in 2021. The increase refected a full-year of interest on the $2.5 billion of publicly traded debt the Company issued in July 2021 to help fnance acquisiton actvity.</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Other Nonoperatng Income, Net</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Other nonoperatng income, net, is comprised generally of interest income; foreign currency transacton gains and losses; pension and postretrement beneft cost (excluding service cost); net equity earnings from nonconsolidated investments and other miscellaneous income and expenses. Consolidated other nonoperatng income, net, was $53.4 million in 2022 and $24.4 million in 2021. Other nonoperatng income, net, for the year ended December 31, 2022 included a $12.0 million pretax gain related to the repurchase of the Company's debt, $8.2 million of third-party railroad track maintenance expense and a $13.3 million increase in interest income.</w:t>
      </w:r>
    </w:p>
    <w:p>
      <w:pPr>
        <w:spacing w:after="0" w:line="217"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Income Tax Expense</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Variances in the estmated efectve income tax rates, when compared with the statutory corporate income tax rate, are due primarily to the statutory depleton deducton for mineral reserves, the efect of state income taxes, stock compensaton deductons, and the impact of foreign income or losses for which no tax expense or beneft is recognized. Additonally, certain acquisiton-related expenses have limited deductbility for income tax purposes.</w:t>
      </w:r>
    </w:p>
    <w:p>
      <w:pPr>
        <w:spacing w:after="0" w:line="111"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auto"/>
        </w:rPr>
        <w:t>The permanent beneft associated with the statutory depleton deducton for mineral reserves is typically the signifcant driver of the estmated efectve income tax rate. The statutory depleton deducton is calculated as a percentage of revenues subject to certain limitatons. Due to these limitatons, changes in sales volumes and pretax earnings may not proportonately afect the statutory depleton deducton and the corresponding impact on the efectve income tax rate. However, the impact of the depleton deducton on the estmated efectve tax rate is inversely afected by increases or decreases in pretax earnings.</w:t>
      </w:r>
    </w:p>
    <w:p>
      <w:pPr>
        <w:spacing w:after="0" w:line="10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estmated efectve income tax rate for the years ended December 31, 2022 and 2021 was 21.5% and 17.9%, respectvely. The higher 2022 efectve income tax rate versus 2021 was primarily driven by the impact of the divestture of the Colorado and Central Texas ready mixed concrete businesses.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efectve income tax rate for 2022 and 2021 included a $10.3 million and $9.7 million discrete beneft from fnancing third-party railroad track maintenance, respectvely. In exchange, the Company received a federal income tax credit and deducton.</w:t>
      </w:r>
    </w:p>
    <w:p>
      <w:pPr>
        <w:spacing w:after="0" w:line="213"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Discontnued Operatons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classifed its Tehachapi cement plant, related cement terminals and its California ready mixed concrete businesses acquired as part of Lehigh West Region as assets held for sale and discontnued operatons as of and for the years ended December 31, 2022 and 2021. Additonally, the Redding cement plant, related cement terminals and 14 ready mixed concrete plants that were classifed as discontnued operatons as of and for the year ended December 31, 2021 were sold in June 2022. The collectve businesses generated earnings of $10.5 million and $0.5 million, respectvely, net of expenses associated with the planned disposal, the impact of selling acquired inventory afer its step up to fair value as part of acquisiton accountng and income tax expense.</w:t>
      </w:r>
    </w:p>
    <w:p>
      <w:pPr>
        <w:spacing w:after="0" w:line="216"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Net Earnings Atributable to Martn Marieta and Earnings Per Diluted Share</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earnings from contnuing operatons atributable to Martn Marieta were $856.3 million, or $13.70 per diluted share, for 2022 and $702.0 million, or $11.21 per diluted share, for 2021.</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Liquidity and Cash Flows</w:t>
      </w:r>
    </w:p>
    <w:p>
      <w:pPr>
        <w:spacing w:after="0" w:line="107"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Operatng Actvites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Generally, the Company’s primary source of liquidity is cash generated from operatng actvites. Operatng cash fow is substantally derived from consolidated net earnings, before deductng depreciaton, depleton and amortzaton, and ofset by working capital requirements. Cash provided by operatons was $991.2 million in 2022 and $1.14 billion in 2021. The primary drivers of the decrease in cash provided by operatons in 2022 were increased cash taxes and changes in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93345</wp:posOffset>
            </wp:positionV>
            <wp:extent cx="325755" cy="1968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124460</wp:posOffset>
            </wp:positionV>
            <wp:extent cx="3008630" cy="24257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300863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Calibri" w:cs="Calibri" w:eastAsia="Calibri" w:hAnsi="Calibri"/>
          <w:sz w:val="18"/>
          <w:szCs w:val="18"/>
          <w:color w:val="auto"/>
        </w:rPr>
        <w:t>Depreciaton, depleton and amortzaton expense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24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540" w:type="dxa"/>
            <w:vAlign w:val="bottom"/>
            <w:shd w:val="clear" w:color="auto" w:fill="007CBA"/>
          </w:tcPr>
          <w:p>
            <w:pPr>
              <w:spacing w:after="0"/>
              <w:rPr>
                <w:sz w:val="19"/>
                <w:szCs w:val="19"/>
                <w:color w:val="auto"/>
              </w:rPr>
            </w:pPr>
          </w:p>
        </w:tc>
        <w:tc>
          <w:tcPr>
            <w:tcW w:w="1400" w:type="dxa"/>
            <w:vAlign w:val="bottom"/>
            <w:tcBorders>
              <w:right w:val="single" w:sz="8" w:color="007CBA"/>
            </w:tcBorders>
            <w:shd w:val="clear" w:color="auto" w:fill="007CBA"/>
          </w:tcPr>
          <w:p>
            <w:pPr>
              <w:spacing w:after="0"/>
              <w:rPr>
                <w:sz w:val="19"/>
                <w:szCs w:val="19"/>
                <w:color w:val="auto"/>
              </w:rPr>
            </w:pPr>
          </w:p>
        </w:tc>
        <w:tc>
          <w:tcPr>
            <w:tcW w:w="520" w:type="dxa"/>
            <w:vAlign w:val="bottom"/>
            <w:shd w:val="clear" w:color="auto" w:fill="007CBA"/>
          </w:tcPr>
          <w:p>
            <w:pPr>
              <w:spacing w:after="0"/>
              <w:rPr>
                <w:sz w:val="19"/>
                <w:szCs w:val="19"/>
                <w:color w:val="auto"/>
              </w:rPr>
            </w:pPr>
          </w:p>
        </w:tc>
        <w:tc>
          <w:tcPr>
            <w:tcW w:w="1540" w:type="dxa"/>
            <w:vAlign w:val="bottom"/>
            <w:shd w:val="clear" w:color="auto" w:fill="007CBA"/>
          </w:tcPr>
          <w:p>
            <w:pPr>
              <w:spacing w:after="0"/>
              <w:rPr>
                <w:sz w:val="19"/>
                <w:szCs w:val="19"/>
                <w:color w:val="auto"/>
              </w:rPr>
            </w:pPr>
          </w:p>
        </w:tc>
      </w:tr>
      <w:tr>
        <w:trPr>
          <w:trHeight w:val="245"/>
        </w:trPr>
        <w:tc>
          <w:tcPr>
            <w:tcW w:w="724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540" w:type="dxa"/>
            <w:vAlign w:val="bottom"/>
            <w:tcBorders>
              <w:bottom w:val="single" w:sz="8" w:color="007CBA"/>
            </w:tcBorders>
            <w:shd w:val="clear" w:color="auto" w:fill="007CBA"/>
          </w:tcPr>
          <w:p>
            <w:pPr>
              <w:spacing w:after="0"/>
              <w:rPr>
                <w:sz w:val="21"/>
                <w:szCs w:val="21"/>
                <w:color w:val="auto"/>
              </w:rPr>
            </w:pPr>
          </w:p>
        </w:tc>
        <w:tc>
          <w:tcPr>
            <w:tcW w:w="1400" w:type="dxa"/>
            <w:vAlign w:val="bottom"/>
            <w:tcBorders>
              <w:bottom w:val="single" w:sz="8" w:color="007CBA"/>
              <w:right w:val="single" w:sz="8" w:color="007CBA"/>
            </w:tcBorders>
            <w:shd w:val="clear" w:color="auto" w:fill="007CBA"/>
          </w:tcPr>
          <w:p>
            <w:pPr>
              <w:jc w:val="right"/>
              <w:ind w:right="670"/>
              <w:spacing w:after="0" w:line="215" w:lineRule="exact"/>
              <w:rPr>
                <w:sz w:val="20"/>
                <w:szCs w:val="20"/>
                <w:color w:val="auto"/>
              </w:rPr>
            </w:pPr>
            <w:r>
              <w:rPr>
                <w:rFonts w:ascii="Calibri" w:cs="Calibri" w:eastAsia="Calibri" w:hAnsi="Calibri"/>
                <w:sz w:val="18"/>
                <w:szCs w:val="18"/>
                <w:b w:val="1"/>
                <w:bCs w:val="1"/>
                <w:color w:val="FFFFFF"/>
              </w:rPr>
              <w:t>2022</w:t>
            </w:r>
          </w:p>
        </w:tc>
        <w:tc>
          <w:tcPr>
            <w:tcW w:w="520" w:type="dxa"/>
            <w:vAlign w:val="bottom"/>
            <w:tcBorders>
              <w:bottom w:val="single" w:sz="8" w:color="007CBA"/>
            </w:tcBorders>
            <w:shd w:val="clear" w:color="auto" w:fill="007CBA"/>
          </w:tcPr>
          <w:p>
            <w:pPr>
              <w:spacing w:after="0"/>
              <w:rPr>
                <w:sz w:val="21"/>
                <w:szCs w:val="21"/>
                <w:color w:val="auto"/>
              </w:rPr>
            </w:pPr>
          </w:p>
        </w:tc>
        <w:tc>
          <w:tcPr>
            <w:tcW w:w="1540" w:type="dxa"/>
            <w:vAlign w:val="bottom"/>
            <w:tcBorders>
              <w:bottom w:val="single" w:sz="8" w:color="007CBA"/>
            </w:tcBorders>
            <w:shd w:val="clear" w:color="auto" w:fill="007CBA"/>
          </w:tcPr>
          <w:p>
            <w:pPr>
              <w:jc w:val="right"/>
              <w:ind w:right="810"/>
              <w:spacing w:after="0" w:line="215" w:lineRule="exact"/>
              <w:rPr>
                <w:sz w:val="20"/>
                <w:szCs w:val="20"/>
                <w:color w:val="auto"/>
              </w:rPr>
            </w:pPr>
            <w:r>
              <w:rPr>
                <w:rFonts w:ascii="Calibri" w:cs="Calibri" w:eastAsia="Calibri" w:hAnsi="Calibri"/>
                <w:sz w:val="18"/>
                <w:szCs w:val="18"/>
                <w:color w:val="FFFFFF"/>
              </w:rPr>
              <w:t>2021</w:t>
            </w:r>
          </w:p>
        </w:tc>
      </w:tr>
      <w:tr>
        <w:trPr>
          <w:trHeight w:val="215"/>
        </w:trPr>
        <w:tc>
          <w:tcPr>
            <w:tcW w:w="72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Depreciaton</w:t>
            </w:r>
          </w:p>
        </w:tc>
        <w:tc>
          <w:tcPr>
            <w:tcW w:w="540" w:type="dxa"/>
            <w:vAlign w:val="bottom"/>
          </w:tcPr>
          <w:p>
            <w:pPr>
              <w:jc w:val="right"/>
              <w:ind w:right="170"/>
              <w:spacing w:after="0" w:line="215" w:lineRule="exact"/>
              <w:rPr>
                <w:sz w:val="20"/>
                <w:szCs w:val="20"/>
                <w:color w:val="auto"/>
              </w:rPr>
            </w:pPr>
            <w:r>
              <w:rPr>
                <w:rFonts w:ascii="Calibri" w:cs="Calibri" w:eastAsia="Calibri" w:hAnsi="Calibri"/>
                <w:sz w:val="18"/>
                <w:szCs w:val="18"/>
                <w:b w:val="1"/>
                <w:bCs w:val="1"/>
                <w:color w:val="auto"/>
              </w:rPr>
              <w:t>$</w:t>
            </w:r>
          </w:p>
        </w:tc>
        <w:tc>
          <w:tcPr>
            <w:tcW w:w="140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394.6</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5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362.2</w:t>
            </w:r>
          </w:p>
        </w:tc>
      </w:tr>
      <w:tr>
        <w:trPr>
          <w:trHeight w:val="28"/>
        </w:trPr>
        <w:tc>
          <w:tcPr>
            <w:tcW w:w="7240" w:type="dxa"/>
            <w:vAlign w:val="bottom"/>
            <w:tcBorders>
              <w:right w:val="single" w:sz="8" w:color="007CBA"/>
            </w:tcBorders>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Borders>
              <w:right w:val="single" w:sz="8" w:color="007CBA"/>
            </w:tcBorders>
          </w:tcPr>
          <w:p>
            <w:pPr>
              <w:spacing w:after="0"/>
              <w:rPr>
                <w:sz w:val="2"/>
                <w:szCs w:val="2"/>
                <w:color w:val="auto"/>
              </w:rPr>
            </w:pPr>
          </w:p>
        </w:tc>
        <w:tc>
          <w:tcPr>
            <w:tcW w:w="5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3"/>
        </w:trPr>
        <w:tc>
          <w:tcPr>
            <w:tcW w:w="724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Depleton</w:t>
            </w:r>
          </w:p>
        </w:tc>
        <w:tc>
          <w:tcPr>
            <w:tcW w:w="540" w:type="dxa"/>
            <w:vAlign w:val="bottom"/>
            <w:tcBorders>
              <w:bottom w:val="single" w:sz="8" w:color="E5F1F8"/>
            </w:tcBorders>
            <w:shd w:val="clear" w:color="auto" w:fill="E5F1F8"/>
          </w:tcPr>
          <w:p>
            <w:pPr>
              <w:spacing w:after="0"/>
              <w:rPr>
                <w:sz w:val="19"/>
                <w:szCs w:val="19"/>
                <w:color w:val="auto"/>
              </w:rPr>
            </w:pPr>
          </w:p>
        </w:tc>
        <w:tc>
          <w:tcPr>
            <w:tcW w:w="140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59.8</w:t>
            </w:r>
          </w:p>
        </w:tc>
        <w:tc>
          <w:tcPr>
            <w:tcW w:w="520" w:type="dxa"/>
            <w:vAlign w:val="bottom"/>
            <w:tcBorders>
              <w:bottom w:val="single" w:sz="8" w:color="E5F1F8"/>
            </w:tcBorders>
            <w:shd w:val="clear" w:color="auto" w:fill="E5F1F8"/>
          </w:tcPr>
          <w:p>
            <w:pPr>
              <w:spacing w:after="0"/>
              <w:rPr>
                <w:sz w:val="19"/>
                <w:szCs w:val="19"/>
                <w:color w:val="auto"/>
              </w:rPr>
            </w:pPr>
          </w:p>
        </w:tc>
        <w:tc>
          <w:tcPr>
            <w:tcW w:w="15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46.0</w:t>
            </w:r>
          </w:p>
        </w:tc>
      </w:tr>
      <w:tr>
        <w:trPr>
          <w:trHeight w:val="215"/>
        </w:trPr>
        <w:tc>
          <w:tcPr>
            <w:tcW w:w="7240" w:type="dxa"/>
            <w:vAlign w:val="bottom"/>
          </w:tcPr>
          <w:p>
            <w:pPr>
              <w:ind w:left="120"/>
              <w:spacing w:after="0" w:line="215" w:lineRule="exact"/>
              <w:rPr>
                <w:sz w:val="20"/>
                <w:szCs w:val="20"/>
                <w:color w:val="auto"/>
              </w:rPr>
            </w:pPr>
            <w:r>
              <w:rPr>
                <w:rFonts w:ascii="Calibri" w:cs="Calibri" w:eastAsia="Calibri" w:hAnsi="Calibri"/>
                <w:sz w:val="18"/>
                <w:szCs w:val="18"/>
                <w:color w:val="auto"/>
              </w:rPr>
              <w:t>Amortzaton</w:t>
            </w:r>
          </w:p>
        </w:tc>
        <w:tc>
          <w:tcPr>
            <w:tcW w:w="540" w:type="dxa"/>
            <w:vAlign w:val="bottom"/>
          </w:tcPr>
          <w:p>
            <w:pPr>
              <w:spacing w:after="0"/>
              <w:rPr>
                <w:sz w:val="18"/>
                <w:szCs w:val="18"/>
                <w:color w:val="auto"/>
              </w:rPr>
            </w:pPr>
          </w:p>
        </w:tc>
        <w:tc>
          <w:tcPr>
            <w:tcW w:w="140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45.0</w:t>
            </w:r>
          </w:p>
        </w:tc>
        <w:tc>
          <w:tcPr>
            <w:tcW w:w="520" w:type="dxa"/>
            <w:vAlign w:val="bottom"/>
          </w:tcPr>
          <w:p>
            <w:pPr>
              <w:spacing w:after="0"/>
              <w:rPr>
                <w:sz w:val="18"/>
                <w:szCs w:val="18"/>
                <w:color w:val="auto"/>
              </w:rPr>
            </w:pPr>
          </w:p>
        </w:tc>
        <w:tc>
          <w:tcPr>
            <w:tcW w:w="15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38.3</w:t>
            </w:r>
          </w:p>
        </w:tc>
      </w:tr>
      <w:tr>
        <w:trPr>
          <w:trHeight w:val="28"/>
        </w:trPr>
        <w:tc>
          <w:tcPr>
            <w:tcW w:w="7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2"/>
        </w:trPr>
        <w:tc>
          <w:tcPr>
            <w:tcW w:w="724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Total</w:t>
            </w:r>
          </w:p>
        </w:tc>
        <w:tc>
          <w:tcPr>
            <w:tcW w:w="540" w:type="dxa"/>
            <w:vAlign w:val="bottom"/>
            <w:tcBorders>
              <w:bottom w:val="single" w:sz="8" w:color="E5F1F8"/>
            </w:tcBorders>
            <w:shd w:val="clear" w:color="auto" w:fill="E5F1F8"/>
          </w:tcPr>
          <w:p>
            <w:pPr>
              <w:jc w:val="right"/>
              <w:ind w:right="170"/>
              <w:spacing w:after="0" w:line="208" w:lineRule="exact"/>
              <w:rPr>
                <w:sz w:val="20"/>
                <w:szCs w:val="20"/>
                <w:color w:val="auto"/>
              </w:rPr>
            </w:pPr>
            <w:r>
              <w:rPr>
                <w:rFonts w:ascii="Calibri" w:cs="Calibri" w:eastAsia="Calibri" w:hAnsi="Calibri"/>
                <w:sz w:val="18"/>
                <w:szCs w:val="18"/>
                <w:b w:val="1"/>
                <w:bCs w:val="1"/>
                <w:color w:val="auto"/>
              </w:rPr>
              <w:t>$</w:t>
            </w:r>
          </w:p>
        </w:tc>
        <w:tc>
          <w:tcPr>
            <w:tcW w:w="1400" w:type="dxa"/>
            <w:vAlign w:val="bottom"/>
            <w:tcBorders>
              <w:bottom w:val="single" w:sz="8" w:color="E5F1F8"/>
              <w:right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b w:val="1"/>
                <w:bCs w:val="1"/>
                <w:color w:val="auto"/>
              </w:rPr>
              <w:t>499.4</w:t>
            </w:r>
          </w:p>
        </w:tc>
        <w:tc>
          <w:tcPr>
            <w:tcW w:w="520" w:type="dxa"/>
            <w:vAlign w:val="bottom"/>
            <w:tcBorders>
              <w:bottom w:val="single" w:sz="8" w:color="E5F1F8"/>
            </w:tcBorders>
            <w:shd w:val="clear" w:color="auto" w:fill="E5F1F8"/>
          </w:tcPr>
          <w:p>
            <w:pPr>
              <w:jc w:val="right"/>
              <w:ind w:right="170"/>
              <w:spacing w:after="0" w:line="208" w:lineRule="exact"/>
              <w:rPr>
                <w:sz w:val="20"/>
                <w:szCs w:val="20"/>
                <w:color w:val="auto"/>
              </w:rPr>
            </w:pPr>
            <w:r>
              <w:rPr>
                <w:rFonts w:ascii="Calibri" w:cs="Calibri" w:eastAsia="Calibri" w:hAnsi="Calibri"/>
                <w:sz w:val="18"/>
                <w:szCs w:val="18"/>
                <w:color w:val="auto"/>
              </w:rPr>
              <w:t>$</w:t>
            </w:r>
          </w:p>
        </w:tc>
        <w:tc>
          <w:tcPr>
            <w:tcW w:w="1540" w:type="dxa"/>
            <w:vAlign w:val="bottom"/>
            <w:tcBorders>
              <w:bottom w:val="single" w:sz="8" w:color="E5F1F8"/>
            </w:tcBorders>
            <w:shd w:val="clear" w:color="auto" w:fill="E5F1F8"/>
          </w:tcPr>
          <w:p>
            <w:pPr>
              <w:jc w:val="right"/>
              <w:ind w:right="190"/>
              <w:spacing w:after="0" w:line="208" w:lineRule="exact"/>
              <w:rPr>
                <w:sz w:val="20"/>
                <w:szCs w:val="20"/>
                <w:color w:val="auto"/>
              </w:rPr>
            </w:pPr>
            <w:r>
              <w:rPr>
                <w:rFonts w:ascii="Calibri" w:cs="Calibri" w:eastAsia="Calibri" w:hAnsi="Calibri"/>
                <w:sz w:val="18"/>
                <w:szCs w:val="18"/>
                <w:color w:val="auto"/>
              </w:rPr>
              <w:t>446.5</w:t>
            </w:r>
          </w:p>
        </w:tc>
      </w:tr>
      <w:tr>
        <w:trPr>
          <w:trHeight w:val="20"/>
        </w:trPr>
        <w:tc>
          <w:tcPr>
            <w:tcW w:w="72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1631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4570095</wp:posOffset>
            </wp:positionH>
            <wp:positionV relativeFrom="paragraph">
              <wp:posOffset>-354965</wp:posOffset>
            </wp:positionV>
            <wp:extent cx="2567305" cy="3683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2567305" cy="36830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Investng Actvites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cash used for investng actvites was $483.8 million in 2022 and $3.47 billion in 2021. The decrease refected lower acquisiton actvity in 2022 compared with $3.11 billion used to consummate acquisitons during 2021.</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Cash paid for property, plant and equipment additons was $481.8 million in 2022 and $423.1 million in 2021.</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Pretax proceeds from divesttures and sales of assets were $687.1 million in 2022 and $42.8 million in 2021.</w:t>
      </w:r>
    </w:p>
    <w:p>
      <w:pPr>
        <w:spacing w:after="0" w:line="109" w:lineRule="exact"/>
        <w:rPr>
          <w:sz w:val="20"/>
          <w:szCs w:val="20"/>
          <w:color w:val="auto"/>
        </w:rPr>
      </w:pPr>
    </w:p>
    <w:p>
      <w:pPr>
        <w:spacing w:after="0"/>
        <w:rPr>
          <w:sz w:val="20"/>
          <w:szCs w:val="20"/>
          <w:color w:val="auto"/>
        </w:rPr>
      </w:pPr>
      <w:r>
        <w:rPr>
          <w:rFonts w:ascii="Calibri" w:cs="Calibri" w:eastAsia="Calibri" w:hAnsi="Calibri"/>
          <w:sz w:val="17"/>
          <w:szCs w:val="17"/>
          <w:color w:val="auto"/>
        </w:rPr>
        <w:t xml:space="preserve">The Company invested $704.6 million in restricted investments to satsfy discharged debt and related interest (see </w:t>
      </w:r>
      <w:r>
        <w:rPr>
          <w:rFonts w:ascii="Calibri" w:cs="Calibri" w:eastAsia="Calibri" w:hAnsi="Calibri"/>
          <w:sz w:val="17"/>
          <w:szCs w:val="17"/>
          <w:i w:val="1"/>
          <w:iCs w:val="1"/>
          <w:color w:val="auto"/>
        </w:rPr>
        <w:t>Capital Structure and Resources</w:t>
      </w:r>
      <w:r>
        <w:rPr>
          <w:rFonts w:ascii="Calibri" w:cs="Calibri" w:eastAsia="Calibri" w:hAnsi="Calibri"/>
          <w:sz w:val="17"/>
          <w:szCs w:val="17"/>
          <w:color w:val="auto"/>
        </w:rPr>
        <w:t xml:space="preserve"> secton).</w:t>
      </w:r>
    </w:p>
    <w:p>
      <w:pPr>
        <w:spacing w:after="0" w:line="221"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Financing Actvites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cash used for fnancing actvites was $407.5 million in 2022 compared with net cash provided by fnancing actvites of $2.29 billion in 2021. The 2021 cash provided refected the issuance of $2.50 billion in publicly traded debt, primarily to fnance acquisitons.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During 2022, the Company repurchased $67.7 million (par value) of its Senior Notes, resultng in a pretax gain of $12.0 million.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For the years ended December 31, 2022 and 2021, the Board of Directors approved total cash dividends on the Company’s common stock of $2.54 per share and $2.36 per share, respectvely. Total cash dividends paid were $159.1 million in 2022 and $147.8 million in 2021.</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In 2022, the Company repurchased 0.4 million shares of its common stock for a total cost of $150.0 million, or $358.56 per share.</w:t>
      </w:r>
    </w:p>
    <w:p>
      <w:pPr>
        <w:spacing w:after="0" w:line="21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Capital Structure and Resources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Long-term debt, including current maturites of discharged debt, was $5.04 billion at December 31, 2022, and was in the form of publicly-issued long-term notes and debentures.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92710</wp:posOffset>
            </wp:positionV>
            <wp:extent cx="325755" cy="1968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173"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 xml:space="preserve">On September 29, 2022, the Company satsfed and discharged its $700 million of 0.650% Senior Notes due 2023 (the 0.650% Senior Notes), which were issued in July 2021. In connecton with the satsfacton and discharge, the Company irrevocably deposited funds in an amount sufcient to satsfy all remaining principal and interest payments on the 0.650% Senior Notes with Regions Bank (the Trustee). The funds are invested in a fund that invests exclusively in U.S. Treasury securites and are classifed as </w:t>
      </w:r>
      <w:r>
        <w:rPr>
          <w:rFonts w:ascii="Calibri" w:cs="Calibri" w:eastAsia="Calibri" w:hAnsi="Calibri"/>
          <w:sz w:val="17"/>
          <w:szCs w:val="17"/>
          <w:i w:val="1"/>
          <w:iCs w:val="1"/>
          <w:color w:val="auto"/>
        </w:rPr>
        <w:t>Restricted investments (to satsfy discharged debt and related interest)</w:t>
      </w:r>
      <w:r>
        <w:rPr>
          <w:rFonts w:ascii="Calibri" w:cs="Calibri" w:eastAsia="Calibri" w:hAnsi="Calibri"/>
          <w:sz w:val="17"/>
          <w:szCs w:val="17"/>
          <w:color w:val="auto"/>
        </w:rPr>
        <w:t xml:space="preserve"> on the consolidated balance sheet at December 31, 2022. Holders of the 0.650% Senior Notes will receive payment of principal on the scheduled maturity date and payment of interest at the per annum rate (and on the dates) set forth in the 0.650% Senior Notes indenture. The Company utlized existng cash resources to fund the satsfacton and discharge. As a result of the satsfacton and discharge, the obligatons of the Company under the indenture with respect to the 0.650% Senior Notes have been terminated, except those provisions of the indenture that, by their terms, survive the satsfacton and discharge. The 0.650% Senior Notes remain on the Company’s consolidated balance sheet at December 31, 2022 and will contnue to accrete to their par value over the period untl maturity in July 2023.</w:t>
      </w:r>
    </w:p>
    <w:p>
      <w:pPr>
        <w:spacing w:after="0" w:line="10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July 2021, the Company issued the 0.650% Senior Notes, $900.0 million aggregate principal amount of 2.400% Senior Notes due 2031 (the 2.400% Senior Notes) and $900.0 million aggregate principal amount of 3.200% Senior Notes due 2051 (the 3.200% Senior Notes). The Company used the net proceeds to pay the consideraton for the acquisiton of the Lehigh West Region business and for general corporate purposes. See Note C to the fnancial statements for more informaton on the Lehigh West Region acquisiton, which was consummated on October 1, 2021.</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through a wholly-owned special-purpose subsidiary, has a $400.0 million trade receivable securitzaton facility (the Trade Receivable Facility). In September 2022, the Company extended the maturity of the Trade Receivable Facility to September 21, 2023. The Trade Receivable Facility is backed by eligible trade receivables, as defned. Borrowings are limited to the lesser of the facility limit or the borrowing base, as defned. These receivables are originated by the Company and then sold or contributed to the wholly-owned special-purpose subsidiary. The Company contnues to be responsible for the servicing and administraton of the receivables purchased by the wholly-owned special-purpose subsidiary. The Trade Receivable Facility contains a cross-default provision to the Company’s other debt agreements. Subject to certain conditons, including lenders providing the requisite commitments, the Trade Receivable Facility may be increased to a borrowing base not to exceed $500 million. There were no outstanding borrowings on the Trade Receivable Facility as of December 31, 2022.</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has an $800.0 million fve-year senior unsecured revolving facility (the Revolving Facility), which matures in December 2027. There were no outstanding borrowings on the Revolving Facility as of December 31, 2022. The Revolving Facility requires the Company’s rato of consolidated net debt-to-consolidated EBITDA, as defned, for the trailing-twelve months (the Rato) to not exceed 3.50x as of the end of any fscal quarter, provided that the Company may exclude from the Rato debt incurred in connecton with certain acquisitons during the quarter or the three preceding quarters so long as the Rato calculated without such exclusion does not exceed 4.00x. Additonally, if there are no amounts outstanding under the Revolving Facility and the Trade Receivable Facility, consolidated debt, including debt for which the Company is a guarantor, shall be reduced in an amount equal to the lesser of $500.0 million or the sum of the Company’s unrestricted cash and temporary investments, for purposes of the covenant calculaton. The Company was in compliance with the Rato and other requirements under the Revolving Credit Facility at December 31, 2022.</w:t>
      </w:r>
    </w:p>
    <w:p>
      <w:pPr>
        <w:spacing w:after="0" w:line="11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Total equity was $7.17 billion at December 31, 2022. At that date, the Company had an accumulated other comprehensive loss of $38.5 million, primarily resultng from unrecognized prior service cost and actuarial loss related to pension benefts.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Pursuant to authority granted by its Board of Directors, the Company can repurchase up to 20 million shares of common stock. As of December 31, 2022, the Company had 13.1 million shares remaining under the repurchase authorizaton. Future share repurchases are at the discreton of management.</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At December 31, 2022, the Company had $358.0 million in unrestricted cash and short-term investments that are considered cash equivalents. The Company manages its cash and cash equivalents to ensure short-term operatng cash needs are met and excess funds are managed efciently. The Company funds shortages in operatng cash through credit facilites. The Company utlizes excess cash to either pay down credit facility borrowings or invest in money market funds, money market demand deposit accounts or Eurodollar tme deposit accounts. Money market demand deposits and Eurodollar tme deposit accounts are exposed to bank solvency risk. Money market demand deposit accounts are FDIC insured up to $250,000. The Company’s investments in bank funds generally exceed the FDIC insurance limit.</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Cash on hand, along with the Company’s projected internal cash fows and availability of fnancing resources, including its access to debt and equity capital markets, is expected to contnue to be sufcient to provide the capital resources necessary to support antcipated operatng needs, cover debt service requirements, meet capital expenditures and discretonary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92710</wp:posOffset>
            </wp:positionV>
            <wp:extent cx="325755" cy="1968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9"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investment needs, fund certain acquisiton opportunites that may arise and allow for payment of dividends for the foreseeable future. Borrowings under the Revolving Facility are unsecured and may be used for general corporate purposes. The Company’s ability to borrow or issue securites is dependent upon, among other things, prevailing economic, fnancial and market conditons. At December 31, 2022, the Company had $1.20 billion of unused borrowing capacity under its Revolving Facility and Trade Receivable Facility.</w:t>
      </w:r>
    </w:p>
    <w:p>
      <w:pPr>
        <w:spacing w:after="0" w:line="111"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The Company may be required to obtain additonal fnancing in order to fund certain strategic acquisitons or to refnance outstanding debt. Any strategic acquisiton of size would likely require an appropriate balance of newly-issued equity with debt in order to maintain a composite investment-grade credit ratng. The Company is exposed to credit markets through the interest cost related to borrowings under its Revolving Facility and Trade Receivable Facility.</w:t>
      </w:r>
    </w:p>
    <w:p>
      <w:pPr>
        <w:spacing w:after="0" w:line="202"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Contractual and Of Balance Sheet Obligatons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Postretrement medical benefts will be paid from the Company’s assets. The obligaton, if any, for retree medical payments is subject to the terms of the plan. At December 31, 2022, the Company’s recorded beneft obligaton related to these benefts totaled $8.9 million.</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has other retrement benefts related to pension plans. At December 31, 2022, the fair value of the qualifed pension plans’ assets exceeded the projected beneft obligaton by $295.3 million. The Company estmates that it will make contributons of $25.0 million to qualifed pension plans in 2023. Any contributons beyond 2023 are currently undeterminable and will depend on the investment return on the related pension assets. At December 31, 2022, the Company had a total obligaton of $85.8 million related to unfunded nonqualifed pension plans and expects to make contributons of $11.5 million to these plans in 2023.</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At December 31, 2022, the Company had $3.8 million accrued for uncertain tax positons, including interest of $0.2 million. Such liabilites may become payable if the tax positons are not sustained upon examinaton by a taxing authority.</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connecton with normal, ongoing operatons, the Company enters into market-rate leases for property, plant and equipment and royalty commitments principally associated with leased land and mineral reserves. Additonally, the Company enters into equipment rentals to meet shorter-term, nonrecurring and intermitent needs. At December 31, 2022, the Company had $388.0 million in operatng lease obligatons and $199.9 million in fnance lease obligatons, representng the present value of future payments. The Company also had $8.6 million of lease obligatons classifed as held for sale. The imputed interest on operatng and fnance lease obligatons was $177.3 million. Management antcipates that, in the ordinary course of business, the Company will enter into additonal royalty agreements for land and mineral reserves during 2023. As permited, short-term leases are excluded from ASC 842 requirements and future noncancelable obligatons for these leases as of December 31, 2022 are immaterial.</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2022, future interest payable on the Company’s publicly traded debt through the various maturity dates was $2.13 billion. The Company had obligatons related to contracts of afreightment not accounted for as a lease and royalty agreements totaling $97.2 million and $156.3 million, respectvely, as of December 31, 2022. The Company had purchase commitments for property, plant and equipment of $130.4 million as of December 31, 2022. In additon, during 2022, the Company entered into a commitment for 691 railcars at an aggregate value of $75.8 million. The Company also had other purchase obligatons related to energy and service contracts which totaled $198.1 million as of December 31, 2022.</w:t>
      </w:r>
    </w:p>
    <w:p>
      <w:pPr>
        <w:spacing w:after="0" w:line="217"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Contngent Liabilites and Commitments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has entered into standby leter of credit agreements relatng to certain insurance claims, contract performance and permit requirements. At December 31, 2022, the Company had contngent liabilites guaranteeing its own performance under these outstanding leters of credit of $21.8 million.</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the normal course of business, at December 31, 2022, the Company was contngently liable for $678.5 million in surety bonds, which guarantee its own performance and are required by certain states and municipalites and their related agencies. The Company has indemnifed the underwritng insurance companies against any exposure under the surety bonds. In the Company’s past experience, no material claims have been made against these fnancial instruments.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is a guarantor with an unconsolidated afliate for a $15.0 million revolving line of credit agreement with Truist Bank that has a maturity date of March 2024, of which $2.6 million was outstanding as of December 31, 2022. The afliate has agreed to reimburse and indemnify the Company for any payments and expenses the Company may incur from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92710</wp:posOffset>
            </wp:positionV>
            <wp:extent cx="325755" cy="1968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9"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ind w:left="370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7 – Management’s Discussion and Analysis of Financial Conditon and Results of Operatons</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Company holds a lien on the afliate’s membership interest in a joint venture as collateral for payment under the revolving line of credit.</w:t>
      </w:r>
    </w:p>
    <w:p>
      <w:pPr>
        <w:spacing w:after="0" w:line="212"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786970"/>
        </w:rPr>
        <w:t>OTHER FINANCIAL INFORMATION</w:t>
      </w:r>
    </w:p>
    <w:p>
      <w:pPr>
        <w:spacing w:after="0" w:line="11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Critcal Accountng Policies and Estmates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audited consolidated fnancial statements include certain critcal estmates regarding the efect of maters that are inherently uncertain. These estmates require management’s subjectve and complex judgments. Amounts reported in the Company’s consolidated fnancial statements could difer materially if management used diferent assumptons in making these estmates, resultng in actual results difering from those estmates. Methodologies used and assumptons selected by management in making these estmates, as well as the related disclosures, have been reviewed by and discussed with the Company’s Audit Commitee. Management’s determinaton of the critcal nature of accountng estmates and judgments may change from tme to tme depending on facts and circumstances that management cannot currently predict.</w:t>
      </w:r>
    </w:p>
    <w:p>
      <w:pPr>
        <w:spacing w:after="0" w:line="218"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Impairment Review of Goodwill</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Goodwill is required to be tested annually for impairment. An interim review is performed between annual tests if facts and circumstances indicate a potental impairment. The Company performs its impairment evaluaton as of October 1, which represents the annual evaluaton date. The impairment review of goodwill is a critcal accountng estmate because goodwill represented 24% (excluding goodwill allocated to assets held for sale) of the Company’s total assets at December 31, 2022; the review requires management to apply judgment and make key assumptons; and an impairment charge could be material to the Company’s fnancial conditon and results of operatons.</w:t>
      </w:r>
    </w:p>
    <w:p>
      <w:pPr>
        <w:spacing w:after="0" w:line="112"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Certain operatng segments within the Building Materials business meet the aggregaton criteria and are consolidated into reportable segments for fnancial reportng. The Company’s reportng units, which represent the level at which goodwill is tested for impairment, are based on the operatng segments of the Building Materials business. Goodwill is assigned to the respectve reportng unit(s) based on the locaton of acquisitons at the tme of consummaton. If subsequent organizatonal changes result in operatons being transferred to a diferent reportng unit, a proportonate amount of goodwill is transferred from the former to the new reportng unit. The Southwest Division is the most signifcant reportng unit and includes $1.8 billion of the Company’s goodwill. There is also $1.1 billion of goodwill in the West Division reportng unit. There is no goodwill related to the Magnesia Specialtes business.</w:t>
      </w:r>
    </w:p>
    <w:p>
      <w:pPr>
        <w:spacing w:after="0" w:line="10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Goodwill is tested for impairment by comparing the reportng unit’s fair value to its carrying value, which represents a Step-1 analysis. However, prior to Step 1, the Company may perform an optonal qualitatve assessment, or Step 0. As part of the qualitatve assessment, the Company considers, among other things, the following events and circumstances: macroeconomic conditons, industry and market conditons, cost factors, overall fnancial performance and other business or reportng unit-specifc events. If the Company concludes it is more-likely-than-not (i.e., a likelihood of more than 50%) that a reportng unit’s fair value is higher than its carrying value, the Company does not perform any further goodwill impairment testng for that reportng unit. Otherwise, it proceeds to Step 1 of its goodwill impairment analysis. If the reportng unit’s fair value exceeds its carrying value, no further calculaton is necessary. A reportng unit with a carrying value in excess of its fair value consttutes a Step-1 failure and results in an impairment charge. When the Company validates its conclusion by measuring fair value, it may resume performing a qualitatve assessment for a reportng unit in any subsequent period. The Company may bypass the qualitatve assessment for any reportng unit in any period and proceed directly with the quanttatve calculaton in Step 1. The Company performs a Step-1 analysis for all its reportng units every three years.</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For the 2022 annual impairment evaluaton, the Company performed a Step-1 analysis for all reportng units. The fair values were calculated using a discounted cash fow model. Key assumptons included management’s estmates of changes in average selling price, shipment volumes and producton costs as well as assumptons of future proftability, capital requirements, discount rates ranging from 10.0% to 10.25% and a terminal growth rate of 2.5%. The fair value of all reportng units exceeded the carrying value. For sensitvity purposes, a 100-basis-point increase in the discount rate, holding all other assumptons constant, would stll result in all units passing the Step-1 analysis.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Future proftability and capital requirements are, by their nature, estmates. Price, cost and volume assumptons were based on various factors, including historical averages and current forecasts, external sources, and market conditons, while also considering any producton capacity constraints. Capital requirements included maintenance-level needs and known efciency- and capacity-increasing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92710</wp:posOffset>
            </wp:positionV>
            <wp:extent cx="325755" cy="1974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149"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discount rate is calculated for each reportng unit that requires a Step-1 analysis and represents its weighted average cost of capital. The calculaton of the discount rate includes the following components, which are primarily based on published sources: equity risk premium, historical beta, risk-free interest rate, small-stock premium and borrowing rate.</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The terminal growth rate was based on antcipated average GDP increases post-2023.</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Management believes that all assumptons used were reasonable based on historical operatng results and expected future trends. However, if future operatng results are unfavorable as compared with forecasts, the results of future goodwill impairment evaluatons could be negatvely afected. Further, mineral reserves, which represent underlying assets producing the reportng units’ cash fows for the aggregates product line, are depletng assets by their nature. Any potental impairment charges from future evaluatons represent a risk to the Company.</w:t>
      </w:r>
    </w:p>
    <w:p>
      <w:pPr>
        <w:spacing w:after="0" w:line="216"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Pension Beneft Obligaton and Pension Expense – Selecton of Assumptons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sponsors noncontributory defned beneft pension plans that cover substantally all employees and a Supplemental Excess Retrement Plan (SERP) for certain retrees (see Note K to the consolidated fnancial statements). Annually, as of December 31, management remeasures the defned beneft pension plans’ projected beneft obligaton based on the present value of the projected future beneft payments to all partcipants for services rendered to date, refectng expected future pay increases through the partcipants’ expected retrement dates. A discount rate assumpton is selected annually based on corporate bond rates as of the measurement date to calculate the present value of the projected beneft obligaton.</w:t>
      </w:r>
    </w:p>
    <w:p>
      <w:pPr>
        <w:spacing w:after="0" w:line="112"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Annual pension expense, referred to as net periodic beneft cost within the consolidated fnancial statements, (inclusive of SERP expense) consists of several components:</w:t>
      </w:r>
    </w:p>
    <w:p>
      <w:pPr>
        <w:spacing w:after="0" w:line="69" w:lineRule="exact"/>
        <w:rPr>
          <w:sz w:val="20"/>
          <w:szCs w:val="20"/>
          <w:color w:val="auto"/>
        </w:rPr>
      </w:pPr>
    </w:p>
    <w:p>
      <w:pPr>
        <w:ind w:left="1060" w:hanging="261"/>
        <w:spacing w:after="0" w:line="235" w:lineRule="auto"/>
        <w:tabs>
          <w:tab w:leader="none" w:pos="1060" w:val="left"/>
        </w:tabs>
        <w:numPr>
          <w:ilvl w:val="0"/>
          <w:numId w:val="25"/>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 xml:space="preserve">Service Cost, </w:t>
      </w:r>
      <w:r>
        <w:rPr>
          <w:rFonts w:ascii="Calibri" w:cs="Calibri" w:eastAsia="Calibri" w:hAnsi="Calibri"/>
          <w:sz w:val="18"/>
          <w:szCs w:val="18"/>
          <w:color w:val="auto"/>
        </w:rPr>
        <w:t>which represents the present value of benefts atributed to services rendered in the current year, measured by expected future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salary levels to assumed retrement dates;</w:t>
      </w:r>
    </w:p>
    <w:p>
      <w:pPr>
        <w:spacing w:after="0" w:line="64" w:lineRule="exact"/>
        <w:rPr>
          <w:rFonts w:ascii="Times New Roman" w:cs="Times New Roman" w:eastAsia="Times New Roman" w:hAnsi="Times New Roman"/>
          <w:sz w:val="18"/>
          <w:szCs w:val="18"/>
          <w:color w:val="auto"/>
        </w:rPr>
      </w:pPr>
    </w:p>
    <w:p>
      <w:pPr>
        <w:ind w:left="1060" w:hanging="261"/>
        <w:spacing w:after="0"/>
        <w:tabs>
          <w:tab w:leader="none" w:pos="1060" w:val="left"/>
        </w:tabs>
        <w:numPr>
          <w:ilvl w:val="0"/>
          <w:numId w:val="25"/>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 xml:space="preserve">Interest Cost, </w:t>
      </w:r>
      <w:r>
        <w:rPr>
          <w:rFonts w:ascii="Calibri" w:cs="Calibri" w:eastAsia="Calibri" w:hAnsi="Calibri"/>
          <w:sz w:val="18"/>
          <w:szCs w:val="18"/>
          <w:color w:val="auto"/>
        </w:rPr>
        <w:t>which represents one year’s additonal interest on the projected beneft obligaton;</w:t>
      </w:r>
    </w:p>
    <w:p>
      <w:pPr>
        <w:spacing w:after="0" w:line="63" w:lineRule="exact"/>
        <w:rPr>
          <w:rFonts w:ascii="Times New Roman" w:cs="Times New Roman" w:eastAsia="Times New Roman" w:hAnsi="Times New Roman"/>
          <w:sz w:val="18"/>
          <w:szCs w:val="18"/>
          <w:color w:val="auto"/>
        </w:rPr>
      </w:pPr>
    </w:p>
    <w:p>
      <w:pPr>
        <w:ind w:left="1060" w:hanging="261"/>
        <w:spacing w:after="0"/>
        <w:tabs>
          <w:tab w:leader="none" w:pos="1060" w:val="left"/>
        </w:tabs>
        <w:numPr>
          <w:ilvl w:val="0"/>
          <w:numId w:val="25"/>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 xml:space="preserve">Expected Return on Assets, </w:t>
      </w:r>
      <w:r>
        <w:rPr>
          <w:rFonts w:ascii="Calibri" w:cs="Calibri" w:eastAsia="Calibri" w:hAnsi="Calibri"/>
          <w:sz w:val="18"/>
          <w:szCs w:val="18"/>
          <w:color w:val="auto"/>
        </w:rPr>
        <w:t>which represents the expected investment return on pension plan assets; and</w:t>
      </w:r>
    </w:p>
    <w:p>
      <w:pPr>
        <w:spacing w:after="0" w:line="68" w:lineRule="exact"/>
        <w:rPr>
          <w:rFonts w:ascii="Times New Roman" w:cs="Times New Roman" w:eastAsia="Times New Roman" w:hAnsi="Times New Roman"/>
          <w:sz w:val="18"/>
          <w:szCs w:val="18"/>
          <w:color w:val="auto"/>
        </w:rPr>
      </w:pPr>
    </w:p>
    <w:p>
      <w:pPr>
        <w:jc w:val="both"/>
        <w:ind w:left="1060" w:hanging="261"/>
        <w:spacing w:after="0" w:line="235" w:lineRule="auto"/>
        <w:tabs>
          <w:tab w:leader="none" w:pos="1060" w:val="left"/>
        </w:tabs>
        <w:numPr>
          <w:ilvl w:val="0"/>
          <w:numId w:val="25"/>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 xml:space="preserve">Amortzaton of Prior Service Cost and Actuarial Gains and Losses, </w:t>
      </w:r>
      <w:r>
        <w:rPr>
          <w:rFonts w:ascii="Calibri" w:cs="Calibri" w:eastAsia="Calibri" w:hAnsi="Calibri"/>
          <w:sz w:val="18"/>
          <w:szCs w:val="18"/>
          <w:color w:val="auto"/>
        </w:rPr>
        <w:t>which represents components that are recognized over tme rather than</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immediately. Prior service cost represents credit given to employees for years of service already accrued. At December 31, 2022, unrecognized prior service cost was $48.2 million. Management currently expects to amortze $5.9 million of the unrecognized prior service cost in 2023. Actuarial gains and losses arise from changes in assumptons regarding future events, a change in the beneft obligaton resultng from experience diferent from assumed or when actual returns on pension assets difer from expected returns. At December 31, 2022, the unrecognized actuarial loss was $43.2 million. Pension accountng rules currently allow companies to amortze the porton of the unrecognized actuarial loss that represents more than 10% of the greater of the projected beneft obligaton or pension plan assets, using the average remaining service life for the amortzaton period. The calculaton is performed on a plan-by-plan basis. Management currently expects to amortze $0.4 million of the unrecognized actuarial loss in 2023.</w:t>
      </w:r>
    </w:p>
    <w:p>
      <w:pPr>
        <w:spacing w:after="0" w:line="111" w:lineRule="exact"/>
        <w:rPr>
          <w:sz w:val="20"/>
          <w:szCs w:val="20"/>
          <w:color w:val="auto"/>
        </w:rPr>
      </w:pPr>
    </w:p>
    <w:p>
      <w:pPr>
        <w:spacing w:after="0"/>
        <w:rPr>
          <w:sz w:val="20"/>
          <w:szCs w:val="20"/>
          <w:color w:val="auto"/>
        </w:rPr>
      </w:pPr>
      <w:r>
        <w:rPr>
          <w:rFonts w:ascii="Calibri" w:cs="Calibri" w:eastAsia="Calibri" w:hAnsi="Calibri"/>
          <w:sz w:val="18"/>
          <w:szCs w:val="18"/>
          <w:color w:val="auto"/>
        </w:rPr>
        <w:t>The aforementoned components are calculated annually to determine the annual pension expense.</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Management believes the selecton of assumptons related to the annual pension expense and related projected beneft obligaton is a critcal accountng estmate due to the high degree of volatlity in the expense and obligaton dependent on selected assumptons. The key assumptons are as follows:</w:t>
      </w:r>
    </w:p>
    <w:p>
      <w:pPr>
        <w:spacing w:after="0" w:line="69" w:lineRule="exact"/>
        <w:rPr>
          <w:sz w:val="20"/>
          <w:szCs w:val="20"/>
          <w:color w:val="auto"/>
        </w:rPr>
      </w:pPr>
    </w:p>
    <w:p>
      <w:pPr>
        <w:ind w:left="1060" w:hanging="261"/>
        <w:spacing w:after="0" w:line="235" w:lineRule="auto"/>
        <w:tabs>
          <w:tab w:leader="none" w:pos="1060" w:val="left"/>
        </w:tabs>
        <w:numPr>
          <w:ilvl w:val="0"/>
          <w:numId w:val="26"/>
        </w:numPr>
        <w:rPr>
          <w:rFonts w:ascii="Times New Roman" w:cs="Times New Roman" w:eastAsia="Times New Roman" w:hAnsi="Times New Roman"/>
          <w:sz w:val="18"/>
          <w:szCs w:val="18"/>
          <w:color w:val="auto"/>
        </w:rPr>
      </w:pPr>
      <w:r>
        <w:rPr>
          <w:rFonts w:ascii="Calibri" w:cs="Calibri" w:eastAsia="Calibri" w:hAnsi="Calibri"/>
          <w:sz w:val="18"/>
          <w:szCs w:val="18"/>
          <w:color w:val="auto"/>
        </w:rPr>
        <w:t xml:space="preserve">The </w:t>
      </w:r>
      <w:r>
        <w:rPr>
          <w:rFonts w:ascii="Calibri" w:cs="Calibri" w:eastAsia="Calibri" w:hAnsi="Calibri"/>
          <w:sz w:val="18"/>
          <w:szCs w:val="18"/>
          <w:i w:val="1"/>
          <w:iCs w:val="1"/>
          <w:color w:val="auto"/>
        </w:rPr>
        <w:t>discount rate</w:t>
      </w:r>
      <w:r>
        <w:rPr>
          <w:rFonts w:ascii="Calibri" w:cs="Calibri" w:eastAsia="Calibri" w:hAnsi="Calibri"/>
          <w:sz w:val="18"/>
          <w:szCs w:val="18"/>
          <w:color w:val="auto"/>
        </w:rPr>
        <w:t xml:space="preserve"> is used to present value the projected beneft obligaton and represents the current rate at which the projected beneft obligatons could be efectvely setled.</w:t>
      </w:r>
    </w:p>
    <w:p>
      <w:pPr>
        <w:spacing w:after="0" w:line="69" w:lineRule="exact"/>
        <w:rPr>
          <w:rFonts w:ascii="Times New Roman" w:cs="Times New Roman" w:eastAsia="Times New Roman" w:hAnsi="Times New Roman"/>
          <w:sz w:val="18"/>
          <w:szCs w:val="18"/>
          <w:color w:val="auto"/>
        </w:rPr>
      </w:pPr>
    </w:p>
    <w:p>
      <w:pPr>
        <w:ind w:left="1060" w:hanging="261"/>
        <w:spacing w:after="0" w:line="235" w:lineRule="auto"/>
        <w:tabs>
          <w:tab w:leader="none" w:pos="1060" w:val="left"/>
        </w:tabs>
        <w:numPr>
          <w:ilvl w:val="0"/>
          <w:numId w:val="26"/>
        </w:numPr>
        <w:rPr>
          <w:rFonts w:ascii="Times New Roman" w:cs="Times New Roman" w:eastAsia="Times New Roman" w:hAnsi="Times New Roman"/>
          <w:sz w:val="18"/>
          <w:szCs w:val="18"/>
          <w:color w:val="auto"/>
        </w:rPr>
      </w:pPr>
      <w:r>
        <w:rPr>
          <w:rFonts w:ascii="Calibri" w:cs="Calibri" w:eastAsia="Calibri" w:hAnsi="Calibri"/>
          <w:sz w:val="18"/>
          <w:szCs w:val="18"/>
          <w:color w:val="auto"/>
        </w:rPr>
        <w:t xml:space="preserve">The </w:t>
      </w:r>
      <w:r>
        <w:rPr>
          <w:rFonts w:ascii="Calibri" w:cs="Calibri" w:eastAsia="Calibri" w:hAnsi="Calibri"/>
          <w:sz w:val="18"/>
          <w:szCs w:val="18"/>
          <w:i w:val="1"/>
          <w:iCs w:val="1"/>
          <w:color w:val="auto"/>
        </w:rPr>
        <w:t>expected long-term rate of return on pension plan assets</w:t>
      </w:r>
      <w:r>
        <w:rPr>
          <w:rFonts w:ascii="Calibri" w:cs="Calibri" w:eastAsia="Calibri" w:hAnsi="Calibri"/>
          <w:sz w:val="18"/>
          <w:szCs w:val="18"/>
          <w:color w:val="auto"/>
        </w:rPr>
        <w:t xml:space="preserve"> is used to estmate future asset returns and should refect the average rate of long-term earnings on assets invested to provide for the benefts included in the projected beneft obligaton.</w:t>
      </w:r>
    </w:p>
    <w:p>
      <w:pPr>
        <w:spacing w:after="0" w:line="64" w:lineRule="exact"/>
        <w:rPr>
          <w:rFonts w:ascii="Times New Roman" w:cs="Times New Roman" w:eastAsia="Times New Roman" w:hAnsi="Times New Roman"/>
          <w:sz w:val="18"/>
          <w:szCs w:val="18"/>
          <w:color w:val="auto"/>
        </w:rPr>
      </w:pPr>
    </w:p>
    <w:p>
      <w:pPr>
        <w:ind w:left="1060" w:hanging="261"/>
        <w:spacing w:after="0"/>
        <w:tabs>
          <w:tab w:leader="none" w:pos="1060" w:val="left"/>
        </w:tabs>
        <w:numPr>
          <w:ilvl w:val="0"/>
          <w:numId w:val="26"/>
        </w:numPr>
        <w:rPr>
          <w:rFonts w:ascii="Times New Roman" w:cs="Times New Roman" w:eastAsia="Times New Roman" w:hAnsi="Times New Roman"/>
          <w:sz w:val="18"/>
          <w:szCs w:val="18"/>
          <w:color w:val="auto"/>
        </w:rPr>
      </w:pPr>
      <w:r>
        <w:rPr>
          <w:rFonts w:ascii="Calibri" w:cs="Calibri" w:eastAsia="Calibri" w:hAnsi="Calibri"/>
          <w:sz w:val="18"/>
          <w:szCs w:val="18"/>
          <w:color w:val="auto"/>
        </w:rPr>
        <w:t xml:space="preserve">The </w:t>
      </w:r>
      <w:r>
        <w:rPr>
          <w:rFonts w:ascii="Calibri" w:cs="Calibri" w:eastAsia="Calibri" w:hAnsi="Calibri"/>
          <w:sz w:val="18"/>
          <w:szCs w:val="18"/>
          <w:i w:val="1"/>
          <w:iCs w:val="1"/>
          <w:color w:val="auto"/>
        </w:rPr>
        <w:t>mortality table</w:t>
      </w:r>
      <w:r>
        <w:rPr>
          <w:rFonts w:ascii="Calibri" w:cs="Calibri" w:eastAsia="Calibri" w:hAnsi="Calibri"/>
          <w:sz w:val="18"/>
          <w:szCs w:val="18"/>
          <w:color w:val="auto"/>
        </w:rPr>
        <w:t xml:space="preserve"> and </w:t>
      </w:r>
      <w:r>
        <w:rPr>
          <w:rFonts w:ascii="Calibri" w:cs="Calibri" w:eastAsia="Calibri" w:hAnsi="Calibri"/>
          <w:sz w:val="18"/>
          <w:szCs w:val="18"/>
          <w:i w:val="1"/>
          <w:iCs w:val="1"/>
          <w:color w:val="auto"/>
        </w:rPr>
        <w:t>mortality improvement scale</w:t>
      </w:r>
      <w:r>
        <w:rPr>
          <w:rFonts w:ascii="Calibri" w:cs="Calibri" w:eastAsia="Calibri" w:hAnsi="Calibri"/>
          <w:sz w:val="18"/>
          <w:szCs w:val="18"/>
          <w:color w:val="auto"/>
        </w:rPr>
        <w:t xml:space="preserve"> represent published statstcs on the expected lives of people.</w:t>
      </w:r>
    </w:p>
    <w:p>
      <w:pPr>
        <w:spacing w:after="0" w:line="68" w:lineRule="exact"/>
        <w:rPr>
          <w:rFonts w:ascii="Times New Roman" w:cs="Times New Roman" w:eastAsia="Times New Roman" w:hAnsi="Times New Roman"/>
          <w:sz w:val="18"/>
          <w:szCs w:val="18"/>
          <w:color w:val="auto"/>
        </w:rPr>
      </w:pPr>
    </w:p>
    <w:p>
      <w:pPr>
        <w:ind w:left="1060" w:hanging="261"/>
        <w:spacing w:after="0" w:line="235" w:lineRule="auto"/>
        <w:tabs>
          <w:tab w:leader="none" w:pos="1060" w:val="left"/>
        </w:tabs>
        <w:numPr>
          <w:ilvl w:val="0"/>
          <w:numId w:val="26"/>
        </w:numPr>
        <w:rPr>
          <w:rFonts w:ascii="Times New Roman" w:cs="Times New Roman" w:eastAsia="Times New Roman" w:hAnsi="Times New Roman"/>
          <w:sz w:val="18"/>
          <w:szCs w:val="18"/>
          <w:color w:val="auto"/>
        </w:rPr>
      </w:pPr>
      <w:r>
        <w:rPr>
          <w:rFonts w:ascii="Calibri" w:cs="Calibri" w:eastAsia="Calibri" w:hAnsi="Calibri"/>
          <w:sz w:val="18"/>
          <w:szCs w:val="18"/>
          <w:color w:val="auto"/>
        </w:rPr>
        <w:t xml:space="preserve">The </w:t>
      </w:r>
      <w:r>
        <w:rPr>
          <w:rFonts w:ascii="Calibri" w:cs="Calibri" w:eastAsia="Calibri" w:hAnsi="Calibri"/>
          <w:sz w:val="18"/>
          <w:szCs w:val="18"/>
          <w:i w:val="1"/>
          <w:iCs w:val="1"/>
          <w:color w:val="auto"/>
        </w:rPr>
        <w:t>rate of increase in future compensaton levels</w:t>
      </w:r>
      <w:r>
        <w:rPr>
          <w:rFonts w:ascii="Calibri" w:cs="Calibri" w:eastAsia="Calibri" w:hAnsi="Calibri"/>
          <w:sz w:val="18"/>
          <w:szCs w:val="18"/>
          <w:color w:val="auto"/>
        </w:rPr>
        <w:t xml:space="preserve"> is used to project the pay-related pension beneft formula and should estmate actual future compensaton levels.</w:t>
      </w:r>
    </w:p>
    <w:p>
      <w:pPr>
        <w:spacing w:after="0" w:line="110"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Management’s selecton of the discount rate is based on an analysis that estmates the current rate of return for high-quality, fxed-income investments with maturites matching the payment of pension benefts that could be purchased to setle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92710</wp:posOffset>
            </wp:positionV>
            <wp:extent cx="325755" cy="1968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obligatons. The Company selected a hypothetcal portolio of Moody’s Aa bonds, with maturites that match the beneft obligatons, to determine the discount rate. At December 31, 2022, the Company selected a discount rate assumpton of 5.88%, a 265-basis-point increase compared with the December 31, 2021 assumpton. Of the four key assumptons, the discount rate is generally the most volatle and sensitve estmate. Accordingly, a change in this assumpton has the most signifcant impact on the annual pension expense and the projected beneft obligaton.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Management’s selecton of the rate of increase in future compensaton levels, which refects cost of living adjustments and merit and promoton increases, is generally based on the Company’s historical increases in pensionable earnings, while giving consideraton to any future expectatons. A higher rate of increase results in higher pension expense and a higher projected beneft obligaton. The assumed long-term rate of increase is 4.50%.</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Management’s selecton of the expected long-term rate of return on pension fund assets is based on a building-block approach, whereby the components are weighted based on the allocaton of pension plan assets. Based on the currently projected returns on these assets and related expenses, the Company selected an expected return on assets of 6.75%, the same as the prior-year rate. The following table presents the expected return on pension assets as compared with the actual return on pension assets:</w:t>
      </w:r>
    </w:p>
    <w:p>
      <w:pPr>
        <w:spacing w:after="0" w:line="120" w:lineRule="exact"/>
        <w:rPr>
          <w:sz w:val="20"/>
          <w:szCs w:val="20"/>
          <w:color w:val="auto"/>
        </w:rPr>
      </w:pPr>
    </w:p>
    <w:tbl>
      <w:tblPr>
        <w:tblLayout w:type="fixed"/>
        <w:tblInd w:w="720" w:type="dxa"/>
        <w:tblCellMar>
          <w:top w:w="0" w:type="dxa"/>
          <w:left w:w="0" w:type="dxa"/>
          <w:bottom w:w="0" w:type="dxa"/>
          <w:right w:w="0" w:type="dxa"/>
        </w:tblCellMar>
      </w:tblPr>
      <w:tr>
        <w:trPr>
          <w:trHeight w:val="220"/>
        </w:trPr>
        <w:tc>
          <w:tcPr>
            <w:tcW w:w="2040" w:type="dxa"/>
            <w:vAlign w:val="bottom"/>
          </w:tcPr>
          <w:p>
            <w:pPr>
              <w:jc w:val="center"/>
              <w:ind w:right="190"/>
              <w:spacing w:after="0"/>
              <w:rPr>
                <w:sz w:val="20"/>
                <w:szCs w:val="20"/>
                <w:color w:val="auto"/>
              </w:rPr>
            </w:pPr>
            <w:r>
              <w:rPr>
                <w:rFonts w:ascii="Calibri" w:cs="Calibri" w:eastAsia="Calibri" w:hAnsi="Calibri"/>
                <w:sz w:val="18"/>
                <w:szCs w:val="18"/>
                <w:color w:val="auto"/>
                <w:w w:val="98"/>
              </w:rPr>
              <w:t>(in millions)</w:t>
            </w:r>
          </w:p>
        </w:tc>
        <w:tc>
          <w:tcPr>
            <w:tcW w:w="4220" w:type="dxa"/>
            <w:vAlign w:val="bottom"/>
          </w:tcPr>
          <w:p>
            <w:pPr>
              <w:jc w:val="center"/>
              <w:ind w:right="50"/>
              <w:spacing w:after="0"/>
              <w:rPr>
                <w:sz w:val="20"/>
                <w:szCs w:val="20"/>
                <w:color w:val="auto"/>
              </w:rPr>
            </w:pPr>
            <w:r>
              <w:rPr>
                <w:rFonts w:ascii="Calibri" w:cs="Calibri" w:eastAsia="Calibri" w:hAnsi="Calibri"/>
                <w:sz w:val="18"/>
                <w:szCs w:val="18"/>
                <w:b w:val="1"/>
                <w:bCs w:val="1"/>
                <w:color w:val="auto"/>
                <w:w w:val="97"/>
              </w:rPr>
              <w:t>Expected Return on Pension Assets</w:t>
            </w:r>
          </w:p>
        </w:tc>
        <w:tc>
          <w:tcPr>
            <w:tcW w:w="3960" w:type="dxa"/>
            <w:vAlign w:val="bottom"/>
          </w:tcPr>
          <w:p>
            <w:pPr>
              <w:jc w:val="right"/>
              <w:ind w:right="630"/>
              <w:spacing w:after="0"/>
              <w:rPr>
                <w:sz w:val="20"/>
                <w:szCs w:val="20"/>
                <w:color w:val="auto"/>
              </w:rPr>
            </w:pPr>
            <w:r>
              <w:rPr>
                <w:rFonts w:ascii="Calibri" w:cs="Calibri" w:eastAsia="Calibri" w:hAnsi="Calibri"/>
                <w:sz w:val="18"/>
                <w:szCs w:val="18"/>
                <w:b w:val="1"/>
                <w:bCs w:val="1"/>
                <w:color w:val="auto"/>
              </w:rPr>
              <w:t>Actual Return on Pension Assets</w:t>
            </w:r>
          </w:p>
        </w:tc>
      </w:tr>
      <w:tr>
        <w:trPr>
          <w:trHeight w:val="37"/>
        </w:trPr>
        <w:tc>
          <w:tcPr>
            <w:tcW w:w="2040" w:type="dxa"/>
            <w:vAlign w:val="bottom"/>
            <w:tcBorders>
              <w:bottom w:val="single" w:sz="8" w:color="auto"/>
            </w:tcBorders>
          </w:tcPr>
          <w:p>
            <w:pPr>
              <w:spacing w:after="0"/>
              <w:rPr>
                <w:sz w:val="3"/>
                <w:szCs w:val="3"/>
                <w:color w:val="auto"/>
              </w:rPr>
            </w:pPr>
          </w:p>
        </w:tc>
        <w:tc>
          <w:tcPr>
            <w:tcW w:w="4220" w:type="dxa"/>
            <w:vAlign w:val="bottom"/>
            <w:tcBorders>
              <w:bottom w:val="single" w:sz="8" w:color="auto"/>
            </w:tcBorders>
          </w:tcPr>
          <w:p>
            <w:pPr>
              <w:spacing w:after="0"/>
              <w:rPr>
                <w:sz w:val="3"/>
                <w:szCs w:val="3"/>
                <w:color w:val="auto"/>
              </w:rPr>
            </w:pPr>
          </w:p>
        </w:tc>
        <w:tc>
          <w:tcPr>
            <w:tcW w:w="3960" w:type="dxa"/>
            <w:vAlign w:val="bottom"/>
            <w:tcBorders>
              <w:bottom w:val="single" w:sz="8" w:color="auto"/>
            </w:tcBorders>
          </w:tcPr>
          <w:p>
            <w:pPr>
              <w:spacing w:after="0"/>
              <w:rPr>
                <w:sz w:val="3"/>
                <w:szCs w:val="3"/>
                <w:color w:val="auto"/>
              </w:rPr>
            </w:pPr>
          </w:p>
        </w:tc>
      </w:tr>
      <w:tr>
        <w:trPr>
          <w:trHeight w:val="217"/>
        </w:trPr>
        <w:tc>
          <w:tcPr>
            <w:tcW w:w="2040" w:type="dxa"/>
            <w:vAlign w:val="bottom"/>
            <w:tcBorders>
              <w:bottom w:val="single" w:sz="8" w:color="E5F1F8"/>
            </w:tcBorders>
            <w:shd w:val="clear" w:color="auto" w:fill="E5F1F8"/>
          </w:tcPr>
          <w:p>
            <w:pPr>
              <w:jc w:val="center"/>
              <w:ind w:right="190"/>
              <w:spacing w:after="0" w:line="208" w:lineRule="exact"/>
              <w:rPr>
                <w:sz w:val="20"/>
                <w:szCs w:val="20"/>
                <w:color w:val="auto"/>
              </w:rPr>
            </w:pPr>
            <w:r>
              <w:rPr>
                <w:rFonts w:ascii="Calibri" w:cs="Calibri" w:eastAsia="Calibri" w:hAnsi="Calibri"/>
                <w:sz w:val="18"/>
                <w:szCs w:val="18"/>
                <w:b w:val="1"/>
                <w:bCs w:val="1"/>
                <w:color w:val="auto"/>
                <w:w w:val="98"/>
              </w:rPr>
              <w:t>2022</w:t>
            </w:r>
          </w:p>
        </w:tc>
        <w:tc>
          <w:tcPr>
            <w:tcW w:w="4220" w:type="dxa"/>
            <w:vAlign w:val="bottom"/>
            <w:tcBorders>
              <w:bottom w:val="single" w:sz="8" w:color="E5F1F8"/>
            </w:tcBorders>
            <w:shd w:val="clear" w:color="auto" w:fill="E5F1F8"/>
          </w:tcPr>
          <w:p>
            <w:pPr>
              <w:jc w:val="center"/>
              <w:ind w:right="50"/>
              <w:spacing w:after="0" w:line="208" w:lineRule="exact"/>
              <w:rPr>
                <w:sz w:val="20"/>
                <w:szCs w:val="20"/>
                <w:color w:val="auto"/>
              </w:rPr>
            </w:pPr>
            <w:r>
              <w:rPr>
                <w:rFonts w:ascii="Calibri" w:cs="Calibri" w:eastAsia="Calibri" w:hAnsi="Calibri"/>
                <w:sz w:val="18"/>
                <w:szCs w:val="18"/>
                <w:b w:val="1"/>
                <w:bCs w:val="1"/>
                <w:color w:val="auto"/>
                <w:w w:val="96"/>
              </w:rPr>
              <w:t>$77.3</w:t>
            </w:r>
          </w:p>
        </w:tc>
        <w:tc>
          <w:tcPr>
            <w:tcW w:w="3960" w:type="dxa"/>
            <w:vAlign w:val="bottom"/>
            <w:tcBorders>
              <w:bottom w:val="single" w:sz="8" w:color="E5F1F8"/>
            </w:tcBorders>
            <w:shd w:val="clear" w:color="auto" w:fill="E5F1F8"/>
          </w:tcPr>
          <w:p>
            <w:pPr>
              <w:jc w:val="right"/>
              <w:ind w:right="1510"/>
              <w:spacing w:after="0" w:line="208" w:lineRule="exact"/>
              <w:rPr>
                <w:sz w:val="20"/>
                <w:szCs w:val="20"/>
                <w:color w:val="auto"/>
              </w:rPr>
            </w:pPr>
            <w:r>
              <w:rPr>
                <w:rFonts w:ascii="Calibri" w:cs="Calibri" w:eastAsia="Calibri" w:hAnsi="Calibri"/>
                <w:sz w:val="18"/>
                <w:szCs w:val="18"/>
                <w:b w:val="1"/>
                <w:bCs w:val="1"/>
                <w:color w:val="auto"/>
              </w:rPr>
              <w:t>($171.4)</w:t>
            </w:r>
          </w:p>
        </w:tc>
      </w:tr>
      <w:tr>
        <w:trPr>
          <w:trHeight w:val="215"/>
        </w:trPr>
        <w:tc>
          <w:tcPr>
            <w:tcW w:w="2040" w:type="dxa"/>
            <w:vAlign w:val="bottom"/>
          </w:tcPr>
          <w:p>
            <w:pPr>
              <w:jc w:val="center"/>
              <w:ind w:right="190"/>
              <w:spacing w:after="0" w:line="215" w:lineRule="exact"/>
              <w:rPr>
                <w:sz w:val="20"/>
                <w:szCs w:val="20"/>
                <w:color w:val="auto"/>
              </w:rPr>
            </w:pPr>
            <w:r>
              <w:rPr>
                <w:rFonts w:ascii="Calibri" w:cs="Calibri" w:eastAsia="Calibri" w:hAnsi="Calibri"/>
                <w:sz w:val="18"/>
                <w:szCs w:val="18"/>
                <w:color w:val="auto"/>
                <w:w w:val="98"/>
              </w:rPr>
              <w:t>2021</w:t>
            </w:r>
          </w:p>
        </w:tc>
        <w:tc>
          <w:tcPr>
            <w:tcW w:w="4220" w:type="dxa"/>
            <w:vAlign w:val="bottom"/>
          </w:tcPr>
          <w:p>
            <w:pPr>
              <w:jc w:val="center"/>
              <w:ind w:right="50"/>
              <w:spacing w:after="0" w:line="215" w:lineRule="exact"/>
              <w:rPr>
                <w:sz w:val="20"/>
                <w:szCs w:val="20"/>
                <w:color w:val="auto"/>
              </w:rPr>
            </w:pPr>
            <w:r>
              <w:rPr>
                <w:rFonts w:ascii="Calibri" w:cs="Calibri" w:eastAsia="Calibri" w:hAnsi="Calibri"/>
                <w:sz w:val="18"/>
                <w:szCs w:val="18"/>
                <w:color w:val="auto"/>
                <w:w w:val="97"/>
              </w:rPr>
              <w:t>$70.5</w:t>
            </w:r>
          </w:p>
        </w:tc>
        <w:tc>
          <w:tcPr>
            <w:tcW w:w="3960" w:type="dxa"/>
            <w:vAlign w:val="bottom"/>
          </w:tcPr>
          <w:p>
            <w:pPr>
              <w:jc w:val="right"/>
              <w:ind w:right="1570"/>
              <w:spacing w:after="0" w:line="215" w:lineRule="exact"/>
              <w:rPr>
                <w:sz w:val="20"/>
                <w:szCs w:val="20"/>
                <w:color w:val="auto"/>
              </w:rPr>
            </w:pPr>
            <w:r>
              <w:rPr>
                <w:rFonts w:ascii="Calibri" w:cs="Calibri" w:eastAsia="Calibri" w:hAnsi="Calibri"/>
                <w:sz w:val="18"/>
                <w:szCs w:val="18"/>
                <w:color w:val="auto"/>
              </w:rPr>
              <w:t>$121.7</w:t>
            </w:r>
          </w:p>
        </w:tc>
      </w:tr>
    </w:tbl>
    <w:p>
      <w:pPr>
        <w:spacing w:after="0" w:line="19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diference between the expected return and the actual return on pension assets is included in actuarial gains and losses, which are amortzed into annual pension expense as previously described.</w:t>
      </w:r>
    </w:p>
    <w:p>
      <w:pPr>
        <w:spacing w:after="0" w:line="110"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At December 31, 2022 and 2021, the Company estmated the remaining lives of partcipants in the pension plans using the Society of Actuaries’ Pri-2012 Base Mortality Table. The no-collar table was used for salaried partcipants and the blue-collar table was used for hourly partcipants, both adjusted to refect the historical experience of the Company’s partcipants. The Company selected the MP-2020 scale for mortality improvement at December 31, 2022 and 2021.</w:t>
      </w:r>
    </w:p>
    <w:p>
      <w:pPr>
        <w:spacing w:after="0" w:line="92" w:lineRule="exact"/>
        <w:rPr>
          <w:sz w:val="20"/>
          <w:szCs w:val="20"/>
          <w:color w:val="auto"/>
        </w:rPr>
      </w:pPr>
    </w:p>
    <w:p>
      <w:pPr>
        <w:spacing w:after="0"/>
        <w:rPr>
          <w:sz w:val="20"/>
          <w:szCs w:val="20"/>
          <w:color w:val="auto"/>
        </w:rPr>
      </w:pPr>
      <w:r>
        <w:rPr>
          <w:rFonts w:ascii="Calibri" w:cs="Calibri" w:eastAsia="Calibri" w:hAnsi="Calibri"/>
          <w:sz w:val="18"/>
          <w:szCs w:val="18"/>
          <w:color w:val="auto"/>
        </w:rPr>
        <w:t>Assumptons are selected on December 31 to calculate the succeeding year’s expense. The assumptons selected at December 31, 2022 were as follows:</w:t>
      </w:r>
    </w:p>
    <w:p>
      <w:pPr>
        <w:spacing w:after="0" w:line="118" w:lineRule="exact"/>
        <w:rPr>
          <w:sz w:val="20"/>
          <w:szCs w:val="20"/>
          <w:color w:val="auto"/>
        </w:rPr>
      </w:pPr>
    </w:p>
    <w:tbl>
      <w:tblPr>
        <w:tblLayout w:type="fixed"/>
        <w:tblInd w:w="1080" w:type="dxa"/>
        <w:tblCellMar>
          <w:top w:w="0" w:type="dxa"/>
          <w:left w:w="0" w:type="dxa"/>
          <w:bottom w:w="0" w:type="dxa"/>
          <w:right w:w="0" w:type="dxa"/>
        </w:tblCellMar>
      </w:tblPr>
      <w:tr>
        <w:trPr>
          <w:trHeight w:val="220"/>
        </w:trPr>
        <w:tc>
          <w:tcPr>
            <w:tcW w:w="5920" w:type="dxa"/>
            <w:vAlign w:val="bottom"/>
          </w:tcPr>
          <w:p>
            <w:pPr>
              <w:ind w:left="100"/>
              <w:spacing w:after="0"/>
              <w:rPr>
                <w:sz w:val="20"/>
                <w:szCs w:val="20"/>
                <w:color w:val="auto"/>
              </w:rPr>
            </w:pPr>
            <w:r>
              <w:rPr>
                <w:rFonts w:ascii="Calibri" w:cs="Calibri" w:eastAsia="Calibri" w:hAnsi="Calibri"/>
                <w:sz w:val="18"/>
                <w:szCs w:val="18"/>
                <w:color w:val="auto"/>
              </w:rPr>
              <w:t>Discount rate</w:t>
            </w:r>
          </w:p>
        </w:tc>
        <w:tc>
          <w:tcPr>
            <w:tcW w:w="3180" w:type="dxa"/>
            <w:vAlign w:val="bottom"/>
          </w:tcPr>
          <w:p>
            <w:pPr>
              <w:jc w:val="right"/>
              <w:ind w:right="50"/>
              <w:spacing w:after="0"/>
              <w:rPr>
                <w:sz w:val="20"/>
                <w:szCs w:val="20"/>
                <w:color w:val="auto"/>
              </w:rPr>
            </w:pPr>
            <w:r>
              <w:rPr>
                <w:rFonts w:ascii="Calibri" w:cs="Calibri" w:eastAsia="Calibri" w:hAnsi="Calibri"/>
                <w:sz w:val="18"/>
                <w:szCs w:val="18"/>
                <w:color w:val="auto"/>
              </w:rPr>
              <w:t>5.88%</w:t>
            </w:r>
          </w:p>
        </w:tc>
      </w:tr>
      <w:tr>
        <w:trPr>
          <w:trHeight w:val="37"/>
        </w:trPr>
        <w:tc>
          <w:tcPr>
            <w:tcW w:w="5920" w:type="dxa"/>
            <w:vAlign w:val="bottom"/>
          </w:tcPr>
          <w:p>
            <w:pPr>
              <w:spacing w:after="0"/>
              <w:rPr>
                <w:sz w:val="3"/>
                <w:szCs w:val="3"/>
                <w:color w:val="auto"/>
              </w:rPr>
            </w:pPr>
          </w:p>
        </w:tc>
        <w:tc>
          <w:tcPr>
            <w:tcW w:w="3180" w:type="dxa"/>
            <w:vAlign w:val="bottom"/>
          </w:tcPr>
          <w:p>
            <w:pPr>
              <w:spacing w:after="0"/>
              <w:rPr>
                <w:sz w:val="3"/>
                <w:szCs w:val="3"/>
                <w:color w:val="auto"/>
              </w:rPr>
            </w:pPr>
          </w:p>
        </w:tc>
      </w:tr>
      <w:tr>
        <w:trPr>
          <w:trHeight w:val="223"/>
        </w:trPr>
        <w:tc>
          <w:tcPr>
            <w:tcW w:w="5920" w:type="dxa"/>
            <w:vAlign w:val="bottom"/>
            <w:tcBorders>
              <w:bottom w:val="single" w:sz="8" w:color="E5F1F8"/>
            </w:tcBorders>
            <w:shd w:val="clear" w:color="auto" w:fill="E5F1F8"/>
          </w:tcPr>
          <w:p>
            <w:pPr>
              <w:ind w:left="100"/>
              <w:spacing w:after="0" w:line="215" w:lineRule="exact"/>
              <w:rPr>
                <w:sz w:val="20"/>
                <w:szCs w:val="20"/>
                <w:color w:val="auto"/>
              </w:rPr>
            </w:pPr>
            <w:r>
              <w:rPr>
                <w:rFonts w:ascii="Calibri" w:cs="Calibri" w:eastAsia="Calibri" w:hAnsi="Calibri"/>
                <w:sz w:val="18"/>
                <w:szCs w:val="18"/>
                <w:color w:val="auto"/>
              </w:rPr>
              <w:t>Rate of increase in future compensaton levels</w:t>
            </w:r>
          </w:p>
        </w:tc>
        <w:tc>
          <w:tcPr>
            <w:tcW w:w="31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4.50%</w:t>
            </w:r>
          </w:p>
        </w:tc>
      </w:tr>
      <w:tr>
        <w:trPr>
          <w:trHeight w:val="215"/>
        </w:trPr>
        <w:tc>
          <w:tcPr>
            <w:tcW w:w="5920" w:type="dxa"/>
            <w:vAlign w:val="bottom"/>
          </w:tcPr>
          <w:p>
            <w:pPr>
              <w:ind w:left="100"/>
              <w:spacing w:after="0" w:line="215" w:lineRule="exact"/>
              <w:rPr>
                <w:sz w:val="20"/>
                <w:szCs w:val="20"/>
                <w:color w:val="auto"/>
              </w:rPr>
            </w:pPr>
            <w:r>
              <w:rPr>
                <w:rFonts w:ascii="Calibri" w:cs="Calibri" w:eastAsia="Calibri" w:hAnsi="Calibri"/>
                <w:sz w:val="18"/>
                <w:szCs w:val="18"/>
                <w:color w:val="auto"/>
              </w:rPr>
              <w:t>Expected long-term rate of return on assets</w:t>
            </w:r>
          </w:p>
        </w:tc>
        <w:tc>
          <w:tcPr>
            <w:tcW w:w="31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6.75%</w:t>
            </w:r>
          </w:p>
        </w:tc>
      </w:tr>
      <w:tr>
        <w:trPr>
          <w:trHeight w:val="28"/>
        </w:trPr>
        <w:tc>
          <w:tcPr>
            <w:tcW w:w="592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23"/>
        </w:trPr>
        <w:tc>
          <w:tcPr>
            <w:tcW w:w="5920" w:type="dxa"/>
            <w:vAlign w:val="bottom"/>
            <w:tcBorders>
              <w:bottom w:val="single" w:sz="8" w:color="E5F1F8"/>
            </w:tcBorders>
            <w:shd w:val="clear" w:color="auto" w:fill="E5F1F8"/>
          </w:tcPr>
          <w:p>
            <w:pPr>
              <w:ind w:left="100"/>
              <w:spacing w:after="0" w:line="215" w:lineRule="exact"/>
              <w:rPr>
                <w:sz w:val="20"/>
                <w:szCs w:val="20"/>
                <w:color w:val="auto"/>
              </w:rPr>
            </w:pPr>
            <w:r>
              <w:rPr>
                <w:rFonts w:ascii="Calibri" w:cs="Calibri" w:eastAsia="Calibri" w:hAnsi="Calibri"/>
                <w:sz w:val="18"/>
                <w:szCs w:val="18"/>
                <w:color w:val="auto"/>
              </w:rPr>
              <w:t>Average remaining service period for partcipants</w:t>
            </w:r>
          </w:p>
        </w:tc>
        <w:tc>
          <w:tcPr>
            <w:tcW w:w="31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10.2 years</w:t>
            </w:r>
          </w:p>
        </w:tc>
      </w:tr>
      <w:tr>
        <w:trPr>
          <w:trHeight w:val="215"/>
        </w:trPr>
        <w:tc>
          <w:tcPr>
            <w:tcW w:w="5920" w:type="dxa"/>
            <w:vAlign w:val="bottom"/>
          </w:tcPr>
          <w:p>
            <w:pPr>
              <w:ind w:left="100"/>
              <w:spacing w:after="0" w:line="215" w:lineRule="exact"/>
              <w:rPr>
                <w:sz w:val="20"/>
                <w:szCs w:val="20"/>
                <w:color w:val="auto"/>
              </w:rPr>
            </w:pPr>
            <w:r>
              <w:rPr>
                <w:rFonts w:ascii="Calibri" w:cs="Calibri" w:eastAsia="Calibri" w:hAnsi="Calibri"/>
                <w:sz w:val="18"/>
                <w:szCs w:val="18"/>
                <w:color w:val="auto"/>
              </w:rPr>
              <w:t>Mortality Tables:</w:t>
            </w:r>
          </w:p>
        </w:tc>
        <w:tc>
          <w:tcPr>
            <w:tcW w:w="3180" w:type="dxa"/>
            <w:vAlign w:val="bottom"/>
          </w:tcPr>
          <w:p>
            <w:pPr>
              <w:spacing w:after="0"/>
              <w:rPr>
                <w:sz w:val="18"/>
                <w:szCs w:val="18"/>
                <w:color w:val="auto"/>
              </w:rPr>
            </w:pPr>
          </w:p>
        </w:tc>
      </w:tr>
      <w:tr>
        <w:trPr>
          <w:trHeight w:val="28"/>
        </w:trPr>
        <w:tc>
          <w:tcPr>
            <w:tcW w:w="592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23"/>
        </w:trPr>
        <w:tc>
          <w:tcPr>
            <w:tcW w:w="592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Base Table</w:t>
            </w:r>
          </w:p>
        </w:tc>
        <w:tc>
          <w:tcPr>
            <w:tcW w:w="31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Pri-2012</w:t>
            </w:r>
          </w:p>
        </w:tc>
      </w:tr>
      <w:tr>
        <w:trPr>
          <w:trHeight w:val="215"/>
        </w:trPr>
        <w:tc>
          <w:tcPr>
            <w:tcW w:w="5920" w:type="dxa"/>
            <w:vAlign w:val="bottom"/>
          </w:tcPr>
          <w:p>
            <w:pPr>
              <w:ind w:left="360"/>
              <w:spacing w:after="0" w:line="215" w:lineRule="exact"/>
              <w:rPr>
                <w:sz w:val="20"/>
                <w:szCs w:val="20"/>
                <w:color w:val="auto"/>
              </w:rPr>
            </w:pPr>
            <w:r>
              <w:rPr>
                <w:rFonts w:ascii="Calibri" w:cs="Calibri" w:eastAsia="Calibri" w:hAnsi="Calibri"/>
                <w:sz w:val="18"/>
                <w:szCs w:val="18"/>
                <w:color w:val="auto"/>
              </w:rPr>
              <w:t>Mortality Improvement Scale</w:t>
            </w:r>
          </w:p>
        </w:tc>
        <w:tc>
          <w:tcPr>
            <w:tcW w:w="31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MP-2020</w:t>
            </w:r>
          </w:p>
        </w:tc>
      </w:tr>
    </w:tbl>
    <w:p>
      <w:pPr>
        <w:spacing w:after="0" w:line="1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Using these assumptons, pension beneft obligaton as of December 31, 2022 was $857.6 million and 2023 pension expense is expected to be approximately $16.6 million based on current demographics and structure of the plans. Changes in the underlying assumptons would have the following estmated impact on the obligaton and expected expense:</w:t>
      </w:r>
    </w:p>
    <w:p>
      <w:pPr>
        <w:spacing w:after="0" w:line="124" w:lineRule="exact"/>
        <w:rPr>
          <w:sz w:val="20"/>
          <w:szCs w:val="20"/>
          <w:color w:val="auto"/>
        </w:rPr>
      </w:pPr>
    </w:p>
    <w:p>
      <w:pPr>
        <w:ind w:left="1200" w:right="100" w:hanging="401"/>
        <w:spacing w:after="0" w:line="235" w:lineRule="auto"/>
        <w:tabs>
          <w:tab w:leader="none" w:pos="120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25-basis-point change in the discount rate would have changed the December 31, 2022 pension beneft obligaton by approximately $25.2 million.</w:t>
      </w:r>
    </w:p>
    <w:p>
      <w:pPr>
        <w:spacing w:after="0" w:line="64" w:lineRule="exact"/>
        <w:rPr>
          <w:rFonts w:ascii="Times New Roman" w:cs="Times New Roman" w:eastAsia="Times New Roman" w:hAnsi="Times New Roman"/>
          <w:sz w:val="18"/>
          <w:szCs w:val="18"/>
          <w:color w:val="auto"/>
        </w:rPr>
      </w:pPr>
    </w:p>
    <w:p>
      <w:pPr>
        <w:ind w:left="1200" w:hanging="401"/>
        <w:spacing w:after="0"/>
        <w:tabs>
          <w:tab w:leader="none" w:pos="120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25-basis-point change in the discount rate would change the 2023 expected expense by approximately $0.9 million.</w:t>
      </w:r>
    </w:p>
    <w:p>
      <w:pPr>
        <w:spacing w:after="0" w:line="68" w:lineRule="exact"/>
        <w:rPr>
          <w:rFonts w:ascii="Times New Roman" w:cs="Times New Roman" w:eastAsia="Times New Roman" w:hAnsi="Times New Roman"/>
          <w:sz w:val="18"/>
          <w:szCs w:val="18"/>
          <w:color w:val="auto"/>
        </w:rPr>
      </w:pPr>
    </w:p>
    <w:p>
      <w:pPr>
        <w:ind w:left="1200" w:hanging="401"/>
        <w:spacing w:after="0" w:line="235" w:lineRule="auto"/>
        <w:tabs>
          <w:tab w:leader="none" w:pos="120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25-basis-point change in the expected long-term rate of return on assets would change the 2023 expected expense by approximately $2.6 million.</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made pension plan and SERP contributons of $90.2 million in 2022 and $482.6 million during the fve-year period ended December 31, 2022. In total, the Company’s pension plans are overfunded (fair value of plan assets exceeds the projected beneft obligaton) by $209.5 million at December 31, 2022. The Company’s projected beneft obligaton was $857.6 million at December 31, 2022, a decrease of $277.8 million, or 24%, versus the prior year. This decrease was driven by an increased actuarial gain primarily atributable to a higher discount rate compared with the prior year. The Company expects to make pension plan and SERP contributons of $36.5 million in 2023, of which $25.0 million is voluntary.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93980</wp:posOffset>
            </wp:positionV>
            <wp:extent cx="325755" cy="1968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211"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Estmated Efectve Income Tax Rate</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uses the liability method to determine its provision for income taxes. Accordingly, the annual provision for income taxes refects estmates of the current liability for income taxes, estmates of the tax efect of fnancial reportng versus tax basis diferences using statutory income tax rates and management’s judgment with respect to any valuaton allowances on deferred tax assets and accruals for uncertain tax positons. The result is management’s estmate of the annual efectve tax rate (the ETR).</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Income for tax purposes is determined through the applicaton of the rules and regulatons under the United States Internal Revenue Code and the statutes of various foreign, state and local tax jurisdictons in which the Company conducts business. Changes in the statutory tax rates and/or tax laws in these jurisdictons can have a material impact on the ETR. The efect of these changes, if material, is recognized when the change is enacted.</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prescribed by these tax regulatons, as well as generally accepted accountng principles, the manner in which revenues and expenses are recognized for fnancial reportng and income tax purposes is not always the same. Therefore, these diferences between the Company’s pretax income for fnancial reportng purposes and the amount of taxable income for income tax purposes are treated as either temporary or permanent, depending on their nature.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Temporary diferences refect revenues or expenses that are recognized in fnancial reportng in one period and taxable income in a diferent period. An example of a temporary diference is the use of the straight-line method of depreciaton of machinery and equipment for fnancial reportng purposes and the use of an accelerated method for income tax purposes. Temporary diferences result from diferences between the fnancial reportng basis and tax basis of assets or liabilites and give rise to deferred tax assets or liabilites (i.e., future tax deductons or future taxable income). Therefore, when temporary diferences occur, they are ofset by a corresponding change in a deferred tax account. As such, total income tax expense as reported in the Company’s consolidated statements of earnings is not changed by temporary diferences.</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has deferred tax liabilites, primarily for right-of-use assets, property, plant and equipment, goodwill and other intangibles, employee pension and postretrement benefts and partnerships and joint ventures. The deferred tax liabilites atributable to property, plant and equipment relate to accelerated depreciaton and depleton methods used for income tax purposes as compared with the straight-line and units-of-producton methods used for fnancial reportng purposes. These temporary diferences will reverse over the remaining useful lives of the related assets. The deferred tax liabilites atributable to goodwill arise as a result of amortzing goodwill for income tax purposes but not for fnancial reportng purposes. This temporary diference reverses when goodwill is writen of for fnancial reportng purposes, either through divesttures or an impairment charge. The tming of such events cannot be estmated. The deferred tax liabilites atributable to employee pension and postretrement benefts relate to deductons as plans are funded for income tax purposes compared with deductons for fnancial reportng purposes based on accountng standards. The reversal of these diferences depends on the tming of the Company’s contributons to the related beneft plans as compared to the annual expense for fnancial reportng purposes. The deferred tax liabilites atributable to partnerships and joint ventures relate to the diference between the tax basis of the investments in partnerships and joint ventures when compared to the basis for fnancial reportng purposes. The temporary diference reverses through diferences recognized over the life of the investment or through divestture.</w:t>
      </w:r>
    </w:p>
    <w:p>
      <w:pPr>
        <w:spacing w:after="0" w:line="1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has deferred tax assets, primarily for inventories, unrecognized losses related to the funded status of the pension and postretrement beneft plans, lease liabilites, valuaton reserves, net operatng loss carryforwards and tax credit carryforwards. The deferred tax assets atributable to inventories and valuaton reserves relate to the deducton of estmated cost reserves and various period expenses for fnancial reportng purposes that are deductble in a later period for income tax purposes. The reversal of these diferences depends on facts and circumstances, including the tming of deducton for income tax purposes for reserves previously established and the establishment of additonal reserves for fnancial reportng purposes. The deferred tax assets atributable to unvested stock-based compensaton awards relate to diferences in the tming of deductbility for fnancial reportng purposes versus income tax purposes. For fnancial reportng purposes, the fair value of the awards is deducted ratably over the requisite service period. For income tax purposes, no deducton is allowed untl the award is vested or no longer subject to substantal risk of forfeiture. The Company refects all excess tax benefts and tax defciencies in income tax expense as a discrete event in the period in which the award vests or setles, increasing volatlity in the income tax rate from period to period.</w:t>
      </w:r>
    </w:p>
    <w:p>
      <w:pPr>
        <w:spacing w:after="0" w:line="219"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Business Combinatons – Allocaton of Purchase Price</w:t>
      </w:r>
    </w:p>
    <w:p>
      <w:pPr>
        <w:spacing w:after="0" w:line="61"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The Company’s Board of Directors and management regularly review strategic long-term plans, including potental investments in value-added acquisitons of related or similar businesses, which would increase the Company’s market presence and/or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92710</wp:posOffset>
            </wp:positionV>
            <wp:extent cx="325755" cy="1968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related to the Company’s existng markets. When an acquisiton is completed, the Company’s consolidated statements of earnings include the operatng results of the acquired business startng from the date of acquisiton, which is the date control is obtained. The purchase price is determined based on the fair value of assets and equity interests given to the seller and any future obligatons to the seller as of the date of acquisiton. The Company allocates the purchase price to the fair values of the tangible and intangible assets acquired and liabilites assumed as valued at the date of acquisiton. Goodwill is recorded for the excess of the purchase price over the net of the fair value of the identfable assets acquired and liabilites assumed as of the acquisiton date. The purchase price allocaton is a critcal accountng policy because the estmaton of fair values of acquired assets and assumed liabilites is judgmental and requires various assumptons. Further, the amounts and useful lives assigned to depreciable and amortzable assets versus amounts assigned to goodwill and indefnite-lived intangible assets, which are not amortzed, can signifcantly afect the results of operatons in the period of and for periods subsequent to a business combinaton.</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Fair value is the price that would be received to sell an asset or paid to transfer a liability in an orderly transacton, and, therefore, represents an exit price. Fair value measurement assumes the highest and best use of the asset by market partcipants, considering the use of the asset that is physically possible, legally permissible, and fnancially feasible at the measurement date. The Company assigns the highest level of fair value available to assets acquired and liabilites assumed based on the following optons:</w:t>
      </w:r>
    </w:p>
    <w:p>
      <w:pPr>
        <w:spacing w:after="0" w:line="66" w:lineRule="exact"/>
        <w:rPr>
          <w:sz w:val="20"/>
          <w:szCs w:val="20"/>
          <w:color w:val="auto"/>
        </w:rPr>
      </w:pPr>
    </w:p>
    <w:p>
      <w:pPr>
        <w:ind w:left="1140" w:hanging="539"/>
        <w:spacing w:after="0"/>
        <w:tabs>
          <w:tab w:leader="none" w:pos="114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Level 1 – Quoted prices in actve markets for identcal assets and liabilites</w:t>
      </w:r>
    </w:p>
    <w:p>
      <w:pPr>
        <w:spacing w:after="0" w:line="63"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Level 2 – Observable inputs, other than quoted prices, for similar assets or liabilites in actve markets</w:t>
      </w:r>
    </w:p>
    <w:p>
      <w:pPr>
        <w:spacing w:after="0" w:line="63"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Level 3 – Unobservable inputs, used to value the asset or liability which includes the use of valuaton models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Level 1 fair values are used to value investments in publicly traded enttes and assumed obligatons for publicly traded long-term debt.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Level 2 fair values are typically used to value acquired receivables, inventories, machinery and equipment, land, buildings, deferred income tax assets and liabilites, and accruals for payables, asset retrement obligatons, environmental remediaton and compliance obligatons, and contngencies. Additonally, Level 2 fair values are typically used to value assumed contracts at other-than-market rates.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Level 3 fair values are used to value acquired mineral reserves and mineral interests produced and sold as fnal products, and separately-identfable intangible assets. The fair values of mineral reserves and mineral interests are determined using an excess earnings approach, which requires signifcant judgment to estmate future cash fows, net of capital investments in the specifc operaton and contributory asset charges. The estmate of future cash fows is based on available historical informaton and future expectatons and assumptons determined by management, but is inherently uncertain. Signifcant assumptons used to estmate future cash fows include changes in forecasted revenues based on sales price and shipment volumes as well as forecasted expenses inclusive of producton costs and capital needs. The present value of the projected net cash fows represents the fair value assigned to mineral reserves and mineral interests. The discount rate is a signifcant assumpton used in the valuaton model and is based on the required rate of return that a hypothetcal market partcipant would require if purchasing the acquired business, with an adjustment for the risk of these assets not generatng the projected cash fows.</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values separately-identfable acquired intangible assets which may include, but are not limited to, permits, customer relatonships, water rights and noncompetton agreements. The fair values of these assets are typically determined by an excess earnings method, a replacement cost method or, in the case of water rights, a market approach.</w:t>
      </w:r>
    </w:p>
    <w:p>
      <w:pPr>
        <w:spacing w:after="0" w:line="111" w:lineRule="exact"/>
        <w:rPr>
          <w:sz w:val="20"/>
          <w:szCs w:val="20"/>
          <w:color w:val="auto"/>
        </w:rPr>
      </w:pPr>
    </w:p>
    <w:p>
      <w:pPr>
        <w:spacing w:after="0"/>
        <w:rPr>
          <w:sz w:val="20"/>
          <w:szCs w:val="20"/>
          <w:color w:val="auto"/>
        </w:rPr>
      </w:pPr>
      <w:r>
        <w:rPr>
          <w:rFonts w:ascii="Calibri" w:cs="Calibri" w:eastAsia="Calibri" w:hAnsi="Calibri"/>
          <w:sz w:val="17"/>
          <w:szCs w:val="17"/>
          <w:color w:val="auto"/>
        </w:rPr>
        <w:t>The useful lives of amortzable intangible assets and the remaining useful lives for acquired machinery and equipment have a signifcant impact on earnings.</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The selected lives are based on the expected periods that the assets will provide value to the Company subsequent to the business combinaton.</w:t>
      </w:r>
    </w:p>
    <w:p>
      <w:pPr>
        <w:spacing w:after="0" w:line="109"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The Company may adjust the amounts recognized for a business combinaton during a measurement period afer the acquisiton date. Any such adjustments are based on the Company obtaining additonal informaton that existed at the acquisiton date regarding the assets acquired or the liabilites assumed. Measurement-period adjustments are generally recorded as increases or decreases to the goodwill recognized in the transacton. The measurement period ends once the Company has obtained all necessary informaton that existed as of the acquisiton date, but does not extend beyond one year from the date of acquisiton. Any adjustments to assets acquired or liabilites assumed beyond the measurement period are recorded through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88265</wp:posOffset>
            </wp:positionV>
            <wp:extent cx="325755" cy="1968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2"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211"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Property, Plant and Equipment</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property, plant and equipment (excluding the amount allocated to assets held for sale) represented 42% of total assets at December 31, 2022. Accordingly, accountng for these assets represents a critcal accountng policy. Useful lives of the assets can vary depending on factors, including producton levels, geographic locaton, portability and maintenance practces. Additonally, climate and inclement weather can reduce the useful life of an asset. Historically, the Company has not recognized signifcant losses on the disposal or retrement of fxed assets.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Aggregates mineral reserves and mineral interests are components within the plant, property and equipment balance on the consolidated balance sheets. The Company evaluates aggregates reserves, including those used in the cement manufacturing process, in several ways, depending on the geology at a partcular locaton and whether the locaton is a greensite, an acquisiton or an existng operaton. Greensites require an extensive drilling program before any signifcant investment is made in terms of tme, site development or eforts to obtain appropriate zoning and permitng (see </w:t>
      </w:r>
      <w:r>
        <w:rPr>
          <w:rFonts w:ascii="Calibri" w:cs="Calibri" w:eastAsia="Calibri" w:hAnsi="Calibri"/>
          <w:sz w:val="18"/>
          <w:szCs w:val="18"/>
          <w:i w:val="1"/>
          <w:iCs w:val="1"/>
          <w:color w:val="auto"/>
        </w:rPr>
        <w:t>Environmental Regulaton and</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Litgaton </w:t>
      </w:r>
      <w:r>
        <w:rPr>
          <w:rFonts w:ascii="Calibri" w:cs="Calibri" w:eastAsia="Calibri" w:hAnsi="Calibri"/>
          <w:sz w:val="18"/>
          <w:szCs w:val="18"/>
          <w:color w:val="auto"/>
        </w:rPr>
        <w:t>secton). The depth of overburden and the quality and quantty of the aggregates reserves are signifcant factors in determining whether to pursue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opening the site. Further, the estmated average selling price for products in a market is also a signifcant factor in concluding that reserves are economically mineable. If the Company’s analysis based on these factors is satsfactory, the total aggregates reserves available are calculated and a determinaton is made whether to open the locaton. Reserve evaluaton at existng locatons is typically performed to evaluate purchasing adjoining propertes, for quality control, calculatng overburden volumes and for mine planning. Reserve evaluaton of acquisitons may require a higher degree of sampling to locate any problem areas that may exist and to verify the total reserves.</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Well-ordered subsurface sampling of the underlying deposit is basic to determining reserves at any locaton. This subsurface sampling usually involves one or more types of drilling, determined by the nature of the material to be sampled and the partcular objectve of the sampling. The Company’s objectves are to ensure that the underlying deposit meets aggregates specifcatons and the total reserves on site are sufcient for mining and economically recoverable. Locatons underlain with hard rock deposits, such as granite and limestone, are drilled using the diamond core method, which provides the most useful and accurate samples of the deposit. Selected core samples are tested for soundness, abrasion resistance and other physical propertes relevant to the aggregates industry and depend on the aggregates use. The number and depth of the holes are determined by the size of the site and the complexity of the site-specifc geology. Some geological factors that may afect the number and depth of holes include faults, folds, chemical irregularites, clay pockets, thickness of formatons and weathering. A typical spacing of core holes on the area to be tested is one hole for every four acres, but wider spacing may be justfed if the deposit is homogeneous.</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Despite previous drilling and sampling, once accessed, the quality of reserves within a deposit can vary. Constructon contracts, for the infrastructure market in partcular, include specifcatons related to the aggregates material. If a faw in the deposit is discovered, the aggregates material may not meet the required specifcatons. Although it is possible that the aggregates material can stll be used for non-specifcaton uses, this can have an adverse efect on the Company’s ability to serve certain customers or on the Company’s proftability. In additon, other issues can arise that limit the Company’s ability to access reserves in a partcular quarry, including geological occurrences, blastng practces and zoning issues.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Locatons underlain with sand and gravel are typically drilled using the auger method, whereby a six-inch corkscrew brings up material from below the ground which is then sampled. Deposits in these locatons are typically limited in thickness. Additonally, the quality and sand-to-gravel rato of the deposit can vary both horizontally and vertcally. Hole spacing at these locatons is approximately one hole for every acre to ensure a representatve sampling.</w:t>
      </w:r>
    </w:p>
    <w:p>
      <w:pPr>
        <w:spacing w:after="0" w:line="111" w:lineRule="exact"/>
        <w:rPr>
          <w:sz w:val="20"/>
          <w:szCs w:val="20"/>
          <w:color w:val="auto"/>
        </w:rPr>
      </w:pPr>
    </w:p>
    <w:p>
      <w:pPr>
        <w:jc w:val="both"/>
        <w:spacing w:after="0" w:line="258" w:lineRule="auto"/>
        <w:rPr>
          <w:sz w:val="20"/>
          <w:szCs w:val="20"/>
          <w:color w:val="auto"/>
        </w:rPr>
      </w:pPr>
      <w:r>
        <w:rPr>
          <w:rFonts w:ascii="Calibri" w:cs="Calibri" w:eastAsia="Calibri" w:hAnsi="Calibri"/>
          <w:sz w:val="17"/>
          <w:szCs w:val="17"/>
          <w:color w:val="auto"/>
        </w:rPr>
        <w:t>The geologist conductng the reserve evaluaton makes the decision as to the number of holes and the spacing in accordance with standards and procedures established by the Company. Further, the antcipated heterogeneity of the deposit, based on U.S. geological maps, also dictates the number of holes drilled.</w:t>
      </w:r>
    </w:p>
    <w:p>
      <w:pPr>
        <w:spacing w:after="0" w:line="9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generally accepted reserve categories for the aggregates industry and the designatons the Company uses for reserve categories are summarized as follows:</w:t>
      </w:r>
    </w:p>
    <w:p>
      <w:pPr>
        <w:spacing w:after="0" w:line="110" w:lineRule="exact"/>
        <w:rPr>
          <w:sz w:val="20"/>
          <w:szCs w:val="20"/>
          <w:color w:val="auto"/>
        </w:rPr>
      </w:pPr>
    </w:p>
    <w:p>
      <w:pPr>
        <w:jc w:val="both"/>
        <w:ind w:left="800"/>
        <w:spacing w:after="0" w:line="235" w:lineRule="auto"/>
        <w:rPr>
          <w:sz w:val="20"/>
          <w:szCs w:val="20"/>
          <w:color w:val="auto"/>
        </w:rPr>
      </w:pPr>
      <w:r>
        <w:rPr>
          <w:rFonts w:ascii="Calibri" w:cs="Calibri" w:eastAsia="Calibri" w:hAnsi="Calibri"/>
          <w:sz w:val="18"/>
          <w:szCs w:val="18"/>
          <w:i w:val="1"/>
          <w:iCs w:val="1"/>
          <w:color w:val="auto"/>
        </w:rPr>
        <w:t xml:space="preserve">Proven Reserves </w:t>
      </w:r>
      <w:r>
        <w:rPr>
          <w:rFonts w:ascii="Calibri" w:cs="Calibri" w:eastAsia="Calibri" w:hAnsi="Calibri"/>
          <w:sz w:val="18"/>
          <w:szCs w:val="18"/>
          <w:color w:val="auto"/>
        </w:rPr>
        <w:t>– These reserves are designated using closely spaced drill data as described above and a determinaton by a professional geologist</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that the deposit is relatvely homogeneous based on the drilling results and exploraton data provided in U.S. geologic maps, the U.S. Department of Agriculture soil maps, aerial photographs and/or electromagnetc, seismic or other surveys conducted by independent geotechnical engineering frms. The proven reserves that are recorded refect reductons incurred through quarrying that result from leaving ramps, safety benches, pillars (underground) and the fnes (small partcles) that will be generated during processing. Proven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93980</wp:posOffset>
            </wp:positionV>
            <wp:extent cx="325755" cy="1968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173" w:lineRule="exact"/>
        <w:rPr>
          <w:sz w:val="20"/>
          <w:szCs w:val="20"/>
          <w:color w:val="auto"/>
        </w:rPr>
      </w:pPr>
    </w:p>
    <w:p>
      <w:pPr>
        <w:jc w:val="both"/>
        <w:ind w:left="800"/>
        <w:spacing w:after="0" w:line="235" w:lineRule="auto"/>
        <w:rPr>
          <w:sz w:val="20"/>
          <w:szCs w:val="20"/>
          <w:color w:val="auto"/>
        </w:rPr>
      </w:pPr>
      <w:r>
        <w:rPr>
          <w:rFonts w:ascii="Calibri" w:cs="Calibri" w:eastAsia="Calibri" w:hAnsi="Calibri"/>
          <w:sz w:val="18"/>
          <w:szCs w:val="18"/>
          <w:color w:val="auto"/>
        </w:rPr>
        <w:t>are further reduced by reserves that are under the plant and stockpile areas, as well as setbacks from neighboring property lines. The Company typically assumes a loss factor of 25%. However, the assumed loss factor at coastal operatons is approximately 40% due to the nature of the material. The assumed loss factor for underground operatons is 35% primarily due to pillars.</w:t>
      </w:r>
    </w:p>
    <w:p>
      <w:pPr>
        <w:spacing w:after="0" w:line="111" w:lineRule="exact"/>
        <w:rPr>
          <w:sz w:val="20"/>
          <w:szCs w:val="20"/>
          <w:color w:val="auto"/>
        </w:rPr>
      </w:pPr>
    </w:p>
    <w:p>
      <w:pPr>
        <w:jc w:val="both"/>
        <w:ind w:left="800"/>
        <w:spacing w:after="0" w:line="235" w:lineRule="auto"/>
        <w:rPr>
          <w:sz w:val="20"/>
          <w:szCs w:val="20"/>
          <w:color w:val="auto"/>
        </w:rPr>
      </w:pPr>
      <w:r>
        <w:rPr>
          <w:rFonts w:ascii="Calibri" w:cs="Calibri" w:eastAsia="Calibri" w:hAnsi="Calibri"/>
          <w:sz w:val="18"/>
          <w:szCs w:val="18"/>
          <w:i w:val="1"/>
          <w:iCs w:val="1"/>
          <w:color w:val="auto"/>
        </w:rPr>
        <w:t xml:space="preserve">Probable Reserves </w:t>
      </w:r>
      <w:r>
        <w:rPr>
          <w:rFonts w:ascii="Calibri" w:cs="Calibri" w:eastAsia="Calibri" w:hAnsi="Calibri"/>
          <w:sz w:val="18"/>
          <w:szCs w:val="18"/>
          <w:color w:val="auto"/>
        </w:rPr>
        <w:t>– These reserves are inferred utlizing fewer drill holes and/or assumptons about the economically recoverable reserves based</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on local geology or drill results from adjacent propertes.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Company’s proven and probable reserves refect reasonable economic and operatng constraints as to maximum depth of overburden and stone excavaton, and also include reserves at the Company’s inactve and undeveloped sites, including some sites where permitng and zoning applicatons will not be fled untl warranted by expected future growth. The Company has historically been successful in obtaining and maintaining appropriate zoning and permitng (see </w:t>
      </w:r>
      <w:r>
        <w:rPr>
          <w:rFonts w:ascii="Calibri" w:cs="Calibri" w:eastAsia="Calibri" w:hAnsi="Calibri"/>
          <w:sz w:val="18"/>
          <w:szCs w:val="18"/>
          <w:i w:val="1"/>
          <w:iCs w:val="1"/>
          <w:color w:val="auto"/>
        </w:rPr>
        <w:t>Environmental Regulaton and Litgaton</w:t>
      </w:r>
      <w:r>
        <w:rPr>
          <w:rFonts w:ascii="Calibri" w:cs="Calibri" w:eastAsia="Calibri" w:hAnsi="Calibri"/>
          <w:sz w:val="18"/>
          <w:szCs w:val="18"/>
          <w:color w:val="auto"/>
        </w:rPr>
        <w:t xml:space="preserve"> secton).</w:t>
      </w:r>
    </w:p>
    <w:p>
      <w:pPr>
        <w:spacing w:after="0" w:line="111"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Mineral reserves and mineral interests, when acquired in connecton with a business combinaton, are valued using an excess earnings approach for the life of the proven and probable reserves.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uses proven and probable reserves as the denominator in its units-of-producton calculaton to record depleton expense for its mineral reserves and mineral interests. For 2022, depleton expense was $59.8 million.</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begins capitalizing quarry development costs at a point when reserves are determined to be proven or probable, economically mineable and when demand supports investment in the market. Capitalizaton of these costs ceases when producton commences. Capitalized quarry development costs are classifed as land improvements.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New mining areas may be developed at existng quarries in order to access additonal reserves. When this occurs, management reviews the facts and circumstances of each situaton in making a determinaton as to the appropriateness of capitalizing or expensing the related pre-producton development costs. If the additonal mining locaton operates in a separate and distnct area of a quarry, the costs are capitalized as quarry development costs and depreciated over the life of the uncovered reserves. Further, a separate asset retrement obligaton is created for additonal mining areas when the liability is incurred. Once a new mining area enters the producton phase, all post-producton stripping costs are expensed as incurred as periodic inventory producton costs.</w:t>
      </w:r>
    </w:p>
    <w:p>
      <w:pPr>
        <w:spacing w:after="0" w:line="21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Forward-Looking Statements – Safe Harbor Provisions Under the Private Securites Litgaton Reform Act of 1995</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If you are interested in Martn Marieta stock, management recommends that, at a minimum, you read the Company’s current annual report and Forms 10-K, 10-Q and 8-K reports to the Securites and Exchange Commission (SEC) over the past year. The Company’s recent proxy statement for the annual meetng of shareholders also contains important informaton. These and other materials that have been fled with the SEC are accessible through the Company’s website at www.martnmarieta.com and are also available at the SEC’s website at www.sec.gov. You may also write or call the Company’s Corporate Secretary, who will provide copies of such reports.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Investors are cautoned that all statements in this Annual Report that relate to the future involve risks and uncertaintes, and are based on assumptons that the Company believes in good faith are reasonable but which may be materially diferent from actual results. These statements, which are forward-looking statements within the meaning of Secton 21E of the Securites Exchange Act of 1934 and 27A of the Securites Act of 1933, and are made pursuant to the safe harbor provisions of the Private Securites Litgaton Reform Act of 1995, provide the investor with the Company’s expectatons or forecasts of future events. You can identfy these statements by the fact that they do not relate only to historical or current facts. They may use words such as “antcipate,” “may,” “expect,” “should,” “believe,” “project,” “intend,” “will,” and other words of similar meaning in connecton with future events or future operatng or fnancial performance. In additon to the statements included in this report, we may from tme to tme make other oral or writen forward-looking statements in other flings under the Securites Exchange Act of 1934 or in other public disclosures. Any or all of management’s forward-looking statements here and in other publicatons may turn out to be wrong.</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These forward-looking statements are subject to risks and uncertaintes, and are based on assumptons that may be materially diferent from actual results, and include, but are not limited to:</w:t>
      </w:r>
    </w:p>
    <w:p>
      <w:pPr>
        <w:spacing w:after="0" w:line="118" w:lineRule="exact"/>
        <w:rPr>
          <w:sz w:val="20"/>
          <w:szCs w:val="20"/>
          <w:color w:val="auto"/>
        </w:rPr>
      </w:pPr>
    </w:p>
    <w:p>
      <w:pPr>
        <w:ind w:left="800" w:hanging="397"/>
        <w:spacing w:after="0"/>
        <w:tabs>
          <w:tab w:leader="none" w:pos="800" w:val="left"/>
        </w:tabs>
        <w:numPr>
          <w:ilvl w:val="0"/>
          <w:numId w:val="2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ability of the Company to face challenges, including shipment declines resultng from economic events beyond the Company's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92075</wp:posOffset>
            </wp:positionV>
            <wp:extent cx="325755" cy="1968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ind w:left="368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7 – Management’s Discussion and Analysis of Financial Conditon and Results of Operatons</w:t>
      </w:r>
    </w:p>
    <w:p>
      <w:pPr>
        <w:spacing w:after="0" w:line="194" w:lineRule="exact"/>
        <w:rPr>
          <w:sz w:val="20"/>
          <w:szCs w:val="20"/>
          <w:color w:val="auto"/>
        </w:rPr>
      </w:pPr>
    </w:p>
    <w:p>
      <w:pPr>
        <w:ind w:left="780" w:hanging="397"/>
        <w:spacing w:after="0"/>
        <w:tabs>
          <w:tab w:leader="none" w:pos="78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widespread decline in aggregates pricing, including a decline in aggregates shipment volume negatvely afectng aggregates price;</w:t>
      </w:r>
    </w:p>
    <w:p>
      <w:pPr>
        <w:spacing w:after="0" w:line="63" w:lineRule="exact"/>
        <w:rPr>
          <w:rFonts w:ascii="Times New Roman" w:cs="Times New Roman" w:eastAsia="Times New Roman" w:hAnsi="Times New Roman"/>
          <w:sz w:val="18"/>
          <w:szCs w:val="18"/>
          <w:color w:val="auto"/>
        </w:rPr>
      </w:pPr>
    </w:p>
    <w:p>
      <w:pPr>
        <w:ind w:left="780" w:hanging="397"/>
        <w:spacing w:after="0"/>
        <w:tabs>
          <w:tab w:leader="none" w:pos="78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history of both cement and ready mixed concrete being subject to signifcant changes in supply, demand and price fuctuatons;</w:t>
      </w:r>
    </w:p>
    <w:p>
      <w:pPr>
        <w:spacing w:after="0" w:line="68" w:lineRule="exact"/>
        <w:rPr>
          <w:rFonts w:ascii="Times New Roman" w:cs="Times New Roman" w:eastAsia="Times New Roman" w:hAnsi="Times New Roman"/>
          <w:sz w:val="18"/>
          <w:szCs w:val="18"/>
          <w:color w:val="auto"/>
        </w:rPr>
      </w:pPr>
    </w:p>
    <w:p>
      <w:pPr>
        <w:ind w:left="780" w:hanging="397"/>
        <w:spacing w:after="0" w:line="235" w:lineRule="auto"/>
        <w:tabs>
          <w:tab w:leader="none" w:pos="78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terminaton, capping and/or reducton or suspension of the federal and/or state gasoline tax(es) or other revenue related to public constructon;</w:t>
      </w:r>
    </w:p>
    <w:p>
      <w:pPr>
        <w:spacing w:after="0" w:line="69" w:lineRule="exact"/>
        <w:rPr>
          <w:rFonts w:ascii="Times New Roman" w:cs="Times New Roman" w:eastAsia="Times New Roman" w:hAnsi="Times New Roman"/>
          <w:sz w:val="18"/>
          <w:szCs w:val="18"/>
          <w:color w:val="auto"/>
        </w:rPr>
      </w:pPr>
    </w:p>
    <w:p>
      <w:pPr>
        <w:ind w:left="780" w:hanging="397"/>
        <w:spacing w:after="0" w:line="235" w:lineRule="auto"/>
        <w:tabs>
          <w:tab w:leader="none" w:pos="78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level and tming of federal, state or local transportaton or infrastructure or public projects funding, most partcularly in Texas, Colorado, North Carolina, Minnesota, California, Georgia, Arizona, Iowa, Florida and Indiana;</w:t>
      </w:r>
    </w:p>
    <w:p>
      <w:pPr>
        <w:spacing w:after="0" w:line="69" w:lineRule="exact"/>
        <w:rPr>
          <w:rFonts w:ascii="Times New Roman" w:cs="Times New Roman" w:eastAsia="Times New Roman" w:hAnsi="Times New Roman"/>
          <w:sz w:val="18"/>
          <w:szCs w:val="18"/>
          <w:color w:val="auto"/>
        </w:rPr>
      </w:pPr>
    </w:p>
    <w:p>
      <w:pPr>
        <w:ind w:left="780" w:hanging="397"/>
        <w:spacing w:after="0" w:line="235" w:lineRule="auto"/>
        <w:tabs>
          <w:tab w:leader="none" w:pos="78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United States Congress’ inability to reach agreement among themselves or with the Administraton on policy issues that impact the federal budget;</w:t>
      </w:r>
    </w:p>
    <w:p>
      <w:pPr>
        <w:spacing w:after="0" w:line="64" w:lineRule="exact"/>
        <w:rPr>
          <w:rFonts w:ascii="Times New Roman" w:cs="Times New Roman" w:eastAsia="Times New Roman" w:hAnsi="Times New Roman"/>
          <w:sz w:val="18"/>
          <w:szCs w:val="18"/>
          <w:color w:val="auto"/>
        </w:rPr>
      </w:pPr>
    </w:p>
    <w:p>
      <w:pPr>
        <w:ind w:left="780" w:hanging="397"/>
        <w:spacing w:after="0"/>
        <w:tabs>
          <w:tab w:leader="none" w:pos="78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ability of states and/or other enttes to fnance approved projects either with tax revenues or alternatve fnancing structures;</w:t>
      </w:r>
    </w:p>
    <w:p>
      <w:pPr>
        <w:spacing w:after="0" w:line="63" w:lineRule="exact"/>
        <w:rPr>
          <w:rFonts w:ascii="Times New Roman" w:cs="Times New Roman" w:eastAsia="Times New Roman" w:hAnsi="Times New Roman"/>
          <w:sz w:val="18"/>
          <w:szCs w:val="18"/>
          <w:color w:val="auto"/>
        </w:rPr>
      </w:pPr>
    </w:p>
    <w:p>
      <w:pPr>
        <w:ind w:left="780" w:hanging="397"/>
        <w:spacing w:after="0"/>
        <w:tabs>
          <w:tab w:leader="none" w:pos="78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levels of constructon spending in the markets the Company serves;</w:t>
      </w:r>
    </w:p>
    <w:p>
      <w:pPr>
        <w:spacing w:after="0" w:line="63" w:lineRule="exact"/>
        <w:rPr>
          <w:rFonts w:ascii="Times New Roman" w:cs="Times New Roman" w:eastAsia="Times New Roman" w:hAnsi="Times New Roman"/>
          <w:sz w:val="18"/>
          <w:szCs w:val="18"/>
          <w:color w:val="auto"/>
        </w:rPr>
      </w:pPr>
    </w:p>
    <w:p>
      <w:pPr>
        <w:ind w:left="780" w:hanging="397"/>
        <w:spacing w:after="0"/>
        <w:tabs>
          <w:tab w:leader="none" w:pos="78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reducton in defense spending and the subsequent impact on constructon actvity on or near military bases;</w:t>
      </w:r>
    </w:p>
    <w:p>
      <w:pPr>
        <w:spacing w:after="0" w:line="68" w:lineRule="exact"/>
        <w:rPr>
          <w:rFonts w:ascii="Times New Roman" w:cs="Times New Roman" w:eastAsia="Times New Roman" w:hAnsi="Times New Roman"/>
          <w:sz w:val="18"/>
          <w:szCs w:val="18"/>
          <w:color w:val="auto"/>
        </w:rPr>
      </w:pPr>
    </w:p>
    <w:p>
      <w:pPr>
        <w:ind w:left="780" w:hanging="397"/>
        <w:spacing w:after="0" w:line="235" w:lineRule="auto"/>
        <w:tabs>
          <w:tab w:leader="none" w:pos="78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decline in energy-related constructon actvity resultng from a sustained period of low global oil prices or changes in oil producton paterns or capital spending in response to this decline, partcularly in Texas and West Virginia;</w:t>
      </w:r>
    </w:p>
    <w:p>
      <w:pPr>
        <w:spacing w:after="0" w:line="64" w:lineRule="exact"/>
        <w:rPr>
          <w:rFonts w:ascii="Times New Roman" w:cs="Times New Roman" w:eastAsia="Times New Roman" w:hAnsi="Times New Roman"/>
          <w:sz w:val="18"/>
          <w:szCs w:val="18"/>
          <w:color w:val="auto"/>
        </w:rPr>
      </w:pPr>
    </w:p>
    <w:p>
      <w:pPr>
        <w:ind w:left="780" w:hanging="397"/>
        <w:spacing w:after="0"/>
        <w:tabs>
          <w:tab w:leader="none" w:pos="78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increasing residental mortgage rates and other factors that could result in a slowdown in residental constructon;</w:t>
      </w:r>
    </w:p>
    <w:p>
      <w:pPr>
        <w:spacing w:after="0" w:line="68" w:lineRule="exact"/>
        <w:rPr>
          <w:rFonts w:ascii="Times New Roman" w:cs="Times New Roman" w:eastAsia="Times New Roman" w:hAnsi="Times New Roman"/>
          <w:sz w:val="18"/>
          <w:szCs w:val="18"/>
          <w:color w:val="auto"/>
        </w:rPr>
      </w:pPr>
    </w:p>
    <w:p>
      <w:pPr>
        <w:jc w:val="both"/>
        <w:ind w:left="780" w:hanging="397"/>
        <w:spacing w:after="0" w:line="235" w:lineRule="auto"/>
        <w:tabs>
          <w:tab w:leader="none" w:pos="78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unfavorable weather conditons, partcularly Atlantc Ocean, Pacifc Ocean and Gulf of Mexico storm and hurricane actvity, the late start to spring or the early onset of winter and the impact of a drought or excessive rainfall in the markets served by the Company, any of which can signifcantly afect producton schedules, volumes, product and/or geographic mix and proftability;</w:t>
      </w:r>
    </w:p>
    <w:p>
      <w:pPr>
        <w:spacing w:after="0" w:line="70" w:lineRule="exact"/>
        <w:rPr>
          <w:rFonts w:ascii="Times New Roman" w:cs="Times New Roman" w:eastAsia="Times New Roman" w:hAnsi="Times New Roman"/>
          <w:sz w:val="18"/>
          <w:szCs w:val="18"/>
          <w:color w:val="auto"/>
        </w:rPr>
      </w:pPr>
    </w:p>
    <w:p>
      <w:pPr>
        <w:jc w:val="both"/>
        <w:ind w:left="780" w:hanging="397"/>
        <w:spacing w:after="0" w:line="235" w:lineRule="auto"/>
        <w:tabs>
          <w:tab w:leader="none" w:pos="78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volatlity of fuel costs and energy, partcularly diesel fuel, electricity, natural gas and the impact on the cost, or the availability generally, of other consumables, namely steel, explosives, tres and conveyor belts, and with respect to the Company’s Magnesia Specialtes business, natural gas;</w:t>
      </w:r>
    </w:p>
    <w:p>
      <w:pPr>
        <w:spacing w:after="0" w:line="65" w:lineRule="exact"/>
        <w:rPr>
          <w:rFonts w:ascii="Times New Roman" w:cs="Times New Roman" w:eastAsia="Times New Roman" w:hAnsi="Times New Roman"/>
          <w:sz w:val="18"/>
          <w:szCs w:val="18"/>
          <w:color w:val="auto"/>
        </w:rPr>
      </w:pPr>
    </w:p>
    <w:p>
      <w:pPr>
        <w:ind w:left="780" w:hanging="397"/>
        <w:spacing w:after="0"/>
        <w:tabs>
          <w:tab w:leader="none" w:pos="78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contnued increases in the cost of other repair and supply parts;</w:t>
      </w:r>
    </w:p>
    <w:p>
      <w:pPr>
        <w:spacing w:after="0" w:line="63" w:lineRule="exact"/>
        <w:rPr>
          <w:rFonts w:ascii="Times New Roman" w:cs="Times New Roman" w:eastAsia="Times New Roman" w:hAnsi="Times New Roman"/>
          <w:sz w:val="18"/>
          <w:szCs w:val="18"/>
          <w:color w:val="auto"/>
        </w:rPr>
      </w:pPr>
    </w:p>
    <w:p>
      <w:pPr>
        <w:ind w:left="780" w:hanging="397"/>
        <w:spacing w:after="0"/>
        <w:tabs>
          <w:tab w:leader="none" w:pos="78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constructon labor shortages and/or supply chain challenges;</w:t>
      </w:r>
    </w:p>
    <w:p>
      <w:pPr>
        <w:spacing w:after="0" w:line="68" w:lineRule="exact"/>
        <w:rPr>
          <w:rFonts w:ascii="Times New Roman" w:cs="Times New Roman" w:eastAsia="Times New Roman" w:hAnsi="Times New Roman"/>
          <w:sz w:val="18"/>
          <w:szCs w:val="18"/>
          <w:color w:val="auto"/>
        </w:rPr>
      </w:pPr>
    </w:p>
    <w:p>
      <w:pPr>
        <w:ind w:left="780" w:right="20" w:hanging="397"/>
        <w:spacing w:after="0" w:line="235" w:lineRule="auto"/>
        <w:tabs>
          <w:tab w:leader="none" w:pos="78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unexpected equipment failures, unscheduled maintenance, industrial accident or other prolonged and/or signifcant disrupton to producton facilites;</w:t>
      </w:r>
    </w:p>
    <w:p>
      <w:pPr>
        <w:spacing w:after="0" w:line="64" w:lineRule="exact"/>
        <w:rPr>
          <w:rFonts w:ascii="Times New Roman" w:cs="Times New Roman" w:eastAsia="Times New Roman" w:hAnsi="Times New Roman"/>
          <w:sz w:val="18"/>
          <w:szCs w:val="18"/>
          <w:color w:val="auto"/>
        </w:rPr>
      </w:pPr>
    </w:p>
    <w:p>
      <w:pPr>
        <w:ind w:left="780" w:hanging="397"/>
        <w:spacing w:after="0"/>
        <w:tabs>
          <w:tab w:leader="none" w:pos="78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resiliency and potental declines of the Company's various constructon end-use markets;</w:t>
      </w:r>
    </w:p>
    <w:p>
      <w:pPr>
        <w:spacing w:after="0" w:line="63" w:lineRule="exact"/>
        <w:rPr>
          <w:rFonts w:ascii="Times New Roman" w:cs="Times New Roman" w:eastAsia="Times New Roman" w:hAnsi="Times New Roman"/>
          <w:sz w:val="18"/>
          <w:szCs w:val="18"/>
          <w:color w:val="auto"/>
        </w:rPr>
      </w:pPr>
    </w:p>
    <w:p>
      <w:pPr>
        <w:ind w:left="780" w:hanging="397"/>
        <w:spacing w:after="0"/>
        <w:tabs>
          <w:tab w:leader="none" w:pos="78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potental negatve impacts of a global health crisis such as COVID-19 and its variants;</w:t>
      </w:r>
    </w:p>
    <w:p>
      <w:pPr>
        <w:spacing w:after="0" w:line="63" w:lineRule="exact"/>
        <w:rPr>
          <w:rFonts w:ascii="Times New Roman" w:cs="Times New Roman" w:eastAsia="Times New Roman" w:hAnsi="Times New Roman"/>
          <w:sz w:val="18"/>
          <w:szCs w:val="18"/>
          <w:color w:val="auto"/>
        </w:rPr>
      </w:pPr>
    </w:p>
    <w:p>
      <w:pPr>
        <w:ind w:left="780" w:hanging="397"/>
        <w:spacing w:after="0"/>
        <w:tabs>
          <w:tab w:leader="none" w:pos="78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increasing governmental regulaton, including environmental laws and climate change regulatons;</w:t>
      </w:r>
    </w:p>
    <w:p>
      <w:pPr>
        <w:spacing w:after="0" w:line="68" w:lineRule="exact"/>
        <w:rPr>
          <w:rFonts w:ascii="Times New Roman" w:cs="Times New Roman" w:eastAsia="Times New Roman" w:hAnsi="Times New Roman"/>
          <w:sz w:val="18"/>
          <w:szCs w:val="18"/>
          <w:color w:val="auto"/>
        </w:rPr>
      </w:pPr>
    </w:p>
    <w:p>
      <w:pPr>
        <w:jc w:val="both"/>
        <w:ind w:left="780" w:hanging="397"/>
        <w:spacing w:after="0" w:line="235" w:lineRule="auto"/>
        <w:tabs>
          <w:tab w:leader="none" w:pos="78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transportaton availability or a sustained reducton in capital investment by the railroads, notably the availability of railcars, locomotve power and the conditon of rail infrastructure to move trains to supply the Company’s Texas, Colorado, Florida, Carolinas and the Gulf Coast markets, including the movement of essental dolomitc lime for magnesia chemicals to the Company’s plant in Manistee, Michigan and its customers;</w:t>
      </w:r>
    </w:p>
    <w:p>
      <w:pPr>
        <w:spacing w:after="0" w:line="70" w:lineRule="exact"/>
        <w:rPr>
          <w:rFonts w:ascii="Times New Roman" w:cs="Times New Roman" w:eastAsia="Times New Roman" w:hAnsi="Times New Roman"/>
          <w:sz w:val="18"/>
          <w:szCs w:val="18"/>
          <w:color w:val="auto"/>
        </w:rPr>
      </w:pPr>
    </w:p>
    <w:p>
      <w:pPr>
        <w:ind w:left="780" w:hanging="397"/>
        <w:spacing w:after="0" w:line="235" w:lineRule="auto"/>
        <w:tabs>
          <w:tab w:leader="none" w:pos="78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increased transportaton costs, including increases from higher or fuctuatng passed-through energy costs or fuel surcharges, and other costs to comply with tghtening regulatons, as well as higher volumes of rail and water shipments;</w:t>
      </w:r>
    </w:p>
    <w:p>
      <w:pPr>
        <w:spacing w:after="0" w:line="64" w:lineRule="exact"/>
        <w:rPr>
          <w:rFonts w:ascii="Times New Roman" w:cs="Times New Roman" w:eastAsia="Times New Roman" w:hAnsi="Times New Roman"/>
          <w:sz w:val="18"/>
          <w:szCs w:val="18"/>
          <w:color w:val="auto"/>
        </w:rPr>
      </w:pPr>
    </w:p>
    <w:p>
      <w:pPr>
        <w:ind w:left="780" w:hanging="397"/>
        <w:spacing w:after="0"/>
        <w:tabs>
          <w:tab w:leader="none" w:pos="78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availability of trucks and licensed drivers for transport of the Company’s materials;</w:t>
      </w:r>
    </w:p>
    <w:p>
      <w:pPr>
        <w:spacing w:after="0" w:line="63" w:lineRule="exact"/>
        <w:rPr>
          <w:rFonts w:ascii="Times New Roman" w:cs="Times New Roman" w:eastAsia="Times New Roman" w:hAnsi="Times New Roman"/>
          <w:sz w:val="18"/>
          <w:szCs w:val="18"/>
          <w:color w:val="auto"/>
        </w:rPr>
      </w:pPr>
    </w:p>
    <w:p>
      <w:pPr>
        <w:ind w:left="780" w:hanging="397"/>
        <w:spacing w:after="0"/>
        <w:tabs>
          <w:tab w:leader="none" w:pos="78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availability and cost of constructon equipment in the United States;</w:t>
      </w:r>
    </w:p>
    <w:p>
      <w:pPr>
        <w:spacing w:after="0" w:line="63" w:lineRule="exact"/>
        <w:rPr>
          <w:rFonts w:ascii="Times New Roman" w:cs="Times New Roman" w:eastAsia="Times New Roman" w:hAnsi="Times New Roman"/>
          <w:sz w:val="18"/>
          <w:szCs w:val="18"/>
          <w:color w:val="auto"/>
        </w:rPr>
      </w:pPr>
    </w:p>
    <w:p>
      <w:pPr>
        <w:ind w:left="780" w:hanging="397"/>
        <w:spacing w:after="0"/>
        <w:tabs>
          <w:tab w:leader="none" w:pos="78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weakening in the steel industry markets served by the Company’s dolomitc lime products;</w:t>
      </w:r>
    </w:p>
    <w:p>
      <w:pPr>
        <w:spacing w:after="0" w:line="63" w:lineRule="exact"/>
        <w:rPr>
          <w:rFonts w:ascii="Times New Roman" w:cs="Times New Roman" w:eastAsia="Times New Roman" w:hAnsi="Times New Roman"/>
          <w:sz w:val="18"/>
          <w:szCs w:val="18"/>
          <w:color w:val="auto"/>
        </w:rPr>
      </w:pPr>
    </w:p>
    <w:p>
      <w:pPr>
        <w:ind w:left="780" w:hanging="397"/>
        <w:spacing w:after="0"/>
        <w:tabs>
          <w:tab w:leader="none" w:pos="78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trade disputes with one or more natons impactng the U.S. economy, including the impact of tarifs on the steel industry;</w:t>
      </w:r>
    </w:p>
    <w:p>
      <w:pPr>
        <w:spacing w:after="0" w:line="68" w:lineRule="exact"/>
        <w:rPr>
          <w:rFonts w:ascii="Times New Roman" w:cs="Times New Roman" w:eastAsia="Times New Roman" w:hAnsi="Times New Roman"/>
          <w:sz w:val="18"/>
          <w:szCs w:val="18"/>
          <w:color w:val="auto"/>
        </w:rPr>
      </w:pPr>
    </w:p>
    <w:p>
      <w:pPr>
        <w:ind w:left="780" w:hanging="397"/>
        <w:spacing w:after="0" w:line="235" w:lineRule="auto"/>
        <w:tabs>
          <w:tab w:leader="none" w:pos="78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unplanned changes in costs or realignment of customers that introduce volatlity to earnings, including that of the Magnesia Specialtes business that is running at capacity;</w:t>
      </w:r>
    </w:p>
    <w:p>
      <w:pPr>
        <w:spacing w:after="0" w:line="64" w:lineRule="exact"/>
        <w:rPr>
          <w:rFonts w:ascii="Times New Roman" w:cs="Times New Roman" w:eastAsia="Times New Roman" w:hAnsi="Times New Roman"/>
          <w:sz w:val="18"/>
          <w:szCs w:val="18"/>
          <w:color w:val="auto"/>
        </w:rPr>
      </w:pPr>
    </w:p>
    <w:p>
      <w:pPr>
        <w:ind w:left="780" w:hanging="397"/>
        <w:spacing w:after="0"/>
        <w:tabs>
          <w:tab w:leader="none" w:pos="78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proper functoning of informaton technology and automated operatng systems to manage or support operatons;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6764655</wp:posOffset>
            </wp:positionH>
            <wp:positionV relativeFrom="paragraph">
              <wp:posOffset>92075</wp:posOffset>
            </wp:positionV>
            <wp:extent cx="325755" cy="1968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180340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2" w:right="339" w:bottom="1440" w:gutter="0" w:footer="0" w:header="0"/>
        </w:sectPr>
      </w:pPr>
    </w:p>
    <w:bookmarkStart w:id="68" w:name="page69"/>
    <w:bookmarkEnd w:id="68"/>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182" w:lineRule="exact"/>
        <w:rPr>
          <w:sz w:val="20"/>
          <w:szCs w:val="20"/>
          <w:color w:val="auto"/>
        </w:rPr>
      </w:pPr>
    </w:p>
    <w:p>
      <w:pPr>
        <w:ind w:left="800" w:hanging="397"/>
        <w:spacing w:after="0"/>
        <w:tabs>
          <w:tab w:leader="none" w:pos="8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infaton and its efect on both producton and interest costs;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concentraton of customers in constructon markets and the increased risk of potental losses on customer receivables;</w:t>
      </w:r>
    </w:p>
    <w:p>
      <w:pPr>
        <w:spacing w:after="0" w:line="68" w:lineRule="exact"/>
        <w:rPr>
          <w:rFonts w:ascii="Times New Roman" w:cs="Times New Roman" w:eastAsia="Times New Roman" w:hAnsi="Times New Roman"/>
          <w:sz w:val="18"/>
          <w:szCs w:val="18"/>
          <w:color w:val="auto"/>
        </w:rPr>
      </w:pPr>
    </w:p>
    <w:p>
      <w:pPr>
        <w:ind w:left="800" w:hanging="397"/>
        <w:spacing w:after="0" w:line="235" w:lineRule="auto"/>
        <w:tabs>
          <w:tab w:leader="none" w:pos="8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impact of the level of demand in the Company’s end-use markets, producton levels and management of producton costs on the operatng leverage and therefore proftability of the Company;</w:t>
      </w:r>
    </w:p>
    <w:p>
      <w:pPr>
        <w:spacing w:after="0" w:line="69" w:lineRule="exact"/>
        <w:rPr>
          <w:rFonts w:ascii="Times New Roman" w:cs="Times New Roman" w:eastAsia="Times New Roman" w:hAnsi="Times New Roman"/>
          <w:sz w:val="18"/>
          <w:szCs w:val="18"/>
          <w:color w:val="auto"/>
        </w:rPr>
      </w:pPr>
    </w:p>
    <w:p>
      <w:pPr>
        <w:ind w:left="800" w:hanging="397"/>
        <w:spacing w:after="0" w:line="235" w:lineRule="auto"/>
        <w:tabs>
          <w:tab w:leader="none" w:pos="8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possibility that the expected synergies from acquisitons will not be realized or will not be realized within the expected tme period, including achieving antcipated proftability to maintain compliance with the Company’s leverage rato debt covenant;</w:t>
      </w:r>
    </w:p>
    <w:p>
      <w:pPr>
        <w:spacing w:after="0" w:line="69" w:lineRule="exact"/>
        <w:rPr>
          <w:rFonts w:ascii="Times New Roman" w:cs="Times New Roman" w:eastAsia="Times New Roman" w:hAnsi="Times New Roman"/>
          <w:sz w:val="18"/>
          <w:szCs w:val="18"/>
          <w:color w:val="auto"/>
        </w:rPr>
      </w:pPr>
    </w:p>
    <w:p>
      <w:pPr>
        <w:ind w:left="800" w:hanging="397"/>
        <w:spacing w:after="0" w:line="235" w:lineRule="auto"/>
        <w:tabs>
          <w:tab w:leader="none" w:pos="8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changes in tax laws, the interpretaton of such laws and/or administratve practces, including acquisitons and divesttures, that would increase the Company’s tax rate;</w:t>
      </w:r>
    </w:p>
    <w:p>
      <w:pPr>
        <w:spacing w:after="0" w:line="64"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violaton of the Company’s debt covenant if price and/or volumes return to previous levels of instability;</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downward pressure on the Company’s common stock price and its impact on goodwill impairment evaluatons;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possibility of a reducton of the Company’s credit ratng to non-investment grade; and</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other risk factors listed from tme to tme found in the Company’s flings with the SEC.</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Further, increased highway constructon funding pressures resultng from either federal or state issues can afect proftability. If these negatvely afect transportaton budgets more than in the past, constructon spending could be reduced. Cement is subject to cyclical supply and demand and price fuctuatons.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principal business serves customers in constructon markets. This concentraton could increase the risk of potental losses on customer receivables; however, payment bonds normally posted on public projects, together with lien rights on private projects, mitgate the risk of uncollectble receivables. The level of demand in the Company’s end-use markets, producton levels and the management of producton costs will afect the operatng leverage of the Building Materials business and, therefore, proftability. Producton costs in the Building Materials business are also sensitve to energy and raw material prices, both directly and indirectly. Diesel fuel, coal and other consumables change producton costs directly through consumpton or indirectly by increased energy-related input costs, such as steel, explosives, tres and conveyor belts. Fluctuatng diesel fuel pricing also afects transportaton costs, primarily through fuel surcharges in the Company’s long-haul distributon network. The Magnesia Specialtes business is sensitve to changes in domestc steel capacity utlizaton as well as the absolute price and fuctuaton in the cost of natural gas.</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Transportaton in the Company’s long-haul network, partcularly the supply of railcars and locomotve power and conditon of rail infrastructure to move trains, afects the Company’s efcient transportaton of aggregates products in certain markets, most notably Texas, Colorado, Florida, North Carolina and the Gulf Coast. In additon, availability of railcars and locomotves afects the Company’s movement of essental dolomitc lime for magnesia chemicals to both the Company’s plant in Manistee, Michigan, and its customers. The availability of trucks, drivers and railcars to transport the Company’s product, partcularly in markets experiencing high growth and increased demand, is also a risk and pressures the associated costs.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All of the Company’s businesses are also subject to weather-related risks that can signifcantly afect producton schedules and proftability. The frst and fourth quarters are most adversely afected by winter weather. Hurricane and cyclone actvity in the Atlantc Ocean, Pacifc Ocean and Gulf Coast generally is most actve during the second, third and fourth quarters.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Risks also include shipment declines resultng from economic events beyond the Company’s control.</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to the foregoing, other factors that could cause actual results to difer materially from the forward-looking statements in this Annual Report include but are not limited to those listed above in Item 1, “</w:t>
      </w:r>
      <w:r>
        <w:rPr>
          <w:rFonts w:ascii="Calibri" w:cs="Calibri" w:eastAsia="Calibri" w:hAnsi="Calibri"/>
          <w:sz w:val="18"/>
          <w:szCs w:val="18"/>
          <w:u w:val="single" w:color="auto"/>
          <w:color w:val="007DC6"/>
        </w:rPr>
        <w:t>Business – Competton</w:t>
      </w:r>
      <w:r>
        <w:rPr>
          <w:rFonts w:ascii="Calibri" w:cs="Calibri" w:eastAsia="Calibri" w:hAnsi="Calibri"/>
          <w:sz w:val="18"/>
          <w:szCs w:val="18"/>
          <w:color w:val="auto"/>
        </w:rPr>
        <w:t>,” Item 1A, “</w:t>
      </w:r>
      <w:r>
        <w:rPr>
          <w:rFonts w:ascii="Calibri" w:cs="Calibri" w:eastAsia="Calibri" w:hAnsi="Calibri"/>
          <w:sz w:val="18"/>
          <w:szCs w:val="18"/>
          <w:u w:val="single" w:color="auto"/>
          <w:color w:val="007DC6"/>
        </w:rPr>
        <w:t>Risk Factors</w:t>
      </w:r>
      <w:r>
        <w:rPr>
          <w:rFonts w:ascii="Calibri" w:cs="Calibri" w:eastAsia="Calibri" w:hAnsi="Calibri"/>
          <w:sz w:val="18"/>
          <w:szCs w:val="18"/>
          <w:color w:val="auto"/>
        </w:rPr>
        <w:t>,” and “</w:t>
      </w:r>
      <w:r>
        <w:rPr>
          <w:rFonts w:ascii="Calibri" w:cs="Calibri" w:eastAsia="Calibri" w:hAnsi="Calibri"/>
          <w:sz w:val="18"/>
          <w:szCs w:val="18"/>
          <w:u w:val="single" w:color="auto"/>
          <w:color w:val="007DC6"/>
        </w:rPr>
        <w:t>Note A: Accountng Policies</w:t>
      </w:r>
      <w:r>
        <w:rPr>
          <w:rFonts w:ascii="Calibri" w:cs="Calibri" w:eastAsia="Calibri" w:hAnsi="Calibri"/>
          <w:sz w:val="18"/>
          <w:szCs w:val="18"/>
          <w:color w:val="auto"/>
        </w:rPr>
        <w:t>” and “</w:t>
      </w:r>
      <w:r>
        <w:rPr>
          <w:rFonts w:ascii="Calibri" w:cs="Calibri" w:eastAsia="Calibri" w:hAnsi="Calibri"/>
          <w:sz w:val="18"/>
          <w:szCs w:val="18"/>
          <w:u w:val="single" w:color="auto"/>
          <w:color w:val="007DC6"/>
        </w:rPr>
        <w:t>Note O:</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007DC6"/>
        </w:rPr>
        <w:t>Commitments and Contngencies</w:t>
      </w:r>
      <w:r>
        <w:rPr>
          <w:rFonts w:ascii="Calibri" w:cs="Calibri" w:eastAsia="Calibri" w:hAnsi="Calibri"/>
          <w:sz w:val="18"/>
          <w:szCs w:val="18"/>
          <w:color w:val="000000"/>
        </w:rPr>
        <w:t>” of the “</w:t>
      </w:r>
      <w:r>
        <w:rPr>
          <w:rFonts w:ascii="Calibri" w:cs="Calibri" w:eastAsia="Calibri" w:hAnsi="Calibri"/>
          <w:sz w:val="18"/>
          <w:szCs w:val="18"/>
          <w:u w:val="single" w:color="auto"/>
          <w:color w:val="007DC6"/>
        </w:rPr>
        <w:t>Notes to Financial Statements</w:t>
      </w:r>
      <w:r>
        <w:rPr>
          <w:rFonts w:ascii="Calibri" w:cs="Calibri" w:eastAsia="Calibri" w:hAnsi="Calibri"/>
          <w:sz w:val="18"/>
          <w:szCs w:val="18"/>
          <w:color w:val="000000"/>
        </w:rPr>
        <w:t>” of the audited consolidated fnancial statements included in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2724150</wp:posOffset>
            </wp:positionH>
            <wp:positionV relativeFrom="paragraph">
              <wp:posOffset>-154940</wp:posOffset>
            </wp:positionV>
            <wp:extent cx="105727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105727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4337050</wp:posOffset>
            </wp:positionH>
            <wp:positionV relativeFrom="paragraph">
              <wp:posOffset>-154940</wp:posOffset>
            </wp:positionV>
            <wp:extent cx="279781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27978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325818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3258185" cy="8890"/>
                    </a:xfrm>
                    <a:prstGeom prst="rect">
                      <a:avLst/>
                    </a:prstGeom>
                    <a:noFill/>
                  </pic:spPr>
                </pic:pic>
              </a:graphicData>
            </a:graphic>
          </wp:anchor>
        </w:drawing>
      </w:r>
    </w:p>
    <w:p>
      <w:pPr>
        <w:spacing w:after="0" w:line="9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You should consider these forward-looking statements in light of risk factors discussed in the Company’s Annual Report on Form 10-K for the year ended December 31, 2022 and other flings made with the SEC. All of the Company’s forward-looking statements should be considered in light of these factors. In additon, other risks and uncertaintes not presently known to the Company or that the Company considers immaterial could afect the accuracy of its forward-looking statements, or adversely afect or be material to the Company. All forward-looking statements are made as of the date of fling or publicaton and we assume no obligaton to update any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93980</wp:posOffset>
            </wp:positionV>
            <wp:extent cx="325755" cy="1968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ind w:left="5620"/>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7A – Quanttatve and Qualitatve Disclosures About Market Risk</w:t>
      </w:r>
    </w:p>
    <w:p>
      <w:pPr>
        <w:spacing w:after="0" w:line="209"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7A – QUANTITATIVE AND QUALITATIVE DISCLOSURES ABOUT MARKET RISK</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As discussed earlier, the Company’s operatons are highly dependent upon the interest rate-sensitve constructon and steelmaking industries. Consequently, these marketplaces could experience lower levels of economic actvity in an environment of rising interest rates or escalatng costs (see </w:t>
      </w:r>
      <w:r>
        <w:rPr>
          <w:rFonts w:ascii="Calibri" w:cs="Calibri" w:eastAsia="Calibri" w:hAnsi="Calibri"/>
          <w:sz w:val="18"/>
          <w:szCs w:val="18"/>
          <w:i w:val="1"/>
          <w:iCs w:val="1"/>
          <w:color w:val="auto"/>
        </w:rPr>
        <w:t>Business Environment</w:t>
      </w:r>
      <w:r>
        <w:rPr>
          <w:rFonts w:ascii="Calibri" w:cs="Calibri" w:eastAsia="Calibri" w:hAnsi="Calibri"/>
          <w:sz w:val="18"/>
          <w:szCs w:val="18"/>
          <w:color w:val="auto"/>
        </w:rPr>
        <w:t xml:space="preserve"> secton included under Item 7 – MD&amp;A of this Form 10-K).</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Management has considered the current economic environment and its potental impact to the Company’s business. Demand for aggregates products, partcularly in the infrastructure constructon market, is afected by federal, state and local budget and defcit issues. Further, delays or cancellatons of capital projects in the nonresidental and residental constructon markets could occur if companies and consumers are unable to obtain afordable fnancing for constructon projects or if consumer confdence is eroded by economic uncertainty.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Demand in the residental and nonresidental constructon markets, which combined accounted for 60% of the Company's 2022 aggregates shipments, is afected by interest rates. During 2022, the Federal Reserve raised the target federal funds rate 425 basis points.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Aside from these inherent risks from within its operatons, the Company’s earnings are also afected by changes in short-term interest rates and changes in enacted tax laws.</w:t>
      </w:r>
    </w:p>
    <w:p>
      <w:pPr>
        <w:spacing w:after="0" w:line="172"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Variable-Rate Borrowing Facilites</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At December 31, 2022, the Company had an $800.0 million Revolving Facility and a $400.0 million Trade Receivable Facility. Borrowings under these facilites bear interest at a variable interest rate. As of December 31, 2022, the Company did not have any outstanding variable-rate debt. However, any future borrowings under the credit facilites or outstanding variable-rate debt are exposed to interest rate risk.</w:t>
      </w:r>
    </w:p>
    <w:p>
      <w:pPr>
        <w:spacing w:after="0" w:line="187"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Pension Expense</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Company’s results of operatons are afected by its pension expense. Assumptons that afect pension expense include the discount rate and, for the qualifed defned beneft pension plan only, the expected long-term rate of return on assets. Therefore, the Company has interest rate risk associated with these factors. The impact of hypothetcal changes in these assumptons on the Company’s annual pension expense and accrued pension obligaton is discussed in the </w:t>
      </w:r>
      <w:r>
        <w:rPr>
          <w:rFonts w:ascii="Calibri" w:cs="Calibri" w:eastAsia="Calibri" w:hAnsi="Calibri"/>
          <w:sz w:val="18"/>
          <w:szCs w:val="18"/>
          <w:i w:val="1"/>
          <w:iCs w:val="1"/>
          <w:color w:val="auto"/>
        </w:rPr>
        <w:t>Critcal Accountng Policies and Estmates – Pension Expense – Selecton of Assumptons</w:t>
      </w:r>
      <w:r>
        <w:rPr>
          <w:rFonts w:ascii="Calibri" w:cs="Calibri" w:eastAsia="Calibri" w:hAnsi="Calibri"/>
          <w:sz w:val="18"/>
          <w:szCs w:val="18"/>
          <w:color w:val="auto"/>
        </w:rPr>
        <w:t xml:space="preserve"> secton included under Item 7 – MD&amp;A of this Form 10-K.</w:t>
      </w:r>
    </w:p>
    <w:p>
      <w:pPr>
        <w:spacing w:after="0" w:line="175"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Income Tax</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Any changes in enacted tax laws, rules or regulatory or judicial interpretaton, or any change in the pronouncements relatng to accountng for income taxes, could materially impact the Company's efectve tax rate, tax payments, fnancial conditon and results of operatons.</w:t>
      </w:r>
    </w:p>
    <w:p>
      <w:pPr>
        <w:spacing w:after="0" w:line="172"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Energy Costs</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Energy costs, including diesel fuel, natural gas, electricity, coal, petroleum coke and liquid asphalt, represent signifcant producton costs of the Company. The Company may be unable to pass along increases in the costs of energy to customers in the form of price increases for the Company’s products. The cement product line and Magnesia Specialtes business each have varying fxed-price agreements for a porton of their future energy requirements. A hypothetcal 10% change in the Company’s energy prices in 2023 as compared with 2022, assuming constant volumes, would change 2023 energy expense by $50.0 million.</w:t>
      </w:r>
    </w:p>
    <w:p>
      <w:pPr>
        <w:spacing w:after="0" w:line="189"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Commodity Risk</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Cement is a commodity and competton is based principally on price, which is highly sensitve to changes in supply and demand. Prices are ofen subject to material changes in response to relatvely minor fuctuatons in supply and demand, general economic conditons and other market conditons beyond the Company’s control. Increases in the producton capacity of industry partcipants or increases in cement imports tend to create an oversupply of such products leading to an imbalance between supply and demand, which can have a negatve impact on product prices. There can be no assurance that product prices will not decline in the future or that such declines will not have a material adverse efect on the Company’s business, fnancial conditon and results of operatons. A hypothetcal 10% change in sales price of the cement product line would impact cement product line revenues by $60.2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94615</wp:posOffset>
            </wp:positionV>
            <wp:extent cx="325755" cy="1968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2"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ind w:left="5620"/>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7A – Quanttatve and Qualitatve Disclosures About Market Risk</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Cement is a key raw material in the producton of ready mixed concrete. The Company may be unable to pass along increases in the costs of cement and raw materials to customers in the form of price increases for the Company’s products. A hypothetcal 10% change in cement costs in 2023 compared with 2022, assuming constant volumes, would change the ready mixed concrete product line cost of sales by $26.2 million. While increases in cement pricing may negatvely impact the proftability of the ready mixed concrete operatons, the cement business would beneft, although the positve impact may not refect a direct correlaton to the impact to the ready mixed concrete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93980</wp:posOffset>
            </wp:positionV>
            <wp:extent cx="325755" cy="1974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308"/>
        </w:trPr>
        <w:tc>
          <w:tcPr>
            <w:tcW w:w="17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0" w:type="dxa"/>
            <w:vAlign w:val="bottom"/>
            <w:gridSpan w:val="2"/>
          </w:tcPr>
          <w:p>
            <w:pPr>
              <w:jc w:val="right"/>
              <w:spacing w:after="0"/>
              <w:rPr>
                <w:sz w:val="20"/>
                <w:szCs w:val="20"/>
                <w:color w:val="auto"/>
              </w:rPr>
            </w:pPr>
            <w:r>
              <w:rPr>
                <w:rFonts w:ascii="Calibri" w:cs="Calibri" w:eastAsia="Calibri" w:hAnsi="Calibri"/>
                <w:sz w:val="18"/>
                <w:szCs w:val="18"/>
                <w:color w:val="auto"/>
                <w:w w:val="98"/>
              </w:rPr>
              <w:t xml:space="preserve">Part II </w:t>
            </w:r>
            <w:r>
              <w:rPr>
                <w:rFonts w:ascii="Arial" w:cs="Arial" w:eastAsia="Arial" w:hAnsi="Arial"/>
                <w:sz w:val="23"/>
                <w:szCs w:val="23"/>
                <w:color w:val="0070C0"/>
                <w:w w:val="98"/>
              </w:rPr>
              <w:t>♦</w:t>
            </w:r>
            <w:r>
              <w:rPr>
                <w:rFonts w:ascii="Calibri" w:cs="Calibri" w:eastAsia="Calibri" w:hAnsi="Calibri"/>
                <w:sz w:val="18"/>
                <w:szCs w:val="18"/>
                <w:color w:val="auto"/>
                <w:w w:val="98"/>
              </w:rPr>
              <w:t xml:space="preserve"> Item 8 – Financial Statements and Supplementary Data</w:t>
            </w:r>
          </w:p>
        </w:tc>
        <w:tc>
          <w:tcPr>
            <w:tcW w:w="0" w:type="dxa"/>
            <w:vAlign w:val="bottom"/>
          </w:tcPr>
          <w:p>
            <w:pPr>
              <w:spacing w:after="0"/>
              <w:rPr>
                <w:sz w:val="1"/>
                <w:szCs w:val="1"/>
                <w:color w:val="auto"/>
              </w:rPr>
            </w:pPr>
          </w:p>
        </w:tc>
      </w:tr>
      <w:tr>
        <w:trPr>
          <w:trHeight w:val="488"/>
        </w:trPr>
        <w:tc>
          <w:tcPr>
            <w:tcW w:w="6640" w:type="dxa"/>
            <w:vAlign w:val="bottom"/>
            <w:gridSpan w:val="13"/>
          </w:tcPr>
          <w:p>
            <w:pPr>
              <w:spacing w:after="0"/>
              <w:rPr>
                <w:sz w:val="20"/>
                <w:szCs w:val="20"/>
                <w:color w:val="auto"/>
              </w:rPr>
            </w:pPr>
            <w:r>
              <w:rPr>
                <w:rFonts w:ascii="Calibri" w:cs="Calibri" w:eastAsia="Calibri" w:hAnsi="Calibri"/>
                <w:sz w:val="25"/>
                <w:szCs w:val="25"/>
                <w:b w:val="1"/>
                <w:bCs w:val="1"/>
                <w:color w:val="auto"/>
              </w:rPr>
              <w:t>ITEM 8 – FINANCIAL STATEMENTS AND SUPPLEMENTARY DATA</w:t>
            </w:r>
          </w:p>
        </w:tc>
        <w:tc>
          <w:tcPr>
            <w:tcW w:w="3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6640" w:type="dxa"/>
            <w:vAlign w:val="bottom"/>
            <w:gridSpan w:val="13"/>
          </w:tcPr>
          <w:p>
            <w:pPr>
              <w:ind w:left="20"/>
              <w:spacing w:after="0"/>
              <w:rPr>
                <w:sz w:val="20"/>
                <w:szCs w:val="20"/>
                <w:color w:val="auto"/>
              </w:rPr>
            </w:pPr>
            <w:r>
              <w:rPr>
                <w:rFonts w:ascii="Calibri" w:cs="Calibri" w:eastAsia="Calibri" w:hAnsi="Calibri"/>
                <w:sz w:val="18"/>
                <w:szCs w:val="18"/>
                <w:b w:val="1"/>
                <w:bCs w:val="1"/>
                <w:color w:val="007DC6"/>
              </w:rPr>
              <w:t>Index to Consolidated Financial Statements</w:t>
            </w:r>
          </w:p>
        </w:tc>
        <w:tc>
          <w:tcPr>
            <w:tcW w:w="3740" w:type="dxa"/>
            <w:vAlign w:val="bottom"/>
          </w:tcPr>
          <w:p>
            <w:pPr>
              <w:spacing w:after="0"/>
              <w:rPr>
                <w:sz w:val="24"/>
                <w:szCs w:val="24"/>
                <w:color w:val="auto"/>
              </w:rPr>
            </w:pPr>
          </w:p>
        </w:tc>
        <w:tc>
          <w:tcPr>
            <w:tcW w:w="860" w:type="dxa"/>
            <w:vAlign w:val="bottom"/>
          </w:tcPr>
          <w:p>
            <w:pPr>
              <w:jc w:val="right"/>
              <w:ind w:right="170"/>
              <w:spacing w:after="0"/>
              <w:rPr>
                <w:sz w:val="20"/>
                <w:szCs w:val="20"/>
                <w:color w:val="auto"/>
              </w:rPr>
            </w:pPr>
            <w:r>
              <w:rPr>
                <w:rFonts w:ascii="Calibri" w:cs="Calibri" w:eastAsia="Calibri" w:hAnsi="Calibri"/>
                <w:sz w:val="18"/>
                <w:szCs w:val="18"/>
                <w:b w:val="1"/>
                <w:bCs w:val="1"/>
                <w:color w:val="007DC6"/>
              </w:rPr>
              <w:t>Page</w:t>
            </w:r>
          </w:p>
        </w:tc>
        <w:tc>
          <w:tcPr>
            <w:tcW w:w="0" w:type="dxa"/>
            <w:vAlign w:val="bottom"/>
          </w:tcPr>
          <w:p>
            <w:pPr>
              <w:spacing w:after="0"/>
              <w:rPr>
                <w:sz w:val="1"/>
                <w:szCs w:val="1"/>
                <w:color w:val="auto"/>
              </w:rPr>
            </w:pPr>
          </w:p>
        </w:tc>
      </w:tr>
      <w:tr>
        <w:trPr>
          <w:trHeight w:val="37"/>
        </w:trPr>
        <w:tc>
          <w:tcPr>
            <w:tcW w:w="1700" w:type="dxa"/>
            <w:vAlign w:val="bottom"/>
          </w:tcPr>
          <w:p>
            <w:pPr>
              <w:spacing w:after="0"/>
              <w:rPr>
                <w:sz w:val="3"/>
                <w:szCs w:val="3"/>
                <w:color w:val="auto"/>
              </w:rPr>
            </w:pPr>
          </w:p>
        </w:tc>
        <w:tc>
          <w:tcPr>
            <w:tcW w:w="4940" w:type="dxa"/>
            <w:vAlign w:val="bottom"/>
            <w:gridSpan w:val="12"/>
            <w:vMerge w:val="restart"/>
          </w:tcPr>
          <w:p>
            <w:pPr>
              <w:spacing w:after="0"/>
              <w:rPr>
                <w:sz w:val="20"/>
                <w:szCs w:val="20"/>
                <w:color w:val="auto"/>
              </w:rPr>
            </w:pPr>
            <w:r>
              <w:rPr>
                <w:rFonts w:ascii="Calibri" w:cs="Calibri" w:eastAsia="Calibri" w:hAnsi="Calibri"/>
                <w:sz w:val="18"/>
                <w:szCs w:val="18"/>
                <w:color w:val="007DC6"/>
              </w:rPr>
              <w:t>Statement of Responsibility and Management’s Report on</w:t>
            </w:r>
          </w:p>
        </w:tc>
        <w:tc>
          <w:tcPr>
            <w:tcW w:w="3740" w:type="dxa"/>
            <w:vAlign w:val="bottom"/>
          </w:tcPr>
          <w:p>
            <w:pPr>
              <w:spacing w:after="0"/>
              <w:rPr>
                <w:sz w:val="3"/>
                <w:szCs w:val="3"/>
                <w:color w:val="auto"/>
              </w:rPr>
            </w:pPr>
          </w:p>
        </w:tc>
        <w:tc>
          <w:tcPr>
            <w:tcW w:w="860" w:type="dxa"/>
            <w:vAlign w:val="bottom"/>
            <w:tcBorders>
              <w:bottom w:val="single" w:sz="8" w:color="007DC6"/>
            </w:tcBorders>
          </w:tcPr>
          <w:p>
            <w:pPr>
              <w:spacing w:after="0"/>
              <w:rPr>
                <w:sz w:val="3"/>
                <w:szCs w:val="3"/>
                <w:color w:val="auto"/>
              </w:rPr>
            </w:pPr>
          </w:p>
        </w:tc>
        <w:tc>
          <w:tcPr>
            <w:tcW w:w="0" w:type="dxa"/>
            <w:vAlign w:val="bottom"/>
          </w:tcPr>
          <w:p>
            <w:pPr>
              <w:spacing w:after="0"/>
              <w:rPr>
                <w:sz w:val="1"/>
                <w:szCs w:val="1"/>
                <w:color w:val="auto"/>
              </w:rPr>
            </w:pPr>
          </w:p>
        </w:tc>
      </w:tr>
      <w:tr>
        <w:trPr>
          <w:trHeight w:val="412"/>
        </w:trPr>
        <w:tc>
          <w:tcPr>
            <w:tcW w:w="1700" w:type="dxa"/>
            <w:vAlign w:val="bottom"/>
          </w:tcPr>
          <w:p>
            <w:pPr>
              <w:spacing w:after="0"/>
              <w:rPr>
                <w:sz w:val="24"/>
                <w:szCs w:val="24"/>
                <w:color w:val="auto"/>
              </w:rPr>
            </w:pPr>
          </w:p>
        </w:tc>
        <w:tc>
          <w:tcPr>
            <w:tcW w:w="4940" w:type="dxa"/>
            <w:vAlign w:val="bottom"/>
            <w:gridSpan w:val="12"/>
            <w:vMerge w:val="continue"/>
          </w:tcPr>
          <w:p>
            <w:pPr>
              <w:spacing w:after="0"/>
              <w:rPr>
                <w:sz w:val="24"/>
                <w:szCs w:val="24"/>
                <w:color w:val="auto"/>
              </w:rPr>
            </w:pPr>
          </w:p>
        </w:tc>
        <w:tc>
          <w:tcPr>
            <w:tcW w:w="3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2900" w:type="dxa"/>
            <w:vAlign w:val="bottom"/>
            <w:tcBorders>
              <w:top w:val="single" w:sz="8" w:color="007DC6"/>
              <w:bottom w:val="single" w:sz="8" w:color="007DC6"/>
            </w:tcBorders>
            <w:gridSpan w:val="4"/>
          </w:tcPr>
          <w:p>
            <w:pPr>
              <w:spacing w:after="0" w:line="196" w:lineRule="exact"/>
              <w:rPr>
                <w:sz w:val="20"/>
                <w:szCs w:val="20"/>
                <w:color w:val="auto"/>
              </w:rPr>
            </w:pPr>
            <w:r>
              <w:rPr>
                <w:rFonts w:ascii="Calibri" w:cs="Calibri" w:eastAsia="Calibri" w:hAnsi="Calibri"/>
                <w:sz w:val="18"/>
                <w:szCs w:val="18"/>
                <w:color w:val="007DC6"/>
                <w:w w:val="98"/>
              </w:rPr>
              <w:t>Internal Control over Financial Reportng</w:t>
            </w:r>
          </w:p>
        </w:tc>
        <w:tc>
          <w:tcPr>
            <w:tcW w:w="1220" w:type="dxa"/>
            <w:vAlign w:val="bottom"/>
            <w:tcBorders>
              <w:top w:val="single" w:sz="8" w:color="007DC6"/>
            </w:tcBorders>
            <w:gridSpan w:val="7"/>
          </w:tcPr>
          <w:p>
            <w:pPr>
              <w:spacing w:after="0"/>
              <w:rPr>
                <w:sz w:val="17"/>
                <w:szCs w:val="17"/>
                <w:color w:val="auto"/>
              </w:rPr>
            </w:pPr>
          </w:p>
        </w:tc>
        <w:tc>
          <w:tcPr>
            <w:tcW w:w="820" w:type="dxa"/>
            <w:vAlign w:val="bottom"/>
          </w:tcPr>
          <w:p>
            <w:pPr>
              <w:spacing w:after="0"/>
              <w:rPr>
                <w:sz w:val="17"/>
                <w:szCs w:val="17"/>
                <w:color w:val="auto"/>
              </w:rPr>
            </w:pPr>
          </w:p>
        </w:tc>
        <w:tc>
          <w:tcPr>
            <w:tcW w:w="4600" w:type="dxa"/>
            <w:vAlign w:val="bottom"/>
            <w:gridSpan w:val="2"/>
          </w:tcPr>
          <w:p>
            <w:pPr>
              <w:jc w:val="right"/>
              <w:spacing w:after="0" w:line="196" w:lineRule="exact"/>
              <w:rPr>
                <w:sz w:val="20"/>
                <w:szCs w:val="20"/>
                <w:color w:val="auto"/>
              </w:rPr>
            </w:pPr>
            <w:r>
              <w:rPr>
                <w:rFonts w:ascii="Calibri" w:cs="Calibri" w:eastAsia="Calibri" w:hAnsi="Calibri"/>
                <w:sz w:val="18"/>
                <w:szCs w:val="18"/>
                <w:color w:val="auto"/>
              </w:rPr>
              <w:t>70</w:t>
            </w:r>
          </w:p>
        </w:tc>
        <w:tc>
          <w:tcPr>
            <w:tcW w:w="0" w:type="dxa"/>
            <w:vAlign w:val="bottom"/>
          </w:tcPr>
          <w:p>
            <w:pPr>
              <w:spacing w:after="0"/>
              <w:rPr>
                <w:sz w:val="1"/>
                <w:szCs w:val="1"/>
                <w:color w:val="auto"/>
              </w:rPr>
            </w:pPr>
          </w:p>
        </w:tc>
      </w:tr>
      <w:tr>
        <w:trPr>
          <w:trHeight w:val="466"/>
        </w:trPr>
        <w:tc>
          <w:tcPr>
            <w:tcW w:w="1700" w:type="dxa"/>
            <w:vAlign w:val="bottom"/>
          </w:tcPr>
          <w:p>
            <w:pPr>
              <w:spacing w:after="0"/>
              <w:rPr>
                <w:sz w:val="24"/>
                <w:szCs w:val="24"/>
                <w:color w:val="auto"/>
              </w:rPr>
            </w:pPr>
          </w:p>
        </w:tc>
        <w:tc>
          <w:tcPr>
            <w:tcW w:w="4100" w:type="dxa"/>
            <w:vAlign w:val="bottom"/>
            <w:tcBorders>
              <w:bottom w:val="single" w:sz="8" w:color="007DC6"/>
            </w:tcBorders>
            <w:gridSpan w:val="10"/>
          </w:tcPr>
          <w:p>
            <w:pPr>
              <w:spacing w:after="0"/>
              <w:rPr>
                <w:sz w:val="20"/>
                <w:szCs w:val="20"/>
                <w:color w:val="auto"/>
              </w:rPr>
            </w:pPr>
            <w:r>
              <w:rPr>
                <w:rFonts w:ascii="Calibri" w:cs="Calibri" w:eastAsia="Calibri" w:hAnsi="Calibri"/>
                <w:sz w:val="18"/>
                <w:szCs w:val="18"/>
                <w:color w:val="007DC6"/>
                <w:w w:val="97"/>
              </w:rPr>
              <w:t>Report of Independent Registered Public Accountng Firm</w:t>
            </w:r>
          </w:p>
        </w:tc>
        <w:tc>
          <w:tcPr>
            <w:tcW w:w="840" w:type="dxa"/>
            <w:vAlign w:val="bottom"/>
            <w:gridSpan w:val="2"/>
          </w:tcPr>
          <w:p>
            <w:pPr>
              <w:spacing w:after="0"/>
              <w:rPr>
                <w:sz w:val="24"/>
                <w:szCs w:val="24"/>
                <w:color w:val="auto"/>
              </w:rPr>
            </w:pPr>
          </w:p>
        </w:tc>
        <w:tc>
          <w:tcPr>
            <w:tcW w:w="4600" w:type="dxa"/>
            <w:vAlign w:val="bottom"/>
            <w:gridSpan w:val="2"/>
          </w:tcPr>
          <w:p>
            <w:pPr>
              <w:jc w:val="right"/>
              <w:spacing w:after="0"/>
              <w:rPr>
                <w:sz w:val="20"/>
                <w:szCs w:val="20"/>
                <w:color w:val="auto"/>
              </w:rPr>
            </w:pPr>
            <w:r>
              <w:rPr>
                <w:rFonts w:ascii="Calibri" w:cs="Calibri" w:eastAsia="Calibri" w:hAnsi="Calibri"/>
                <w:sz w:val="18"/>
                <w:szCs w:val="18"/>
                <w:color w:val="auto"/>
              </w:rPr>
              <w:t>72</w:t>
            </w:r>
          </w:p>
        </w:tc>
        <w:tc>
          <w:tcPr>
            <w:tcW w:w="0" w:type="dxa"/>
            <w:vAlign w:val="bottom"/>
          </w:tcPr>
          <w:p>
            <w:pPr>
              <w:spacing w:after="0"/>
              <w:rPr>
                <w:sz w:val="1"/>
                <w:szCs w:val="1"/>
                <w:color w:val="auto"/>
              </w:rPr>
            </w:pPr>
          </w:p>
        </w:tc>
      </w:tr>
      <w:tr>
        <w:trPr>
          <w:trHeight w:val="466"/>
        </w:trPr>
        <w:tc>
          <w:tcPr>
            <w:tcW w:w="1700" w:type="dxa"/>
            <w:vAlign w:val="bottom"/>
          </w:tcPr>
          <w:p>
            <w:pPr>
              <w:spacing w:after="0"/>
              <w:rPr>
                <w:sz w:val="24"/>
                <w:szCs w:val="24"/>
                <w:color w:val="auto"/>
              </w:rPr>
            </w:pPr>
          </w:p>
        </w:tc>
        <w:tc>
          <w:tcPr>
            <w:tcW w:w="4940" w:type="dxa"/>
            <w:vAlign w:val="bottom"/>
            <w:gridSpan w:val="12"/>
          </w:tcPr>
          <w:p>
            <w:pPr>
              <w:spacing w:after="0"/>
              <w:rPr>
                <w:sz w:val="20"/>
                <w:szCs w:val="20"/>
                <w:color w:val="auto"/>
              </w:rPr>
            </w:pPr>
            <w:r>
              <w:rPr>
                <w:rFonts w:ascii="Calibri" w:cs="Calibri" w:eastAsia="Calibri" w:hAnsi="Calibri"/>
                <w:sz w:val="18"/>
                <w:szCs w:val="18"/>
                <w:color w:val="007DC6"/>
              </w:rPr>
              <w:t>Consolidated Statements of Earnings –</w:t>
            </w:r>
          </w:p>
        </w:tc>
        <w:tc>
          <w:tcPr>
            <w:tcW w:w="3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180" w:type="dxa"/>
            <w:vAlign w:val="bottom"/>
            <w:tcBorders>
              <w:right w:val="single" w:sz="8" w:color="007DC6"/>
            </w:tcBorders>
            <w:shd w:val="clear" w:color="auto" w:fill="007DC6"/>
          </w:tcPr>
          <w:p>
            <w:pPr>
              <w:spacing w:after="0" w:line="20" w:lineRule="exact"/>
              <w:rPr>
                <w:sz w:val="1"/>
                <w:szCs w:val="1"/>
                <w:color w:val="auto"/>
              </w:rPr>
            </w:pPr>
          </w:p>
        </w:tc>
        <w:tc>
          <w:tcPr>
            <w:tcW w:w="120" w:type="dxa"/>
            <w:vAlign w:val="bottom"/>
            <w:tcBorders>
              <w:right w:val="single" w:sz="8" w:color="007DC6"/>
            </w:tcBorders>
            <w:shd w:val="clear" w:color="auto" w:fill="007DC6"/>
          </w:tcPr>
          <w:p>
            <w:pPr>
              <w:spacing w:after="0" w:line="20" w:lineRule="exact"/>
              <w:rPr>
                <w:sz w:val="1"/>
                <w:szCs w:val="1"/>
                <w:color w:val="auto"/>
              </w:rPr>
            </w:pPr>
          </w:p>
        </w:tc>
        <w:tc>
          <w:tcPr>
            <w:tcW w:w="440" w:type="dxa"/>
            <w:vAlign w:val="bottom"/>
            <w:shd w:val="clear" w:color="auto" w:fill="007DC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Pr>
          <w:p>
            <w:pPr>
              <w:spacing w:after="0"/>
              <w:rPr>
                <w:sz w:val="17"/>
                <w:szCs w:val="17"/>
                <w:color w:val="auto"/>
              </w:rPr>
            </w:pPr>
          </w:p>
        </w:tc>
        <w:tc>
          <w:tcPr>
            <w:tcW w:w="3700" w:type="dxa"/>
            <w:vAlign w:val="bottom"/>
            <w:tcBorders>
              <w:bottom w:val="single" w:sz="8" w:color="007DC6"/>
            </w:tcBorders>
            <w:gridSpan w:val="7"/>
          </w:tcPr>
          <w:p>
            <w:pPr>
              <w:spacing w:after="0" w:line="196" w:lineRule="exact"/>
              <w:rPr>
                <w:sz w:val="20"/>
                <w:szCs w:val="20"/>
                <w:color w:val="auto"/>
              </w:rPr>
            </w:pPr>
            <w:r>
              <w:rPr>
                <w:rFonts w:ascii="Calibri" w:cs="Calibri" w:eastAsia="Calibri" w:hAnsi="Calibri"/>
                <w:sz w:val="18"/>
                <w:szCs w:val="18"/>
                <w:color w:val="007DC6"/>
                <w:w w:val="97"/>
              </w:rPr>
              <w:t>for years ended December 31, 2022, 2021 and 2020</w:t>
            </w:r>
          </w:p>
        </w:tc>
        <w:tc>
          <w:tcPr>
            <w:tcW w:w="20" w:type="dxa"/>
            <w:vAlign w:val="bottom"/>
            <w:tcBorders>
              <w:bottom w:val="single" w:sz="8" w:color="0000EE"/>
            </w:tcBorders>
          </w:tcPr>
          <w:p>
            <w:pPr>
              <w:spacing w:after="0"/>
              <w:rPr>
                <w:sz w:val="17"/>
                <w:szCs w:val="17"/>
                <w:color w:val="auto"/>
              </w:rPr>
            </w:pPr>
          </w:p>
        </w:tc>
        <w:tc>
          <w:tcPr>
            <w:tcW w:w="1220" w:type="dxa"/>
            <w:vAlign w:val="bottom"/>
            <w:gridSpan w:val="4"/>
          </w:tcPr>
          <w:p>
            <w:pPr>
              <w:spacing w:after="0"/>
              <w:rPr>
                <w:sz w:val="17"/>
                <w:szCs w:val="17"/>
                <w:color w:val="auto"/>
              </w:rPr>
            </w:pPr>
          </w:p>
        </w:tc>
        <w:tc>
          <w:tcPr>
            <w:tcW w:w="4600" w:type="dxa"/>
            <w:vAlign w:val="bottom"/>
            <w:gridSpan w:val="2"/>
          </w:tcPr>
          <w:p>
            <w:pPr>
              <w:jc w:val="right"/>
              <w:spacing w:after="0" w:line="196" w:lineRule="exact"/>
              <w:rPr>
                <w:sz w:val="20"/>
                <w:szCs w:val="20"/>
                <w:color w:val="auto"/>
              </w:rPr>
            </w:pPr>
            <w:r>
              <w:rPr>
                <w:rFonts w:ascii="Calibri" w:cs="Calibri" w:eastAsia="Calibri" w:hAnsi="Calibri"/>
                <w:sz w:val="18"/>
                <w:szCs w:val="18"/>
                <w:color w:val="auto"/>
              </w:rPr>
              <w:t>74</w:t>
            </w:r>
          </w:p>
        </w:tc>
        <w:tc>
          <w:tcPr>
            <w:tcW w:w="0" w:type="dxa"/>
            <w:vAlign w:val="bottom"/>
          </w:tcPr>
          <w:p>
            <w:pPr>
              <w:spacing w:after="0"/>
              <w:rPr>
                <w:sz w:val="1"/>
                <w:szCs w:val="1"/>
                <w:color w:val="auto"/>
              </w:rPr>
            </w:pPr>
          </w:p>
        </w:tc>
      </w:tr>
      <w:tr>
        <w:trPr>
          <w:trHeight w:val="466"/>
        </w:trPr>
        <w:tc>
          <w:tcPr>
            <w:tcW w:w="1700" w:type="dxa"/>
            <w:vAlign w:val="bottom"/>
          </w:tcPr>
          <w:p>
            <w:pPr>
              <w:spacing w:after="0"/>
              <w:rPr>
                <w:sz w:val="24"/>
                <w:szCs w:val="24"/>
                <w:color w:val="auto"/>
              </w:rPr>
            </w:pPr>
          </w:p>
        </w:tc>
        <w:tc>
          <w:tcPr>
            <w:tcW w:w="3900" w:type="dxa"/>
            <w:vAlign w:val="bottom"/>
            <w:tcBorders>
              <w:bottom w:val="single" w:sz="8" w:color="007DC6"/>
            </w:tcBorders>
            <w:gridSpan w:val="9"/>
          </w:tcPr>
          <w:p>
            <w:pPr>
              <w:spacing w:after="0"/>
              <w:rPr>
                <w:sz w:val="20"/>
                <w:szCs w:val="20"/>
                <w:color w:val="auto"/>
              </w:rPr>
            </w:pPr>
            <w:r>
              <w:rPr>
                <w:rFonts w:ascii="Calibri" w:cs="Calibri" w:eastAsia="Calibri" w:hAnsi="Calibri"/>
                <w:sz w:val="18"/>
                <w:szCs w:val="18"/>
                <w:color w:val="007DC6"/>
                <w:w w:val="96"/>
              </w:rPr>
              <w:t>Consolidated Statements of Comprehensive Earnings –</w:t>
            </w:r>
          </w:p>
        </w:tc>
        <w:tc>
          <w:tcPr>
            <w:tcW w:w="1040" w:type="dxa"/>
            <w:vAlign w:val="bottom"/>
            <w:gridSpan w:val="3"/>
          </w:tcPr>
          <w:p>
            <w:pPr>
              <w:spacing w:after="0"/>
              <w:rPr>
                <w:sz w:val="24"/>
                <w:szCs w:val="24"/>
                <w:color w:val="auto"/>
              </w:rPr>
            </w:pPr>
          </w:p>
        </w:tc>
        <w:tc>
          <w:tcPr>
            <w:tcW w:w="3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3700" w:type="dxa"/>
            <w:vAlign w:val="bottom"/>
            <w:tcBorders>
              <w:bottom w:val="single" w:sz="8" w:color="007DC6"/>
            </w:tcBorders>
            <w:gridSpan w:val="7"/>
          </w:tcPr>
          <w:p>
            <w:pPr>
              <w:spacing w:after="0" w:line="196" w:lineRule="exact"/>
              <w:rPr>
                <w:sz w:val="20"/>
                <w:szCs w:val="20"/>
                <w:color w:val="auto"/>
              </w:rPr>
            </w:pPr>
            <w:r>
              <w:rPr>
                <w:rFonts w:ascii="Calibri" w:cs="Calibri" w:eastAsia="Calibri" w:hAnsi="Calibri"/>
                <w:sz w:val="18"/>
                <w:szCs w:val="18"/>
                <w:color w:val="007DC6"/>
                <w:w w:val="97"/>
              </w:rPr>
              <w:t>for years ended December 31, 2022, 2021 and 2020</w:t>
            </w:r>
          </w:p>
        </w:tc>
        <w:tc>
          <w:tcPr>
            <w:tcW w:w="1240" w:type="dxa"/>
            <w:vAlign w:val="bottom"/>
            <w:gridSpan w:val="5"/>
          </w:tcPr>
          <w:p>
            <w:pPr>
              <w:spacing w:after="0"/>
              <w:rPr>
                <w:sz w:val="17"/>
                <w:szCs w:val="17"/>
                <w:color w:val="auto"/>
              </w:rPr>
            </w:pPr>
          </w:p>
        </w:tc>
        <w:tc>
          <w:tcPr>
            <w:tcW w:w="4600" w:type="dxa"/>
            <w:vAlign w:val="bottom"/>
            <w:gridSpan w:val="2"/>
          </w:tcPr>
          <w:p>
            <w:pPr>
              <w:jc w:val="right"/>
              <w:spacing w:after="0" w:line="196" w:lineRule="exact"/>
              <w:rPr>
                <w:sz w:val="20"/>
                <w:szCs w:val="20"/>
                <w:color w:val="auto"/>
              </w:rPr>
            </w:pPr>
            <w:r>
              <w:rPr>
                <w:rFonts w:ascii="Calibri" w:cs="Calibri" w:eastAsia="Calibri" w:hAnsi="Calibri"/>
                <w:sz w:val="18"/>
                <w:szCs w:val="18"/>
                <w:color w:val="auto"/>
              </w:rPr>
              <w:t>75</w:t>
            </w:r>
          </w:p>
        </w:tc>
        <w:tc>
          <w:tcPr>
            <w:tcW w:w="0" w:type="dxa"/>
            <w:vAlign w:val="bottom"/>
          </w:tcPr>
          <w:p>
            <w:pPr>
              <w:spacing w:after="0"/>
              <w:rPr>
                <w:sz w:val="1"/>
                <w:szCs w:val="1"/>
                <w:color w:val="auto"/>
              </w:rPr>
            </w:pPr>
          </w:p>
        </w:tc>
      </w:tr>
      <w:tr>
        <w:trPr>
          <w:trHeight w:val="466"/>
        </w:trPr>
        <w:tc>
          <w:tcPr>
            <w:tcW w:w="1700" w:type="dxa"/>
            <w:vAlign w:val="bottom"/>
          </w:tcPr>
          <w:p>
            <w:pPr>
              <w:spacing w:after="0"/>
              <w:rPr>
                <w:sz w:val="24"/>
                <w:szCs w:val="24"/>
                <w:color w:val="auto"/>
              </w:rPr>
            </w:pPr>
          </w:p>
        </w:tc>
        <w:tc>
          <w:tcPr>
            <w:tcW w:w="4940" w:type="dxa"/>
            <w:vAlign w:val="bottom"/>
            <w:gridSpan w:val="12"/>
          </w:tcPr>
          <w:p>
            <w:pPr>
              <w:spacing w:after="0"/>
              <w:rPr>
                <w:sz w:val="20"/>
                <w:szCs w:val="20"/>
                <w:color w:val="auto"/>
              </w:rPr>
            </w:pPr>
            <w:r>
              <w:rPr>
                <w:rFonts w:ascii="Calibri" w:cs="Calibri" w:eastAsia="Calibri" w:hAnsi="Calibri"/>
                <w:sz w:val="18"/>
                <w:szCs w:val="18"/>
                <w:color w:val="007DC6"/>
              </w:rPr>
              <w:t>Consolidated Balance Sheets –</w:t>
            </w:r>
          </w:p>
        </w:tc>
        <w:tc>
          <w:tcPr>
            <w:tcW w:w="3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180" w:type="dxa"/>
            <w:vAlign w:val="bottom"/>
            <w:tcBorders>
              <w:right w:val="single" w:sz="8" w:color="007DC6"/>
            </w:tcBorders>
            <w:shd w:val="clear" w:color="auto" w:fill="007DC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Pr>
          <w:p>
            <w:pPr>
              <w:spacing w:after="0"/>
              <w:rPr>
                <w:sz w:val="17"/>
                <w:szCs w:val="17"/>
                <w:color w:val="auto"/>
              </w:rPr>
            </w:pPr>
          </w:p>
        </w:tc>
        <w:tc>
          <w:tcPr>
            <w:tcW w:w="4940" w:type="dxa"/>
            <w:vAlign w:val="bottom"/>
            <w:gridSpan w:val="12"/>
          </w:tcPr>
          <w:p>
            <w:pPr>
              <w:spacing w:after="0" w:line="196" w:lineRule="exact"/>
              <w:rPr>
                <w:sz w:val="20"/>
                <w:szCs w:val="20"/>
                <w:color w:val="auto"/>
              </w:rPr>
            </w:pPr>
            <w:r>
              <w:rPr>
                <w:rFonts w:ascii="Calibri" w:cs="Calibri" w:eastAsia="Calibri" w:hAnsi="Calibri"/>
                <w:sz w:val="18"/>
                <w:szCs w:val="18"/>
                <w:color w:val="007DC6"/>
              </w:rPr>
              <w:t>at December 31, 2022 and 2021</w:t>
            </w:r>
          </w:p>
        </w:tc>
        <w:tc>
          <w:tcPr>
            <w:tcW w:w="4600" w:type="dxa"/>
            <w:vAlign w:val="bottom"/>
            <w:gridSpan w:val="2"/>
          </w:tcPr>
          <w:p>
            <w:pPr>
              <w:jc w:val="right"/>
              <w:spacing w:after="0" w:line="196" w:lineRule="exact"/>
              <w:rPr>
                <w:sz w:val="20"/>
                <w:szCs w:val="20"/>
                <w:color w:val="auto"/>
              </w:rPr>
            </w:pPr>
            <w:r>
              <w:rPr>
                <w:rFonts w:ascii="Calibri" w:cs="Calibri" w:eastAsia="Calibri" w:hAnsi="Calibri"/>
                <w:sz w:val="18"/>
                <w:szCs w:val="18"/>
                <w:color w:val="auto"/>
              </w:rPr>
              <w:t>76</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180" w:type="dxa"/>
            <w:vAlign w:val="bottom"/>
            <w:tcBorders>
              <w:right w:val="single" w:sz="8" w:color="007DC6"/>
            </w:tcBorders>
            <w:shd w:val="clear" w:color="auto" w:fill="007DC6"/>
          </w:tcPr>
          <w:p>
            <w:pPr>
              <w:spacing w:after="0" w:line="20" w:lineRule="exact"/>
              <w:rPr>
                <w:sz w:val="1"/>
                <w:szCs w:val="1"/>
                <w:color w:val="auto"/>
              </w:rPr>
            </w:pPr>
          </w:p>
        </w:tc>
        <w:tc>
          <w:tcPr>
            <w:tcW w:w="120" w:type="dxa"/>
            <w:vAlign w:val="bottom"/>
            <w:tcBorders>
              <w:right w:val="single" w:sz="8" w:color="0000EE"/>
            </w:tcBorders>
            <w:shd w:val="clear" w:color="auto" w:fill="007DC6"/>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700" w:type="dxa"/>
            <w:vAlign w:val="bottom"/>
          </w:tcPr>
          <w:p>
            <w:pPr>
              <w:spacing w:after="0"/>
              <w:rPr>
                <w:sz w:val="24"/>
                <w:szCs w:val="24"/>
                <w:color w:val="auto"/>
              </w:rPr>
            </w:pPr>
          </w:p>
        </w:tc>
        <w:tc>
          <w:tcPr>
            <w:tcW w:w="4940" w:type="dxa"/>
            <w:vAlign w:val="bottom"/>
            <w:gridSpan w:val="12"/>
          </w:tcPr>
          <w:p>
            <w:pPr>
              <w:spacing w:after="0"/>
              <w:rPr>
                <w:sz w:val="20"/>
                <w:szCs w:val="20"/>
                <w:color w:val="auto"/>
              </w:rPr>
            </w:pPr>
            <w:r>
              <w:rPr>
                <w:rFonts w:ascii="Calibri" w:cs="Calibri" w:eastAsia="Calibri" w:hAnsi="Calibri"/>
                <w:sz w:val="18"/>
                <w:szCs w:val="18"/>
                <w:color w:val="007DC6"/>
              </w:rPr>
              <w:t>Consolidated Statements of Cash Flows –</w:t>
            </w:r>
          </w:p>
        </w:tc>
        <w:tc>
          <w:tcPr>
            <w:tcW w:w="3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180" w:type="dxa"/>
            <w:vAlign w:val="bottom"/>
            <w:tcBorders>
              <w:right w:val="single" w:sz="8" w:color="007DC6"/>
            </w:tcBorders>
            <w:shd w:val="clear" w:color="auto" w:fill="007DC6"/>
          </w:tcPr>
          <w:p>
            <w:pPr>
              <w:spacing w:after="0" w:line="20" w:lineRule="exact"/>
              <w:rPr>
                <w:sz w:val="1"/>
                <w:szCs w:val="1"/>
                <w:color w:val="auto"/>
              </w:rPr>
            </w:pPr>
          </w:p>
        </w:tc>
        <w:tc>
          <w:tcPr>
            <w:tcW w:w="740" w:type="dxa"/>
            <w:vAlign w:val="bottom"/>
            <w:gridSpan w:val="4"/>
            <w:shd w:val="clear" w:color="auto" w:fill="007DC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Pr>
          <w:p>
            <w:pPr>
              <w:spacing w:after="0"/>
              <w:rPr>
                <w:sz w:val="17"/>
                <w:szCs w:val="17"/>
                <w:color w:val="auto"/>
              </w:rPr>
            </w:pPr>
          </w:p>
        </w:tc>
        <w:tc>
          <w:tcPr>
            <w:tcW w:w="3700" w:type="dxa"/>
            <w:vAlign w:val="bottom"/>
            <w:tcBorders>
              <w:bottom w:val="single" w:sz="8" w:color="007DC6"/>
            </w:tcBorders>
            <w:gridSpan w:val="7"/>
          </w:tcPr>
          <w:p>
            <w:pPr>
              <w:spacing w:after="0" w:line="196" w:lineRule="exact"/>
              <w:rPr>
                <w:sz w:val="20"/>
                <w:szCs w:val="20"/>
                <w:color w:val="auto"/>
              </w:rPr>
            </w:pPr>
            <w:r>
              <w:rPr>
                <w:rFonts w:ascii="Calibri" w:cs="Calibri" w:eastAsia="Calibri" w:hAnsi="Calibri"/>
                <w:sz w:val="18"/>
                <w:szCs w:val="18"/>
                <w:color w:val="007DC6"/>
                <w:w w:val="97"/>
              </w:rPr>
              <w:t>for years ended December 31, 2022, 2021 and 2020</w:t>
            </w:r>
          </w:p>
        </w:tc>
        <w:tc>
          <w:tcPr>
            <w:tcW w:w="1240" w:type="dxa"/>
            <w:vAlign w:val="bottom"/>
            <w:gridSpan w:val="5"/>
          </w:tcPr>
          <w:p>
            <w:pPr>
              <w:spacing w:after="0"/>
              <w:rPr>
                <w:sz w:val="17"/>
                <w:szCs w:val="17"/>
                <w:color w:val="auto"/>
              </w:rPr>
            </w:pPr>
          </w:p>
        </w:tc>
        <w:tc>
          <w:tcPr>
            <w:tcW w:w="4600" w:type="dxa"/>
            <w:vAlign w:val="bottom"/>
            <w:gridSpan w:val="2"/>
          </w:tcPr>
          <w:p>
            <w:pPr>
              <w:jc w:val="right"/>
              <w:spacing w:after="0" w:line="196" w:lineRule="exact"/>
              <w:rPr>
                <w:sz w:val="20"/>
                <w:szCs w:val="20"/>
                <w:color w:val="auto"/>
              </w:rPr>
            </w:pPr>
            <w:r>
              <w:rPr>
                <w:rFonts w:ascii="Calibri" w:cs="Calibri" w:eastAsia="Calibri" w:hAnsi="Calibri"/>
                <w:sz w:val="18"/>
                <w:szCs w:val="18"/>
                <w:color w:val="auto"/>
              </w:rPr>
              <w:t>77</w:t>
            </w:r>
          </w:p>
        </w:tc>
        <w:tc>
          <w:tcPr>
            <w:tcW w:w="0" w:type="dxa"/>
            <w:vAlign w:val="bottom"/>
          </w:tcPr>
          <w:p>
            <w:pPr>
              <w:spacing w:after="0"/>
              <w:rPr>
                <w:sz w:val="1"/>
                <w:szCs w:val="1"/>
                <w:color w:val="auto"/>
              </w:rPr>
            </w:pPr>
          </w:p>
        </w:tc>
      </w:tr>
      <w:tr>
        <w:trPr>
          <w:trHeight w:val="466"/>
        </w:trPr>
        <w:tc>
          <w:tcPr>
            <w:tcW w:w="1700" w:type="dxa"/>
            <w:vAlign w:val="bottom"/>
          </w:tcPr>
          <w:p>
            <w:pPr>
              <w:spacing w:after="0"/>
              <w:rPr>
                <w:sz w:val="24"/>
                <w:szCs w:val="24"/>
                <w:color w:val="auto"/>
              </w:rPr>
            </w:pPr>
          </w:p>
        </w:tc>
        <w:tc>
          <w:tcPr>
            <w:tcW w:w="2980" w:type="dxa"/>
            <w:vAlign w:val="bottom"/>
            <w:tcBorders>
              <w:bottom w:val="single" w:sz="8" w:color="007DC6"/>
            </w:tcBorders>
            <w:gridSpan w:val="6"/>
          </w:tcPr>
          <w:p>
            <w:pPr>
              <w:spacing w:after="0"/>
              <w:rPr>
                <w:sz w:val="20"/>
                <w:szCs w:val="20"/>
                <w:color w:val="auto"/>
              </w:rPr>
            </w:pPr>
            <w:r>
              <w:rPr>
                <w:rFonts w:ascii="Calibri" w:cs="Calibri" w:eastAsia="Calibri" w:hAnsi="Calibri"/>
                <w:sz w:val="18"/>
                <w:szCs w:val="18"/>
                <w:color w:val="007DC6"/>
                <w:w w:val="96"/>
              </w:rPr>
              <w:t>Consolidated Statements of Total Equity –</w:t>
            </w:r>
          </w:p>
        </w:tc>
        <w:tc>
          <w:tcPr>
            <w:tcW w:w="1960" w:type="dxa"/>
            <w:vAlign w:val="bottom"/>
            <w:gridSpan w:val="6"/>
          </w:tcPr>
          <w:p>
            <w:pPr>
              <w:spacing w:after="0"/>
              <w:rPr>
                <w:sz w:val="24"/>
                <w:szCs w:val="24"/>
                <w:color w:val="auto"/>
              </w:rPr>
            </w:pPr>
          </w:p>
        </w:tc>
        <w:tc>
          <w:tcPr>
            <w:tcW w:w="3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3700" w:type="dxa"/>
            <w:vAlign w:val="bottom"/>
            <w:tcBorders>
              <w:bottom w:val="single" w:sz="8" w:color="007DC6"/>
            </w:tcBorders>
            <w:gridSpan w:val="7"/>
          </w:tcPr>
          <w:p>
            <w:pPr>
              <w:spacing w:after="0" w:line="196" w:lineRule="exact"/>
              <w:rPr>
                <w:sz w:val="20"/>
                <w:szCs w:val="20"/>
                <w:color w:val="auto"/>
              </w:rPr>
            </w:pPr>
            <w:r>
              <w:rPr>
                <w:rFonts w:ascii="Calibri" w:cs="Calibri" w:eastAsia="Calibri" w:hAnsi="Calibri"/>
                <w:sz w:val="18"/>
                <w:szCs w:val="18"/>
                <w:color w:val="007DC6"/>
                <w:w w:val="97"/>
              </w:rPr>
              <w:t>for years ended December 31, 2022, 2021 and 2020</w:t>
            </w:r>
          </w:p>
        </w:tc>
        <w:tc>
          <w:tcPr>
            <w:tcW w:w="1240" w:type="dxa"/>
            <w:vAlign w:val="bottom"/>
            <w:gridSpan w:val="5"/>
          </w:tcPr>
          <w:p>
            <w:pPr>
              <w:spacing w:after="0"/>
              <w:rPr>
                <w:sz w:val="17"/>
                <w:szCs w:val="17"/>
                <w:color w:val="auto"/>
              </w:rPr>
            </w:pPr>
          </w:p>
        </w:tc>
        <w:tc>
          <w:tcPr>
            <w:tcW w:w="4600" w:type="dxa"/>
            <w:vAlign w:val="bottom"/>
            <w:gridSpan w:val="2"/>
          </w:tcPr>
          <w:p>
            <w:pPr>
              <w:jc w:val="right"/>
              <w:spacing w:after="0" w:line="196" w:lineRule="exact"/>
              <w:rPr>
                <w:sz w:val="20"/>
                <w:szCs w:val="20"/>
                <w:color w:val="auto"/>
              </w:rPr>
            </w:pPr>
            <w:r>
              <w:rPr>
                <w:rFonts w:ascii="Calibri" w:cs="Calibri" w:eastAsia="Calibri" w:hAnsi="Calibri"/>
                <w:sz w:val="18"/>
                <w:szCs w:val="18"/>
                <w:color w:val="auto"/>
              </w:rPr>
              <w:t>78</w:t>
            </w:r>
          </w:p>
        </w:tc>
        <w:tc>
          <w:tcPr>
            <w:tcW w:w="0" w:type="dxa"/>
            <w:vAlign w:val="bottom"/>
          </w:tcPr>
          <w:p>
            <w:pPr>
              <w:spacing w:after="0"/>
              <w:rPr>
                <w:sz w:val="1"/>
                <w:szCs w:val="1"/>
                <w:color w:val="auto"/>
              </w:rPr>
            </w:pPr>
          </w:p>
        </w:tc>
      </w:tr>
      <w:tr>
        <w:trPr>
          <w:trHeight w:val="466"/>
        </w:trPr>
        <w:tc>
          <w:tcPr>
            <w:tcW w:w="1700" w:type="dxa"/>
            <w:vAlign w:val="bottom"/>
          </w:tcPr>
          <w:p>
            <w:pPr>
              <w:spacing w:after="0"/>
              <w:rPr>
                <w:sz w:val="24"/>
                <w:szCs w:val="24"/>
                <w:color w:val="auto"/>
              </w:rPr>
            </w:pPr>
          </w:p>
        </w:tc>
        <w:tc>
          <w:tcPr>
            <w:tcW w:w="2180" w:type="dxa"/>
            <w:vAlign w:val="bottom"/>
            <w:tcBorders>
              <w:bottom w:val="single" w:sz="8" w:color="007DC6"/>
            </w:tcBorders>
          </w:tcPr>
          <w:p>
            <w:pPr>
              <w:spacing w:after="0"/>
              <w:rPr>
                <w:sz w:val="20"/>
                <w:szCs w:val="20"/>
                <w:color w:val="auto"/>
              </w:rPr>
            </w:pPr>
            <w:r>
              <w:rPr>
                <w:rFonts w:ascii="Calibri" w:cs="Calibri" w:eastAsia="Calibri" w:hAnsi="Calibri"/>
                <w:sz w:val="18"/>
                <w:szCs w:val="18"/>
                <w:color w:val="007DC6"/>
                <w:w w:val="97"/>
              </w:rPr>
              <w:t>Notes to Financial Statements</w:t>
            </w:r>
          </w:p>
        </w:tc>
        <w:tc>
          <w:tcPr>
            <w:tcW w:w="2760" w:type="dxa"/>
            <w:vAlign w:val="bottom"/>
            <w:gridSpan w:val="11"/>
          </w:tcPr>
          <w:p>
            <w:pPr>
              <w:spacing w:after="0"/>
              <w:rPr>
                <w:sz w:val="24"/>
                <w:szCs w:val="24"/>
                <w:color w:val="auto"/>
              </w:rPr>
            </w:pPr>
          </w:p>
        </w:tc>
        <w:tc>
          <w:tcPr>
            <w:tcW w:w="4600" w:type="dxa"/>
            <w:vAlign w:val="bottom"/>
            <w:gridSpan w:val="2"/>
          </w:tcPr>
          <w:p>
            <w:pPr>
              <w:jc w:val="right"/>
              <w:spacing w:after="0"/>
              <w:rPr>
                <w:sz w:val="20"/>
                <w:szCs w:val="20"/>
                <w:color w:val="auto"/>
              </w:rPr>
            </w:pPr>
            <w:r>
              <w:rPr>
                <w:rFonts w:ascii="Calibri" w:cs="Calibri" w:eastAsia="Calibri" w:hAnsi="Calibri"/>
                <w:sz w:val="18"/>
                <w:szCs w:val="18"/>
                <w:color w:val="auto"/>
              </w:rPr>
              <w:t>79</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right="700"/>
        <w:spacing w:after="0" w:line="255" w:lineRule="auto"/>
        <w:rPr>
          <w:sz w:val="20"/>
          <w:szCs w:val="20"/>
          <w:color w:val="auto"/>
        </w:rPr>
      </w:pPr>
      <w:r>
        <w:rPr>
          <w:rFonts w:ascii="Calibri" w:cs="Calibri" w:eastAsia="Calibri" w:hAnsi="Calibri"/>
          <w:sz w:val="25"/>
          <w:szCs w:val="25"/>
          <w:b w:val="1"/>
          <w:bCs w:val="1"/>
          <w:color w:val="786970"/>
        </w:rPr>
        <w:t xml:space="preserve">Statement of Responsibility and Management’s Report on Internal Control over Financial Reportng </w:t>
      </w:r>
      <w:r>
        <w:rPr>
          <w:rFonts w:ascii="Calibri" w:cs="Calibri" w:eastAsia="Calibri" w:hAnsi="Calibri"/>
          <w:sz w:val="21"/>
          <w:szCs w:val="21"/>
          <w:b w:val="1"/>
          <w:bCs w:val="1"/>
          <w:color w:val="007DC6"/>
        </w:rPr>
        <w:t>Management’s Statement of Responsibility</w:t>
      </w:r>
    </w:p>
    <w:p>
      <w:pPr>
        <w:spacing w:after="0" w:line="4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management of Martn Marieta Materials, Inc. (the Company or Martn Marieta) is responsible for the consolidated fnancial statements, the related fnancial informaton contained in this Form 10-K and the establishment and maintenance of adequate internal control over fnancial reportng. The consolidated balance sheets for Martn Marieta, at December 31, 2022 and 2021, and the related consolidated statements of earnings, comprehensive earnings, total equity and cash fows for each of the three years in the period ended December 31, 2022, include amounts based on estmates and judgments and have been prepared in accordance with accountng principles generally accepted in the United States applied on a consistent basis.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system of internal control over fnancial reportng is designed to provide reasonable assurance, in a cost-efectve manner, that assets are safeguarded, transactons are executed and recorded in accordance with management’s authorizaton, accountability for assets is maintained and fnancial statements are prepared and presented fairly in accordance with accountng principles generally accepted in the United States. Internal control systems over fnancial reportng have inherent limitatons and may not prevent or detect misstatements. Therefore, even those systems determined to be efectve can provide only reasonable assurance with respect to fnancial statement preparaton and presentaton.</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operates in an environment that establishes an appropriate system of internal control over fnancial reportng and ensures that the system is maintained, assessed and monitored on a periodic basis. This internal control system includes examinatons by internal audit staf and oversight by the Audit Commitee of the Board of Directors.</w:t>
      </w:r>
    </w:p>
    <w:p>
      <w:pPr>
        <w:spacing w:after="0" w:line="111"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 xml:space="preserve">The Company’s management recognizes its responsibility to foster a strong ethical climate. Management has issued writen policy statements that document the Company’s business code of ethics. The importance of ethical behavior is regularly communicated to all employees through the distributon of the </w:t>
      </w:r>
      <w:r>
        <w:rPr>
          <w:rFonts w:ascii="Calibri" w:cs="Calibri" w:eastAsia="Calibri" w:hAnsi="Calibri"/>
          <w:sz w:val="17"/>
          <w:szCs w:val="17"/>
          <w:i w:val="1"/>
          <w:iCs w:val="1"/>
          <w:color w:val="auto"/>
        </w:rPr>
        <w:t>Code of</w:t>
      </w:r>
      <w:r>
        <w:rPr>
          <w:rFonts w:ascii="Calibri" w:cs="Calibri" w:eastAsia="Calibri" w:hAnsi="Calibri"/>
          <w:sz w:val="17"/>
          <w:szCs w:val="17"/>
          <w:color w:val="auto"/>
        </w:rPr>
        <w:t xml:space="preserve"> </w:t>
      </w:r>
      <w:r>
        <w:rPr>
          <w:rFonts w:ascii="Calibri" w:cs="Calibri" w:eastAsia="Calibri" w:hAnsi="Calibri"/>
          <w:sz w:val="17"/>
          <w:szCs w:val="17"/>
          <w:i w:val="1"/>
          <w:iCs w:val="1"/>
          <w:color w:val="auto"/>
        </w:rPr>
        <w:t xml:space="preserve">Ethical Business Conduct </w:t>
      </w:r>
      <w:r>
        <w:rPr>
          <w:rFonts w:ascii="Calibri" w:cs="Calibri" w:eastAsia="Calibri" w:hAnsi="Calibri"/>
          <w:sz w:val="17"/>
          <w:szCs w:val="17"/>
          <w:color w:val="auto"/>
        </w:rPr>
        <w:t>and through ongoing educaton and review programs designed to create a strong commitment to ethical business practces.</w:t>
      </w:r>
    </w:p>
    <w:p>
      <w:pPr>
        <w:spacing w:after="0" w:line="9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Audit Commitee of the Board of Directors, which consists of four independent, nonemployee directors, meets periodically and separately with management, the independent auditors and the internal auditors to review the actvites of each. The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92710</wp:posOffset>
            </wp:positionV>
            <wp:extent cx="325755" cy="1968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Commitee meets standards established by the Securites and Exchange Commission (SEC) and the New York Stock Exchange as they relate to the compositon and practces of audit commitees.</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Management’s Report on Internal Control over Financial Reportng</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management of Martn Marieta is responsible for establishing and maintaining adequate internal control over fnancial reportng. Management assessed the efectveness of the Company’s internal control over fnancial reportng as of December 31, 2022. In making this assessment, management used the criteria set forth in </w:t>
      </w:r>
      <w:r>
        <w:rPr>
          <w:rFonts w:ascii="Calibri" w:cs="Calibri" w:eastAsia="Calibri" w:hAnsi="Calibri"/>
          <w:sz w:val="18"/>
          <w:szCs w:val="18"/>
          <w:i w:val="1"/>
          <w:iCs w:val="1"/>
          <w:color w:val="auto"/>
        </w:rPr>
        <w:t>Internal Control—Integrated Framework</w:t>
      </w:r>
      <w:r>
        <w:rPr>
          <w:rFonts w:ascii="Calibri" w:cs="Calibri" w:eastAsia="Calibri" w:hAnsi="Calibri"/>
          <w:sz w:val="18"/>
          <w:szCs w:val="18"/>
          <w:color w:val="auto"/>
        </w:rPr>
        <w:t xml:space="preserve"> issued by the Commitee of Sponsoring Organizatons of the Treadway Commission (2013 framework). Based on management’s assessment under the 2013 framework, management concluded that the Company’s internal control over fnancial reportng was efectve as of December 31, 2022.</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consolidated fnancial statements of the Company as of December 31, 2022 and 2021, and for each of the three years in the period ended December 31, 2022, and the efectveness of the Company’s internal control over fnancial reportng as of December 31, 2022, have been audited by PricewaterhouseCoopers LLP, an independent registered public accountng frm, whose report appears on the following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24765</wp:posOffset>
            </wp:positionV>
            <wp:extent cx="1268730" cy="5829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1268730" cy="58293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24765</wp:posOffset>
            </wp:positionV>
            <wp:extent cx="1731645" cy="5486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173164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tabs>
          <w:tab w:leader="none" w:pos="5620" w:val="left"/>
        </w:tabs>
        <w:rPr>
          <w:sz w:val="20"/>
          <w:szCs w:val="20"/>
          <w:color w:val="auto"/>
        </w:rPr>
      </w:pPr>
      <w:r>
        <w:rPr>
          <w:rFonts w:ascii="Calibri" w:cs="Calibri" w:eastAsia="Calibri" w:hAnsi="Calibri"/>
          <w:sz w:val="18"/>
          <w:szCs w:val="18"/>
          <w:b w:val="1"/>
          <w:bCs w:val="1"/>
          <w:color w:val="auto"/>
        </w:rPr>
        <w:t xml:space="preserve">C. Howard Nye, </w:t>
      </w:r>
      <w:r>
        <w:rPr>
          <w:rFonts w:ascii="Calibri" w:cs="Calibri" w:eastAsia="Calibri" w:hAnsi="Calibri"/>
          <w:sz w:val="16"/>
          <w:szCs w:val="16"/>
          <w:i w:val="1"/>
          <w:iCs w:val="1"/>
          <w:color w:val="auto"/>
        </w:rPr>
        <w:t>Chairman, President and Chief Executve Ofcer</w:t>
      </w:r>
      <w:r>
        <w:rPr>
          <w:sz w:val="20"/>
          <w:szCs w:val="20"/>
          <w:color w:val="auto"/>
        </w:rPr>
        <w:tab/>
      </w:r>
      <w:r>
        <w:rPr>
          <w:rFonts w:ascii="Calibri" w:cs="Calibri" w:eastAsia="Calibri" w:hAnsi="Calibri"/>
          <w:sz w:val="18"/>
          <w:szCs w:val="18"/>
          <w:b w:val="1"/>
          <w:bCs w:val="1"/>
          <w:color w:val="auto"/>
        </w:rPr>
        <w:t>James A. J. Nickolas</w:t>
      </w:r>
      <w:r>
        <w:rPr>
          <w:rFonts w:ascii="Calibri" w:cs="Calibri" w:eastAsia="Calibri" w:hAnsi="Calibri"/>
          <w:sz w:val="18"/>
          <w:szCs w:val="18"/>
          <w:color w:val="auto"/>
        </w:rPr>
        <w:t>,</w:t>
      </w:r>
      <w:r>
        <w:rPr>
          <w:rFonts w:ascii="Calibri" w:cs="Calibri" w:eastAsia="Calibri" w:hAnsi="Calibri"/>
          <w:sz w:val="18"/>
          <w:szCs w:val="18"/>
          <w:b w:val="1"/>
          <w:bCs w:val="1"/>
          <w:color w:val="auto"/>
        </w:rPr>
        <w:t xml:space="preserve"> </w:t>
      </w:r>
      <w:r>
        <w:rPr>
          <w:rFonts w:ascii="Calibri" w:cs="Calibri" w:eastAsia="Calibri" w:hAnsi="Calibri"/>
          <w:sz w:val="16"/>
          <w:szCs w:val="16"/>
          <w:i w:val="1"/>
          <w:iCs w:val="1"/>
          <w:color w:val="auto"/>
        </w:rPr>
        <w:t>Senior Vice President and Chief Financial Ofcer</w:t>
      </w:r>
    </w:p>
    <w:p>
      <w:pPr>
        <w:spacing w:after="0" w:line="118" w:lineRule="exact"/>
        <w:rPr>
          <w:sz w:val="20"/>
          <w:szCs w:val="20"/>
          <w:color w:val="auto"/>
        </w:rPr>
      </w:pPr>
    </w:p>
    <w:p>
      <w:pPr>
        <w:spacing w:after="0"/>
        <w:rPr>
          <w:sz w:val="20"/>
          <w:szCs w:val="20"/>
          <w:color w:val="auto"/>
        </w:rPr>
      </w:pPr>
      <w:r>
        <w:rPr>
          <w:rFonts w:ascii="Calibri" w:cs="Calibri" w:eastAsia="Calibri" w:hAnsi="Calibri"/>
          <w:sz w:val="18"/>
          <w:szCs w:val="18"/>
          <w:color w:val="auto"/>
        </w:rPr>
        <w:t>February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92075</wp:posOffset>
            </wp:positionV>
            <wp:extent cx="325755" cy="1974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8 – Financial Statements and Supplementary Data</w:t>
      </w:r>
    </w:p>
    <w:p>
      <w:pPr>
        <w:spacing w:after="0" w:line="169"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Report of Independent Registered Public Accountng Firm</w:t>
      </w:r>
    </w:p>
    <w:p>
      <w:pPr>
        <w:spacing w:after="0" w:line="59" w:lineRule="exact"/>
        <w:rPr>
          <w:sz w:val="20"/>
          <w:szCs w:val="20"/>
          <w:color w:val="auto"/>
        </w:rPr>
      </w:pPr>
    </w:p>
    <w:p>
      <w:pPr>
        <w:spacing w:after="0"/>
        <w:rPr>
          <w:sz w:val="20"/>
          <w:szCs w:val="20"/>
          <w:color w:val="auto"/>
        </w:rPr>
      </w:pPr>
      <w:r>
        <w:rPr>
          <w:rFonts w:ascii="Calibri" w:cs="Calibri" w:eastAsia="Calibri" w:hAnsi="Calibri"/>
          <w:sz w:val="18"/>
          <w:szCs w:val="18"/>
          <w:color w:val="auto"/>
        </w:rPr>
        <w:t>To the Board of Directors and Shareholders of Martn Marieta Materials, Inc.</w:t>
      </w:r>
    </w:p>
    <w:p>
      <w:pPr>
        <w:spacing w:after="0" w:line="106"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auto"/>
        </w:rPr>
        <w:t>Opinions on the Financial Statements and Internal Control over Financial Reportng</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We have audited the accompanying consolidated balance sheets of Martn Marieta Materials, Inc. and its subsidiaries (the Company) as of December 31, 2022 and 2021, and the related consolidated statements of earnings, of comprehensive earnings, of total equity and of cash fows for each of the three years in the period ended December 31, 2022, including the related notes and schedule of valuaton and qualifying accounts for each of the three years in the period ended December 31, 2022 appearing under Item 15(c) (collectvely referred to as the “consolidated fnancial statements”). We also have audited the Company's internal control over fnancial reportng as of December 31, 2022, based on criteria established in </w:t>
      </w:r>
      <w:r>
        <w:rPr>
          <w:rFonts w:ascii="Calibri" w:cs="Calibri" w:eastAsia="Calibri" w:hAnsi="Calibri"/>
          <w:sz w:val="18"/>
          <w:szCs w:val="18"/>
          <w:i w:val="1"/>
          <w:iCs w:val="1"/>
          <w:color w:val="auto"/>
        </w:rPr>
        <w:t>Internal Control - Integrated Framework</w:t>
      </w:r>
      <w:r>
        <w:rPr>
          <w:rFonts w:ascii="Calibri" w:cs="Calibri" w:eastAsia="Calibri" w:hAnsi="Calibri"/>
          <w:sz w:val="18"/>
          <w:szCs w:val="18"/>
          <w:color w:val="auto"/>
        </w:rPr>
        <w:t xml:space="preserve"> (2013) issued by the Commitee of Sponsoring Organizatons of the Treadway Commission (COSO).</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our opinion, the consolidated fnancial statements referred to above present fairly, in all material respects, the fnancial positon of the Company as of December 31, 2022 and 2021, and the results of its operatons and its cash fows for each of the three years in the period ended December 31, 2022 in conformity with accountng principles generally accepted in the United States of America. Also in our opinion, the Company maintained, in all material respects, efectve internal control over fnancial reportng as of December 31, 2022, based on criteria established in </w:t>
      </w:r>
      <w:r>
        <w:rPr>
          <w:rFonts w:ascii="Calibri" w:cs="Calibri" w:eastAsia="Calibri" w:hAnsi="Calibri"/>
          <w:sz w:val="18"/>
          <w:szCs w:val="18"/>
          <w:i w:val="1"/>
          <w:iCs w:val="1"/>
          <w:color w:val="auto"/>
        </w:rPr>
        <w:t>Internal Control - Integrated Framework</w:t>
      </w:r>
      <w:r>
        <w:rPr>
          <w:rFonts w:ascii="Calibri" w:cs="Calibri" w:eastAsia="Calibri" w:hAnsi="Calibri"/>
          <w:sz w:val="18"/>
          <w:szCs w:val="18"/>
          <w:color w:val="auto"/>
        </w:rPr>
        <w:t xml:space="preserve"> (2013) issued by the COSO.</w:t>
      </w:r>
    </w:p>
    <w:p>
      <w:pPr>
        <w:spacing w:after="0" w:line="109"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auto"/>
        </w:rPr>
        <w:t>Basis for Opinions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management is responsible for these consolidated fnancial statements, for maintaining efectve internal control over fnancial reportng, and for its assessment of the efectveness of internal control over fnancial reportng, included in the accompanying Management’s Report on Internal Control over Financial Reportng. Our responsibility is to express opinions on the Company’s consolidated fnancial statements and on the Company's internal control over fnancial reportng based on our audits. We are a public accountng frm registered with the Public Company Accountng Oversight Board (United States) (PCAOB) and are required to be independent with respect to the Company in accordance with the U.S. federal securites laws and the applicable rules and regulatons of the Securites and Exchange Commission and the PCAOB.</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conducted our audits in accordance with the standards of the PCAOB. Those standards require that we plan and perform the audits to obtain reasonable assurance about whether the consolidated fnancial statements are free of material misstatement, whether due to error or fraud, and whether efectve internal control over fnancial reportng was maintained in all material respects.</w:t>
      </w:r>
    </w:p>
    <w:p>
      <w:pPr>
        <w:spacing w:after="0" w:line="111"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Our audits of the consolidated fnancial statements included performing procedures to assess the risks of material misstatement of the consolidated fnancial statements, whether due to error or fraud, and performing procedures that respond to those risks. Such procedures included examining, on a test basis, evidence regarding the amounts and disclosures in the consolidated fnancial statements. Our audits also included evaluatng the accountng principles used and signifcant estmates made by management, as well as evaluatng the overall presentaton of the consolidated fnancial statements. Our audit of internal control over fnancial reportng included obtaining an understanding of internal control over fnancial reportng, assessing the risk that a material weakness exists, and testng and evaluatng the design and operatng efectveness of internal control based on the assessed risk. Our audits also included performing such other procedures as we considered necessary in the circumstances. We believe that our audits provide a reasonable basis for our opinions.</w:t>
      </w:r>
    </w:p>
    <w:p>
      <w:pPr>
        <w:spacing w:after="0" w:line="96"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auto"/>
        </w:rPr>
        <w:t>Defniton and Limitatons of Internal Control over Financial Reportng</w:t>
      </w:r>
    </w:p>
    <w:p>
      <w:pPr>
        <w:spacing w:after="0" w:line="61"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A company’s internal control over fnancial reportng is a process designed to provide reasonable assurance regarding the reliability of fnancial reportng and the preparaton of fnancial statements for external purposes in accordance with generally accepted accountng principles. A company’s internal control over fnancial reportng includes those policies and procedures that (i) pertain to the maintenance of records that, in reasonable detail, accurately and fairly refect the transactons and dispositons of the assets of the company; (ii) provide reasonable assurance that transactons are recorded as necessary to permit preparaton of fnancial statements in accordance with generally accepted accountng principles, and that receipts and expenditures of the company are being made only in accordance with authorizatons of management and directors of the company; and (iii) provide reasonable assurance regarding preventon or tmely detecton of unauthorized acquisiton, use, or dispositon of the company’s assets that could have a material efect on the fnancial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86995</wp:posOffset>
            </wp:positionV>
            <wp:extent cx="325755" cy="1968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Because of its inherent limitatons, internal control over fnancial reportng may not prevent or detect misstatements. Also, projectons of any evaluaton of efectveness to future periods are subject to the risk that controls may become inadequate because of changes in conditons, or that the degree of compliance with the policies or procedures may deteriorate.</w:t>
      </w:r>
    </w:p>
    <w:p>
      <w:pPr>
        <w:spacing w:after="0" w:line="107"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auto"/>
        </w:rPr>
        <w:t>Critcal Audit Maters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critcal audit mater communicated below is a mater arising from the current period audit of the consolidated fnancial statements that was communicated or required to be communicated to the audit commitee and that (i) relates to accounts or disclosures that are material to the consolidated fnancial statements and (ii) involved our especially challenging, subjectve, or complex judgments. The communicaton of critcal audit maters does not alter in any way our opinion on the consolidated fnancial statements, taken as a whole, and we are not, by communicatng the critcal audit mater below, providing a separate opinion on the critcal audit mater or on the accounts or disclosures to which it relates.</w:t>
      </w:r>
    </w:p>
    <w:p>
      <w:pPr>
        <w:spacing w:after="0" w:line="109" w:lineRule="exact"/>
        <w:rPr>
          <w:sz w:val="20"/>
          <w:szCs w:val="20"/>
          <w:color w:val="auto"/>
        </w:rPr>
      </w:pPr>
    </w:p>
    <w:p>
      <w:pPr>
        <w:spacing w:after="0"/>
        <w:rPr>
          <w:sz w:val="20"/>
          <w:szCs w:val="20"/>
          <w:color w:val="auto"/>
        </w:rPr>
      </w:pPr>
      <w:r>
        <w:rPr>
          <w:rFonts w:ascii="Calibri" w:cs="Calibri" w:eastAsia="Calibri" w:hAnsi="Calibri"/>
          <w:sz w:val="22"/>
          <w:szCs w:val="22"/>
          <w:i w:val="1"/>
          <w:iCs w:val="1"/>
          <w:color w:val="auto"/>
        </w:rPr>
        <w:t>Goodwill Impairment Assessment - West Division Reportng Unit</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described in Notes A and D to the consolidated fnancial statements, the Company’s consolidated goodwill balance was $3.6 billion as of December 31, 2022. The goodwill balance associated with the West Division reportng unit was $1.1 billion. The carrying values of goodwill are reviewed for impairment annually, as of October 1. An interim review is performed between annual tests if facts and circumstances indicate potental impairment. As disclosed by management, the goodwill impairment assessment requires management to apply judgment and make key assumptons. The fair value of the West Division reportng unit was calculated using a discounted cash fow model. Key assumptons included management’s estmates of changes in average selling price, shipment volumes and producton costs, as well as assumptons of future proftability, capital requirements, discount rate and terminal growth rate.</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principal consideratons for our determinaton that performing procedures relatng to the goodwill impairment assessment of the West Division reportng unit is a critcal audit mater are (i) the signifcant judgment by management when developing the fair value estmate of the West Division reportng unit; (ii) a high degree of auditor judgment, subjectvity and efort in performing procedures and evaluatng management’s signifcant assumptons related to the discount rate and changes in average selling price, shipment volumes and producton costs, and (iii) the audit efort involved the use of professionals with specialized skill and knowledge.</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Addressing the mater involved performing procedures and evaluatng audit evidence in connecton with forming our overall opinion on the consolidated fnancial statements. These procedures included testng the efectveness of controls relatng to management’s goodwill impairment assessment, including controls over the valuaton of the West Division reportng unit. These procedures also included, among others (i) testng management’s process for developing the fair value estmate, (ii) evaluatng the appropriateness of the discounted cash fow model, (iii) testng the completeness and accuracy of underlying data used in the model, and (iv) evaluatng the reasonableness of the signifcant assumptons used by management related to the discount rate and changes in average selling price, shipment volumes and producton costs. Evaluatng management’s assumptons related to changes in average selling price, shipment volumes and producton costs involved evaluatng whether the assumptons used by management were reasonable considering (i) the current and past performance of the reportng unit, (ii) the consistency with external industry data, and (iii) whether the assumptons were consistent with evidence obtained in other areas of the audit. Professionals with specialized skill and knowledge were used to assist in evaluatng the reasonableness of the discount rate assumpton.</w:t>
      </w:r>
    </w:p>
    <w:p>
      <w:pPr>
        <w:spacing w:after="0" w:line="193" w:lineRule="exact"/>
        <w:rPr>
          <w:sz w:val="20"/>
          <w:szCs w:val="20"/>
          <w:color w:val="auto"/>
        </w:rPr>
      </w:pPr>
    </w:p>
    <w:p>
      <w:pPr>
        <w:spacing w:after="0"/>
        <w:rPr>
          <w:sz w:val="20"/>
          <w:szCs w:val="20"/>
          <w:color w:val="auto"/>
        </w:rPr>
      </w:pPr>
      <w:r>
        <w:rPr>
          <w:rFonts w:ascii="Calibri" w:cs="Calibri" w:eastAsia="Calibri" w:hAnsi="Calibri"/>
          <w:sz w:val="18"/>
          <w:szCs w:val="18"/>
          <w:color w:val="auto"/>
        </w:rPr>
        <w:t>/s/ PricewaterhouseCoopers LLP</w:t>
      </w:r>
    </w:p>
    <w:p>
      <w:pPr>
        <w:spacing w:after="0" w:line="235" w:lineRule="auto"/>
        <w:rPr>
          <w:sz w:val="20"/>
          <w:szCs w:val="20"/>
          <w:color w:val="auto"/>
        </w:rPr>
      </w:pPr>
      <w:r>
        <w:rPr>
          <w:rFonts w:ascii="Calibri" w:cs="Calibri" w:eastAsia="Calibri" w:hAnsi="Calibri"/>
          <w:sz w:val="18"/>
          <w:szCs w:val="18"/>
          <w:color w:val="auto"/>
        </w:rPr>
        <w:t>Raleigh, North Carolina</w:t>
      </w:r>
    </w:p>
    <w:p>
      <w:pPr>
        <w:spacing w:after="0" w:line="236" w:lineRule="auto"/>
        <w:rPr>
          <w:sz w:val="20"/>
          <w:szCs w:val="20"/>
          <w:color w:val="auto"/>
        </w:rPr>
      </w:pPr>
      <w:r>
        <w:rPr>
          <w:rFonts w:ascii="Calibri" w:cs="Calibri" w:eastAsia="Calibri" w:hAnsi="Calibri"/>
          <w:sz w:val="18"/>
          <w:szCs w:val="18"/>
          <w:color w:val="auto"/>
        </w:rPr>
        <w:t>February 24, 2023</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color w:val="auto"/>
        </w:rPr>
        <w:t>We have served as the Company’s auditor since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92075</wp:posOffset>
            </wp:positionV>
            <wp:extent cx="325755" cy="1974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8 – Financial Statements and Supplementary Data</w:t>
      </w:r>
    </w:p>
    <w:p>
      <w:pPr>
        <w:spacing w:after="0" w:line="209"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786970"/>
        </w:rPr>
        <w:t>Financial Statements</w:t>
      </w:r>
    </w:p>
    <w:p>
      <w:pPr>
        <w:spacing w:after="0" w:line="34" w:lineRule="exact"/>
        <w:rPr>
          <w:sz w:val="20"/>
          <w:szCs w:val="20"/>
          <w:color w:val="auto"/>
        </w:rPr>
      </w:pPr>
    </w:p>
    <w:p>
      <w:pPr>
        <w:jc w:val="center"/>
        <w:ind w:right="100"/>
        <w:spacing w:after="0"/>
        <w:rPr>
          <w:sz w:val="20"/>
          <w:szCs w:val="20"/>
          <w:color w:val="auto"/>
        </w:rPr>
      </w:pPr>
      <w:r>
        <w:rPr>
          <w:rFonts w:ascii="Calibri" w:cs="Calibri" w:eastAsia="Calibri" w:hAnsi="Calibri"/>
          <w:sz w:val="22"/>
          <w:szCs w:val="22"/>
          <w:color w:val="auto"/>
        </w:rPr>
        <w:t>Martn Marieta Materials, Inc. and Consolidated Subsidiaries</w:t>
      </w:r>
    </w:p>
    <w:p>
      <w:pPr>
        <w:spacing w:after="0" w:line="1" w:lineRule="exact"/>
        <w:rPr>
          <w:sz w:val="20"/>
          <w:szCs w:val="20"/>
          <w:color w:val="auto"/>
        </w:rPr>
      </w:pPr>
    </w:p>
    <w:p>
      <w:pPr>
        <w:jc w:val="center"/>
        <w:ind w:right="100"/>
        <w:spacing w:after="0"/>
        <w:rPr>
          <w:sz w:val="20"/>
          <w:szCs w:val="20"/>
          <w:color w:val="auto"/>
        </w:rPr>
      </w:pPr>
      <w:r>
        <w:rPr>
          <w:rFonts w:ascii="Calibri" w:cs="Calibri" w:eastAsia="Calibri" w:hAnsi="Calibri"/>
          <w:sz w:val="22"/>
          <w:szCs w:val="22"/>
          <w:b w:val="1"/>
          <w:bCs w:val="1"/>
          <w:color w:val="007DC6"/>
        </w:rPr>
        <w:t>Consolidated Statements of Earnings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960" w:type="dxa"/>
            <w:vAlign w:val="bottom"/>
          </w:tcPr>
          <w:p>
            <w:pPr>
              <w:ind w:left="20"/>
              <w:spacing w:after="0"/>
              <w:rPr>
                <w:sz w:val="20"/>
                <w:szCs w:val="20"/>
                <w:color w:val="auto"/>
              </w:rPr>
            </w:pPr>
            <w:r>
              <w:rPr>
                <w:rFonts w:ascii="Calibri" w:cs="Calibri" w:eastAsia="Calibri" w:hAnsi="Calibri"/>
                <w:sz w:val="16"/>
                <w:szCs w:val="16"/>
                <w:i w:val="1"/>
                <w:iCs w:val="1"/>
                <w:color w:val="auto"/>
              </w:rPr>
              <w:t>years ended December 31</w:t>
            </w:r>
          </w:p>
        </w:tc>
        <w:tc>
          <w:tcPr>
            <w:tcW w:w="280" w:type="dxa"/>
            <w:vAlign w:val="bottom"/>
            <w:shd w:val="clear" w:color="auto" w:fill="007DC6"/>
          </w:tcPr>
          <w:p>
            <w:pPr>
              <w:spacing w:after="0"/>
              <w:rPr>
                <w:sz w:val="17"/>
                <w:szCs w:val="17"/>
                <w:color w:val="auto"/>
              </w:rPr>
            </w:pPr>
          </w:p>
        </w:tc>
        <w:tc>
          <w:tcPr>
            <w:tcW w:w="1280" w:type="dxa"/>
            <w:vAlign w:val="bottom"/>
            <w:shd w:val="clear" w:color="auto" w:fill="007DC6"/>
          </w:tcPr>
          <w:p>
            <w:pPr>
              <w:spacing w:after="0"/>
              <w:rPr>
                <w:sz w:val="17"/>
                <w:szCs w:val="17"/>
                <w:color w:val="auto"/>
              </w:rPr>
            </w:pPr>
          </w:p>
        </w:tc>
        <w:tc>
          <w:tcPr>
            <w:tcW w:w="120" w:type="dxa"/>
            <w:vAlign w:val="bottom"/>
            <w:shd w:val="clear" w:color="auto" w:fill="007DC6"/>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shd w:val="clear" w:color="auto" w:fill="DEEAEB"/>
          </w:tcPr>
          <w:p>
            <w:pPr>
              <w:spacing w:after="0"/>
              <w:rPr>
                <w:sz w:val="17"/>
                <w:szCs w:val="17"/>
                <w:color w:val="auto"/>
              </w:rPr>
            </w:pPr>
          </w:p>
        </w:tc>
        <w:tc>
          <w:tcPr>
            <w:tcW w:w="128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shd w:val="clear" w:color="auto" w:fill="DEEAEB"/>
          </w:tcPr>
          <w:p>
            <w:pPr>
              <w:spacing w:after="0"/>
              <w:rPr>
                <w:sz w:val="17"/>
                <w:szCs w:val="17"/>
                <w:color w:val="auto"/>
              </w:rPr>
            </w:pPr>
          </w:p>
        </w:tc>
        <w:tc>
          <w:tcPr>
            <w:tcW w:w="130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60" w:type="dxa"/>
            <w:vAlign w:val="bottom"/>
          </w:tcPr>
          <w:p>
            <w:pPr>
              <w:ind w:left="20"/>
              <w:spacing w:after="0" w:line="193" w:lineRule="exact"/>
              <w:rPr>
                <w:sz w:val="20"/>
                <w:szCs w:val="20"/>
                <w:color w:val="auto"/>
              </w:rPr>
            </w:pPr>
            <w:r>
              <w:rPr>
                <w:rFonts w:ascii="Calibri" w:cs="Calibri" w:eastAsia="Calibri" w:hAnsi="Calibri"/>
                <w:sz w:val="16"/>
                <w:szCs w:val="16"/>
                <w:color w:val="auto"/>
              </w:rPr>
              <w:t>(in millions, except per share data)</w:t>
            </w:r>
          </w:p>
        </w:tc>
        <w:tc>
          <w:tcPr>
            <w:tcW w:w="280" w:type="dxa"/>
            <w:vAlign w:val="bottom"/>
            <w:tcBorders>
              <w:bottom w:val="single" w:sz="8" w:color="007DC6"/>
            </w:tcBorders>
            <w:shd w:val="clear" w:color="auto" w:fill="007DC6"/>
          </w:tcPr>
          <w:p>
            <w:pPr>
              <w:spacing w:after="0"/>
              <w:rPr>
                <w:sz w:val="20"/>
                <w:szCs w:val="20"/>
                <w:color w:val="auto"/>
              </w:rPr>
            </w:pPr>
          </w:p>
        </w:tc>
        <w:tc>
          <w:tcPr>
            <w:tcW w:w="1280" w:type="dxa"/>
            <w:vAlign w:val="bottom"/>
            <w:tcBorders>
              <w:bottom w:val="single" w:sz="8" w:color="007DC6"/>
            </w:tcBorders>
            <w:shd w:val="clear" w:color="auto" w:fill="007DC6"/>
          </w:tcPr>
          <w:p>
            <w:pPr>
              <w:jc w:val="right"/>
              <w:ind w:right="459"/>
              <w:spacing w:after="0" w:line="193" w:lineRule="exact"/>
              <w:rPr>
                <w:sz w:val="20"/>
                <w:szCs w:val="20"/>
                <w:color w:val="auto"/>
              </w:rPr>
            </w:pPr>
            <w:r>
              <w:rPr>
                <w:rFonts w:ascii="Calibri" w:cs="Calibri" w:eastAsia="Calibri" w:hAnsi="Calibri"/>
                <w:sz w:val="16"/>
                <w:szCs w:val="16"/>
                <w:b w:val="1"/>
                <w:bCs w:val="1"/>
                <w:color w:val="FFFFFF"/>
              </w:rPr>
              <w:t>2022</w:t>
            </w:r>
          </w:p>
        </w:tc>
        <w:tc>
          <w:tcPr>
            <w:tcW w:w="120" w:type="dxa"/>
            <w:vAlign w:val="bottom"/>
            <w:tcBorders>
              <w:bottom w:val="single" w:sz="8" w:color="007DC6"/>
            </w:tcBorders>
            <w:shd w:val="clear" w:color="auto" w:fill="007DC6"/>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DEEAEB"/>
            </w:tcBorders>
            <w:shd w:val="clear" w:color="auto" w:fill="DEEAEB"/>
          </w:tcPr>
          <w:p>
            <w:pPr>
              <w:spacing w:after="0"/>
              <w:rPr>
                <w:sz w:val="20"/>
                <w:szCs w:val="20"/>
                <w:color w:val="auto"/>
              </w:rPr>
            </w:pPr>
          </w:p>
        </w:tc>
        <w:tc>
          <w:tcPr>
            <w:tcW w:w="1280" w:type="dxa"/>
            <w:vAlign w:val="bottom"/>
            <w:tcBorders>
              <w:bottom w:val="single" w:sz="8" w:color="DEEAEB"/>
            </w:tcBorders>
            <w:shd w:val="clear" w:color="auto" w:fill="DEEAEB"/>
          </w:tcPr>
          <w:p>
            <w:pPr>
              <w:jc w:val="right"/>
              <w:ind w:right="439"/>
              <w:spacing w:after="0" w:line="193" w:lineRule="exact"/>
              <w:rPr>
                <w:sz w:val="20"/>
                <w:szCs w:val="20"/>
                <w:color w:val="auto"/>
              </w:rPr>
            </w:pPr>
            <w:r>
              <w:rPr>
                <w:rFonts w:ascii="Calibri" w:cs="Calibri" w:eastAsia="Calibri" w:hAnsi="Calibri"/>
                <w:sz w:val="16"/>
                <w:szCs w:val="16"/>
                <w:color w:val="auto"/>
              </w:rPr>
              <w:t>2021</w:t>
            </w:r>
          </w:p>
        </w:tc>
        <w:tc>
          <w:tcPr>
            <w:tcW w:w="100" w:type="dxa"/>
            <w:vAlign w:val="bottom"/>
            <w:tcBorders>
              <w:bottom w:val="single" w:sz="8" w:color="DEEAEB"/>
            </w:tcBorders>
            <w:shd w:val="clear" w:color="auto" w:fill="DEEAEB"/>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DEEAEB"/>
            </w:tcBorders>
            <w:shd w:val="clear" w:color="auto" w:fill="DEEAEB"/>
          </w:tcPr>
          <w:p>
            <w:pPr>
              <w:spacing w:after="0"/>
              <w:rPr>
                <w:sz w:val="20"/>
                <w:szCs w:val="20"/>
                <w:color w:val="auto"/>
              </w:rPr>
            </w:pPr>
          </w:p>
        </w:tc>
        <w:tc>
          <w:tcPr>
            <w:tcW w:w="1300" w:type="dxa"/>
            <w:vAlign w:val="bottom"/>
            <w:tcBorders>
              <w:bottom w:val="single" w:sz="8" w:color="DEEAEB"/>
            </w:tcBorders>
            <w:shd w:val="clear" w:color="auto" w:fill="DEEAEB"/>
          </w:tcPr>
          <w:p>
            <w:pPr>
              <w:jc w:val="right"/>
              <w:ind w:right="459"/>
              <w:spacing w:after="0" w:line="193" w:lineRule="exact"/>
              <w:rPr>
                <w:sz w:val="20"/>
                <w:szCs w:val="20"/>
                <w:color w:val="auto"/>
              </w:rPr>
            </w:pPr>
            <w:r>
              <w:rPr>
                <w:rFonts w:ascii="Calibri" w:cs="Calibri" w:eastAsia="Calibri" w:hAnsi="Calibri"/>
                <w:sz w:val="16"/>
                <w:szCs w:val="16"/>
                <w:color w:val="auto"/>
              </w:rPr>
              <w:t>2020</w:t>
            </w:r>
          </w:p>
        </w:tc>
        <w:tc>
          <w:tcPr>
            <w:tcW w:w="100" w:type="dxa"/>
            <w:vAlign w:val="bottom"/>
            <w:tcBorders>
              <w:bottom w:val="single" w:sz="8" w:color="DEEAEB"/>
            </w:tcBorders>
            <w:shd w:val="clear" w:color="auto" w:fill="DEEAEB"/>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96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color w:val="auto"/>
              </w:rPr>
              <w:t>Products and services revenues</w:t>
            </w:r>
          </w:p>
        </w:tc>
        <w:tc>
          <w:tcPr>
            <w:tcW w:w="280" w:type="dxa"/>
            <w:vAlign w:val="bottom"/>
            <w:tcBorders>
              <w:top w:val="single" w:sz="8" w:color="auto"/>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w:t>
            </w:r>
          </w:p>
        </w:tc>
        <w:tc>
          <w:tcPr>
            <w:tcW w:w="1280" w:type="dxa"/>
            <w:vAlign w:val="bottom"/>
            <w:tcBorders>
              <w:top w:val="single" w:sz="8" w:color="auto"/>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5,730.5</w:t>
            </w:r>
          </w:p>
        </w:tc>
        <w:tc>
          <w:tcPr>
            <w:tcW w:w="120" w:type="dxa"/>
            <w:vAlign w:val="bottom"/>
            <w:tcBorders>
              <w:top w:val="single" w:sz="8" w:color="auto"/>
            </w:tcBorders>
            <w:shd w:val="clear" w:color="auto" w:fill="B6D2E2"/>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w:t>
            </w:r>
          </w:p>
        </w:tc>
        <w:tc>
          <w:tcPr>
            <w:tcW w:w="128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5,084.7</w:t>
            </w:r>
          </w:p>
        </w:tc>
        <w:tc>
          <w:tcPr>
            <w:tcW w:w="100" w:type="dxa"/>
            <w:vAlign w:val="bottom"/>
            <w:tcBorders>
              <w:top w:val="single" w:sz="8" w:color="auto"/>
            </w:tcBorders>
            <w:shd w:val="clear" w:color="auto" w:fill="DEEAEB"/>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w:t>
            </w:r>
          </w:p>
        </w:tc>
        <w:tc>
          <w:tcPr>
            <w:tcW w:w="130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4,432.1</w:t>
            </w:r>
          </w:p>
        </w:tc>
        <w:tc>
          <w:tcPr>
            <w:tcW w:w="100" w:type="dxa"/>
            <w:vAlign w:val="bottom"/>
            <w:tcBorders>
              <w:top w:val="single" w:sz="8" w:color="auto"/>
            </w:tcBorders>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5960" w:type="dxa"/>
            <w:vAlign w:val="bottom"/>
          </w:tcPr>
          <w:p>
            <w:pPr>
              <w:ind w:left="20"/>
              <w:spacing w:after="0"/>
              <w:rPr>
                <w:sz w:val="20"/>
                <w:szCs w:val="20"/>
                <w:color w:val="auto"/>
              </w:rPr>
            </w:pPr>
            <w:r>
              <w:rPr>
                <w:rFonts w:ascii="Calibri" w:cs="Calibri" w:eastAsia="Calibri" w:hAnsi="Calibri"/>
                <w:sz w:val="16"/>
                <w:szCs w:val="16"/>
                <w:color w:val="auto"/>
              </w:rPr>
              <w:t>Freight revenues</w:t>
            </w:r>
          </w:p>
        </w:tc>
        <w:tc>
          <w:tcPr>
            <w:tcW w:w="280" w:type="dxa"/>
            <w:vAlign w:val="bottom"/>
            <w:tcBorders>
              <w:bottom w:val="single" w:sz="8" w:color="B6D2E2"/>
            </w:tcBorders>
            <w:shd w:val="clear" w:color="auto" w:fill="B6D2E2"/>
          </w:tcPr>
          <w:p>
            <w:pPr>
              <w:spacing w:after="0"/>
              <w:rPr>
                <w:sz w:val="23"/>
                <w:szCs w:val="23"/>
                <w:color w:val="auto"/>
              </w:rPr>
            </w:pPr>
          </w:p>
        </w:tc>
        <w:tc>
          <w:tcPr>
            <w:tcW w:w="128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rPr>
              <w:t>430.2</w:t>
            </w:r>
          </w:p>
        </w:tc>
        <w:tc>
          <w:tcPr>
            <w:tcW w:w="120" w:type="dxa"/>
            <w:vAlign w:val="bottom"/>
            <w:tcBorders>
              <w:bottom w:val="single" w:sz="8" w:color="B6D2E2"/>
            </w:tcBorders>
            <w:shd w:val="clear" w:color="auto" w:fill="B6D2E2"/>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Borders>
              <w:bottom w:val="single" w:sz="8" w:color="DEEAEB"/>
            </w:tcBorders>
            <w:shd w:val="clear" w:color="auto" w:fill="DEEAEB"/>
          </w:tcPr>
          <w:p>
            <w:pPr>
              <w:spacing w:after="0"/>
              <w:rPr>
                <w:sz w:val="23"/>
                <w:szCs w:val="23"/>
                <w:color w:val="auto"/>
              </w:rPr>
            </w:pPr>
          </w:p>
        </w:tc>
        <w:tc>
          <w:tcPr>
            <w:tcW w:w="128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329.3</w:t>
            </w:r>
          </w:p>
        </w:tc>
        <w:tc>
          <w:tcPr>
            <w:tcW w:w="100" w:type="dxa"/>
            <w:vAlign w:val="bottom"/>
            <w:tcBorders>
              <w:bottom w:val="single" w:sz="8" w:color="DEEAEB"/>
            </w:tcBorders>
            <w:shd w:val="clear" w:color="auto" w:fill="DEEAEB"/>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Borders>
              <w:bottom w:val="single" w:sz="8" w:color="DEEAEB"/>
            </w:tcBorders>
            <w:shd w:val="clear" w:color="auto" w:fill="DEEAEB"/>
          </w:tcPr>
          <w:p>
            <w:pPr>
              <w:spacing w:after="0"/>
              <w:rPr>
                <w:sz w:val="23"/>
                <w:szCs w:val="23"/>
                <w:color w:val="auto"/>
              </w:rPr>
            </w:pPr>
          </w:p>
        </w:tc>
        <w:tc>
          <w:tcPr>
            <w:tcW w:w="13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297.8</w:t>
            </w:r>
          </w:p>
        </w:tc>
        <w:tc>
          <w:tcPr>
            <w:tcW w:w="100" w:type="dxa"/>
            <w:vAlign w:val="bottom"/>
            <w:tcBorders>
              <w:bottom w:val="single" w:sz="8" w:color="DEEAEB"/>
            </w:tcBorders>
            <w:shd w:val="clear" w:color="auto" w:fill="DEEAEB"/>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Total Revenues</w:t>
            </w:r>
          </w:p>
        </w:tc>
        <w:tc>
          <w:tcPr>
            <w:tcW w:w="280" w:type="dxa"/>
            <w:vAlign w:val="bottom"/>
            <w:tcBorders>
              <w:top w:val="single" w:sz="8" w:color="auto"/>
              <w:bottom w:val="single" w:sz="8" w:color="B6D2E2"/>
            </w:tcBorders>
            <w:shd w:val="clear" w:color="auto" w:fill="B6D2E2"/>
          </w:tcPr>
          <w:p>
            <w:pPr>
              <w:spacing w:after="0"/>
              <w:rPr>
                <w:sz w:val="19"/>
                <w:szCs w:val="19"/>
                <w:color w:val="auto"/>
              </w:rPr>
            </w:pPr>
          </w:p>
        </w:tc>
        <w:tc>
          <w:tcPr>
            <w:tcW w:w="128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6,160.7</w:t>
            </w:r>
          </w:p>
        </w:tc>
        <w:tc>
          <w:tcPr>
            <w:tcW w:w="120" w:type="dxa"/>
            <w:vAlign w:val="bottom"/>
            <w:tcBorders>
              <w:top w:val="single" w:sz="8" w:color="auto"/>
              <w:bottom w:val="single" w:sz="8" w:color="B6D2E2"/>
            </w:tcBorders>
            <w:shd w:val="clear" w:color="auto" w:fill="B6D2E2"/>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DEEAEB"/>
            </w:tcBorders>
            <w:shd w:val="clear" w:color="auto" w:fill="DEEAEB"/>
          </w:tcPr>
          <w:p>
            <w:pPr>
              <w:spacing w:after="0"/>
              <w:rPr>
                <w:sz w:val="19"/>
                <w:szCs w:val="19"/>
                <w:color w:val="auto"/>
              </w:rPr>
            </w:pPr>
          </w:p>
        </w:tc>
        <w:tc>
          <w:tcPr>
            <w:tcW w:w="128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5,414.0</w:t>
            </w:r>
          </w:p>
        </w:tc>
        <w:tc>
          <w:tcPr>
            <w:tcW w:w="100" w:type="dxa"/>
            <w:vAlign w:val="bottom"/>
            <w:tcBorders>
              <w:top w:val="single" w:sz="8" w:color="auto"/>
              <w:bottom w:val="single" w:sz="8" w:color="DEEAEB"/>
            </w:tcBorders>
            <w:shd w:val="clear" w:color="auto" w:fill="DEEAEB"/>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DEEAEB"/>
            </w:tcBorders>
            <w:shd w:val="clear" w:color="auto" w:fill="DEEAEB"/>
          </w:tcPr>
          <w:p>
            <w:pPr>
              <w:spacing w:after="0"/>
              <w:rPr>
                <w:sz w:val="19"/>
                <w:szCs w:val="19"/>
                <w:color w:val="auto"/>
              </w:rPr>
            </w:pPr>
          </w:p>
        </w:tc>
        <w:tc>
          <w:tcPr>
            <w:tcW w:w="130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4,729.9</w:t>
            </w:r>
          </w:p>
        </w:tc>
        <w:tc>
          <w:tcPr>
            <w:tcW w:w="100" w:type="dxa"/>
            <w:vAlign w:val="bottom"/>
            <w:tcBorders>
              <w:top w:val="single" w:sz="8" w:color="auto"/>
              <w:bottom w:val="single" w:sz="8" w:color="DEEAEB"/>
            </w:tcBorders>
            <w:shd w:val="clear" w:color="auto" w:fill="DEEAEB"/>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960" w:type="dxa"/>
            <w:vAlign w:val="bottom"/>
          </w:tcPr>
          <w:p>
            <w:pPr>
              <w:ind w:left="20"/>
              <w:spacing w:after="0" w:line="182" w:lineRule="exact"/>
              <w:rPr>
                <w:sz w:val="20"/>
                <w:szCs w:val="20"/>
                <w:color w:val="auto"/>
              </w:rPr>
            </w:pPr>
            <w:r>
              <w:rPr>
                <w:rFonts w:ascii="Calibri" w:cs="Calibri" w:eastAsia="Calibri" w:hAnsi="Calibri"/>
                <w:sz w:val="16"/>
                <w:szCs w:val="16"/>
                <w:color w:val="auto"/>
              </w:rPr>
              <w:t>Cost of revenues - products and services</w:t>
            </w:r>
          </w:p>
        </w:tc>
        <w:tc>
          <w:tcPr>
            <w:tcW w:w="280" w:type="dxa"/>
            <w:vAlign w:val="bottom"/>
            <w:tcBorders>
              <w:top w:val="single" w:sz="8" w:color="auto"/>
            </w:tcBorders>
            <w:shd w:val="clear" w:color="auto" w:fill="B6D2E2"/>
          </w:tcPr>
          <w:p>
            <w:pPr>
              <w:spacing w:after="0"/>
              <w:rPr>
                <w:sz w:val="16"/>
                <w:szCs w:val="16"/>
                <w:color w:val="auto"/>
              </w:rPr>
            </w:pPr>
          </w:p>
        </w:tc>
        <w:tc>
          <w:tcPr>
            <w:tcW w:w="1280" w:type="dxa"/>
            <w:vAlign w:val="bottom"/>
            <w:tcBorders>
              <w:top w:val="single" w:sz="8" w:color="auto"/>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4,304.6</w:t>
            </w:r>
          </w:p>
        </w:tc>
        <w:tc>
          <w:tcPr>
            <w:tcW w:w="120" w:type="dxa"/>
            <w:vAlign w:val="bottom"/>
            <w:tcBorders>
              <w:top w:val="single" w:sz="8" w:color="auto"/>
            </w:tcBorders>
            <w:shd w:val="clear" w:color="auto" w:fill="B6D2E2"/>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shd w:val="clear" w:color="auto" w:fill="DEEAEB"/>
          </w:tcPr>
          <w:p>
            <w:pPr>
              <w:spacing w:after="0"/>
              <w:rPr>
                <w:sz w:val="16"/>
                <w:szCs w:val="16"/>
                <w:color w:val="auto"/>
              </w:rPr>
            </w:pPr>
          </w:p>
        </w:tc>
        <w:tc>
          <w:tcPr>
            <w:tcW w:w="128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3,735.7</w:t>
            </w:r>
          </w:p>
        </w:tc>
        <w:tc>
          <w:tcPr>
            <w:tcW w:w="100" w:type="dxa"/>
            <w:vAlign w:val="bottom"/>
            <w:tcBorders>
              <w:top w:val="single" w:sz="8" w:color="auto"/>
            </w:tcBorders>
            <w:shd w:val="clear" w:color="auto" w:fill="DEEAEB"/>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shd w:val="clear" w:color="auto" w:fill="DEEAEB"/>
          </w:tcPr>
          <w:p>
            <w:pPr>
              <w:spacing w:after="0"/>
              <w:rPr>
                <w:sz w:val="16"/>
                <w:szCs w:val="16"/>
                <w:color w:val="auto"/>
              </w:rPr>
            </w:pPr>
          </w:p>
        </w:tc>
        <w:tc>
          <w:tcPr>
            <w:tcW w:w="130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3,175.6</w:t>
            </w:r>
          </w:p>
        </w:tc>
        <w:tc>
          <w:tcPr>
            <w:tcW w:w="100" w:type="dxa"/>
            <w:vAlign w:val="bottom"/>
            <w:tcBorders>
              <w:top w:val="single" w:sz="8" w:color="auto"/>
            </w:tcBorders>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5960" w:type="dxa"/>
            <w:vAlign w:val="bottom"/>
          </w:tcPr>
          <w:p>
            <w:pPr>
              <w:ind w:left="20"/>
              <w:spacing w:after="0"/>
              <w:rPr>
                <w:sz w:val="20"/>
                <w:szCs w:val="20"/>
                <w:color w:val="auto"/>
              </w:rPr>
            </w:pPr>
            <w:r>
              <w:rPr>
                <w:rFonts w:ascii="Calibri" w:cs="Calibri" w:eastAsia="Calibri" w:hAnsi="Calibri"/>
                <w:sz w:val="16"/>
                <w:szCs w:val="16"/>
                <w:color w:val="auto"/>
              </w:rPr>
              <w:t>Cost of revenues - freight</w:t>
            </w:r>
          </w:p>
        </w:tc>
        <w:tc>
          <w:tcPr>
            <w:tcW w:w="280" w:type="dxa"/>
            <w:vAlign w:val="bottom"/>
            <w:tcBorders>
              <w:bottom w:val="single" w:sz="8" w:color="B6D2E2"/>
            </w:tcBorders>
            <w:shd w:val="clear" w:color="auto" w:fill="B6D2E2"/>
          </w:tcPr>
          <w:p>
            <w:pPr>
              <w:spacing w:after="0"/>
              <w:rPr>
                <w:sz w:val="23"/>
                <w:szCs w:val="23"/>
                <w:color w:val="auto"/>
              </w:rPr>
            </w:pPr>
          </w:p>
        </w:tc>
        <w:tc>
          <w:tcPr>
            <w:tcW w:w="128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rPr>
              <w:t>432.8</w:t>
            </w:r>
          </w:p>
        </w:tc>
        <w:tc>
          <w:tcPr>
            <w:tcW w:w="120" w:type="dxa"/>
            <w:vAlign w:val="bottom"/>
            <w:tcBorders>
              <w:bottom w:val="single" w:sz="8" w:color="B6D2E2"/>
            </w:tcBorders>
            <w:shd w:val="clear" w:color="auto" w:fill="B6D2E2"/>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Borders>
              <w:bottom w:val="single" w:sz="8" w:color="DEEAEB"/>
            </w:tcBorders>
            <w:shd w:val="clear" w:color="auto" w:fill="DEEAEB"/>
          </w:tcPr>
          <w:p>
            <w:pPr>
              <w:spacing w:after="0"/>
              <w:rPr>
                <w:sz w:val="23"/>
                <w:szCs w:val="23"/>
                <w:color w:val="auto"/>
              </w:rPr>
            </w:pPr>
          </w:p>
        </w:tc>
        <w:tc>
          <w:tcPr>
            <w:tcW w:w="128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329.9</w:t>
            </w:r>
          </w:p>
        </w:tc>
        <w:tc>
          <w:tcPr>
            <w:tcW w:w="100" w:type="dxa"/>
            <w:vAlign w:val="bottom"/>
            <w:tcBorders>
              <w:bottom w:val="single" w:sz="8" w:color="DEEAEB"/>
            </w:tcBorders>
            <w:shd w:val="clear" w:color="auto" w:fill="DEEAEB"/>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Borders>
              <w:bottom w:val="single" w:sz="8" w:color="DEEAEB"/>
            </w:tcBorders>
            <w:shd w:val="clear" w:color="auto" w:fill="DEEAEB"/>
          </w:tcPr>
          <w:p>
            <w:pPr>
              <w:spacing w:after="0"/>
              <w:rPr>
                <w:sz w:val="23"/>
                <w:szCs w:val="23"/>
                <w:color w:val="auto"/>
              </w:rPr>
            </w:pPr>
          </w:p>
        </w:tc>
        <w:tc>
          <w:tcPr>
            <w:tcW w:w="13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301.5</w:t>
            </w:r>
          </w:p>
        </w:tc>
        <w:tc>
          <w:tcPr>
            <w:tcW w:w="100" w:type="dxa"/>
            <w:vAlign w:val="bottom"/>
            <w:tcBorders>
              <w:bottom w:val="single" w:sz="8" w:color="DEEAEB"/>
            </w:tcBorders>
            <w:shd w:val="clear" w:color="auto" w:fill="DEEAEB"/>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20"/>
              <w:spacing w:after="0" w:line="182" w:lineRule="exact"/>
              <w:rPr>
                <w:sz w:val="20"/>
                <w:szCs w:val="20"/>
                <w:color w:val="auto"/>
              </w:rPr>
            </w:pPr>
            <w:r>
              <w:rPr>
                <w:rFonts w:ascii="Calibri" w:cs="Calibri" w:eastAsia="Calibri" w:hAnsi="Calibri"/>
                <w:sz w:val="16"/>
                <w:szCs w:val="16"/>
                <w:color w:val="auto"/>
              </w:rPr>
              <w:t>Total cost of revenues</w:t>
            </w:r>
          </w:p>
        </w:tc>
        <w:tc>
          <w:tcPr>
            <w:tcW w:w="280" w:type="dxa"/>
            <w:vAlign w:val="bottom"/>
            <w:tcBorders>
              <w:top w:val="single" w:sz="8" w:color="auto"/>
              <w:bottom w:val="single" w:sz="8" w:color="B6D2E2"/>
            </w:tcBorders>
            <w:shd w:val="clear" w:color="auto" w:fill="B6D2E2"/>
          </w:tcPr>
          <w:p>
            <w:pPr>
              <w:spacing w:after="0"/>
              <w:rPr>
                <w:sz w:val="19"/>
                <w:szCs w:val="19"/>
                <w:color w:val="auto"/>
              </w:rPr>
            </w:pPr>
          </w:p>
        </w:tc>
        <w:tc>
          <w:tcPr>
            <w:tcW w:w="128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4,737.4</w:t>
            </w:r>
          </w:p>
        </w:tc>
        <w:tc>
          <w:tcPr>
            <w:tcW w:w="120" w:type="dxa"/>
            <w:vAlign w:val="bottom"/>
            <w:tcBorders>
              <w:top w:val="single" w:sz="8" w:color="auto"/>
              <w:bottom w:val="single" w:sz="8" w:color="B6D2E2"/>
            </w:tcBorders>
            <w:shd w:val="clear" w:color="auto" w:fill="B6D2E2"/>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DEEAEB"/>
            </w:tcBorders>
            <w:shd w:val="clear" w:color="auto" w:fill="DEEAEB"/>
          </w:tcPr>
          <w:p>
            <w:pPr>
              <w:spacing w:after="0"/>
              <w:rPr>
                <w:sz w:val="19"/>
                <w:szCs w:val="19"/>
                <w:color w:val="auto"/>
              </w:rPr>
            </w:pPr>
          </w:p>
        </w:tc>
        <w:tc>
          <w:tcPr>
            <w:tcW w:w="128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4,065.6</w:t>
            </w:r>
          </w:p>
        </w:tc>
        <w:tc>
          <w:tcPr>
            <w:tcW w:w="100" w:type="dxa"/>
            <w:vAlign w:val="bottom"/>
            <w:tcBorders>
              <w:top w:val="single" w:sz="8" w:color="auto"/>
              <w:bottom w:val="single" w:sz="8" w:color="DEEAEB"/>
            </w:tcBorders>
            <w:shd w:val="clear" w:color="auto" w:fill="DEEAEB"/>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DEEAEB"/>
            </w:tcBorders>
            <w:shd w:val="clear" w:color="auto" w:fill="DEEAEB"/>
          </w:tcPr>
          <w:p>
            <w:pPr>
              <w:spacing w:after="0"/>
              <w:rPr>
                <w:sz w:val="19"/>
                <w:szCs w:val="19"/>
                <w:color w:val="auto"/>
              </w:rPr>
            </w:pPr>
          </w:p>
        </w:tc>
        <w:tc>
          <w:tcPr>
            <w:tcW w:w="130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3,477.1</w:t>
            </w:r>
          </w:p>
        </w:tc>
        <w:tc>
          <w:tcPr>
            <w:tcW w:w="100" w:type="dxa"/>
            <w:vAlign w:val="bottom"/>
            <w:tcBorders>
              <w:top w:val="single" w:sz="8" w:color="auto"/>
              <w:bottom w:val="single" w:sz="8" w:color="DEEAEB"/>
            </w:tcBorders>
            <w:shd w:val="clear" w:color="auto" w:fill="DEEAEB"/>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96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Gross Proft</w:t>
            </w:r>
          </w:p>
        </w:tc>
        <w:tc>
          <w:tcPr>
            <w:tcW w:w="280" w:type="dxa"/>
            <w:vAlign w:val="bottom"/>
            <w:tcBorders>
              <w:top w:val="single" w:sz="8" w:color="auto"/>
            </w:tcBorders>
            <w:shd w:val="clear" w:color="auto" w:fill="B6D2E2"/>
          </w:tcPr>
          <w:p>
            <w:pPr>
              <w:spacing w:after="0"/>
              <w:rPr>
                <w:sz w:val="16"/>
                <w:szCs w:val="16"/>
                <w:color w:val="auto"/>
              </w:rPr>
            </w:pPr>
          </w:p>
        </w:tc>
        <w:tc>
          <w:tcPr>
            <w:tcW w:w="1280" w:type="dxa"/>
            <w:vAlign w:val="bottom"/>
            <w:tcBorders>
              <w:top w:val="single" w:sz="8" w:color="auto"/>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1,423.3</w:t>
            </w:r>
          </w:p>
        </w:tc>
        <w:tc>
          <w:tcPr>
            <w:tcW w:w="120" w:type="dxa"/>
            <w:vAlign w:val="bottom"/>
            <w:tcBorders>
              <w:top w:val="single" w:sz="8" w:color="auto"/>
            </w:tcBorders>
            <w:shd w:val="clear" w:color="auto" w:fill="B6D2E2"/>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shd w:val="clear" w:color="auto" w:fill="DEEAEB"/>
          </w:tcPr>
          <w:p>
            <w:pPr>
              <w:spacing w:after="0"/>
              <w:rPr>
                <w:sz w:val="16"/>
                <w:szCs w:val="16"/>
                <w:color w:val="auto"/>
              </w:rPr>
            </w:pPr>
          </w:p>
        </w:tc>
        <w:tc>
          <w:tcPr>
            <w:tcW w:w="128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1,348.4</w:t>
            </w:r>
          </w:p>
        </w:tc>
        <w:tc>
          <w:tcPr>
            <w:tcW w:w="100" w:type="dxa"/>
            <w:vAlign w:val="bottom"/>
            <w:tcBorders>
              <w:top w:val="single" w:sz="8" w:color="auto"/>
            </w:tcBorders>
            <w:shd w:val="clear" w:color="auto" w:fill="DEEAEB"/>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shd w:val="clear" w:color="auto" w:fill="DEEAEB"/>
          </w:tcPr>
          <w:p>
            <w:pPr>
              <w:spacing w:after="0"/>
              <w:rPr>
                <w:sz w:val="16"/>
                <w:szCs w:val="16"/>
                <w:color w:val="auto"/>
              </w:rPr>
            </w:pPr>
          </w:p>
        </w:tc>
        <w:tc>
          <w:tcPr>
            <w:tcW w:w="130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1,252.8</w:t>
            </w:r>
          </w:p>
        </w:tc>
        <w:tc>
          <w:tcPr>
            <w:tcW w:w="100" w:type="dxa"/>
            <w:vAlign w:val="bottom"/>
            <w:tcBorders>
              <w:top w:val="single" w:sz="8" w:color="auto"/>
            </w:tcBorders>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960" w:type="dxa"/>
            <w:vAlign w:val="bottom"/>
          </w:tcPr>
          <w:p>
            <w:pPr>
              <w:ind w:left="20"/>
              <w:spacing w:after="0"/>
              <w:rPr>
                <w:sz w:val="20"/>
                <w:szCs w:val="20"/>
                <w:color w:val="auto"/>
              </w:rPr>
            </w:pPr>
            <w:r>
              <w:rPr>
                <w:rFonts w:ascii="Calibri" w:cs="Calibri" w:eastAsia="Calibri" w:hAnsi="Calibri"/>
                <w:sz w:val="16"/>
                <w:szCs w:val="16"/>
                <w:color w:val="auto"/>
              </w:rPr>
              <w:t>Selling, general and administratve expenses</w:t>
            </w:r>
          </w:p>
        </w:tc>
        <w:tc>
          <w:tcPr>
            <w:tcW w:w="28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396.7</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351.0</w:t>
            </w:r>
          </w:p>
        </w:tc>
        <w:tc>
          <w:tcPr>
            <w:tcW w:w="100" w:type="dxa"/>
            <w:vAlign w:val="bottom"/>
            <w:shd w:val="clear" w:color="auto" w:fill="DEEAEB"/>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3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305.9</w:t>
            </w:r>
          </w:p>
        </w:tc>
        <w:tc>
          <w:tcPr>
            <w:tcW w:w="100" w:type="dxa"/>
            <w:vAlign w:val="bottom"/>
            <w:shd w:val="clear" w:color="auto" w:fill="DEEAE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Calibri" w:cs="Calibri" w:eastAsia="Calibri" w:hAnsi="Calibri"/>
                <w:sz w:val="16"/>
                <w:szCs w:val="16"/>
                <w:color w:val="auto"/>
              </w:rPr>
              <w:t>Acquisiton and integraton expenses</w:t>
            </w:r>
          </w:p>
        </w:tc>
        <w:tc>
          <w:tcPr>
            <w:tcW w:w="28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9.1</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57.9</w:t>
            </w:r>
          </w:p>
        </w:tc>
        <w:tc>
          <w:tcPr>
            <w:tcW w:w="100" w:type="dxa"/>
            <w:vAlign w:val="bottom"/>
            <w:shd w:val="clear" w:color="auto" w:fill="DEEAEB"/>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3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1.3</w:t>
            </w:r>
          </w:p>
        </w:tc>
        <w:tc>
          <w:tcPr>
            <w:tcW w:w="100" w:type="dxa"/>
            <w:vAlign w:val="bottom"/>
            <w:shd w:val="clear" w:color="auto" w:fill="DEEAEB"/>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5960" w:type="dxa"/>
            <w:vAlign w:val="bottom"/>
          </w:tcPr>
          <w:p>
            <w:pPr>
              <w:ind w:left="20"/>
              <w:spacing w:after="0"/>
              <w:rPr>
                <w:sz w:val="20"/>
                <w:szCs w:val="20"/>
                <w:color w:val="auto"/>
              </w:rPr>
            </w:pPr>
            <w:r>
              <w:rPr>
                <w:rFonts w:ascii="Calibri" w:cs="Calibri" w:eastAsia="Calibri" w:hAnsi="Calibri"/>
                <w:sz w:val="16"/>
                <w:szCs w:val="16"/>
                <w:color w:val="auto"/>
              </w:rPr>
              <w:t>Other operatng income, net</w:t>
            </w:r>
          </w:p>
        </w:tc>
        <w:tc>
          <w:tcPr>
            <w:tcW w:w="280" w:type="dxa"/>
            <w:vAlign w:val="bottom"/>
            <w:tcBorders>
              <w:bottom w:val="single" w:sz="8" w:color="B6D2E2"/>
            </w:tcBorders>
            <w:shd w:val="clear" w:color="auto" w:fill="B6D2E2"/>
          </w:tcPr>
          <w:p>
            <w:pPr>
              <w:spacing w:after="0"/>
              <w:rPr>
                <w:sz w:val="23"/>
                <w:szCs w:val="23"/>
                <w:color w:val="auto"/>
              </w:rPr>
            </w:pPr>
          </w:p>
        </w:tc>
        <w:tc>
          <w:tcPr>
            <w:tcW w:w="128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rPr>
              <w:t>(189.2</w:t>
            </w:r>
          </w:p>
        </w:tc>
        <w:tc>
          <w:tcPr>
            <w:tcW w:w="12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rPr>
              <w:t>)</w:t>
            </w:r>
          </w:p>
        </w:tc>
        <w:tc>
          <w:tcPr>
            <w:tcW w:w="180" w:type="dxa"/>
            <w:vAlign w:val="bottom"/>
          </w:tcPr>
          <w:p>
            <w:pPr>
              <w:spacing w:after="0"/>
              <w:rPr>
                <w:sz w:val="23"/>
                <w:szCs w:val="23"/>
                <w:color w:val="auto"/>
              </w:rPr>
            </w:pPr>
          </w:p>
        </w:tc>
        <w:tc>
          <w:tcPr>
            <w:tcW w:w="240" w:type="dxa"/>
            <w:vAlign w:val="bottom"/>
            <w:tcBorders>
              <w:bottom w:val="single" w:sz="8" w:color="DEEAEB"/>
            </w:tcBorders>
            <w:shd w:val="clear" w:color="auto" w:fill="DEEAEB"/>
          </w:tcPr>
          <w:p>
            <w:pPr>
              <w:spacing w:after="0"/>
              <w:rPr>
                <w:sz w:val="23"/>
                <w:szCs w:val="23"/>
                <w:color w:val="auto"/>
              </w:rPr>
            </w:pPr>
          </w:p>
        </w:tc>
        <w:tc>
          <w:tcPr>
            <w:tcW w:w="128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(34.3</w:t>
            </w:r>
          </w:p>
        </w:tc>
        <w:tc>
          <w:tcPr>
            <w:tcW w:w="1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c>
          <w:tcPr>
            <w:tcW w:w="160" w:type="dxa"/>
            <w:vAlign w:val="bottom"/>
          </w:tcPr>
          <w:p>
            <w:pPr>
              <w:spacing w:after="0"/>
              <w:rPr>
                <w:sz w:val="23"/>
                <w:szCs w:val="23"/>
                <w:color w:val="auto"/>
              </w:rPr>
            </w:pPr>
          </w:p>
        </w:tc>
        <w:tc>
          <w:tcPr>
            <w:tcW w:w="240" w:type="dxa"/>
            <w:vAlign w:val="bottom"/>
            <w:tcBorders>
              <w:bottom w:val="single" w:sz="8" w:color="DEEAEB"/>
            </w:tcBorders>
            <w:shd w:val="clear" w:color="auto" w:fill="DEEAEB"/>
          </w:tcPr>
          <w:p>
            <w:pPr>
              <w:spacing w:after="0"/>
              <w:rPr>
                <w:sz w:val="23"/>
                <w:szCs w:val="23"/>
                <w:color w:val="auto"/>
              </w:rPr>
            </w:pPr>
          </w:p>
        </w:tc>
        <w:tc>
          <w:tcPr>
            <w:tcW w:w="13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(59.8</w:t>
            </w:r>
          </w:p>
        </w:tc>
        <w:tc>
          <w:tcPr>
            <w:tcW w:w="1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c>
          <w:tcPr>
            <w:tcW w:w="0" w:type="dxa"/>
            <w:vAlign w:val="bottom"/>
          </w:tcPr>
          <w:p>
            <w:pPr>
              <w:spacing w:after="0"/>
              <w:rPr>
                <w:sz w:val="1"/>
                <w:szCs w:val="1"/>
                <w:color w:val="auto"/>
              </w:rPr>
            </w:pPr>
          </w:p>
        </w:tc>
      </w:tr>
      <w:tr>
        <w:trPr>
          <w:trHeight w:val="187"/>
        </w:trPr>
        <w:tc>
          <w:tcPr>
            <w:tcW w:w="596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Earnings from Operatons</w:t>
            </w:r>
          </w:p>
        </w:tc>
        <w:tc>
          <w:tcPr>
            <w:tcW w:w="280" w:type="dxa"/>
            <w:vAlign w:val="bottom"/>
            <w:tcBorders>
              <w:top w:val="single" w:sz="8" w:color="auto"/>
            </w:tcBorders>
            <w:shd w:val="clear" w:color="auto" w:fill="B6D2E2"/>
          </w:tcPr>
          <w:p>
            <w:pPr>
              <w:spacing w:after="0"/>
              <w:rPr>
                <w:sz w:val="16"/>
                <w:szCs w:val="16"/>
                <w:color w:val="auto"/>
              </w:rPr>
            </w:pPr>
          </w:p>
        </w:tc>
        <w:tc>
          <w:tcPr>
            <w:tcW w:w="1280" w:type="dxa"/>
            <w:vAlign w:val="bottom"/>
            <w:tcBorders>
              <w:top w:val="single" w:sz="8" w:color="auto"/>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1,206.7</w:t>
            </w:r>
          </w:p>
        </w:tc>
        <w:tc>
          <w:tcPr>
            <w:tcW w:w="120" w:type="dxa"/>
            <w:vAlign w:val="bottom"/>
            <w:tcBorders>
              <w:top w:val="single" w:sz="8" w:color="auto"/>
            </w:tcBorders>
            <w:shd w:val="clear" w:color="auto" w:fill="B6D2E2"/>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shd w:val="clear" w:color="auto" w:fill="DEEAEB"/>
          </w:tcPr>
          <w:p>
            <w:pPr>
              <w:spacing w:after="0"/>
              <w:rPr>
                <w:sz w:val="16"/>
                <w:szCs w:val="16"/>
                <w:color w:val="auto"/>
              </w:rPr>
            </w:pPr>
          </w:p>
        </w:tc>
        <w:tc>
          <w:tcPr>
            <w:tcW w:w="128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973.8</w:t>
            </w:r>
          </w:p>
        </w:tc>
        <w:tc>
          <w:tcPr>
            <w:tcW w:w="100" w:type="dxa"/>
            <w:vAlign w:val="bottom"/>
            <w:tcBorders>
              <w:top w:val="single" w:sz="8" w:color="auto"/>
            </w:tcBorders>
            <w:shd w:val="clear" w:color="auto" w:fill="DEEAEB"/>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shd w:val="clear" w:color="auto" w:fill="DEEAEB"/>
          </w:tcPr>
          <w:p>
            <w:pPr>
              <w:spacing w:after="0"/>
              <w:rPr>
                <w:sz w:val="16"/>
                <w:szCs w:val="16"/>
                <w:color w:val="auto"/>
              </w:rPr>
            </w:pPr>
          </w:p>
        </w:tc>
        <w:tc>
          <w:tcPr>
            <w:tcW w:w="130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1,005.4</w:t>
            </w:r>
          </w:p>
        </w:tc>
        <w:tc>
          <w:tcPr>
            <w:tcW w:w="100" w:type="dxa"/>
            <w:vAlign w:val="bottom"/>
            <w:tcBorders>
              <w:top w:val="single" w:sz="8" w:color="auto"/>
            </w:tcBorders>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960" w:type="dxa"/>
            <w:vAlign w:val="bottom"/>
          </w:tcPr>
          <w:p>
            <w:pPr>
              <w:ind w:left="20"/>
              <w:spacing w:after="0"/>
              <w:rPr>
                <w:sz w:val="20"/>
                <w:szCs w:val="20"/>
                <w:color w:val="auto"/>
              </w:rPr>
            </w:pPr>
            <w:r>
              <w:rPr>
                <w:rFonts w:ascii="Calibri" w:cs="Calibri" w:eastAsia="Calibri" w:hAnsi="Calibri"/>
                <w:sz w:val="16"/>
                <w:szCs w:val="16"/>
                <w:color w:val="auto"/>
              </w:rPr>
              <w:t>Interest expense</w:t>
            </w:r>
          </w:p>
        </w:tc>
        <w:tc>
          <w:tcPr>
            <w:tcW w:w="28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169.0</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142.7</w:t>
            </w:r>
          </w:p>
        </w:tc>
        <w:tc>
          <w:tcPr>
            <w:tcW w:w="100" w:type="dxa"/>
            <w:vAlign w:val="bottom"/>
            <w:shd w:val="clear" w:color="auto" w:fill="DEEAEB"/>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3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118.1</w:t>
            </w:r>
          </w:p>
        </w:tc>
        <w:tc>
          <w:tcPr>
            <w:tcW w:w="100" w:type="dxa"/>
            <w:vAlign w:val="bottom"/>
            <w:shd w:val="clear" w:color="auto" w:fill="DEEAEB"/>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5960" w:type="dxa"/>
            <w:vAlign w:val="bottom"/>
          </w:tcPr>
          <w:p>
            <w:pPr>
              <w:ind w:left="20"/>
              <w:spacing w:after="0"/>
              <w:rPr>
                <w:sz w:val="20"/>
                <w:szCs w:val="20"/>
                <w:color w:val="auto"/>
              </w:rPr>
            </w:pPr>
            <w:r>
              <w:rPr>
                <w:rFonts w:ascii="Calibri" w:cs="Calibri" w:eastAsia="Calibri" w:hAnsi="Calibri"/>
                <w:sz w:val="16"/>
                <w:szCs w:val="16"/>
                <w:color w:val="auto"/>
              </w:rPr>
              <w:t>Other nonoperatng income, net</w:t>
            </w:r>
          </w:p>
        </w:tc>
        <w:tc>
          <w:tcPr>
            <w:tcW w:w="280" w:type="dxa"/>
            <w:vAlign w:val="bottom"/>
            <w:tcBorders>
              <w:bottom w:val="single" w:sz="8" w:color="B6D2E2"/>
            </w:tcBorders>
            <w:shd w:val="clear" w:color="auto" w:fill="B6D2E2"/>
          </w:tcPr>
          <w:p>
            <w:pPr>
              <w:spacing w:after="0"/>
              <w:rPr>
                <w:sz w:val="23"/>
                <w:szCs w:val="23"/>
                <w:color w:val="auto"/>
              </w:rPr>
            </w:pPr>
          </w:p>
        </w:tc>
        <w:tc>
          <w:tcPr>
            <w:tcW w:w="1400" w:type="dxa"/>
            <w:vAlign w:val="bottom"/>
            <w:tcBorders>
              <w:bottom w:val="single" w:sz="8" w:color="B6D2E2"/>
            </w:tcBorders>
            <w:gridSpan w:val="2"/>
            <w:shd w:val="clear" w:color="auto" w:fill="B6D2E2"/>
          </w:tcPr>
          <w:p>
            <w:pPr>
              <w:jc w:val="right"/>
              <w:spacing w:after="0"/>
              <w:rPr>
                <w:sz w:val="20"/>
                <w:szCs w:val="20"/>
                <w:color w:val="auto"/>
              </w:rPr>
            </w:pPr>
            <w:r>
              <w:rPr>
                <w:rFonts w:ascii="Calibri" w:cs="Calibri" w:eastAsia="Calibri" w:hAnsi="Calibri"/>
                <w:sz w:val="16"/>
                <w:szCs w:val="16"/>
                <w:b w:val="1"/>
                <w:bCs w:val="1"/>
                <w:color w:val="auto"/>
              </w:rPr>
              <w:t>(53.4 )</w:t>
            </w:r>
          </w:p>
        </w:tc>
        <w:tc>
          <w:tcPr>
            <w:tcW w:w="180" w:type="dxa"/>
            <w:vAlign w:val="bottom"/>
          </w:tcPr>
          <w:p>
            <w:pPr>
              <w:spacing w:after="0"/>
              <w:rPr>
                <w:sz w:val="23"/>
                <w:szCs w:val="23"/>
                <w:color w:val="auto"/>
              </w:rPr>
            </w:pPr>
          </w:p>
        </w:tc>
        <w:tc>
          <w:tcPr>
            <w:tcW w:w="240" w:type="dxa"/>
            <w:vAlign w:val="bottom"/>
            <w:tcBorders>
              <w:bottom w:val="single" w:sz="8" w:color="DEEAEB"/>
            </w:tcBorders>
            <w:shd w:val="clear" w:color="auto" w:fill="DEEAEB"/>
          </w:tcPr>
          <w:p>
            <w:pPr>
              <w:spacing w:after="0"/>
              <w:rPr>
                <w:sz w:val="23"/>
                <w:szCs w:val="23"/>
                <w:color w:val="auto"/>
              </w:rPr>
            </w:pPr>
          </w:p>
        </w:tc>
        <w:tc>
          <w:tcPr>
            <w:tcW w:w="1380" w:type="dxa"/>
            <w:vAlign w:val="bottom"/>
            <w:tcBorders>
              <w:bottom w:val="single" w:sz="8" w:color="DEEAEB"/>
            </w:tcBorders>
            <w:gridSpan w:val="2"/>
            <w:shd w:val="clear" w:color="auto" w:fill="DEEAEB"/>
          </w:tcPr>
          <w:p>
            <w:pPr>
              <w:jc w:val="right"/>
              <w:spacing w:after="0"/>
              <w:rPr>
                <w:sz w:val="20"/>
                <w:szCs w:val="20"/>
                <w:color w:val="auto"/>
              </w:rPr>
            </w:pPr>
            <w:r>
              <w:rPr>
                <w:rFonts w:ascii="Calibri" w:cs="Calibri" w:eastAsia="Calibri" w:hAnsi="Calibri"/>
                <w:sz w:val="16"/>
                <w:szCs w:val="16"/>
                <w:color w:val="auto"/>
              </w:rPr>
              <w:t>(24.4 )</w:t>
            </w:r>
          </w:p>
        </w:tc>
        <w:tc>
          <w:tcPr>
            <w:tcW w:w="160" w:type="dxa"/>
            <w:vAlign w:val="bottom"/>
          </w:tcPr>
          <w:p>
            <w:pPr>
              <w:spacing w:after="0"/>
              <w:rPr>
                <w:sz w:val="23"/>
                <w:szCs w:val="23"/>
                <w:color w:val="auto"/>
              </w:rPr>
            </w:pPr>
          </w:p>
        </w:tc>
        <w:tc>
          <w:tcPr>
            <w:tcW w:w="240" w:type="dxa"/>
            <w:vAlign w:val="bottom"/>
            <w:tcBorders>
              <w:bottom w:val="single" w:sz="8" w:color="DEEAEB"/>
            </w:tcBorders>
            <w:shd w:val="clear" w:color="auto" w:fill="DEEAEB"/>
          </w:tcPr>
          <w:p>
            <w:pPr>
              <w:spacing w:after="0"/>
              <w:rPr>
                <w:sz w:val="23"/>
                <w:szCs w:val="23"/>
                <w:color w:val="auto"/>
              </w:rPr>
            </w:pPr>
          </w:p>
        </w:tc>
        <w:tc>
          <w:tcPr>
            <w:tcW w:w="1400" w:type="dxa"/>
            <w:vAlign w:val="bottom"/>
            <w:tcBorders>
              <w:bottom w:val="single" w:sz="8" w:color="DEEAEB"/>
            </w:tcBorders>
            <w:gridSpan w:val="2"/>
            <w:shd w:val="clear" w:color="auto" w:fill="DEEAEB"/>
          </w:tcPr>
          <w:p>
            <w:pPr>
              <w:jc w:val="right"/>
              <w:spacing w:after="0"/>
              <w:rPr>
                <w:sz w:val="20"/>
                <w:szCs w:val="20"/>
                <w:color w:val="auto"/>
              </w:rPr>
            </w:pPr>
            <w:r>
              <w:rPr>
                <w:rFonts w:ascii="Calibri" w:cs="Calibri" w:eastAsia="Calibri" w:hAnsi="Calibri"/>
                <w:sz w:val="16"/>
                <w:szCs w:val="16"/>
                <w:color w:val="auto"/>
              </w:rPr>
              <w:t>(2.0 )</w:t>
            </w:r>
          </w:p>
        </w:tc>
        <w:tc>
          <w:tcPr>
            <w:tcW w:w="0" w:type="dxa"/>
            <w:vAlign w:val="bottom"/>
          </w:tcPr>
          <w:p>
            <w:pPr>
              <w:spacing w:after="0"/>
              <w:rPr>
                <w:sz w:val="1"/>
                <w:szCs w:val="1"/>
                <w:color w:val="auto"/>
              </w:rPr>
            </w:pPr>
          </w:p>
        </w:tc>
      </w:tr>
      <w:tr>
        <w:trPr>
          <w:trHeight w:val="187"/>
        </w:trPr>
        <w:tc>
          <w:tcPr>
            <w:tcW w:w="596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color w:val="auto"/>
              </w:rPr>
              <w:t>Earnings from contnuing operatons before income tax expense</w:t>
            </w:r>
          </w:p>
        </w:tc>
        <w:tc>
          <w:tcPr>
            <w:tcW w:w="280" w:type="dxa"/>
            <w:vAlign w:val="bottom"/>
            <w:tcBorders>
              <w:top w:val="single" w:sz="8" w:color="auto"/>
            </w:tcBorders>
            <w:shd w:val="clear" w:color="auto" w:fill="B6D2E2"/>
          </w:tcPr>
          <w:p>
            <w:pPr>
              <w:spacing w:after="0"/>
              <w:rPr>
                <w:sz w:val="16"/>
                <w:szCs w:val="16"/>
                <w:color w:val="auto"/>
              </w:rPr>
            </w:pPr>
          </w:p>
        </w:tc>
        <w:tc>
          <w:tcPr>
            <w:tcW w:w="1280" w:type="dxa"/>
            <w:vAlign w:val="bottom"/>
            <w:tcBorders>
              <w:top w:val="single" w:sz="8" w:color="auto"/>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1,091.1</w:t>
            </w:r>
          </w:p>
        </w:tc>
        <w:tc>
          <w:tcPr>
            <w:tcW w:w="120" w:type="dxa"/>
            <w:vAlign w:val="bottom"/>
            <w:tcBorders>
              <w:top w:val="single" w:sz="8" w:color="auto"/>
            </w:tcBorders>
            <w:shd w:val="clear" w:color="auto" w:fill="B6D2E2"/>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shd w:val="clear" w:color="auto" w:fill="DEEAEB"/>
          </w:tcPr>
          <w:p>
            <w:pPr>
              <w:spacing w:after="0"/>
              <w:rPr>
                <w:sz w:val="16"/>
                <w:szCs w:val="16"/>
                <w:color w:val="auto"/>
              </w:rPr>
            </w:pPr>
          </w:p>
        </w:tc>
        <w:tc>
          <w:tcPr>
            <w:tcW w:w="128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855.5</w:t>
            </w:r>
          </w:p>
        </w:tc>
        <w:tc>
          <w:tcPr>
            <w:tcW w:w="100" w:type="dxa"/>
            <w:vAlign w:val="bottom"/>
            <w:tcBorders>
              <w:top w:val="single" w:sz="8" w:color="auto"/>
            </w:tcBorders>
            <w:shd w:val="clear" w:color="auto" w:fill="DEEAEB"/>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shd w:val="clear" w:color="auto" w:fill="DEEAEB"/>
          </w:tcPr>
          <w:p>
            <w:pPr>
              <w:spacing w:after="0"/>
              <w:rPr>
                <w:sz w:val="16"/>
                <w:szCs w:val="16"/>
                <w:color w:val="auto"/>
              </w:rPr>
            </w:pPr>
          </w:p>
        </w:tc>
        <w:tc>
          <w:tcPr>
            <w:tcW w:w="130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889.3</w:t>
            </w:r>
          </w:p>
        </w:tc>
        <w:tc>
          <w:tcPr>
            <w:tcW w:w="100" w:type="dxa"/>
            <w:vAlign w:val="bottom"/>
            <w:tcBorders>
              <w:top w:val="single" w:sz="8" w:color="auto"/>
            </w:tcBorders>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5960" w:type="dxa"/>
            <w:vAlign w:val="bottom"/>
          </w:tcPr>
          <w:p>
            <w:pPr>
              <w:ind w:left="20"/>
              <w:spacing w:after="0"/>
              <w:rPr>
                <w:sz w:val="20"/>
                <w:szCs w:val="20"/>
                <w:color w:val="auto"/>
              </w:rPr>
            </w:pPr>
            <w:r>
              <w:rPr>
                <w:rFonts w:ascii="Calibri" w:cs="Calibri" w:eastAsia="Calibri" w:hAnsi="Calibri"/>
                <w:sz w:val="16"/>
                <w:szCs w:val="16"/>
                <w:color w:val="auto"/>
              </w:rPr>
              <w:t>Income tax expense</w:t>
            </w:r>
          </w:p>
        </w:tc>
        <w:tc>
          <w:tcPr>
            <w:tcW w:w="280" w:type="dxa"/>
            <w:vAlign w:val="bottom"/>
            <w:tcBorders>
              <w:bottom w:val="single" w:sz="8" w:color="B6D2E2"/>
            </w:tcBorders>
            <w:shd w:val="clear" w:color="auto" w:fill="B6D2E2"/>
          </w:tcPr>
          <w:p>
            <w:pPr>
              <w:spacing w:after="0"/>
              <w:rPr>
                <w:sz w:val="23"/>
                <w:szCs w:val="23"/>
                <w:color w:val="auto"/>
              </w:rPr>
            </w:pPr>
          </w:p>
        </w:tc>
        <w:tc>
          <w:tcPr>
            <w:tcW w:w="128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rPr>
              <w:t>234.8</w:t>
            </w:r>
          </w:p>
        </w:tc>
        <w:tc>
          <w:tcPr>
            <w:tcW w:w="120" w:type="dxa"/>
            <w:vAlign w:val="bottom"/>
            <w:tcBorders>
              <w:bottom w:val="single" w:sz="8" w:color="B6D2E2"/>
            </w:tcBorders>
            <w:shd w:val="clear" w:color="auto" w:fill="B6D2E2"/>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Borders>
              <w:bottom w:val="single" w:sz="8" w:color="DEEAEB"/>
            </w:tcBorders>
            <w:shd w:val="clear" w:color="auto" w:fill="DEEAEB"/>
          </w:tcPr>
          <w:p>
            <w:pPr>
              <w:spacing w:after="0"/>
              <w:rPr>
                <w:sz w:val="23"/>
                <w:szCs w:val="23"/>
                <w:color w:val="auto"/>
              </w:rPr>
            </w:pPr>
          </w:p>
        </w:tc>
        <w:tc>
          <w:tcPr>
            <w:tcW w:w="128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153.2</w:t>
            </w:r>
          </w:p>
        </w:tc>
        <w:tc>
          <w:tcPr>
            <w:tcW w:w="100" w:type="dxa"/>
            <w:vAlign w:val="bottom"/>
            <w:tcBorders>
              <w:bottom w:val="single" w:sz="8" w:color="DEEAEB"/>
            </w:tcBorders>
            <w:shd w:val="clear" w:color="auto" w:fill="DEEAEB"/>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Borders>
              <w:bottom w:val="single" w:sz="8" w:color="DEEAEB"/>
            </w:tcBorders>
            <w:shd w:val="clear" w:color="auto" w:fill="DEEAEB"/>
          </w:tcPr>
          <w:p>
            <w:pPr>
              <w:spacing w:after="0"/>
              <w:rPr>
                <w:sz w:val="23"/>
                <w:szCs w:val="23"/>
                <w:color w:val="auto"/>
              </w:rPr>
            </w:pPr>
          </w:p>
        </w:tc>
        <w:tc>
          <w:tcPr>
            <w:tcW w:w="13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168.2</w:t>
            </w:r>
          </w:p>
        </w:tc>
        <w:tc>
          <w:tcPr>
            <w:tcW w:w="100" w:type="dxa"/>
            <w:vAlign w:val="bottom"/>
            <w:tcBorders>
              <w:bottom w:val="single" w:sz="8" w:color="DEEAEB"/>
            </w:tcBorders>
            <w:shd w:val="clear" w:color="auto" w:fill="DEEAEB"/>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596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color w:val="auto"/>
              </w:rPr>
              <w:t>Earnings from contnuing operatons</w:t>
            </w:r>
          </w:p>
        </w:tc>
        <w:tc>
          <w:tcPr>
            <w:tcW w:w="280" w:type="dxa"/>
            <w:vAlign w:val="bottom"/>
            <w:tcBorders>
              <w:top w:val="single" w:sz="8" w:color="auto"/>
            </w:tcBorders>
            <w:shd w:val="clear" w:color="auto" w:fill="B6D2E2"/>
          </w:tcPr>
          <w:p>
            <w:pPr>
              <w:spacing w:after="0"/>
              <w:rPr>
                <w:sz w:val="16"/>
                <w:szCs w:val="16"/>
                <w:color w:val="auto"/>
              </w:rPr>
            </w:pPr>
          </w:p>
        </w:tc>
        <w:tc>
          <w:tcPr>
            <w:tcW w:w="1280" w:type="dxa"/>
            <w:vAlign w:val="bottom"/>
            <w:tcBorders>
              <w:top w:val="single" w:sz="8" w:color="auto"/>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856.3</w:t>
            </w:r>
          </w:p>
        </w:tc>
        <w:tc>
          <w:tcPr>
            <w:tcW w:w="120" w:type="dxa"/>
            <w:vAlign w:val="bottom"/>
            <w:tcBorders>
              <w:top w:val="single" w:sz="8" w:color="auto"/>
            </w:tcBorders>
            <w:shd w:val="clear" w:color="auto" w:fill="B6D2E2"/>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shd w:val="clear" w:color="auto" w:fill="DEEAEB"/>
          </w:tcPr>
          <w:p>
            <w:pPr>
              <w:spacing w:after="0"/>
              <w:rPr>
                <w:sz w:val="16"/>
                <w:szCs w:val="16"/>
                <w:color w:val="auto"/>
              </w:rPr>
            </w:pPr>
          </w:p>
        </w:tc>
        <w:tc>
          <w:tcPr>
            <w:tcW w:w="128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702.3</w:t>
            </w:r>
          </w:p>
        </w:tc>
        <w:tc>
          <w:tcPr>
            <w:tcW w:w="100" w:type="dxa"/>
            <w:vAlign w:val="bottom"/>
            <w:tcBorders>
              <w:top w:val="single" w:sz="8" w:color="auto"/>
            </w:tcBorders>
            <w:shd w:val="clear" w:color="auto" w:fill="DEEAEB"/>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shd w:val="clear" w:color="auto" w:fill="DEEAEB"/>
          </w:tcPr>
          <w:p>
            <w:pPr>
              <w:spacing w:after="0"/>
              <w:rPr>
                <w:sz w:val="16"/>
                <w:szCs w:val="16"/>
                <w:color w:val="auto"/>
              </w:rPr>
            </w:pPr>
          </w:p>
        </w:tc>
        <w:tc>
          <w:tcPr>
            <w:tcW w:w="130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721.1</w:t>
            </w:r>
          </w:p>
        </w:tc>
        <w:tc>
          <w:tcPr>
            <w:tcW w:w="100" w:type="dxa"/>
            <w:vAlign w:val="bottom"/>
            <w:tcBorders>
              <w:top w:val="single" w:sz="8" w:color="auto"/>
            </w:tcBorders>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5960" w:type="dxa"/>
            <w:vAlign w:val="bottom"/>
          </w:tcPr>
          <w:p>
            <w:pPr>
              <w:ind w:left="20"/>
              <w:spacing w:after="0"/>
              <w:rPr>
                <w:sz w:val="20"/>
                <w:szCs w:val="20"/>
                <w:color w:val="auto"/>
              </w:rPr>
            </w:pPr>
            <w:r>
              <w:rPr>
                <w:rFonts w:ascii="Calibri" w:cs="Calibri" w:eastAsia="Calibri" w:hAnsi="Calibri"/>
                <w:sz w:val="16"/>
                <w:szCs w:val="16"/>
                <w:color w:val="auto"/>
              </w:rPr>
              <w:t>Earnings from discontnued operatons, net of income tax expense</w:t>
            </w:r>
          </w:p>
        </w:tc>
        <w:tc>
          <w:tcPr>
            <w:tcW w:w="280" w:type="dxa"/>
            <w:vAlign w:val="bottom"/>
            <w:tcBorders>
              <w:bottom w:val="single" w:sz="8" w:color="B6D2E2"/>
            </w:tcBorders>
            <w:shd w:val="clear" w:color="auto" w:fill="B6D2E2"/>
          </w:tcPr>
          <w:p>
            <w:pPr>
              <w:spacing w:after="0"/>
              <w:rPr>
                <w:sz w:val="23"/>
                <w:szCs w:val="23"/>
                <w:color w:val="auto"/>
              </w:rPr>
            </w:pPr>
          </w:p>
        </w:tc>
        <w:tc>
          <w:tcPr>
            <w:tcW w:w="128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rPr>
              <w:t>10.5</w:t>
            </w:r>
          </w:p>
        </w:tc>
        <w:tc>
          <w:tcPr>
            <w:tcW w:w="120" w:type="dxa"/>
            <w:vAlign w:val="bottom"/>
            <w:tcBorders>
              <w:bottom w:val="single" w:sz="8" w:color="B6D2E2"/>
            </w:tcBorders>
            <w:shd w:val="clear" w:color="auto" w:fill="B6D2E2"/>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Borders>
              <w:bottom w:val="single" w:sz="8" w:color="DEEAEB"/>
            </w:tcBorders>
            <w:shd w:val="clear" w:color="auto" w:fill="DEEAEB"/>
          </w:tcPr>
          <w:p>
            <w:pPr>
              <w:spacing w:after="0"/>
              <w:rPr>
                <w:sz w:val="23"/>
                <w:szCs w:val="23"/>
                <w:color w:val="auto"/>
              </w:rPr>
            </w:pPr>
          </w:p>
        </w:tc>
        <w:tc>
          <w:tcPr>
            <w:tcW w:w="128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0.5</w:t>
            </w:r>
          </w:p>
        </w:tc>
        <w:tc>
          <w:tcPr>
            <w:tcW w:w="100" w:type="dxa"/>
            <w:vAlign w:val="bottom"/>
            <w:tcBorders>
              <w:bottom w:val="single" w:sz="8" w:color="DEEAEB"/>
            </w:tcBorders>
            <w:shd w:val="clear" w:color="auto" w:fill="DEEAEB"/>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Borders>
              <w:bottom w:val="single" w:sz="8" w:color="DEEAEB"/>
            </w:tcBorders>
            <w:shd w:val="clear" w:color="auto" w:fill="DEEAEB"/>
          </w:tcPr>
          <w:p>
            <w:pPr>
              <w:spacing w:after="0"/>
              <w:rPr>
                <w:sz w:val="23"/>
                <w:szCs w:val="23"/>
                <w:color w:val="auto"/>
              </w:rPr>
            </w:pPr>
          </w:p>
        </w:tc>
        <w:tc>
          <w:tcPr>
            <w:tcW w:w="1400" w:type="dxa"/>
            <w:vAlign w:val="bottom"/>
            <w:tcBorders>
              <w:bottom w:val="single" w:sz="8" w:color="DEEAEB"/>
            </w:tcBorders>
            <w:gridSpan w:val="2"/>
            <w:shd w:val="clear" w:color="auto" w:fill="DEEAEB"/>
          </w:tcPr>
          <w:p>
            <w:pPr>
              <w:jc w:val="right"/>
              <w:ind w:right="39"/>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187"/>
        </w:trPr>
        <w:tc>
          <w:tcPr>
            <w:tcW w:w="596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color w:val="auto"/>
              </w:rPr>
              <w:t>Consolidated net earnings</w:t>
            </w:r>
          </w:p>
        </w:tc>
        <w:tc>
          <w:tcPr>
            <w:tcW w:w="280" w:type="dxa"/>
            <w:vAlign w:val="bottom"/>
            <w:tcBorders>
              <w:top w:val="single" w:sz="8" w:color="auto"/>
            </w:tcBorders>
            <w:shd w:val="clear" w:color="auto" w:fill="B6D2E2"/>
          </w:tcPr>
          <w:p>
            <w:pPr>
              <w:spacing w:after="0"/>
              <w:rPr>
                <w:sz w:val="16"/>
                <w:szCs w:val="16"/>
                <w:color w:val="auto"/>
              </w:rPr>
            </w:pPr>
          </w:p>
        </w:tc>
        <w:tc>
          <w:tcPr>
            <w:tcW w:w="1280" w:type="dxa"/>
            <w:vAlign w:val="bottom"/>
            <w:tcBorders>
              <w:top w:val="single" w:sz="8" w:color="auto"/>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866.8</w:t>
            </w:r>
          </w:p>
        </w:tc>
        <w:tc>
          <w:tcPr>
            <w:tcW w:w="120" w:type="dxa"/>
            <w:vAlign w:val="bottom"/>
            <w:tcBorders>
              <w:top w:val="single" w:sz="8" w:color="auto"/>
            </w:tcBorders>
            <w:shd w:val="clear" w:color="auto" w:fill="B6D2E2"/>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shd w:val="clear" w:color="auto" w:fill="DEEAEB"/>
          </w:tcPr>
          <w:p>
            <w:pPr>
              <w:spacing w:after="0"/>
              <w:rPr>
                <w:sz w:val="16"/>
                <w:szCs w:val="16"/>
                <w:color w:val="auto"/>
              </w:rPr>
            </w:pPr>
          </w:p>
        </w:tc>
        <w:tc>
          <w:tcPr>
            <w:tcW w:w="128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702.8</w:t>
            </w:r>
          </w:p>
        </w:tc>
        <w:tc>
          <w:tcPr>
            <w:tcW w:w="100" w:type="dxa"/>
            <w:vAlign w:val="bottom"/>
            <w:tcBorders>
              <w:top w:val="single" w:sz="8" w:color="auto"/>
            </w:tcBorders>
            <w:shd w:val="clear" w:color="auto" w:fill="DEEAEB"/>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shd w:val="clear" w:color="auto" w:fill="DEEAEB"/>
          </w:tcPr>
          <w:p>
            <w:pPr>
              <w:spacing w:after="0"/>
              <w:rPr>
                <w:sz w:val="16"/>
                <w:szCs w:val="16"/>
                <w:color w:val="auto"/>
              </w:rPr>
            </w:pPr>
          </w:p>
        </w:tc>
        <w:tc>
          <w:tcPr>
            <w:tcW w:w="130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721.1</w:t>
            </w:r>
          </w:p>
        </w:tc>
        <w:tc>
          <w:tcPr>
            <w:tcW w:w="100" w:type="dxa"/>
            <w:vAlign w:val="bottom"/>
            <w:tcBorders>
              <w:top w:val="single" w:sz="8" w:color="auto"/>
            </w:tcBorders>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5960" w:type="dxa"/>
            <w:vAlign w:val="bottom"/>
          </w:tcPr>
          <w:p>
            <w:pPr>
              <w:ind w:left="20"/>
              <w:spacing w:after="0"/>
              <w:rPr>
                <w:sz w:val="20"/>
                <w:szCs w:val="20"/>
                <w:color w:val="auto"/>
              </w:rPr>
            </w:pPr>
            <w:r>
              <w:rPr>
                <w:rFonts w:ascii="Calibri" w:cs="Calibri" w:eastAsia="Calibri" w:hAnsi="Calibri"/>
                <w:sz w:val="16"/>
                <w:szCs w:val="16"/>
                <w:color w:val="auto"/>
              </w:rPr>
              <w:t>Less: Net earnings atributable to noncontrolling interests</w:t>
            </w:r>
          </w:p>
        </w:tc>
        <w:tc>
          <w:tcPr>
            <w:tcW w:w="280" w:type="dxa"/>
            <w:vAlign w:val="bottom"/>
            <w:tcBorders>
              <w:bottom w:val="single" w:sz="8" w:color="B6D2E2"/>
            </w:tcBorders>
            <w:shd w:val="clear" w:color="auto" w:fill="B6D2E2"/>
          </w:tcPr>
          <w:p>
            <w:pPr>
              <w:spacing w:after="0"/>
              <w:rPr>
                <w:sz w:val="23"/>
                <w:szCs w:val="23"/>
                <w:color w:val="auto"/>
              </w:rPr>
            </w:pPr>
          </w:p>
        </w:tc>
        <w:tc>
          <w:tcPr>
            <w:tcW w:w="1400" w:type="dxa"/>
            <w:vAlign w:val="bottom"/>
            <w:tcBorders>
              <w:bottom w:val="single" w:sz="8" w:color="B6D2E2"/>
            </w:tcBorders>
            <w:gridSpan w:val="2"/>
            <w:shd w:val="clear" w:color="auto" w:fill="B6D2E2"/>
          </w:tcPr>
          <w:p>
            <w:pPr>
              <w:jc w:val="right"/>
              <w:ind w:right="39"/>
              <w:spacing w:after="0"/>
              <w:rPr>
                <w:sz w:val="20"/>
                <w:szCs w:val="20"/>
                <w:color w:val="auto"/>
              </w:rPr>
            </w:pPr>
            <w:r>
              <w:rPr>
                <w:rFonts w:ascii="Calibri" w:cs="Calibri" w:eastAsia="Calibri" w:hAnsi="Calibri"/>
                <w:sz w:val="16"/>
                <w:szCs w:val="16"/>
                <w:b w:val="1"/>
                <w:bCs w:val="1"/>
                <w:color w:val="auto"/>
              </w:rPr>
              <w:t>—</w:t>
            </w:r>
          </w:p>
        </w:tc>
        <w:tc>
          <w:tcPr>
            <w:tcW w:w="180" w:type="dxa"/>
            <w:vAlign w:val="bottom"/>
          </w:tcPr>
          <w:p>
            <w:pPr>
              <w:spacing w:after="0"/>
              <w:rPr>
                <w:sz w:val="23"/>
                <w:szCs w:val="23"/>
                <w:color w:val="auto"/>
              </w:rPr>
            </w:pPr>
          </w:p>
        </w:tc>
        <w:tc>
          <w:tcPr>
            <w:tcW w:w="240" w:type="dxa"/>
            <w:vAlign w:val="bottom"/>
            <w:tcBorders>
              <w:bottom w:val="single" w:sz="8" w:color="DEEAEB"/>
            </w:tcBorders>
            <w:shd w:val="clear" w:color="auto" w:fill="DEEAEB"/>
          </w:tcPr>
          <w:p>
            <w:pPr>
              <w:spacing w:after="0"/>
              <w:rPr>
                <w:sz w:val="23"/>
                <w:szCs w:val="23"/>
                <w:color w:val="auto"/>
              </w:rPr>
            </w:pPr>
          </w:p>
        </w:tc>
        <w:tc>
          <w:tcPr>
            <w:tcW w:w="128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0.3</w:t>
            </w:r>
          </w:p>
        </w:tc>
        <w:tc>
          <w:tcPr>
            <w:tcW w:w="100" w:type="dxa"/>
            <w:vAlign w:val="bottom"/>
            <w:tcBorders>
              <w:bottom w:val="single" w:sz="8" w:color="DEEAEB"/>
            </w:tcBorders>
            <w:shd w:val="clear" w:color="auto" w:fill="DEEAEB"/>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Borders>
              <w:bottom w:val="single" w:sz="8" w:color="DEEAEB"/>
            </w:tcBorders>
            <w:shd w:val="clear" w:color="auto" w:fill="DEEAEB"/>
          </w:tcPr>
          <w:p>
            <w:pPr>
              <w:spacing w:after="0"/>
              <w:rPr>
                <w:sz w:val="23"/>
                <w:szCs w:val="23"/>
                <w:color w:val="auto"/>
              </w:rPr>
            </w:pPr>
          </w:p>
        </w:tc>
        <w:tc>
          <w:tcPr>
            <w:tcW w:w="13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0.1</w:t>
            </w:r>
          </w:p>
        </w:tc>
        <w:tc>
          <w:tcPr>
            <w:tcW w:w="100" w:type="dxa"/>
            <w:vAlign w:val="bottom"/>
            <w:tcBorders>
              <w:bottom w:val="single" w:sz="8" w:color="DEEAEB"/>
            </w:tcBorders>
            <w:shd w:val="clear" w:color="auto" w:fill="DEEAEB"/>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96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Net Earnings Atributable to Martn Marieta</w:t>
            </w:r>
          </w:p>
        </w:tc>
        <w:tc>
          <w:tcPr>
            <w:tcW w:w="28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w:t>
            </w:r>
          </w:p>
        </w:tc>
        <w:tc>
          <w:tcPr>
            <w:tcW w:w="128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866.8</w:t>
            </w:r>
          </w:p>
        </w:tc>
        <w:tc>
          <w:tcPr>
            <w:tcW w:w="120" w:type="dxa"/>
            <w:vAlign w:val="bottom"/>
            <w:tcBorders>
              <w:top w:val="single" w:sz="8" w:color="auto"/>
              <w:bottom w:val="single" w:sz="8" w:color="B6D2E2"/>
            </w:tcBorders>
            <w:shd w:val="clear" w:color="auto" w:fill="B6D2E2"/>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w:t>
            </w:r>
          </w:p>
        </w:tc>
        <w:tc>
          <w:tcPr>
            <w:tcW w:w="128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702.5</w:t>
            </w:r>
          </w:p>
        </w:tc>
        <w:tc>
          <w:tcPr>
            <w:tcW w:w="100" w:type="dxa"/>
            <w:vAlign w:val="bottom"/>
            <w:tcBorders>
              <w:top w:val="single" w:sz="8" w:color="auto"/>
              <w:bottom w:val="single" w:sz="8" w:color="DEEAEB"/>
            </w:tcBorders>
            <w:shd w:val="clear" w:color="auto" w:fill="DEEAEB"/>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w:t>
            </w:r>
          </w:p>
        </w:tc>
        <w:tc>
          <w:tcPr>
            <w:tcW w:w="130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721.0</w:t>
            </w:r>
          </w:p>
        </w:tc>
        <w:tc>
          <w:tcPr>
            <w:tcW w:w="100" w:type="dxa"/>
            <w:vAlign w:val="bottom"/>
            <w:tcBorders>
              <w:top w:val="single" w:sz="8" w:color="auto"/>
              <w:bottom w:val="single" w:sz="8" w:color="DEEAEB"/>
            </w:tcBorders>
            <w:shd w:val="clear" w:color="auto" w:fill="DEEAEB"/>
          </w:tcPr>
          <w:p>
            <w:pPr>
              <w:spacing w:after="0"/>
              <w:rPr>
                <w:sz w:val="22"/>
                <w:szCs w:val="22"/>
                <w:color w:val="auto"/>
              </w:rPr>
            </w:pPr>
          </w:p>
        </w:tc>
        <w:tc>
          <w:tcPr>
            <w:tcW w:w="0" w:type="dxa"/>
            <w:vAlign w:val="bottom"/>
          </w:tcPr>
          <w:p>
            <w:pPr>
              <w:spacing w:after="0"/>
              <w:rPr>
                <w:sz w:val="1"/>
                <w:szCs w:val="1"/>
                <w:color w:val="auto"/>
              </w:rPr>
            </w:pPr>
          </w:p>
        </w:tc>
      </w:tr>
      <w:tr>
        <w:trPr>
          <w:trHeight w:val="398"/>
        </w:trPr>
        <w:tc>
          <w:tcPr>
            <w:tcW w:w="5960" w:type="dxa"/>
            <w:vAlign w:val="bottom"/>
            <w:tcBorders>
              <w:top w:val="single" w:sz="8" w:color="auto"/>
            </w:tcBorders>
          </w:tcPr>
          <w:p>
            <w:pPr>
              <w:ind w:left="20"/>
              <w:spacing w:after="0"/>
              <w:rPr>
                <w:sz w:val="20"/>
                <w:szCs w:val="20"/>
                <w:color w:val="auto"/>
              </w:rPr>
            </w:pPr>
            <w:r>
              <w:rPr>
                <w:rFonts w:ascii="Calibri" w:cs="Calibri" w:eastAsia="Calibri" w:hAnsi="Calibri"/>
                <w:sz w:val="16"/>
                <w:szCs w:val="16"/>
                <w:b w:val="1"/>
                <w:bCs w:val="1"/>
                <w:color w:val="auto"/>
              </w:rPr>
              <w:t>Net Earnings Atributable to Martn Marieta Per Common Share</w:t>
            </w:r>
          </w:p>
        </w:tc>
        <w:tc>
          <w:tcPr>
            <w:tcW w:w="280" w:type="dxa"/>
            <w:vAlign w:val="bottom"/>
            <w:tcBorders>
              <w:top w:val="single" w:sz="8" w:color="auto"/>
            </w:tcBorders>
            <w:shd w:val="clear" w:color="auto" w:fill="B6D2E2"/>
          </w:tcPr>
          <w:p>
            <w:pPr>
              <w:spacing w:after="0"/>
              <w:rPr>
                <w:sz w:val="24"/>
                <w:szCs w:val="24"/>
                <w:color w:val="auto"/>
              </w:rPr>
            </w:pPr>
          </w:p>
        </w:tc>
        <w:tc>
          <w:tcPr>
            <w:tcW w:w="1280" w:type="dxa"/>
            <w:vAlign w:val="bottom"/>
            <w:tcBorders>
              <w:top w:val="single" w:sz="8" w:color="auto"/>
            </w:tcBorders>
            <w:shd w:val="clear" w:color="auto" w:fill="B6D2E2"/>
          </w:tcPr>
          <w:p>
            <w:pPr>
              <w:spacing w:after="0"/>
              <w:rPr>
                <w:sz w:val="24"/>
                <w:szCs w:val="24"/>
                <w:color w:val="auto"/>
              </w:rPr>
            </w:pPr>
          </w:p>
        </w:tc>
        <w:tc>
          <w:tcPr>
            <w:tcW w:w="120" w:type="dxa"/>
            <w:vAlign w:val="bottom"/>
            <w:tcBorders>
              <w:top w:val="single" w:sz="8" w:color="auto"/>
            </w:tcBorders>
            <w:shd w:val="clear" w:color="auto" w:fill="B6D2E2"/>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shd w:val="clear" w:color="auto" w:fill="DEEAEB"/>
          </w:tcPr>
          <w:p>
            <w:pPr>
              <w:spacing w:after="0"/>
              <w:rPr>
                <w:sz w:val="24"/>
                <w:szCs w:val="24"/>
                <w:color w:val="auto"/>
              </w:rPr>
            </w:pPr>
          </w:p>
        </w:tc>
        <w:tc>
          <w:tcPr>
            <w:tcW w:w="1280" w:type="dxa"/>
            <w:vAlign w:val="bottom"/>
            <w:tcBorders>
              <w:top w:val="single" w:sz="8" w:color="auto"/>
            </w:tcBorders>
            <w:shd w:val="clear" w:color="auto" w:fill="DEEAEB"/>
          </w:tcPr>
          <w:p>
            <w:pPr>
              <w:spacing w:after="0"/>
              <w:rPr>
                <w:sz w:val="24"/>
                <w:szCs w:val="24"/>
                <w:color w:val="auto"/>
              </w:rPr>
            </w:pPr>
          </w:p>
        </w:tc>
        <w:tc>
          <w:tcPr>
            <w:tcW w:w="100" w:type="dxa"/>
            <w:vAlign w:val="bottom"/>
            <w:tcBorders>
              <w:top w:val="single" w:sz="8" w:color="auto"/>
            </w:tcBorders>
            <w:shd w:val="clear" w:color="auto" w:fill="DEEAEB"/>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shd w:val="clear" w:color="auto" w:fill="DEEAEB"/>
          </w:tcPr>
          <w:p>
            <w:pPr>
              <w:spacing w:after="0"/>
              <w:rPr>
                <w:sz w:val="24"/>
                <w:szCs w:val="24"/>
                <w:color w:val="auto"/>
              </w:rPr>
            </w:pPr>
          </w:p>
        </w:tc>
        <w:tc>
          <w:tcPr>
            <w:tcW w:w="1300" w:type="dxa"/>
            <w:vAlign w:val="bottom"/>
            <w:tcBorders>
              <w:top w:val="single" w:sz="8" w:color="auto"/>
            </w:tcBorders>
            <w:shd w:val="clear" w:color="auto" w:fill="DEEAEB"/>
          </w:tcPr>
          <w:p>
            <w:pPr>
              <w:spacing w:after="0"/>
              <w:rPr>
                <w:sz w:val="24"/>
                <w:szCs w:val="24"/>
                <w:color w:val="auto"/>
              </w:rPr>
            </w:pPr>
          </w:p>
        </w:tc>
        <w:tc>
          <w:tcPr>
            <w:tcW w:w="100" w:type="dxa"/>
            <w:vAlign w:val="bottom"/>
            <w:tcBorders>
              <w:top w:val="single" w:sz="8" w:color="auto"/>
            </w:tcBorders>
            <w:shd w:val="clear" w:color="auto" w:fill="DEEAEB"/>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140"/>
              <w:spacing w:after="0"/>
              <w:rPr>
                <w:sz w:val="20"/>
                <w:szCs w:val="20"/>
                <w:color w:val="auto"/>
              </w:rPr>
            </w:pPr>
            <w:r>
              <w:rPr>
                <w:rFonts w:ascii="Calibri" w:cs="Calibri" w:eastAsia="Calibri" w:hAnsi="Calibri"/>
                <w:sz w:val="16"/>
                <w:szCs w:val="16"/>
                <w:b w:val="1"/>
                <w:bCs w:val="1"/>
                <w:color w:val="auto"/>
              </w:rPr>
              <w:t>(see Note A)</w:t>
            </w:r>
          </w:p>
        </w:tc>
        <w:tc>
          <w:tcPr>
            <w:tcW w:w="280" w:type="dxa"/>
            <w:vAlign w:val="bottom"/>
            <w:shd w:val="clear" w:color="auto" w:fill="B6D2E2"/>
          </w:tcPr>
          <w:p>
            <w:pPr>
              <w:spacing w:after="0"/>
              <w:rPr>
                <w:sz w:val="17"/>
                <w:szCs w:val="17"/>
                <w:color w:val="auto"/>
              </w:rPr>
            </w:pPr>
          </w:p>
        </w:tc>
        <w:tc>
          <w:tcPr>
            <w:tcW w:w="1280" w:type="dxa"/>
            <w:vAlign w:val="bottom"/>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shd w:val="clear" w:color="auto" w:fill="DEEAEB"/>
          </w:tcPr>
          <w:p>
            <w:pPr>
              <w:spacing w:after="0"/>
              <w:rPr>
                <w:sz w:val="17"/>
                <w:szCs w:val="17"/>
                <w:color w:val="auto"/>
              </w:rPr>
            </w:pPr>
          </w:p>
        </w:tc>
        <w:tc>
          <w:tcPr>
            <w:tcW w:w="128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shd w:val="clear" w:color="auto" w:fill="DEEAEB"/>
          </w:tcPr>
          <w:p>
            <w:pPr>
              <w:spacing w:after="0"/>
              <w:rPr>
                <w:sz w:val="17"/>
                <w:szCs w:val="17"/>
                <w:color w:val="auto"/>
              </w:rPr>
            </w:pPr>
          </w:p>
        </w:tc>
        <w:tc>
          <w:tcPr>
            <w:tcW w:w="130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00"/>
              <w:spacing w:after="0"/>
              <w:rPr>
                <w:sz w:val="20"/>
                <w:szCs w:val="20"/>
                <w:color w:val="auto"/>
              </w:rPr>
            </w:pPr>
            <w:r>
              <w:rPr>
                <w:rFonts w:ascii="Calibri" w:cs="Calibri" w:eastAsia="Calibri" w:hAnsi="Calibri"/>
                <w:sz w:val="16"/>
                <w:szCs w:val="16"/>
                <w:color w:val="auto"/>
              </w:rPr>
              <w:t>Basic from contnuing operatons atributable to</w:t>
            </w:r>
          </w:p>
        </w:tc>
        <w:tc>
          <w:tcPr>
            <w:tcW w:w="280" w:type="dxa"/>
            <w:vAlign w:val="bottom"/>
            <w:shd w:val="clear" w:color="auto" w:fill="B6D2E2"/>
          </w:tcPr>
          <w:p>
            <w:pPr>
              <w:spacing w:after="0"/>
              <w:rPr>
                <w:sz w:val="19"/>
                <w:szCs w:val="19"/>
                <w:color w:val="auto"/>
              </w:rPr>
            </w:pPr>
          </w:p>
        </w:tc>
        <w:tc>
          <w:tcPr>
            <w:tcW w:w="1280" w:type="dxa"/>
            <w:vAlign w:val="bottom"/>
            <w:shd w:val="clear" w:color="auto" w:fill="B6D2E2"/>
          </w:tcPr>
          <w:p>
            <w:pPr>
              <w:spacing w:after="0"/>
              <w:rPr>
                <w:sz w:val="19"/>
                <w:szCs w:val="19"/>
                <w:color w:val="auto"/>
              </w:rPr>
            </w:pP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280" w:type="dxa"/>
            <w:vAlign w:val="bottom"/>
            <w:shd w:val="clear" w:color="auto" w:fill="DEEAEB"/>
          </w:tcPr>
          <w:p>
            <w:pPr>
              <w:spacing w:after="0"/>
              <w:rPr>
                <w:sz w:val="19"/>
                <w:szCs w:val="19"/>
                <w:color w:val="auto"/>
              </w:rPr>
            </w:pPr>
          </w:p>
        </w:tc>
        <w:tc>
          <w:tcPr>
            <w:tcW w:w="100" w:type="dxa"/>
            <w:vAlign w:val="bottom"/>
            <w:shd w:val="clear" w:color="auto" w:fill="DEEAEB"/>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300" w:type="dxa"/>
            <w:vAlign w:val="bottom"/>
            <w:shd w:val="clear" w:color="auto" w:fill="DEEAEB"/>
          </w:tcPr>
          <w:p>
            <w:pPr>
              <w:spacing w:after="0"/>
              <w:rPr>
                <w:sz w:val="19"/>
                <w:szCs w:val="19"/>
                <w:color w:val="auto"/>
              </w:rPr>
            </w:pPr>
          </w:p>
        </w:tc>
        <w:tc>
          <w:tcPr>
            <w:tcW w:w="100" w:type="dxa"/>
            <w:vAlign w:val="bottom"/>
            <w:shd w:val="clear" w:color="auto" w:fill="DEEAEB"/>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320"/>
              <w:spacing w:after="0"/>
              <w:rPr>
                <w:sz w:val="20"/>
                <w:szCs w:val="20"/>
                <w:color w:val="auto"/>
              </w:rPr>
            </w:pPr>
            <w:r>
              <w:rPr>
                <w:rFonts w:ascii="Calibri" w:cs="Calibri" w:eastAsia="Calibri" w:hAnsi="Calibri"/>
                <w:sz w:val="16"/>
                <w:szCs w:val="16"/>
                <w:color w:val="auto"/>
              </w:rPr>
              <w:t>common shareholders</w:t>
            </w:r>
          </w:p>
        </w:tc>
        <w:tc>
          <w:tcPr>
            <w:tcW w:w="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w:t>
            </w: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13.74</w:t>
            </w:r>
          </w:p>
        </w:tc>
        <w:tc>
          <w:tcPr>
            <w:tcW w:w="120" w:type="dxa"/>
            <w:vAlign w:val="bottom"/>
            <w:shd w:val="clear" w:color="auto" w:fill="B6D2E2"/>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11.25</w:t>
            </w:r>
          </w:p>
        </w:tc>
        <w:tc>
          <w:tcPr>
            <w:tcW w:w="100" w:type="dxa"/>
            <w:vAlign w:val="bottom"/>
            <w:shd w:val="clear" w:color="auto" w:fill="DEEAEB"/>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3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11.56</w:t>
            </w:r>
          </w:p>
        </w:tc>
        <w:tc>
          <w:tcPr>
            <w:tcW w:w="100" w:type="dxa"/>
            <w:vAlign w:val="bottom"/>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00"/>
              <w:spacing w:after="0"/>
              <w:rPr>
                <w:sz w:val="20"/>
                <w:szCs w:val="20"/>
                <w:color w:val="auto"/>
              </w:rPr>
            </w:pPr>
            <w:r>
              <w:rPr>
                <w:rFonts w:ascii="Calibri" w:cs="Calibri" w:eastAsia="Calibri" w:hAnsi="Calibri"/>
                <w:sz w:val="16"/>
                <w:szCs w:val="16"/>
                <w:color w:val="auto"/>
              </w:rPr>
              <w:t>Basic from discontnued operatons atributable to</w:t>
            </w:r>
          </w:p>
        </w:tc>
        <w:tc>
          <w:tcPr>
            <w:tcW w:w="280" w:type="dxa"/>
            <w:vAlign w:val="bottom"/>
            <w:shd w:val="clear" w:color="auto" w:fill="B6D2E2"/>
          </w:tcPr>
          <w:p>
            <w:pPr>
              <w:spacing w:after="0"/>
              <w:rPr>
                <w:sz w:val="19"/>
                <w:szCs w:val="19"/>
                <w:color w:val="auto"/>
              </w:rPr>
            </w:pPr>
          </w:p>
        </w:tc>
        <w:tc>
          <w:tcPr>
            <w:tcW w:w="1280" w:type="dxa"/>
            <w:vAlign w:val="bottom"/>
            <w:vMerge w:val="restart"/>
            <w:shd w:val="clear" w:color="auto" w:fill="B6D2E2"/>
          </w:tcPr>
          <w:p>
            <w:pPr>
              <w:jc w:val="right"/>
              <w:spacing w:after="0"/>
              <w:rPr>
                <w:sz w:val="20"/>
                <w:szCs w:val="20"/>
                <w:color w:val="auto"/>
              </w:rPr>
            </w:pPr>
            <w:r>
              <w:rPr>
                <w:rFonts w:ascii="Calibri" w:cs="Calibri" w:eastAsia="Calibri" w:hAnsi="Calibri"/>
                <w:sz w:val="16"/>
                <w:szCs w:val="16"/>
                <w:b w:val="1"/>
                <w:bCs w:val="1"/>
                <w:color w:val="auto"/>
              </w:rPr>
              <w:t>0.17</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280" w:type="dxa"/>
            <w:vAlign w:val="bottom"/>
            <w:vMerge w:val="restart"/>
            <w:shd w:val="clear" w:color="auto" w:fill="DEEAEB"/>
          </w:tcPr>
          <w:p>
            <w:pPr>
              <w:jc w:val="right"/>
              <w:spacing w:after="0"/>
              <w:rPr>
                <w:sz w:val="20"/>
                <w:szCs w:val="20"/>
                <w:color w:val="auto"/>
              </w:rPr>
            </w:pPr>
            <w:r>
              <w:rPr>
                <w:rFonts w:ascii="Calibri" w:cs="Calibri" w:eastAsia="Calibri" w:hAnsi="Calibri"/>
                <w:sz w:val="16"/>
                <w:szCs w:val="16"/>
                <w:color w:val="auto"/>
              </w:rPr>
              <w:t>0.01</w:t>
            </w:r>
          </w:p>
        </w:tc>
        <w:tc>
          <w:tcPr>
            <w:tcW w:w="100" w:type="dxa"/>
            <w:vAlign w:val="bottom"/>
            <w:shd w:val="clear" w:color="auto" w:fill="DEEAEB"/>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400" w:type="dxa"/>
            <w:vAlign w:val="bottom"/>
            <w:gridSpan w:val="2"/>
            <w:vMerge w:val="restart"/>
            <w:shd w:val="clear" w:color="auto" w:fill="DEEAEB"/>
          </w:tcPr>
          <w:p>
            <w:pPr>
              <w:jc w:val="right"/>
              <w:ind w:right="39"/>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30"/>
        </w:trPr>
        <w:tc>
          <w:tcPr>
            <w:tcW w:w="5960" w:type="dxa"/>
            <w:vAlign w:val="bottom"/>
          </w:tcPr>
          <w:p>
            <w:pPr>
              <w:ind w:left="320"/>
              <w:spacing w:after="0"/>
              <w:rPr>
                <w:sz w:val="20"/>
                <w:szCs w:val="20"/>
                <w:color w:val="auto"/>
              </w:rPr>
            </w:pPr>
            <w:r>
              <w:rPr>
                <w:rFonts w:ascii="Calibri" w:cs="Calibri" w:eastAsia="Calibri" w:hAnsi="Calibri"/>
                <w:sz w:val="16"/>
                <w:szCs w:val="16"/>
                <w:color w:val="auto"/>
              </w:rPr>
              <w:t>common shareholders</w:t>
            </w:r>
          </w:p>
        </w:tc>
        <w:tc>
          <w:tcPr>
            <w:tcW w:w="280" w:type="dxa"/>
            <w:vAlign w:val="bottom"/>
            <w:tcBorders>
              <w:bottom w:val="single" w:sz="8" w:color="B6D2E2"/>
            </w:tcBorders>
            <w:shd w:val="clear" w:color="auto" w:fill="B6D2E2"/>
          </w:tcPr>
          <w:p>
            <w:pPr>
              <w:spacing w:after="0"/>
              <w:rPr>
                <w:sz w:val="20"/>
                <w:szCs w:val="20"/>
                <w:color w:val="auto"/>
              </w:rPr>
            </w:pPr>
          </w:p>
        </w:tc>
        <w:tc>
          <w:tcPr>
            <w:tcW w:w="1280" w:type="dxa"/>
            <w:vAlign w:val="bottom"/>
            <w:tcBorders>
              <w:bottom w:val="single" w:sz="8" w:color="B6D2E2"/>
            </w:tcBorders>
            <w:vMerge w:val="continue"/>
            <w:shd w:val="clear" w:color="auto" w:fill="B6D2E2"/>
          </w:tcPr>
          <w:p>
            <w:pPr>
              <w:spacing w:after="0"/>
              <w:rPr>
                <w:sz w:val="20"/>
                <w:szCs w:val="20"/>
                <w:color w:val="auto"/>
              </w:rPr>
            </w:pPr>
          </w:p>
        </w:tc>
        <w:tc>
          <w:tcPr>
            <w:tcW w:w="120" w:type="dxa"/>
            <w:vAlign w:val="bottom"/>
            <w:tcBorders>
              <w:bottom w:val="single" w:sz="8" w:color="B6D2E2"/>
            </w:tcBorders>
            <w:shd w:val="clear" w:color="auto" w:fill="B6D2E2"/>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DEEAEB"/>
            </w:tcBorders>
            <w:shd w:val="clear" w:color="auto" w:fill="DEEAEB"/>
          </w:tcPr>
          <w:p>
            <w:pPr>
              <w:spacing w:after="0"/>
              <w:rPr>
                <w:sz w:val="20"/>
                <w:szCs w:val="20"/>
                <w:color w:val="auto"/>
              </w:rPr>
            </w:pPr>
          </w:p>
        </w:tc>
        <w:tc>
          <w:tcPr>
            <w:tcW w:w="1280" w:type="dxa"/>
            <w:vAlign w:val="bottom"/>
            <w:tcBorders>
              <w:bottom w:val="single" w:sz="8" w:color="DEEAEB"/>
            </w:tcBorders>
            <w:vMerge w:val="continue"/>
            <w:shd w:val="clear" w:color="auto" w:fill="DEEAEB"/>
          </w:tcPr>
          <w:p>
            <w:pPr>
              <w:spacing w:after="0"/>
              <w:rPr>
                <w:sz w:val="20"/>
                <w:szCs w:val="20"/>
                <w:color w:val="auto"/>
              </w:rPr>
            </w:pPr>
          </w:p>
        </w:tc>
        <w:tc>
          <w:tcPr>
            <w:tcW w:w="100" w:type="dxa"/>
            <w:vAlign w:val="bottom"/>
            <w:tcBorders>
              <w:bottom w:val="single" w:sz="8" w:color="DEEAEB"/>
            </w:tcBorders>
            <w:shd w:val="clear" w:color="auto" w:fill="DEEAEB"/>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DEEAEB"/>
            </w:tcBorders>
            <w:shd w:val="clear" w:color="auto" w:fill="DEEAEB"/>
          </w:tcPr>
          <w:p>
            <w:pPr>
              <w:spacing w:after="0"/>
              <w:rPr>
                <w:sz w:val="20"/>
                <w:szCs w:val="20"/>
                <w:color w:val="auto"/>
              </w:rPr>
            </w:pPr>
          </w:p>
        </w:tc>
        <w:tc>
          <w:tcPr>
            <w:tcW w:w="1400" w:type="dxa"/>
            <w:vAlign w:val="bottom"/>
            <w:tcBorders>
              <w:bottom w:val="single" w:sz="8" w:color="DEEAEB"/>
            </w:tcBorders>
            <w:gridSpan w:val="2"/>
            <w:vMerge w:val="continue"/>
            <w:shd w:val="clear" w:color="auto" w:fill="DEEAEB"/>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960" w:type="dxa"/>
            <w:vAlign w:val="bottom"/>
          </w:tcPr>
          <w:p>
            <w:pPr>
              <w:spacing w:after="0"/>
              <w:rPr>
                <w:sz w:val="22"/>
                <w:szCs w:val="22"/>
                <w:color w:val="auto"/>
              </w:rPr>
            </w:pPr>
          </w:p>
        </w:tc>
        <w:tc>
          <w:tcPr>
            <w:tcW w:w="28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w:t>
            </w:r>
          </w:p>
        </w:tc>
        <w:tc>
          <w:tcPr>
            <w:tcW w:w="128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13.91</w:t>
            </w:r>
          </w:p>
        </w:tc>
        <w:tc>
          <w:tcPr>
            <w:tcW w:w="120" w:type="dxa"/>
            <w:vAlign w:val="bottom"/>
            <w:tcBorders>
              <w:top w:val="single" w:sz="8" w:color="auto"/>
              <w:bottom w:val="single" w:sz="8" w:color="B6D2E2"/>
            </w:tcBorders>
            <w:shd w:val="clear" w:color="auto" w:fill="B6D2E2"/>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w:t>
            </w:r>
          </w:p>
        </w:tc>
        <w:tc>
          <w:tcPr>
            <w:tcW w:w="128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11.26</w:t>
            </w:r>
          </w:p>
        </w:tc>
        <w:tc>
          <w:tcPr>
            <w:tcW w:w="100" w:type="dxa"/>
            <w:vAlign w:val="bottom"/>
            <w:tcBorders>
              <w:top w:val="single" w:sz="8" w:color="auto"/>
              <w:bottom w:val="single" w:sz="8" w:color="DEEAEB"/>
            </w:tcBorders>
            <w:shd w:val="clear" w:color="auto" w:fill="DEEAEB"/>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w:t>
            </w:r>
          </w:p>
        </w:tc>
        <w:tc>
          <w:tcPr>
            <w:tcW w:w="130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11.56</w:t>
            </w:r>
          </w:p>
        </w:tc>
        <w:tc>
          <w:tcPr>
            <w:tcW w:w="100" w:type="dxa"/>
            <w:vAlign w:val="bottom"/>
            <w:tcBorders>
              <w:top w:val="single" w:sz="8" w:color="auto"/>
              <w:bottom w:val="single" w:sz="8" w:color="DEEAEB"/>
            </w:tcBorders>
            <w:shd w:val="clear" w:color="auto" w:fill="DEEAEB"/>
          </w:tcPr>
          <w:p>
            <w:pPr>
              <w:spacing w:after="0"/>
              <w:rPr>
                <w:sz w:val="22"/>
                <w:szCs w:val="22"/>
                <w:color w:val="auto"/>
              </w:rPr>
            </w:pPr>
          </w:p>
        </w:tc>
        <w:tc>
          <w:tcPr>
            <w:tcW w:w="0" w:type="dxa"/>
            <w:vAlign w:val="bottom"/>
          </w:tcPr>
          <w:p>
            <w:pPr>
              <w:spacing w:after="0"/>
              <w:rPr>
                <w:sz w:val="1"/>
                <w:szCs w:val="1"/>
                <w:color w:val="auto"/>
              </w:rPr>
            </w:pPr>
          </w:p>
        </w:tc>
      </w:tr>
      <w:tr>
        <w:trPr>
          <w:trHeight w:val="398"/>
        </w:trPr>
        <w:tc>
          <w:tcPr>
            <w:tcW w:w="5960" w:type="dxa"/>
            <w:vAlign w:val="bottom"/>
          </w:tcPr>
          <w:p>
            <w:pPr>
              <w:ind w:left="200"/>
              <w:spacing w:after="0"/>
              <w:rPr>
                <w:sz w:val="20"/>
                <w:szCs w:val="20"/>
                <w:color w:val="auto"/>
              </w:rPr>
            </w:pPr>
            <w:r>
              <w:rPr>
                <w:rFonts w:ascii="Calibri" w:cs="Calibri" w:eastAsia="Calibri" w:hAnsi="Calibri"/>
                <w:sz w:val="16"/>
                <w:szCs w:val="16"/>
                <w:color w:val="auto"/>
              </w:rPr>
              <w:t>Diluted from contnuing operatons atributable to</w:t>
            </w:r>
          </w:p>
        </w:tc>
        <w:tc>
          <w:tcPr>
            <w:tcW w:w="280" w:type="dxa"/>
            <w:vAlign w:val="bottom"/>
            <w:tcBorders>
              <w:top w:val="single" w:sz="8" w:color="auto"/>
            </w:tcBorders>
            <w:shd w:val="clear" w:color="auto" w:fill="B6D2E2"/>
          </w:tcPr>
          <w:p>
            <w:pPr>
              <w:spacing w:after="0"/>
              <w:rPr>
                <w:sz w:val="24"/>
                <w:szCs w:val="24"/>
                <w:color w:val="auto"/>
              </w:rPr>
            </w:pPr>
          </w:p>
        </w:tc>
        <w:tc>
          <w:tcPr>
            <w:tcW w:w="1280" w:type="dxa"/>
            <w:vAlign w:val="bottom"/>
            <w:tcBorders>
              <w:top w:val="single" w:sz="8" w:color="auto"/>
            </w:tcBorders>
            <w:shd w:val="clear" w:color="auto" w:fill="B6D2E2"/>
          </w:tcPr>
          <w:p>
            <w:pPr>
              <w:spacing w:after="0"/>
              <w:rPr>
                <w:sz w:val="24"/>
                <w:szCs w:val="24"/>
                <w:color w:val="auto"/>
              </w:rPr>
            </w:pPr>
          </w:p>
        </w:tc>
        <w:tc>
          <w:tcPr>
            <w:tcW w:w="120" w:type="dxa"/>
            <w:vAlign w:val="bottom"/>
            <w:tcBorders>
              <w:top w:val="single" w:sz="8" w:color="auto"/>
            </w:tcBorders>
            <w:shd w:val="clear" w:color="auto" w:fill="B6D2E2"/>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shd w:val="clear" w:color="auto" w:fill="DEEAEB"/>
          </w:tcPr>
          <w:p>
            <w:pPr>
              <w:spacing w:after="0"/>
              <w:rPr>
                <w:sz w:val="24"/>
                <w:szCs w:val="24"/>
                <w:color w:val="auto"/>
              </w:rPr>
            </w:pPr>
          </w:p>
        </w:tc>
        <w:tc>
          <w:tcPr>
            <w:tcW w:w="1280" w:type="dxa"/>
            <w:vAlign w:val="bottom"/>
            <w:tcBorders>
              <w:top w:val="single" w:sz="8" w:color="auto"/>
            </w:tcBorders>
            <w:shd w:val="clear" w:color="auto" w:fill="DEEAEB"/>
          </w:tcPr>
          <w:p>
            <w:pPr>
              <w:spacing w:after="0"/>
              <w:rPr>
                <w:sz w:val="24"/>
                <w:szCs w:val="24"/>
                <w:color w:val="auto"/>
              </w:rPr>
            </w:pPr>
          </w:p>
        </w:tc>
        <w:tc>
          <w:tcPr>
            <w:tcW w:w="100" w:type="dxa"/>
            <w:vAlign w:val="bottom"/>
            <w:tcBorders>
              <w:top w:val="single" w:sz="8" w:color="auto"/>
            </w:tcBorders>
            <w:shd w:val="clear" w:color="auto" w:fill="DEEAEB"/>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shd w:val="clear" w:color="auto" w:fill="DEEAEB"/>
          </w:tcPr>
          <w:p>
            <w:pPr>
              <w:spacing w:after="0"/>
              <w:rPr>
                <w:sz w:val="24"/>
                <w:szCs w:val="24"/>
                <w:color w:val="auto"/>
              </w:rPr>
            </w:pPr>
          </w:p>
        </w:tc>
        <w:tc>
          <w:tcPr>
            <w:tcW w:w="1300" w:type="dxa"/>
            <w:vAlign w:val="bottom"/>
            <w:tcBorders>
              <w:top w:val="single" w:sz="8" w:color="auto"/>
            </w:tcBorders>
            <w:shd w:val="clear" w:color="auto" w:fill="DEEAEB"/>
          </w:tcPr>
          <w:p>
            <w:pPr>
              <w:spacing w:after="0"/>
              <w:rPr>
                <w:sz w:val="24"/>
                <w:szCs w:val="24"/>
                <w:color w:val="auto"/>
              </w:rPr>
            </w:pPr>
          </w:p>
        </w:tc>
        <w:tc>
          <w:tcPr>
            <w:tcW w:w="100" w:type="dxa"/>
            <w:vAlign w:val="bottom"/>
            <w:tcBorders>
              <w:top w:val="single" w:sz="8" w:color="auto"/>
            </w:tcBorders>
            <w:shd w:val="clear" w:color="auto" w:fill="DEEAEB"/>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320"/>
              <w:spacing w:after="0"/>
              <w:rPr>
                <w:sz w:val="20"/>
                <w:szCs w:val="20"/>
                <w:color w:val="auto"/>
              </w:rPr>
            </w:pPr>
            <w:r>
              <w:rPr>
                <w:rFonts w:ascii="Calibri" w:cs="Calibri" w:eastAsia="Calibri" w:hAnsi="Calibri"/>
                <w:sz w:val="16"/>
                <w:szCs w:val="16"/>
                <w:color w:val="auto"/>
              </w:rPr>
              <w:t>common shareholders</w:t>
            </w:r>
          </w:p>
        </w:tc>
        <w:tc>
          <w:tcPr>
            <w:tcW w:w="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w:t>
            </w: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13.70</w:t>
            </w:r>
          </w:p>
        </w:tc>
        <w:tc>
          <w:tcPr>
            <w:tcW w:w="120" w:type="dxa"/>
            <w:vAlign w:val="bottom"/>
            <w:shd w:val="clear" w:color="auto" w:fill="B6D2E2"/>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11.21</w:t>
            </w:r>
          </w:p>
        </w:tc>
        <w:tc>
          <w:tcPr>
            <w:tcW w:w="100" w:type="dxa"/>
            <w:vAlign w:val="bottom"/>
            <w:shd w:val="clear" w:color="auto" w:fill="DEEAEB"/>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3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11.54</w:t>
            </w:r>
          </w:p>
        </w:tc>
        <w:tc>
          <w:tcPr>
            <w:tcW w:w="100" w:type="dxa"/>
            <w:vAlign w:val="bottom"/>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00"/>
              <w:spacing w:after="0"/>
              <w:rPr>
                <w:sz w:val="20"/>
                <w:szCs w:val="20"/>
                <w:color w:val="auto"/>
              </w:rPr>
            </w:pPr>
            <w:r>
              <w:rPr>
                <w:rFonts w:ascii="Calibri" w:cs="Calibri" w:eastAsia="Calibri" w:hAnsi="Calibri"/>
                <w:sz w:val="16"/>
                <w:szCs w:val="16"/>
                <w:color w:val="auto"/>
              </w:rPr>
              <w:t>Diluted from discontnued operatons atributable to</w:t>
            </w:r>
          </w:p>
        </w:tc>
        <w:tc>
          <w:tcPr>
            <w:tcW w:w="280" w:type="dxa"/>
            <w:vAlign w:val="bottom"/>
            <w:shd w:val="clear" w:color="auto" w:fill="B6D2E2"/>
          </w:tcPr>
          <w:p>
            <w:pPr>
              <w:spacing w:after="0"/>
              <w:rPr>
                <w:sz w:val="19"/>
                <w:szCs w:val="19"/>
                <w:color w:val="auto"/>
              </w:rPr>
            </w:pPr>
          </w:p>
        </w:tc>
        <w:tc>
          <w:tcPr>
            <w:tcW w:w="1280" w:type="dxa"/>
            <w:vAlign w:val="bottom"/>
            <w:vMerge w:val="restart"/>
            <w:shd w:val="clear" w:color="auto" w:fill="B6D2E2"/>
          </w:tcPr>
          <w:p>
            <w:pPr>
              <w:jc w:val="right"/>
              <w:spacing w:after="0"/>
              <w:rPr>
                <w:sz w:val="20"/>
                <w:szCs w:val="20"/>
                <w:color w:val="auto"/>
              </w:rPr>
            </w:pPr>
            <w:r>
              <w:rPr>
                <w:rFonts w:ascii="Calibri" w:cs="Calibri" w:eastAsia="Calibri" w:hAnsi="Calibri"/>
                <w:sz w:val="16"/>
                <w:szCs w:val="16"/>
                <w:b w:val="1"/>
                <w:bCs w:val="1"/>
                <w:color w:val="auto"/>
              </w:rPr>
              <w:t>0.17</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280" w:type="dxa"/>
            <w:vAlign w:val="bottom"/>
            <w:vMerge w:val="restart"/>
            <w:shd w:val="clear" w:color="auto" w:fill="DEEAEB"/>
          </w:tcPr>
          <w:p>
            <w:pPr>
              <w:jc w:val="right"/>
              <w:spacing w:after="0"/>
              <w:rPr>
                <w:sz w:val="20"/>
                <w:szCs w:val="20"/>
                <w:color w:val="auto"/>
              </w:rPr>
            </w:pPr>
            <w:r>
              <w:rPr>
                <w:rFonts w:ascii="Calibri" w:cs="Calibri" w:eastAsia="Calibri" w:hAnsi="Calibri"/>
                <w:sz w:val="16"/>
                <w:szCs w:val="16"/>
                <w:color w:val="auto"/>
              </w:rPr>
              <w:t>0.01</w:t>
            </w:r>
          </w:p>
        </w:tc>
        <w:tc>
          <w:tcPr>
            <w:tcW w:w="100" w:type="dxa"/>
            <w:vAlign w:val="bottom"/>
            <w:shd w:val="clear" w:color="auto" w:fill="DEEAEB"/>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400" w:type="dxa"/>
            <w:vAlign w:val="bottom"/>
            <w:gridSpan w:val="2"/>
            <w:vMerge w:val="restart"/>
            <w:shd w:val="clear" w:color="auto" w:fill="DEEAEB"/>
          </w:tcPr>
          <w:p>
            <w:pPr>
              <w:jc w:val="right"/>
              <w:ind w:right="39"/>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30"/>
        </w:trPr>
        <w:tc>
          <w:tcPr>
            <w:tcW w:w="5960" w:type="dxa"/>
            <w:vAlign w:val="bottom"/>
          </w:tcPr>
          <w:p>
            <w:pPr>
              <w:ind w:left="320"/>
              <w:spacing w:after="0"/>
              <w:rPr>
                <w:sz w:val="20"/>
                <w:szCs w:val="20"/>
                <w:color w:val="auto"/>
              </w:rPr>
            </w:pPr>
            <w:r>
              <w:rPr>
                <w:rFonts w:ascii="Calibri" w:cs="Calibri" w:eastAsia="Calibri" w:hAnsi="Calibri"/>
                <w:sz w:val="16"/>
                <w:szCs w:val="16"/>
                <w:color w:val="auto"/>
              </w:rPr>
              <w:t>common shareholders</w:t>
            </w:r>
          </w:p>
        </w:tc>
        <w:tc>
          <w:tcPr>
            <w:tcW w:w="280" w:type="dxa"/>
            <w:vAlign w:val="bottom"/>
            <w:tcBorders>
              <w:bottom w:val="single" w:sz="8" w:color="B6D2E2"/>
            </w:tcBorders>
            <w:shd w:val="clear" w:color="auto" w:fill="B6D2E2"/>
          </w:tcPr>
          <w:p>
            <w:pPr>
              <w:spacing w:after="0"/>
              <w:rPr>
                <w:sz w:val="20"/>
                <w:szCs w:val="20"/>
                <w:color w:val="auto"/>
              </w:rPr>
            </w:pPr>
          </w:p>
        </w:tc>
        <w:tc>
          <w:tcPr>
            <w:tcW w:w="1280" w:type="dxa"/>
            <w:vAlign w:val="bottom"/>
            <w:tcBorders>
              <w:bottom w:val="single" w:sz="8" w:color="B6D2E2"/>
            </w:tcBorders>
            <w:vMerge w:val="continue"/>
            <w:shd w:val="clear" w:color="auto" w:fill="B6D2E2"/>
          </w:tcPr>
          <w:p>
            <w:pPr>
              <w:spacing w:after="0"/>
              <w:rPr>
                <w:sz w:val="20"/>
                <w:szCs w:val="20"/>
                <w:color w:val="auto"/>
              </w:rPr>
            </w:pPr>
          </w:p>
        </w:tc>
        <w:tc>
          <w:tcPr>
            <w:tcW w:w="120" w:type="dxa"/>
            <w:vAlign w:val="bottom"/>
            <w:tcBorders>
              <w:bottom w:val="single" w:sz="8" w:color="B6D2E2"/>
            </w:tcBorders>
            <w:shd w:val="clear" w:color="auto" w:fill="B6D2E2"/>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DEEAEB"/>
            </w:tcBorders>
            <w:shd w:val="clear" w:color="auto" w:fill="DEEAEB"/>
          </w:tcPr>
          <w:p>
            <w:pPr>
              <w:spacing w:after="0"/>
              <w:rPr>
                <w:sz w:val="20"/>
                <w:szCs w:val="20"/>
                <w:color w:val="auto"/>
              </w:rPr>
            </w:pPr>
          </w:p>
        </w:tc>
        <w:tc>
          <w:tcPr>
            <w:tcW w:w="1280" w:type="dxa"/>
            <w:vAlign w:val="bottom"/>
            <w:tcBorders>
              <w:bottom w:val="single" w:sz="8" w:color="DEEAEB"/>
            </w:tcBorders>
            <w:vMerge w:val="continue"/>
            <w:shd w:val="clear" w:color="auto" w:fill="DEEAEB"/>
          </w:tcPr>
          <w:p>
            <w:pPr>
              <w:spacing w:after="0"/>
              <w:rPr>
                <w:sz w:val="20"/>
                <w:szCs w:val="20"/>
                <w:color w:val="auto"/>
              </w:rPr>
            </w:pPr>
          </w:p>
        </w:tc>
        <w:tc>
          <w:tcPr>
            <w:tcW w:w="100" w:type="dxa"/>
            <w:vAlign w:val="bottom"/>
            <w:tcBorders>
              <w:bottom w:val="single" w:sz="8" w:color="DEEAEB"/>
            </w:tcBorders>
            <w:shd w:val="clear" w:color="auto" w:fill="DEEAEB"/>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DEEAEB"/>
            </w:tcBorders>
            <w:shd w:val="clear" w:color="auto" w:fill="DEEAEB"/>
          </w:tcPr>
          <w:p>
            <w:pPr>
              <w:spacing w:after="0"/>
              <w:rPr>
                <w:sz w:val="20"/>
                <w:szCs w:val="20"/>
                <w:color w:val="auto"/>
              </w:rPr>
            </w:pPr>
          </w:p>
        </w:tc>
        <w:tc>
          <w:tcPr>
            <w:tcW w:w="1400" w:type="dxa"/>
            <w:vAlign w:val="bottom"/>
            <w:tcBorders>
              <w:bottom w:val="single" w:sz="8" w:color="DEEAEB"/>
            </w:tcBorders>
            <w:gridSpan w:val="2"/>
            <w:vMerge w:val="continue"/>
            <w:shd w:val="clear" w:color="auto" w:fill="DEEAEB"/>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960" w:type="dxa"/>
            <w:vAlign w:val="bottom"/>
          </w:tcPr>
          <w:p>
            <w:pPr>
              <w:spacing w:after="0"/>
              <w:rPr>
                <w:sz w:val="22"/>
                <w:szCs w:val="22"/>
                <w:color w:val="auto"/>
              </w:rPr>
            </w:pPr>
          </w:p>
        </w:tc>
        <w:tc>
          <w:tcPr>
            <w:tcW w:w="28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w:t>
            </w:r>
          </w:p>
        </w:tc>
        <w:tc>
          <w:tcPr>
            <w:tcW w:w="128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13.87</w:t>
            </w:r>
          </w:p>
        </w:tc>
        <w:tc>
          <w:tcPr>
            <w:tcW w:w="120" w:type="dxa"/>
            <w:vAlign w:val="bottom"/>
            <w:tcBorders>
              <w:top w:val="single" w:sz="8" w:color="auto"/>
              <w:bottom w:val="single" w:sz="8" w:color="B6D2E2"/>
            </w:tcBorders>
            <w:shd w:val="clear" w:color="auto" w:fill="B6D2E2"/>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w:t>
            </w:r>
          </w:p>
        </w:tc>
        <w:tc>
          <w:tcPr>
            <w:tcW w:w="128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11.22</w:t>
            </w:r>
          </w:p>
        </w:tc>
        <w:tc>
          <w:tcPr>
            <w:tcW w:w="100" w:type="dxa"/>
            <w:vAlign w:val="bottom"/>
            <w:tcBorders>
              <w:top w:val="single" w:sz="8" w:color="auto"/>
              <w:bottom w:val="single" w:sz="8" w:color="DEEAEB"/>
            </w:tcBorders>
            <w:shd w:val="clear" w:color="auto" w:fill="DEEAEB"/>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w:t>
            </w:r>
          </w:p>
        </w:tc>
        <w:tc>
          <w:tcPr>
            <w:tcW w:w="130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11.54</w:t>
            </w:r>
          </w:p>
        </w:tc>
        <w:tc>
          <w:tcPr>
            <w:tcW w:w="100" w:type="dxa"/>
            <w:vAlign w:val="bottom"/>
            <w:tcBorders>
              <w:top w:val="single" w:sz="8" w:color="auto"/>
              <w:bottom w:val="single" w:sz="8" w:color="DEEAEB"/>
            </w:tcBorders>
            <w:shd w:val="clear" w:color="auto" w:fill="DEEAEB"/>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5960" w:type="dxa"/>
            <w:vAlign w:val="bottom"/>
          </w:tcPr>
          <w:p>
            <w:pPr>
              <w:ind w:left="20"/>
              <w:spacing w:after="0" w:line="169" w:lineRule="exact"/>
              <w:rPr>
                <w:sz w:val="20"/>
                <w:szCs w:val="20"/>
                <w:color w:val="auto"/>
              </w:rPr>
            </w:pPr>
            <w:r>
              <w:rPr>
                <w:rFonts w:ascii="Calibri" w:cs="Calibri" w:eastAsia="Calibri" w:hAnsi="Calibri"/>
                <w:sz w:val="16"/>
                <w:szCs w:val="16"/>
                <w:b w:val="1"/>
                <w:bCs w:val="1"/>
                <w:color w:val="auto"/>
              </w:rPr>
              <w:t>Weighted-Average Common Shares Outstanding</w:t>
            </w:r>
          </w:p>
        </w:tc>
        <w:tc>
          <w:tcPr>
            <w:tcW w:w="280" w:type="dxa"/>
            <w:vAlign w:val="bottom"/>
            <w:tcBorders>
              <w:top w:val="single" w:sz="8" w:color="auto"/>
            </w:tcBorders>
            <w:shd w:val="clear" w:color="auto" w:fill="B6D2E2"/>
          </w:tcPr>
          <w:p>
            <w:pPr>
              <w:spacing w:after="0"/>
              <w:rPr>
                <w:sz w:val="14"/>
                <w:szCs w:val="14"/>
                <w:color w:val="auto"/>
              </w:rPr>
            </w:pPr>
          </w:p>
        </w:tc>
        <w:tc>
          <w:tcPr>
            <w:tcW w:w="1280" w:type="dxa"/>
            <w:vAlign w:val="bottom"/>
            <w:tcBorders>
              <w:top w:val="single" w:sz="8" w:color="auto"/>
            </w:tcBorders>
            <w:shd w:val="clear" w:color="auto" w:fill="B6D2E2"/>
          </w:tcPr>
          <w:p>
            <w:pPr>
              <w:spacing w:after="0"/>
              <w:rPr>
                <w:sz w:val="14"/>
                <w:szCs w:val="14"/>
                <w:color w:val="auto"/>
              </w:rPr>
            </w:pPr>
          </w:p>
        </w:tc>
        <w:tc>
          <w:tcPr>
            <w:tcW w:w="120" w:type="dxa"/>
            <w:vAlign w:val="bottom"/>
            <w:tcBorders>
              <w:top w:val="single" w:sz="8" w:color="auto"/>
            </w:tcBorders>
            <w:shd w:val="clear" w:color="auto" w:fill="B6D2E2"/>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shd w:val="clear" w:color="auto" w:fill="DEEAEB"/>
          </w:tcPr>
          <w:p>
            <w:pPr>
              <w:spacing w:after="0"/>
              <w:rPr>
                <w:sz w:val="14"/>
                <w:szCs w:val="14"/>
                <w:color w:val="auto"/>
              </w:rPr>
            </w:pPr>
          </w:p>
        </w:tc>
        <w:tc>
          <w:tcPr>
            <w:tcW w:w="1280" w:type="dxa"/>
            <w:vAlign w:val="bottom"/>
            <w:tcBorders>
              <w:top w:val="single" w:sz="8" w:color="auto"/>
            </w:tcBorders>
            <w:shd w:val="clear" w:color="auto" w:fill="DEEAEB"/>
          </w:tcPr>
          <w:p>
            <w:pPr>
              <w:spacing w:after="0"/>
              <w:rPr>
                <w:sz w:val="14"/>
                <w:szCs w:val="14"/>
                <w:color w:val="auto"/>
              </w:rPr>
            </w:pPr>
          </w:p>
        </w:tc>
        <w:tc>
          <w:tcPr>
            <w:tcW w:w="100" w:type="dxa"/>
            <w:vAlign w:val="bottom"/>
            <w:tcBorders>
              <w:top w:val="single" w:sz="8" w:color="auto"/>
            </w:tcBorders>
            <w:shd w:val="clear" w:color="auto" w:fill="DEEAEB"/>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shd w:val="clear" w:color="auto" w:fill="DEEAEB"/>
          </w:tcPr>
          <w:p>
            <w:pPr>
              <w:spacing w:after="0"/>
              <w:rPr>
                <w:sz w:val="14"/>
                <w:szCs w:val="14"/>
                <w:color w:val="auto"/>
              </w:rPr>
            </w:pPr>
          </w:p>
        </w:tc>
        <w:tc>
          <w:tcPr>
            <w:tcW w:w="1300" w:type="dxa"/>
            <w:vAlign w:val="bottom"/>
            <w:tcBorders>
              <w:top w:val="single" w:sz="8" w:color="auto"/>
            </w:tcBorders>
            <w:shd w:val="clear" w:color="auto" w:fill="DEEAEB"/>
          </w:tcPr>
          <w:p>
            <w:pPr>
              <w:spacing w:after="0"/>
              <w:rPr>
                <w:sz w:val="14"/>
                <w:szCs w:val="14"/>
                <w:color w:val="auto"/>
              </w:rPr>
            </w:pPr>
          </w:p>
        </w:tc>
        <w:tc>
          <w:tcPr>
            <w:tcW w:w="100" w:type="dxa"/>
            <w:vAlign w:val="bottom"/>
            <w:tcBorders>
              <w:top w:val="single" w:sz="8" w:color="auto"/>
            </w:tcBorders>
            <w:shd w:val="clear" w:color="auto" w:fill="DEEAEB"/>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200"/>
              <w:spacing w:after="0"/>
              <w:rPr>
                <w:sz w:val="20"/>
                <w:szCs w:val="20"/>
                <w:color w:val="auto"/>
              </w:rPr>
            </w:pPr>
            <w:r>
              <w:rPr>
                <w:rFonts w:ascii="Calibri" w:cs="Calibri" w:eastAsia="Calibri" w:hAnsi="Calibri"/>
                <w:sz w:val="16"/>
                <w:szCs w:val="16"/>
                <w:color w:val="auto"/>
              </w:rPr>
              <w:t>Basic</w:t>
            </w:r>
          </w:p>
        </w:tc>
        <w:tc>
          <w:tcPr>
            <w:tcW w:w="280" w:type="dxa"/>
            <w:vAlign w:val="bottom"/>
            <w:tcBorders>
              <w:bottom w:val="single" w:sz="8" w:color="B6D2E2"/>
            </w:tcBorders>
            <w:shd w:val="clear" w:color="auto" w:fill="B6D2E2"/>
          </w:tcPr>
          <w:p>
            <w:pPr>
              <w:spacing w:after="0"/>
              <w:rPr>
                <w:sz w:val="23"/>
                <w:szCs w:val="23"/>
                <w:color w:val="auto"/>
              </w:rPr>
            </w:pPr>
          </w:p>
        </w:tc>
        <w:tc>
          <w:tcPr>
            <w:tcW w:w="128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rPr>
              <w:t>62.3</w:t>
            </w:r>
          </w:p>
        </w:tc>
        <w:tc>
          <w:tcPr>
            <w:tcW w:w="120" w:type="dxa"/>
            <w:vAlign w:val="bottom"/>
            <w:tcBorders>
              <w:bottom w:val="single" w:sz="8" w:color="B6D2E2"/>
            </w:tcBorders>
            <w:shd w:val="clear" w:color="auto" w:fill="B6D2E2"/>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Borders>
              <w:bottom w:val="single" w:sz="8" w:color="DEEAEB"/>
            </w:tcBorders>
            <w:shd w:val="clear" w:color="auto" w:fill="DEEAEB"/>
          </w:tcPr>
          <w:p>
            <w:pPr>
              <w:spacing w:after="0"/>
              <w:rPr>
                <w:sz w:val="23"/>
                <w:szCs w:val="23"/>
                <w:color w:val="auto"/>
              </w:rPr>
            </w:pPr>
          </w:p>
        </w:tc>
        <w:tc>
          <w:tcPr>
            <w:tcW w:w="128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62.4</w:t>
            </w:r>
          </w:p>
        </w:tc>
        <w:tc>
          <w:tcPr>
            <w:tcW w:w="100" w:type="dxa"/>
            <w:vAlign w:val="bottom"/>
            <w:tcBorders>
              <w:bottom w:val="single" w:sz="8" w:color="DEEAEB"/>
            </w:tcBorders>
            <w:shd w:val="clear" w:color="auto" w:fill="DEEAEB"/>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Borders>
              <w:bottom w:val="single" w:sz="8" w:color="DEEAEB"/>
            </w:tcBorders>
            <w:shd w:val="clear" w:color="auto" w:fill="DEEAEB"/>
          </w:tcPr>
          <w:p>
            <w:pPr>
              <w:spacing w:after="0"/>
              <w:rPr>
                <w:sz w:val="23"/>
                <w:szCs w:val="23"/>
                <w:color w:val="auto"/>
              </w:rPr>
            </w:pPr>
          </w:p>
        </w:tc>
        <w:tc>
          <w:tcPr>
            <w:tcW w:w="13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62.3</w:t>
            </w:r>
          </w:p>
        </w:tc>
        <w:tc>
          <w:tcPr>
            <w:tcW w:w="100" w:type="dxa"/>
            <w:vAlign w:val="bottom"/>
            <w:tcBorders>
              <w:bottom w:val="single" w:sz="8" w:color="DEEAEB"/>
            </w:tcBorders>
            <w:shd w:val="clear" w:color="auto" w:fill="DEEAEB"/>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200"/>
              <w:spacing w:after="0" w:line="182" w:lineRule="exact"/>
              <w:rPr>
                <w:sz w:val="20"/>
                <w:szCs w:val="20"/>
                <w:color w:val="auto"/>
              </w:rPr>
            </w:pPr>
            <w:r>
              <w:rPr>
                <w:rFonts w:ascii="Calibri" w:cs="Calibri" w:eastAsia="Calibri" w:hAnsi="Calibri"/>
                <w:sz w:val="16"/>
                <w:szCs w:val="16"/>
                <w:color w:val="auto"/>
              </w:rPr>
              <w:t>Diluted</w:t>
            </w:r>
          </w:p>
        </w:tc>
        <w:tc>
          <w:tcPr>
            <w:tcW w:w="280" w:type="dxa"/>
            <w:vAlign w:val="bottom"/>
            <w:tcBorders>
              <w:top w:val="single" w:sz="8" w:color="auto"/>
              <w:bottom w:val="single" w:sz="8" w:color="B6D2E2"/>
            </w:tcBorders>
            <w:shd w:val="clear" w:color="auto" w:fill="B6D2E2"/>
          </w:tcPr>
          <w:p>
            <w:pPr>
              <w:spacing w:after="0"/>
              <w:rPr>
                <w:sz w:val="17"/>
                <w:szCs w:val="17"/>
                <w:color w:val="auto"/>
              </w:rPr>
            </w:pPr>
          </w:p>
        </w:tc>
        <w:tc>
          <w:tcPr>
            <w:tcW w:w="128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62.5</w:t>
            </w:r>
          </w:p>
        </w:tc>
        <w:tc>
          <w:tcPr>
            <w:tcW w:w="120" w:type="dxa"/>
            <w:vAlign w:val="bottom"/>
            <w:tcBorders>
              <w:top w:val="single" w:sz="8" w:color="auto"/>
              <w:bottom w:val="single" w:sz="8" w:color="B6D2E2"/>
            </w:tcBorders>
            <w:shd w:val="clear" w:color="auto" w:fill="B6D2E2"/>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DEEAEB"/>
            </w:tcBorders>
            <w:shd w:val="clear" w:color="auto" w:fill="DEEAEB"/>
          </w:tcPr>
          <w:p>
            <w:pPr>
              <w:spacing w:after="0"/>
              <w:rPr>
                <w:sz w:val="17"/>
                <w:szCs w:val="17"/>
                <w:color w:val="auto"/>
              </w:rPr>
            </w:pPr>
          </w:p>
        </w:tc>
        <w:tc>
          <w:tcPr>
            <w:tcW w:w="128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62.6</w:t>
            </w:r>
          </w:p>
        </w:tc>
        <w:tc>
          <w:tcPr>
            <w:tcW w:w="100" w:type="dxa"/>
            <w:vAlign w:val="bottom"/>
            <w:tcBorders>
              <w:top w:val="single" w:sz="8" w:color="auto"/>
              <w:bottom w:val="single" w:sz="8" w:color="DEEAEB"/>
            </w:tcBorders>
            <w:shd w:val="clear" w:color="auto" w:fill="DEEAEB"/>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DEEAEB"/>
            </w:tcBorders>
            <w:shd w:val="clear" w:color="auto" w:fill="DEEAEB"/>
          </w:tcPr>
          <w:p>
            <w:pPr>
              <w:spacing w:after="0"/>
              <w:rPr>
                <w:sz w:val="17"/>
                <w:szCs w:val="17"/>
                <w:color w:val="auto"/>
              </w:rPr>
            </w:pPr>
          </w:p>
        </w:tc>
        <w:tc>
          <w:tcPr>
            <w:tcW w:w="130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62.4</w:t>
            </w:r>
          </w:p>
        </w:tc>
        <w:tc>
          <w:tcPr>
            <w:tcW w:w="100" w:type="dxa"/>
            <w:vAlign w:val="bottom"/>
            <w:tcBorders>
              <w:top w:val="single" w:sz="8" w:color="auto"/>
              <w:bottom w:val="single" w:sz="8" w:color="DEEAEB"/>
            </w:tcBorders>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The accompanying Notes to the Financial Statements 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92075</wp:posOffset>
            </wp:positionV>
            <wp:extent cx="325755" cy="1968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8 – Financial Statements and Supplementary Data</w:t>
      </w:r>
    </w:p>
    <w:p>
      <w:pPr>
        <w:spacing w:after="0" w:line="200" w:lineRule="exact"/>
        <w:rPr>
          <w:sz w:val="20"/>
          <w:szCs w:val="20"/>
          <w:color w:val="auto"/>
        </w:rPr>
      </w:pPr>
    </w:p>
    <w:p>
      <w:pPr>
        <w:spacing w:after="0" w:line="211" w:lineRule="exact"/>
        <w:rPr>
          <w:sz w:val="20"/>
          <w:szCs w:val="20"/>
          <w:color w:val="auto"/>
        </w:rPr>
      </w:pPr>
    </w:p>
    <w:p>
      <w:pPr>
        <w:jc w:val="center"/>
        <w:ind w:right="100"/>
        <w:spacing w:after="0"/>
        <w:rPr>
          <w:sz w:val="20"/>
          <w:szCs w:val="20"/>
          <w:color w:val="auto"/>
        </w:rPr>
      </w:pPr>
      <w:r>
        <w:rPr>
          <w:rFonts w:ascii="Calibri" w:cs="Calibri" w:eastAsia="Calibri" w:hAnsi="Calibri"/>
          <w:sz w:val="22"/>
          <w:szCs w:val="22"/>
          <w:color w:val="auto"/>
        </w:rPr>
        <w:t>Martn Marieta Materials, Inc. and Consolidated Subsidiaries</w:t>
      </w:r>
    </w:p>
    <w:p>
      <w:pPr>
        <w:spacing w:after="0" w:line="3" w:lineRule="exact"/>
        <w:rPr>
          <w:sz w:val="20"/>
          <w:szCs w:val="20"/>
          <w:color w:val="auto"/>
        </w:rPr>
      </w:pPr>
    </w:p>
    <w:p>
      <w:pPr>
        <w:jc w:val="center"/>
        <w:ind w:right="100"/>
        <w:spacing w:after="0"/>
        <w:rPr>
          <w:sz w:val="20"/>
          <w:szCs w:val="20"/>
          <w:color w:val="auto"/>
        </w:rPr>
      </w:pPr>
      <w:r>
        <w:rPr>
          <w:rFonts w:ascii="Calibri" w:cs="Calibri" w:eastAsia="Calibri" w:hAnsi="Calibri"/>
          <w:sz w:val="22"/>
          <w:szCs w:val="22"/>
          <w:b w:val="1"/>
          <w:bCs w:val="1"/>
          <w:color w:val="007DC6"/>
        </w:rPr>
        <w:t>Consolidated Statements of Comprehensive Earnings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980" w:type="dxa"/>
            <w:vAlign w:val="bottom"/>
          </w:tcPr>
          <w:p>
            <w:pPr>
              <w:ind w:left="20"/>
              <w:spacing w:after="0"/>
              <w:rPr>
                <w:sz w:val="20"/>
                <w:szCs w:val="20"/>
                <w:color w:val="auto"/>
              </w:rPr>
            </w:pPr>
            <w:r>
              <w:rPr>
                <w:rFonts w:ascii="Calibri" w:cs="Calibri" w:eastAsia="Calibri" w:hAnsi="Calibri"/>
                <w:sz w:val="16"/>
                <w:szCs w:val="16"/>
                <w:i w:val="1"/>
                <w:iCs w:val="1"/>
                <w:color w:val="auto"/>
              </w:rPr>
              <w:t>years ended December 31</w:t>
            </w:r>
          </w:p>
        </w:tc>
        <w:tc>
          <w:tcPr>
            <w:tcW w:w="280" w:type="dxa"/>
            <w:vAlign w:val="bottom"/>
            <w:shd w:val="clear" w:color="auto" w:fill="007DC6"/>
          </w:tcPr>
          <w:p>
            <w:pPr>
              <w:spacing w:after="0"/>
              <w:rPr>
                <w:sz w:val="17"/>
                <w:szCs w:val="17"/>
                <w:color w:val="auto"/>
              </w:rPr>
            </w:pPr>
          </w:p>
        </w:tc>
        <w:tc>
          <w:tcPr>
            <w:tcW w:w="1280" w:type="dxa"/>
            <w:vAlign w:val="bottom"/>
            <w:shd w:val="clear" w:color="auto" w:fill="007DC6"/>
          </w:tcPr>
          <w:p>
            <w:pPr>
              <w:spacing w:after="0"/>
              <w:rPr>
                <w:sz w:val="17"/>
                <w:szCs w:val="17"/>
                <w:color w:val="auto"/>
              </w:rPr>
            </w:pPr>
          </w:p>
        </w:tc>
        <w:tc>
          <w:tcPr>
            <w:tcW w:w="120" w:type="dxa"/>
            <w:vAlign w:val="bottom"/>
            <w:shd w:val="clear" w:color="auto" w:fill="007DC6"/>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shd w:val="clear" w:color="auto" w:fill="DEEAEB"/>
          </w:tcPr>
          <w:p>
            <w:pPr>
              <w:spacing w:after="0"/>
              <w:rPr>
                <w:sz w:val="17"/>
                <w:szCs w:val="17"/>
                <w:color w:val="auto"/>
              </w:rPr>
            </w:pPr>
          </w:p>
        </w:tc>
        <w:tc>
          <w:tcPr>
            <w:tcW w:w="130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20"/>
              <w:spacing w:after="0" w:line="193" w:lineRule="exact"/>
              <w:rPr>
                <w:sz w:val="20"/>
                <w:szCs w:val="20"/>
                <w:color w:val="auto"/>
              </w:rPr>
            </w:pPr>
            <w:r>
              <w:rPr>
                <w:rFonts w:ascii="Calibri" w:cs="Calibri" w:eastAsia="Calibri" w:hAnsi="Calibri"/>
                <w:sz w:val="16"/>
                <w:szCs w:val="16"/>
                <w:color w:val="auto"/>
              </w:rPr>
              <w:t>(in millions)</w:t>
            </w:r>
          </w:p>
        </w:tc>
        <w:tc>
          <w:tcPr>
            <w:tcW w:w="280" w:type="dxa"/>
            <w:vAlign w:val="bottom"/>
            <w:tcBorders>
              <w:bottom w:val="single" w:sz="8" w:color="007DC6"/>
            </w:tcBorders>
            <w:shd w:val="clear" w:color="auto" w:fill="007DC6"/>
          </w:tcPr>
          <w:p>
            <w:pPr>
              <w:spacing w:after="0"/>
              <w:rPr>
                <w:sz w:val="20"/>
                <w:szCs w:val="20"/>
                <w:color w:val="auto"/>
              </w:rPr>
            </w:pPr>
          </w:p>
        </w:tc>
        <w:tc>
          <w:tcPr>
            <w:tcW w:w="1280" w:type="dxa"/>
            <w:vAlign w:val="bottom"/>
            <w:tcBorders>
              <w:bottom w:val="single" w:sz="8" w:color="007DC6"/>
            </w:tcBorders>
            <w:shd w:val="clear" w:color="auto" w:fill="007DC6"/>
          </w:tcPr>
          <w:p>
            <w:pPr>
              <w:jc w:val="right"/>
              <w:ind w:right="459"/>
              <w:spacing w:after="0" w:line="193" w:lineRule="exact"/>
              <w:rPr>
                <w:sz w:val="20"/>
                <w:szCs w:val="20"/>
                <w:color w:val="auto"/>
              </w:rPr>
            </w:pPr>
            <w:r>
              <w:rPr>
                <w:rFonts w:ascii="Calibri" w:cs="Calibri" w:eastAsia="Calibri" w:hAnsi="Calibri"/>
                <w:sz w:val="16"/>
                <w:szCs w:val="16"/>
                <w:b w:val="1"/>
                <w:bCs w:val="1"/>
                <w:color w:val="FFFFFF"/>
              </w:rPr>
              <w:t>2022</w:t>
            </w:r>
          </w:p>
        </w:tc>
        <w:tc>
          <w:tcPr>
            <w:tcW w:w="120" w:type="dxa"/>
            <w:vAlign w:val="bottom"/>
            <w:tcBorders>
              <w:bottom w:val="single" w:sz="8" w:color="007DC6"/>
            </w:tcBorders>
            <w:shd w:val="clear" w:color="auto" w:fill="007DC6"/>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DEEAEB"/>
            </w:tcBorders>
            <w:shd w:val="clear" w:color="auto" w:fill="DEEAEB"/>
          </w:tcPr>
          <w:p>
            <w:pPr>
              <w:spacing w:after="0"/>
              <w:rPr>
                <w:sz w:val="20"/>
                <w:szCs w:val="20"/>
                <w:color w:val="auto"/>
              </w:rPr>
            </w:pPr>
          </w:p>
        </w:tc>
        <w:tc>
          <w:tcPr>
            <w:tcW w:w="1260" w:type="dxa"/>
            <w:vAlign w:val="bottom"/>
            <w:tcBorders>
              <w:bottom w:val="single" w:sz="8" w:color="DEEAEB"/>
            </w:tcBorders>
            <w:shd w:val="clear" w:color="auto" w:fill="DEEAEB"/>
          </w:tcPr>
          <w:p>
            <w:pPr>
              <w:jc w:val="right"/>
              <w:ind w:right="439"/>
              <w:spacing w:after="0" w:line="193" w:lineRule="exact"/>
              <w:rPr>
                <w:sz w:val="20"/>
                <w:szCs w:val="20"/>
                <w:color w:val="auto"/>
              </w:rPr>
            </w:pPr>
            <w:r>
              <w:rPr>
                <w:rFonts w:ascii="Calibri" w:cs="Calibri" w:eastAsia="Calibri" w:hAnsi="Calibri"/>
                <w:sz w:val="16"/>
                <w:szCs w:val="16"/>
                <w:color w:val="auto"/>
              </w:rPr>
              <w:t>2021</w:t>
            </w:r>
          </w:p>
        </w:tc>
        <w:tc>
          <w:tcPr>
            <w:tcW w:w="100" w:type="dxa"/>
            <w:vAlign w:val="bottom"/>
            <w:tcBorders>
              <w:bottom w:val="single" w:sz="8" w:color="DEEAEB"/>
            </w:tcBorders>
            <w:shd w:val="clear" w:color="auto" w:fill="DEEAEB"/>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DEEAEB"/>
            </w:tcBorders>
            <w:shd w:val="clear" w:color="auto" w:fill="DEEAEB"/>
          </w:tcPr>
          <w:p>
            <w:pPr>
              <w:spacing w:after="0"/>
              <w:rPr>
                <w:sz w:val="20"/>
                <w:szCs w:val="20"/>
                <w:color w:val="auto"/>
              </w:rPr>
            </w:pPr>
          </w:p>
        </w:tc>
        <w:tc>
          <w:tcPr>
            <w:tcW w:w="1300" w:type="dxa"/>
            <w:vAlign w:val="bottom"/>
            <w:tcBorders>
              <w:bottom w:val="single" w:sz="8" w:color="DEEAEB"/>
            </w:tcBorders>
            <w:shd w:val="clear" w:color="auto" w:fill="DEEAEB"/>
          </w:tcPr>
          <w:p>
            <w:pPr>
              <w:jc w:val="right"/>
              <w:ind w:right="459"/>
              <w:spacing w:after="0" w:line="193" w:lineRule="exact"/>
              <w:rPr>
                <w:sz w:val="20"/>
                <w:szCs w:val="20"/>
                <w:color w:val="auto"/>
              </w:rPr>
            </w:pPr>
            <w:r>
              <w:rPr>
                <w:rFonts w:ascii="Calibri" w:cs="Calibri" w:eastAsia="Calibri" w:hAnsi="Calibri"/>
                <w:sz w:val="16"/>
                <w:szCs w:val="16"/>
                <w:color w:val="auto"/>
              </w:rPr>
              <w:t>2020</w:t>
            </w:r>
          </w:p>
        </w:tc>
        <w:tc>
          <w:tcPr>
            <w:tcW w:w="100" w:type="dxa"/>
            <w:vAlign w:val="bottom"/>
            <w:tcBorders>
              <w:bottom w:val="single" w:sz="8" w:color="DEEAEB"/>
            </w:tcBorders>
            <w:shd w:val="clear" w:color="auto" w:fill="DEEAEB"/>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Consolidated Net Earnings</w:t>
            </w:r>
          </w:p>
        </w:tc>
        <w:tc>
          <w:tcPr>
            <w:tcW w:w="28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w:t>
            </w:r>
          </w:p>
        </w:tc>
        <w:tc>
          <w:tcPr>
            <w:tcW w:w="128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866.8</w:t>
            </w:r>
          </w:p>
        </w:tc>
        <w:tc>
          <w:tcPr>
            <w:tcW w:w="120" w:type="dxa"/>
            <w:vAlign w:val="bottom"/>
            <w:tcBorders>
              <w:top w:val="single" w:sz="8" w:color="auto"/>
              <w:bottom w:val="single" w:sz="8" w:color="B6D2E2"/>
            </w:tcBorders>
            <w:shd w:val="clear" w:color="auto" w:fill="B6D2E2"/>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w:t>
            </w:r>
          </w:p>
        </w:tc>
        <w:tc>
          <w:tcPr>
            <w:tcW w:w="126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702.8</w:t>
            </w:r>
          </w:p>
        </w:tc>
        <w:tc>
          <w:tcPr>
            <w:tcW w:w="100" w:type="dxa"/>
            <w:vAlign w:val="bottom"/>
            <w:tcBorders>
              <w:top w:val="single" w:sz="8" w:color="auto"/>
              <w:bottom w:val="single" w:sz="8" w:color="DEEAEB"/>
            </w:tcBorders>
            <w:shd w:val="clear" w:color="auto" w:fill="DEEAEB"/>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w:t>
            </w:r>
          </w:p>
        </w:tc>
        <w:tc>
          <w:tcPr>
            <w:tcW w:w="130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721.1</w:t>
            </w:r>
          </w:p>
        </w:tc>
        <w:tc>
          <w:tcPr>
            <w:tcW w:w="100" w:type="dxa"/>
            <w:vAlign w:val="bottom"/>
            <w:tcBorders>
              <w:top w:val="single" w:sz="8" w:color="auto"/>
              <w:bottom w:val="single" w:sz="8" w:color="DEEAEB"/>
            </w:tcBorders>
            <w:shd w:val="clear" w:color="auto" w:fill="DEEAEB"/>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color w:val="auto"/>
              </w:rPr>
              <w:t>Other comprehensive earnings (loss), net of tax:</w:t>
            </w:r>
          </w:p>
        </w:tc>
        <w:tc>
          <w:tcPr>
            <w:tcW w:w="280" w:type="dxa"/>
            <w:vAlign w:val="bottom"/>
            <w:tcBorders>
              <w:top w:val="single" w:sz="8" w:color="auto"/>
            </w:tcBorders>
            <w:shd w:val="clear" w:color="auto" w:fill="B6D2E2"/>
          </w:tcPr>
          <w:p>
            <w:pPr>
              <w:spacing w:after="0"/>
              <w:rPr>
                <w:sz w:val="16"/>
                <w:szCs w:val="16"/>
                <w:color w:val="auto"/>
              </w:rPr>
            </w:pPr>
          </w:p>
        </w:tc>
        <w:tc>
          <w:tcPr>
            <w:tcW w:w="1280" w:type="dxa"/>
            <w:vAlign w:val="bottom"/>
            <w:tcBorders>
              <w:top w:val="single" w:sz="8" w:color="auto"/>
            </w:tcBorders>
            <w:shd w:val="clear" w:color="auto" w:fill="B6D2E2"/>
          </w:tcPr>
          <w:p>
            <w:pPr>
              <w:spacing w:after="0"/>
              <w:rPr>
                <w:sz w:val="16"/>
                <w:szCs w:val="16"/>
                <w:color w:val="auto"/>
              </w:rPr>
            </w:pPr>
          </w:p>
        </w:tc>
        <w:tc>
          <w:tcPr>
            <w:tcW w:w="120" w:type="dxa"/>
            <w:vAlign w:val="bottom"/>
            <w:tcBorders>
              <w:top w:val="single" w:sz="8" w:color="auto"/>
            </w:tcBorders>
            <w:shd w:val="clear" w:color="auto" w:fill="B6D2E2"/>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shd w:val="clear" w:color="auto" w:fill="DEEAEB"/>
          </w:tcPr>
          <w:p>
            <w:pPr>
              <w:spacing w:after="0"/>
              <w:rPr>
                <w:sz w:val="16"/>
                <w:szCs w:val="16"/>
                <w:color w:val="auto"/>
              </w:rPr>
            </w:pPr>
          </w:p>
        </w:tc>
        <w:tc>
          <w:tcPr>
            <w:tcW w:w="1260" w:type="dxa"/>
            <w:vAlign w:val="bottom"/>
            <w:tcBorders>
              <w:top w:val="single" w:sz="8" w:color="auto"/>
            </w:tcBorders>
            <w:shd w:val="clear" w:color="auto" w:fill="DEEAEB"/>
          </w:tcPr>
          <w:p>
            <w:pPr>
              <w:spacing w:after="0"/>
              <w:rPr>
                <w:sz w:val="16"/>
                <w:szCs w:val="16"/>
                <w:color w:val="auto"/>
              </w:rPr>
            </w:pPr>
          </w:p>
        </w:tc>
        <w:tc>
          <w:tcPr>
            <w:tcW w:w="100" w:type="dxa"/>
            <w:vAlign w:val="bottom"/>
            <w:tcBorders>
              <w:top w:val="single" w:sz="8" w:color="auto"/>
            </w:tcBorders>
            <w:shd w:val="clear" w:color="auto" w:fill="DEEAEB"/>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shd w:val="clear" w:color="auto" w:fill="DEEAEB"/>
          </w:tcPr>
          <w:p>
            <w:pPr>
              <w:spacing w:after="0"/>
              <w:rPr>
                <w:sz w:val="16"/>
                <w:szCs w:val="16"/>
                <w:color w:val="auto"/>
              </w:rPr>
            </w:pPr>
          </w:p>
        </w:tc>
        <w:tc>
          <w:tcPr>
            <w:tcW w:w="1300" w:type="dxa"/>
            <w:vAlign w:val="bottom"/>
            <w:tcBorders>
              <w:top w:val="single" w:sz="8" w:color="auto"/>
            </w:tcBorders>
            <w:shd w:val="clear" w:color="auto" w:fill="DEEAEB"/>
          </w:tcPr>
          <w:p>
            <w:pPr>
              <w:spacing w:after="0"/>
              <w:rPr>
                <w:sz w:val="16"/>
                <w:szCs w:val="16"/>
                <w:color w:val="auto"/>
              </w:rPr>
            </w:pPr>
          </w:p>
        </w:tc>
        <w:tc>
          <w:tcPr>
            <w:tcW w:w="100" w:type="dxa"/>
            <w:vAlign w:val="bottom"/>
            <w:tcBorders>
              <w:top w:val="single" w:sz="8" w:color="auto"/>
            </w:tcBorders>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980" w:type="dxa"/>
            <w:vAlign w:val="bottom"/>
          </w:tcPr>
          <w:p>
            <w:pPr>
              <w:ind w:left="20"/>
              <w:spacing w:after="0"/>
              <w:rPr>
                <w:sz w:val="20"/>
                <w:szCs w:val="20"/>
                <w:color w:val="auto"/>
              </w:rPr>
            </w:pPr>
            <w:r>
              <w:rPr>
                <w:rFonts w:ascii="Calibri" w:cs="Calibri" w:eastAsia="Calibri" w:hAnsi="Calibri"/>
                <w:sz w:val="16"/>
                <w:szCs w:val="16"/>
                <w:color w:val="auto"/>
              </w:rPr>
              <w:t>Defned beneft pension and postretrement plans:</w:t>
            </w:r>
          </w:p>
        </w:tc>
        <w:tc>
          <w:tcPr>
            <w:tcW w:w="280" w:type="dxa"/>
            <w:vAlign w:val="bottom"/>
            <w:shd w:val="clear" w:color="auto" w:fill="B6D2E2"/>
          </w:tcPr>
          <w:p>
            <w:pPr>
              <w:spacing w:after="0"/>
              <w:rPr>
                <w:sz w:val="19"/>
                <w:szCs w:val="19"/>
                <w:color w:val="auto"/>
              </w:rPr>
            </w:pPr>
          </w:p>
        </w:tc>
        <w:tc>
          <w:tcPr>
            <w:tcW w:w="1280" w:type="dxa"/>
            <w:vAlign w:val="bottom"/>
            <w:shd w:val="clear" w:color="auto" w:fill="B6D2E2"/>
          </w:tcPr>
          <w:p>
            <w:pPr>
              <w:spacing w:after="0"/>
              <w:rPr>
                <w:sz w:val="19"/>
                <w:szCs w:val="19"/>
                <w:color w:val="auto"/>
              </w:rPr>
            </w:pPr>
          </w:p>
        </w:tc>
        <w:tc>
          <w:tcPr>
            <w:tcW w:w="120" w:type="dxa"/>
            <w:vAlign w:val="bottom"/>
            <w:shd w:val="clear" w:color="auto" w:fill="B6D2E2"/>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60" w:type="dxa"/>
            <w:vAlign w:val="bottom"/>
            <w:shd w:val="clear" w:color="auto" w:fill="DEEAEB"/>
          </w:tcPr>
          <w:p>
            <w:pPr>
              <w:spacing w:after="0"/>
              <w:rPr>
                <w:sz w:val="19"/>
                <w:szCs w:val="19"/>
                <w:color w:val="auto"/>
              </w:rPr>
            </w:pPr>
          </w:p>
        </w:tc>
        <w:tc>
          <w:tcPr>
            <w:tcW w:w="100" w:type="dxa"/>
            <w:vAlign w:val="bottom"/>
            <w:shd w:val="clear" w:color="auto" w:fill="DEEAEB"/>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300" w:type="dxa"/>
            <w:vAlign w:val="bottom"/>
            <w:shd w:val="clear" w:color="auto" w:fill="DEEAEB"/>
          </w:tcPr>
          <w:p>
            <w:pPr>
              <w:spacing w:after="0"/>
              <w:rPr>
                <w:sz w:val="19"/>
                <w:szCs w:val="19"/>
                <w:color w:val="auto"/>
              </w:rPr>
            </w:pPr>
          </w:p>
        </w:tc>
        <w:tc>
          <w:tcPr>
            <w:tcW w:w="100" w:type="dxa"/>
            <w:vAlign w:val="bottom"/>
            <w:shd w:val="clear" w:color="auto" w:fill="DEEAE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00"/>
              <w:spacing w:after="0"/>
              <w:rPr>
                <w:sz w:val="20"/>
                <w:szCs w:val="20"/>
                <w:color w:val="auto"/>
              </w:rPr>
            </w:pPr>
            <w:r>
              <w:rPr>
                <w:rFonts w:ascii="Calibri" w:cs="Calibri" w:eastAsia="Calibri" w:hAnsi="Calibri"/>
                <w:sz w:val="16"/>
                <w:szCs w:val="16"/>
                <w:color w:val="auto"/>
              </w:rPr>
              <w:t>Net gain (loss) arising during period, net of tax of $28.6, $16.8 and</w:t>
            </w:r>
          </w:p>
        </w:tc>
        <w:tc>
          <w:tcPr>
            <w:tcW w:w="280" w:type="dxa"/>
            <w:vAlign w:val="bottom"/>
            <w:shd w:val="clear" w:color="auto" w:fill="B6D2E2"/>
          </w:tcPr>
          <w:p>
            <w:pPr>
              <w:spacing w:after="0"/>
              <w:rPr>
                <w:sz w:val="19"/>
                <w:szCs w:val="19"/>
                <w:color w:val="auto"/>
              </w:rPr>
            </w:pPr>
          </w:p>
        </w:tc>
        <w:tc>
          <w:tcPr>
            <w:tcW w:w="1280" w:type="dxa"/>
            <w:vAlign w:val="bottom"/>
            <w:shd w:val="clear" w:color="auto" w:fill="B6D2E2"/>
          </w:tcPr>
          <w:p>
            <w:pPr>
              <w:spacing w:after="0"/>
              <w:rPr>
                <w:sz w:val="19"/>
                <w:szCs w:val="19"/>
                <w:color w:val="auto"/>
              </w:rPr>
            </w:pPr>
          </w:p>
        </w:tc>
        <w:tc>
          <w:tcPr>
            <w:tcW w:w="120" w:type="dxa"/>
            <w:vAlign w:val="bottom"/>
            <w:shd w:val="clear" w:color="auto" w:fill="B6D2E2"/>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60" w:type="dxa"/>
            <w:vAlign w:val="bottom"/>
            <w:shd w:val="clear" w:color="auto" w:fill="DEEAEB"/>
          </w:tcPr>
          <w:p>
            <w:pPr>
              <w:spacing w:after="0"/>
              <w:rPr>
                <w:sz w:val="19"/>
                <w:szCs w:val="19"/>
                <w:color w:val="auto"/>
              </w:rPr>
            </w:pPr>
          </w:p>
        </w:tc>
        <w:tc>
          <w:tcPr>
            <w:tcW w:w="100" w:type="dxa"/>
            <w:vAlign w:val="bottom"/>
            <w:shd w:val="clear" w:color="auto" w:fill="DEEAEB"/>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300" w:type="dxa"/>
            <w:vAlign w:val="bottom"/>
            <w:shd w:val="clear" w:color="auto" w:fill="DEEAEB"/>
          </w:tcPr>
          <w:p>
            <w:pPr>
              <w:spacing w:after="0"/>
              <w:rPr>
                <w:sz w:val="19"/>
                <w:szCs w:val="19"/>
                <w:color w:val="auto"/>
              </w:rPr>
            </w:pPr>
          </w:p>
        </w:tc>
        <w:tc>
          <w:tcPr>
            <w:tcW w:w="100" w:type="dxa"/>
            <w:vAlign w:val="bottom"/>
            <w:shd w:val="clear" w:color="auto" w:fill="DEEAEB"/>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320"/>
              <w:spacing w:after="0"/>
              <w:rPr>
                <w:sz w:val="20"/>
                <w:szCs w:val="20"/>
                <w:color w:val="auto"/>
              </w:rPr>
            </w:pPr>
            <w:r>
              <w:rPr>
                <w:rFonts w:ascii="Calibri" w:cs="Calibri" w:eastAsia="Calibri" w:hAnsi="Calibri"/>
                <w:sz w:val="16"/>
                <w:szCs w:val="16"/>
                <w:color w:val="auto"/>
              </w:rPr>
              <w:t>$(8.7), respectvely</w:t>
            </w:r>
          </w:p>
        </w:tc>
        <w:tc>
          <w:tcPr>
            <w:tcW w:w="280" w:type="dxa"/>
            <w:vAlign w:val="bottom"/>
            <w:shd w:val="clear" w:color="auto" w:fill="B6D2E2"/>
          </w:tcPr>
          <w:p>
            <w:pPr>
              <w:spacing w:after="0"/>
              <w:rPr>
                <w:sz w:val="17"/>
                <w:szCs w:val="17"/>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87.9</w:t>
            </w:r>
          </w:p>
        </w:tc>
        <w:tc>
          <w:tcPr>
            <w:tcW w:w="120" w:type="dxa"/>
            <w:vAlign w:val="bottom"/>
            <w:shd w:val="clear" w:color="auto" w:fill="B6D2E2"/>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51.3</w:t>
            </w:r>
          </w:p>
        </w:tc>
        <w:tc>
          <w:tcPr>
            <w:tcW w:w="100" w:type="dxa"/>
            <w:vAlign w:val="bottom"/>
            <w:shd w:val="clear" w:color="auto" w:fill="DEEAEB"/>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shd w:val="clear" w:color="auto" w:fill="DEEAEB"/>
          </w:tcPr>
          <w:p>
            <w:pPr>
              <w:spacing w:after="0"/>
              <w:rPr>
                <w:sz w:val="17"/>
                <w:szCs w:val="17"/>
                <w:color w:val="auto"/>
              </w:rPr>
            </w:pPr>
          </w:p>
        </w:tc>
        <w:tc>
          <w:tcPr>
            <w:tcW w:w="1400" w:type="dxa"/>
            <w:vAlign w:val="bottom"/>
            <w:gridSpan w:val="2"/>
            <w:shd w:val="clear" w:color="auto" w:fill="DEEAEB"/>
          </w:tcPr>
          <w:p>
            <w:pPr>
              <w:jc w:val="right"/>
              <w:spacing w:after="0"/>
              <w:rPr>
                <w:sz w:val="20"/>
                <w:szCs w:val="20"/>
                <w:color w:val="auto"/>
              </w:rPr>
            </w:pPr>
            <w:r>
              <w:rPr>
                <w:rFonts w:ascii="Calibri" w:cs="Calibri" w:eastAsia="Calibri" w:hAnsi="Calibri"/>
                <w:sz w:val="16"/>
                <w:szCs w:val="16"/>
                <w:color w:val="auto"/>
              </w:rPr>
              <w:t>(26.6 )</w:t>
            </w:r>
          </w:p>
        </w:tc>
        <w:tc>
          <w:tcPr>
            <w:tcW w:w="0" w:type="dxa"/>
            <w:vAlign w:val="bottom"/>
          </w:tcPr>
          <w:p>
            <w:pPr>
              <w:spacing w:after="0"/>
              <w:rPr>
                <w:sz w:val="1"/>
                <w:szCs w:val="1"/>
                <w:color w:val="auto"/>
              </w:rPr>
            </w:pPr>
          </w:p>
        </w:tc>
      </w:tr>
      <w:tr>
        <w:trPr>
          <w:trHeight w:val="229"/>
        </w:trPr>
        <w:tc>
          <w:tcPr>
            <w:tcW w:w="5980" w:type="dxa"/>
            <w:vAlign w:val="bottom"/>
          </w:tcPr>
          <w:p>
            <w:pPr>
              <w:ind w:left="200"/>
              <w:spacing w:after="0"/>
              <w:rPr>
                <w:sz w:val="20"/>
                <w:szCs w:val="20"/>
                <w:color w:val="auto"/>
              </w:rPr>
            </w:pPr>
            <w:r>
              <w:rPr>
                <w:rFonts w:ascii="Calibri" w:cs="Calibri" w:eastAsia="Calibri" w:hAnsi="Calibri"/>
                <w:sz w:val="16"/>
                <w:szCs w:val="16"/>
                <w:color w:val="auto"/>
              </w:rPr>
              <w:t>Prior service cost arising during period, net of tax of $(11.8), $0.0</w:t>
            </w:r>
          </w:p>
        </w:tc>
        <w:tc>
          <w:tcPr>
            <w:tcW w:w="280" w:type="dxa"/>
            <w:vAlign w:val="bottom"/>
            <w:shd w:val="clear" w:color="auto" w:fill="B6D2E2"/>
          </w:tcPr>
          <w:p>
            <w:pPr>
              <w:spacing w:after="0"/>
              <w:rPr>
                <w:sz w:val="19"/>
                <w:szCs w:val="19"/>
                <w:color w:val="auto"/>
              </w:rPr>
            </w:pPr>
          </w:p>
        </w:tc>
        <w:tc>
          <w:tcPr>
            <w:tcW w:w="1280" w:type="dxa"/>
            <w:vAlign w:val="bottom"/>
            <w:shd w:val="clear" w:color="auto" w:fill="B6D2E2"/>
          </w:tcPr>
          <w:p>
            <w:pPr>
              <w:spacing w:after="0"/>
              <w:rPr>
                <w:sz w:val="19"/>
                <w:szCs w:val="19"/>
                <w:color w:val="auto"/>
              </w:rPr>
            </w:pPr>
          </w:p>
        </w:tc>
        <w:tc>
          <w:tcPr>
            <w:tcW w:w="120" w:type="dxa"/>
            <w:vAlign w:val="bottom"/>
            <w:shd w:val="clear" w:color="auto" w:fill="B6D2E2"/>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60" w:type="dxa"/>
            <w:vAlign w:val="bottom"/>
            <w:shd w:val="clear" w:color="auto" w:fill="DEEAEB"/>
          </w:tcPr>
          <w:p>
            <w:pPr>
              <w:spacing w:after="0"/>
              <w:rPr>
                <w:sz w:val="19"/>
                <w:szCs w:val="19"/>
                <w:color w:val="auto"/>
              </w:rPr>
            </w:pPr>
          </w:p>
        </w:tc>
        <w:tc>
          <w:tcPr>
            <w:tcW w:w="100" w:type="dxa"/>
            <w:vAlign w:val="bottom"/>
            <w:shd w:val="clear" w:color="auto" w:fill="DEEAEB"/>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300" w:type="dxa"/>
            <w:vAlign w:val="bottom"/>
            <w:shd w:val="clear" w:color="auto" w:fill="DEEAEB"/>
          </w:tcPr>
          <w:p>
            <w:pPr>
              <w:spacing w:after="0"/>
              <w:rPr>
                <w:sz w:val="19"/>
                <w:szCs w:val="19"/>
                <w:color w:val="auto"/>
              </w:rPr>
            </w:pPr>
          </w:p>
        </w:tc>
        <w:tc>
          <w:tcPr>
            <w:tcW w:w="100" w:type="dxa"/>
            <w:vAlign w:val="bottom"/>
            <w:shd w:val="clear" w:color="auto" w:fill="DEEAEB"/>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320"/>
              <w:spacing w:after="0"/>
              <w:rPr>
                <w:sz w:val="20"/>
                <w:szCs w:val="20"/>
                <w:color w:val="auto"/>
              </w:rPr>
            </w:pPr>
            <w:r>
              <w:rPr>
                <w:rFonts w:ascii="Calibri" w:cs="Calibri" w:eastAsia="Calibri" w:hAnsi="Calibri"/>
                <w:sz w:val="16"/>
                <w:szCs w:val="16"/>
                <w:color w:val="auto"/>
              </w:rPr>
              <w:t>and $0.0, respectvely</w:t>
            </w:r>
          </w:p>
        </w:tc>
        <w:tc>
          <w:tcPr>
            <w:tcW w:w="280" w:type="dxa"/>
            <w:vAlign w:val="bottom"/>
            <w:shd w:val="clear" w:color="auto" w:fill="B6D2E2"/>
          </w:tcPr>
          <w:p>
            <w:pPr>
              <w:spacing w:after="0"/>
              <w:rPr>
                <w:sz w:val="17"/>
                <w:szCs w:val="17"/>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(36.3</w:t>
            </w:r>
          </w:p>
        </w:tc>
        <w:tc>
          <w:tcPr>
            <w:tcW w:w="12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w w:val="79"/>
              </w:rPr>
              <w:t>)</w:t>
            </w: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00" w:type="dxa"/>
            <w:vAlign w:val="bottom"/>
            <w:shd w:val="clear" w:color="auto" w:fill="DEEAEB"/>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shd w:val="clear" w:color="auto" w:fill="DEEAEB"/>
          </w:tcPr>
          <w:p>
            <w:pPr>
              <w:spacing w:after="0"/>
              <w:rPr>
                <w:sz w:val="17"/>
                <w:szCs w:val="17"/>
                <w:color w:val="auto"/>
              </w:rPr>
            </w:pPr>
          </w:p>
        </w:tc>
        <w:tc>
          <w:tcPr>
            <w:tcW w:w="13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00" w:type="dxa"/>
            <w:vAlign w:val="bottom"/>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00"/>
              <w:spacing w:after="0"/>
              <w:rPr>
                <w:sz w:val="20"/>
                <w:szCs w:val="20"/>
                <w:color w:val="auto"/>
              </w:rPr>
            </w:pPr>
            <w:r>
              <w:rPr>
                <w:rFonts w:ascii="Calibri" w:cs="Calibri" w:eastAsia="Calibri" w:hAnsi="Calibri"/>
                <w:sz w:val="16"/>
                <w:szCs w:val="16"/>
                <w:color w:val="auto"/>
              </w:rPr>
              <w:t>Amortzaton of prior service cost (credit), net of tax of $0.9, $0.0</w:t>
            </w:r>
          </w:p>
        </w:tc>
        <w:tc>
          <w:tcPr>
            <w:tcW w:w="280" w:type="dxa"/>
            <w:vAlign w:val="bottom"/>
            <w:shd w:val="clear" w:color="auto" w:fill="B6D2E2"/>
          </w:tcPr>
          <w:p>
            <w:pPr>
              <w:spacing w:after="0"/>
              <w:rPr>
                <w:sz w:val="19"/>
                <w:szCs w:val="19"/>
                <w:color w:val="auto"/>
              </w:rPr>
            </w:pPr>
          </w:p>
        </w:tc>
        <w:tc>
          <w:tcPr>
            <w:tcW w:w="1280" w:type="dxa"/>
            <w:vAlign w:val="bottom"/>
            <w:shd w:val="clear" w:color="auto" w:fill="B6D2E2"/>
          </w:tcPr>
          <w:p>
            <w:pPr>
              <w:spacing w:after="0"/>
              <w:rPr>
                <w:sz w:val="19"/>
                <w:szCs w:val="19"/>
                <w:color w:val="auto"/>
              </w:rPr>
            </w:pPr>
          </w:p>
        </w:tc>
        <w:tc>
          <w:tcPr>
            <w:tcW w:w="120" w:type="dxa"/>
            <w:vAlign w:val="bottom"/>
            <w:shd w:val="clear" w:color="auto" w:fill="B6D2E2"/>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60" w:type="dxa"/>
            <w:vAlign w:val="bottom"/>
            <w:shd w:val="clear" w:color="auto" w:fill="DEEAEB"/>
          </w:tcPr>
          <w:p>
            <w:pPr>
              <w:spacing w:after="0"/>
              <w:rPr>
                <w:sz w:val="19"/>
                <w:szCs w:val="19"/>
                <w:color w:val="auto"/>
              </w:rPr>
            </w:pPr>
          </w:p>
        </w:tc>
        <w:tc>
          <w:tcPr>
            <w:tcW w:w="100" w:type="dxa"/>
            <w:vAlign w:val="bottom"/>
            <w:shd w:val="clear" w:color="auto" w:fill="DEEAEB"/>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300" w:type="dxa"/>
            <w:vAlign w:val="bottom"/>
            <w:shd w:val="clear" w:color="auto" w:fill="DEEAEB"/>
          </w:tcPr>
          <w:p>
            <w:pPr>
              <w:spacing w:after="0"/>
              <w:rPr>
                <w:sz w:val="19"/>
                <w:szCs w:val="19"/>
                <w:color w:val="auto"/>
              </w:rPr>
            </w:pPr>
          </w:p>
        </w:tc>
        <w:tc>
          <w:tcPr>
            <w:tcW w:w="100" w:type="dxa"/>
            <w:vAlign w:val="bottom"/>
            <w:shd w:val="clear" w:color="auto" w:fill="DEEAEB"/>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320"/>
              <w:spacing w:after="0"/>
              <w:rPr>
                <w:sz w:val="20"/>
                <w:szCs w:val="20"/>
                <w:color w:val="auto"/>
              </w:rPr>
            </w:pPr>
            <w:r>
              <w:rPr>
                <w:rFonts w:ascii="Calibri" w:cs="Calibri" w:eastAsia="Calibri" w:hAnsi="Calibri"/>
                <w:sz w:val="16"/>
                <w:szCs w:val="16"/>
                <w:color w:val="auto"/>
              </w:rPr>
              <w:t>and $0.0, respectvely</w:t>
            </w:r>
          </w:p>
        </w:tc>
        <w:tc>
          <w:tcPr>
            <w:tcW w:w="280" w:type="dxa"/>
            <w:vAlign w:val="bottom"/>
            <w:shd w:val="clear" w:color="auto" w:fill="B6D2E2"/>
          </w:tcPr>
          <w:p>
            <w:pPr>
              <w:spacing w:after="0"/>
              <w:rPr>
                <w:sz w:val="17"/>
                <w:szCs w:val="17"/>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3.1</w:t>
            </w:r>
          </w:p>
        </w:tc>
        <w:tc>
          <w:tcPr>
            <w:tcW w:w="120" w:type="dxa"/>
            <w:vAlign w:val="bottom"/>
            <w:shd w:val="clear" w:color="auto" w:fill="B6D2E2"/>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00" w:type="dxa"/>
            <w:vAlign w:val="bottom"/>
            <w:shd w:val="clear" w:color="auto" w:fill="DEEAEB"/>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shd w:val="clear" w:color="auto" w:fill="DEEAEB"/>
          </w:tcPr>
          <w:p>
            <w:pPr>
              <w:spacing w:after="0"/>
              <w:rPr>
                <w:sz w:val="17"/>
                <w:szCs w:val="17"/>
                <w:color w:val="auto"/>
              </w:rPr>
            </w:pPr>
          </w:p>
        </w:tc>
        <w:tc>
          <w:tcPr>
            <w:tcW w:w="13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(0.1</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c>
          <w:tcPr>
            <w:tcW w:w="0" w:type="dxa"/>
            <w:vAlign w:val="bottom"/>
          </w:tcPr>
          <w:p>
            <w:pPr>
              <w:spacing w:after="0"/>
              <w:rPr>
                <w:sz w:val="1"/>
                <w:szCs w:val="1"/>
                <w:color w:val="auto"/>
              </w:rPr>
            </w:pPr>
          </w:p>
        </w:tc>
      </w:tr>
      <w:tr>
        <w:trPr>
          <w:trHeight w:val="230"/>
        </w:trPr>
        <w:tc>
          <w:tcPr>
            <w:tcW w:w="5980" w:type="dxa"/>
            <w:vAlign w:val="bottom"/>
          </w:tcPr>
          <w:p>
            <w:pPr>
              <w:ind w:left="200"/>
              <w:spacing w:after="0"/>
              <w:rPr>
                <w:sz w:val="20"/>
                <w:szCs w:val="20"/>
                <w:color w:val="auto"/>
              </w:rPr>
            </w:pPr>
            <w:r>
              <w:rPr>
                <w:rFonts w:ascii="Calibri" w:cs="Calibri" w:eastAsia="Calibri" w:hAnsi="Calibri"/>
                <w:sz w:val="16"/>
                <w:szCs w:val="16"/>
                <w:color w:val="auto"/>
              </w:rPr>
              <w:t>Amortzaton of actuarial loss, net of tax of $0.8, $2.9 and</w:t>
            </w:r>
          </w:p>
        </w:tc>
        <w:tc>
          <w:tcPr>
            <w:tcW w:w="280" w:type="dxa"/>
            <w:vAlign w:val="bottom"/>
            <w:shd w:val="clear" w:color="auto" w:fill="B6D2E2"/>
          </w:tcPr>
          <w:p>
            <w:pPr>
              <w:spacing w:after="0"/>
              <w:rPr>
                <w:sz w:val="19"/>
                <w:szCs w:val="19"/>
                <w:color w:val="auto"/>
              </w:rPr>
            </w:pPr>
          </w:p>
        </w:tc>
        <w:tc>
          <w:tcPr>
            <w:tcW w:w="1280" w:type="dxa"/>
            <w:vAlign w:val="bottom"/>
            <w:shd w:val="clear" w:color="auto" w:fill="B6D2E2"/>
          </w:tcPr>
          <w:p>
            <w:pPr>
              <w:spacing w:after="0"/>
              <w:rPr>
                <w:sz w:val="19"/>
                <w:szCs w:val="19"/>
                <w:color w:val="auto"/>
              </w:rPr>
            </w:pPr>
          </w:p>
        </w:tc>
        <w:tc>
          <w:tcPr>
            <w:tcW w:w="120" w:type="dxa"/>
            <w:vAlign w:val="bottom"/>
            <w:shd w:val="clear" w:color="auto" w:fill="B6D2E2"/>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60" w:type="dxa"/>
            <w:vAlign w:val="bottom"/>
            <w:shd w:val="clear" w:color="auto" w:fill="DEEAEB"/>
          </w:tcPr>
          <w:p>
            <w:pPr>
              <w:spacing w:after="0"/>
              <w:rPr>
                <w:sz w:val="19"/>
                <w:szCs w:val="19"/>
                <w:color w:val="auto"/>
              </w:rPr>
            </w:pPr>
          </w:p>
        </w:tc>
        <w:tc>
          <w:tcPr>
            <w:tcW w:w="100" w:type="dxa"/>
            <w:vAlign w:val="bottom"/>
            <w:shd w:val="clear" w:color="auto" w:fill="DEEAEB"/>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300" w:type="dxa"/>
            <w:vAlign w:val="bottom"/>
            <w:shd w:val="clear" w:color="auto" w:fill="DEEAEB"/>
          </w:tcPr>
          <w:p>
            <w:pPr>
              <w:spacing w:after="0"/>
              <w:rPr>
                <w:sz w:val="19"/>
                <w:szCs w:val="19"/>
                <w:color w:val="auto"/>
              </w:rPr>
            </w:pPr>
          </w:p>
        </w:tc>
        <w:tc>
          <w:tcPr>
            <w:tcW w:w="100" w:type="dxa"/>
            <w:vAlign w:val="bottom"/>
            <w:shd w:val="clear" w:color="auto" w:fill="DEEAEB"/>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320"/>
              <w:spacing w:after="0"/>
              <w:rPr>
                <w:sz w:val="20"/>
                <w:szCs w:val="20"/>
                <w:color w:val="auto"/>
              </w:rPr>
            </w:pPr>
            <w:r>
              <w:rPr>
                <w:rFonts w:ascii="Calibri" w:cs="Calibri" w:eastAsia="Calibri" w:hAnsi="Calibri"/>
                <w:sz w:val="16"/>
                <w:szCs w:val="16"/>
                <w:color w:val="auto"/>
              </w:rPr>
              <w:t>$3.6, respectvely</w:t>
            </w:r>
          </w:p>
        </w:tc>
        <w:tc>
          <w:tcPr>
            <w:tcW w:w="280" w:type="dxa"/>
            <w:vAlign w:val="bottom"/>
            <w:shd w:val="clear" w:color="auto" w:fill="B6D2E2"/>
          </w:tcPr>
          <w:p>
            <w:pPr>
              <w:spacing w:after="0"/>
              <w:rPr>
                <w:sz w:val="17"/>
                <w:szCs w:val="17"/>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2.9</w:t>
            </w:r>
          </w:p>
        </w:tc>
        <w:tc>
          <w:tcPr>
            <w:tcW w:w="120" w:type="dxa"/>
            <w:vAlign w:val="bottom"/>
            <w:shd w:val="clear" w:color="auto" w:fill="B6D2E2"/>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9.2</w:t>
            </w:r>
          </w:p>
        </w:tc>
        <w:tc>
          <w:tcPr>
            <w:tcW w:w="100" w:type="dxa"/>
            <w:vAlign w:val="bottom"/>
            <w:shd w:val="clear" w:color="auto" w:fill="DEEAEB"/>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shd w:val="clear" w:color="auto" w:fill="DEEAEB"/>
          </w:tcPr>
          <w:p>
            <w:pPr>
              <w:spacing w:after="0"/>
              <w:rPr>
                <w:sz w:val="17"/>
                <w:szCs w:val="17"/>
                <w:color w:val="auto"/>
              </w:rPr>
            </w:pPr>
          </w:p>
        </w:tc>
        <w:tc>
          <w:tcPr>
            <w:tcW w:w="13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10.7</w:t>
            </w:r>
          </w:p>
        </w:tc>
        <w:tc>
          <w:tcPr>
            <w:tcW w:w="100" w:type="dxa"/>
            <w:vAlign w:val="bottom"/>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00"/>
              <w:spacing w:after="0"/>
              <w:rPr>
                <w:sz w:val="20"/>
                <w:szCs w:val="20"/>
                <w:color w:val="auto"/>
              </w:rPr>
            </w:pPr>
            <w:r>
              <w:rPr>
                <w:rFonts w:ascii="Calibri" w:cs="Calibri" w:eastAsia="Calibri" w:hAnsi="Calibri"/>
                <w:sz w:val="16"/>
                <w:szCs w:val="16"/>
                <w:color w:val="auto"/>
              </w:rPr>
              <w:t>Amount recognized in net periodic pension cost due to setlement,</w:t>
            </w:r>
          </w:p>
        </w:tc>
        <w:tc>
          <w:tcPr>
            <w:tcW w:w="280" w:type="dxa"/>
            <w:vAlign w:val="bottom"/>
            <w:shd w:val="clear" w:color="auto" w:fill="B6D2E2"/>
          </w:tcPr>
          <w:p>
            <w:pPr>
              <w:spacing w:after="0"/>
              <w:rPr>
                <w:sz w:val="19"/>
                <w:szCs w:val="19"/>
                <w:color w:val="auto"/>
              </w:rPr>
            </w:pPr>
          </w:p>
        </w:tc>
        <w:tc>
          <w:tcPr>
            <w:tcW w:w="1280" w:type="dxa"/>
            <w:vAlign w:val="bottom"/>
            <w:vMerge w:val="restart"/>
            <w:shd w:val="clear" w:color="auto" w:fill="B6D2E2"/>
          </w:tcPr>
          <w:p>
            <w:pPr>
              <w:jc w:val="right"/>
              <w:spacing w:after="0"/>
              <w:rPr>
                <w:sz w:val="20"/>
                <w:szCs w:val="20"/>
                <w:color w:val="auto"/>
              </w:rPr>
            </w:pPr>
            <w:r>
              <w:rPr>
                <w:rFonts w:ascii="Calibri" w:cs="Calibri" w:eastAsia="Calibri" w:hAnsi="Calibri"/>
                <w:sz w:val="16"/>
                <w:szCs w:val="16"/>
                <w:b w:val="1"/>
                <w:bCs w:val="1"/>
                <w:color w:val="auto"/>
              </w:rPr>
              <w:t>3.5</w:t>
            </w:r>
          </w:p>
        </w:tc>
        <w:tc>
          <w:tcPr>
            <w:tcW w:w="120" w:type="dxa"/>
            <w:vAlign w:val="bottom"/>
            <w:shd w:val="clear" w:color="auto" w:fill="B6D2E2"/>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60" w:type="dxa"/>
            <w:vAlign w:val="bottom"/>
            <w:vMerge w:val="restart"/>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00" w:type="dxa"/>
            <w:vAlign w:val="bottom"/>
            <w:shd w:val="clear" w:color="auto" w:fill="DEEAEB"/>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300" w:type="dxa"/>
            <w:vAlign w:val="bottom"/>
            <w:vMerge w:val="restart"/>
            <w:shd w:val="clear" w:color="auto" w:fill="DEEAEB"/>
          </w:tcPr>
          <w:p>
            <w:pPr>
              <w:jc w:val="right"/>
              <w:spacing w:after="0"/>
              <w:rPr>
                <w:sz w:val="20"/>
                <w:szCs w:val="20"/>
                <w:color w:val="auto"/>
              </w:rPr>
            </w:pPr>
            <w:r>
              <w:rPr>
                <w:rFonts w:ascii="Calibri" w:cs="Calibri" w:eastAsia="Calibri" w:hAnsi="Calibri"/>
                <w:sz w:val="16"/>
                <w:szCs w:val="16"/>
                <w:color w:val="auto"/>
              </w:rPr>
              <w:t>2.8</w:t>
            </w:r>
          </w:p>
        </w:tc>
        <w:tc>
          <w:tcPr>
            <w:tcW w:w="100" w:type="dxa"/>
            <w:vAlign w:val="bottom"/>
            <w:shd w:val="clear" w:color="auto" w:fill="DEEAE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320"/>
              <w:spacing w:after="0"/>
              <w:rPr>
                <w:sz w:val="20"/>
                <w:szCs w:val="20"/>
                <w:color w:val="auto"/>
              </w:rPr>
            </w:pPr>
            <w:r>
              <w:rPr>
                <w:rFonts w:ascii="Calibri" w:cs="Calibri" w:eastAsia="Calibri" w:hAnsi="Calibri"/>
                <w:sz w:val="16"/>
                <w:szCs w:val="16"/>
                <w:color w:val="auto"/>
              </w:rPr>
              <w:t>net of tax of $1.1, $0.0 and $0.9, respectvely</w:t>
            </w:r>
          </w:p>
        </w:tc>
        <w:tc>
          <w:tcPr>
            <w:tcW w:w="280" w:type="dxa"/>
            <w:vAlign w:val="bottom"/>
            <w:tcBorders>
              <w:bottom w:val="single" w:sz="8" w:color="B6D2E2"/>
            </w:tcBorders>
            <w:shd w:val="clear" w:color="auto" w:fill="B6D2E2"/>
          </w:tcPr>
          <w:p>
            <w:pPr>
              <w:spacing w:after="0"/>
              <w:rPr>
                <w:sz w:val="20"/>
                <w:szCs w:val="20"/>
                <w:color w:val="auto"/>
              </w:rPr>
            </w:pPr>
          </w:p>
        </w:tc>
        <w:tc>
          <w:tcPr>
            <w:tcW w:w="1280" w:type="dxa"/>
            <w:vAlign w:val="bottom"/>
            <w:tcBorders>
              <w:bottom w:val="single" w:sz="8" w:color="B6D2E2"/>
            </w:tcBorders>
            <w:vMerge w:val="continue"/>
            <w:shd w:val="clear" w:color="auto" w:fill="B6D2E2"/>
          </w:tcPr>
          <w:p>
            <w:pPr>
              <w:spacing w:after="0"/>
              <w:rPr>
                <w:sz w:val="20"/>
                <w:szCs w:val="20"/>
                <w:color w:val="auto"/>
              </w:rPr>
            </w:pPr>
          </w:p>
        </w:tc>
        <w:tc>
          <w:tcPr>
            <w:tcW w:w="120" w:type="dxa"/>
            <w:vAlign w:val="bottom"/>
            <w:tcBorders>
              <w:bottom w:val="single" w:sz="8" w:color="B6D2E2"/>
            </w:tcBorders>
            <w:shd w:val="clear" w:color="auto" w:fill="B6D2E2"/>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DEEAEB"/>
            </w:tcBorders>
            <w:shd w:val="clear" w:color="auto" w:fill="DEEAEB"/>
          </w:tcPr>
          <w:p>
            <w:pPr>
              <w:spacing w:after="0"/>
              <w:rPr>
                <w:sz w:val="20"/>
                <w:szCs w:val="20"/>
                <w:color w:val="auto"/>
              </w:rPr>
            </w:pPr>
          </w:p>
        </w:tc>
        <w:tc>
          <w:tcPr>
            <w:tcW w:w="1260" w:type="dxa"/>
            <w:vAlign w:val="bottom"/>
            <w:tcBorders>
              <w:bottom w:val="single" w:sz="8" w:color="DEEAEB"/>
            </w:tcBorders>
            <w:vMerge w:val="continue"/>
            <w:shd w:val="clear" w:color="auto" w:fill="DEEAEB"/>
          </w:tcPr>
          <w:p>
            <w:pPr>
              <w:spacing w:after="0"/>
              <w:rPr>
                <w:sz w:val="20"/>
                <w:szCs w:val="20"/>
                <w:color w:val="auto"/>
              </w:rPr>
            </w:pPr>
          </w:p>
        </w:tc>
        <w:tc>
          <w:tcPr>
            <w:tcW w:w="100" w:type="dxa"/>
            <w:vAlign w:val="bottom"/>
            <w:tcBorders>
              <w:bottom w:val="single" w:sz="8" w:color="DEEAEB"/>
            </w:tcBorders>
            <w:shd w:val="clear" w:color="auto" w:fill="DEEAEB"/>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DEEAEB"/>
            </w:tcBorders>
            <w:shd w:val="clear" w:color="auto" w:fill="DEEAEB"/>
          </w:tcPr>
          <w:p>
            <w:pPr>
              <w:spacing w:after="0"/>
              <w:rPr>
                <w:sz w:val="20"/>
                <w:szCs w:val="20"/>
                <w:color w:val="auto"/>
              </w:rPr>
            </w:pPr>
          </w:p>
        </w:tc>
        <w:tc>
          <w:tcPr>
            <w:tcW w:w="1300" w:type="dxa"/>
            <w:vAlign w:val="bottom"/>
            <w:tcBorders>
              <w:bottom w:val="single" w:sz="8" w:color="DEEAEB"/>
            </w:tcBorders>
            <w:vMerge w:val="continue"/>
            <w:shd w:val="clear" w:color="auto" w:fill="DEEAEB"/>
          </w:tcPr>
          <w:p>
            <w:pPr>
              <w:spacing w:after="0"/>
              <w:rPr>
                <w:sz w:val="20"/>
                <w:szCs w:val="20"/>
                <w:color w:val="auto"/>
              </w:rPr>
            </w:pPr>
          </w:p>
        </w:tc>
        <w:tc>
          <w:tcPr>
            <w:tcW w:w="100" w:type="dxa"/>
            <w:vAlign w:val="bottom"/>
            <w:tcBorders>
              <w:bottom w:val="single" w:sz="8" w:color="DEEAEB"/>
            </w:tcBorders>
            <w:shd w:val="clear" w:color="auto" w:fill="DEEAEB"/>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980" w:type="dxa"/>
            <w:vAlign w:val="bottom"/>
          </w:tcPr>
          <w:p>
            <w:pPr>
              <w:spacing w:after="0"/>
              <w:rPr>
                <w:sz w:val="16"/>
                <w:szCs w:val="16"/>
                <w:color w:val="auto"/>
              </w:rPr>
            </w:pPr>
          </w:p>
        </w:tc>
        <w:tc>
          <w:tcPr>
            <w:tcW w:w="280" w:type="dxa"/>
            <w:vAlign w:val="bottom"/>
            <w:tcBorders>
              <w:top w:val="single" w:sz="8" w:color="auto"/>
            </w:tcBorders>
            <w:shd w:val="clear" w:color="auto" w:fill="B6D2E2"/>
          </w:tcPr>
          <w:p>
            <w:pPr>
              <w:spacing w:after="0"/>
              <w:rPr>
                <w:sz w:val="16"/>
                <w:szCs w:val="16"/>
                <w:color w:val="auto"/>
              </w:rPr>
            </w:pPr>
          </w:p>
        </w:tc>
        <w:tc>
          <w:tcPr>
            <w:tcW w:w="1280" w:type="dxa"/>
            <w:vAlign w:val="bottom"/>
            <w:tcBorders>
              <w:top w:val="single" w:sz="8" w:color="auto"/>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61.1</w:t>
            </w:r>
          </w:p>
        </w:tc>
        <w:tc>
          <w:tcPr>
            <w:tcW w:w="120" w:type="dxa"/>
            <w:vAlign w:val="bottom"/>
            <w:tcBorders>
              <w:top w:val="single" w:sz="8" w:color="auto"/>
            </w:tcBorders>
            <w:shd w:val="clear" w:color="auto" w:fill="B6D2E2"/>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shd w:val="clear" w:color="auto" w:fill="DEEAEB"/>
          </w:tcPr>
          <w:p>
            <w:pPr>
              <w:spacing w:after="0"/>
              <w:rPr>
                <w:sz w:val="16"/>
                <w:szCs w:val="16"/>
                <w:color w:val="auto"/>
              </w:rPr>
            </w:pPr>
          </w:p>
        </w:tc>
        <w:tc>
          <w:tcPr>
            <w:tcW w:w="126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60.5</w:t>
            </w:r>
          </w:p>
        </w:tc>
        <w:tc>
          <w:tcPr>
            <w:tcW w:w="100" w:type="dxa"/>
            <w:vAlign w:val="bottom"/>
            <w:tcBorders>
              <w:top w:val="single" w:sz="8" w:color="auto"/>
            </w:tcBorders>
            <w:shd w:val="clear" w:color="auto" w:fill="DEEAEB"/>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shd w:val="clear" w:color="auto" w:fill="DEEAEB"/>
          </w:tcPr>
          <w:p>
            <w:pPr>
              <w:spacing w:after="0"/>
              <w:rPr>
                <w:sz w:val="16"/>
                <w:szCs w:val="16"/>
                <w:color w:val="auto"/>
              </w:rPr>
            </w:pPr>
          </w:p>
        </w:tc>
        <w:tc>
          <w:tcPr>
            <w:tcW w:w="130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(13.2</w:t>
            </w:r>
          </w:p>
        </w:tc>
        <w:tc>
          <w:tcPr>
            <w:tcW w:w="10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w w:val="81"/>
              </w:rPr>
              <w:t>)</w:t>
            </w:r>
          </w:p>
        </w:tc>
        <w:tc>
          <w:tcPr>
            <w:tcW w:w="0" w:type="dxa"/>
            <w:vAlign w:val="bottom"/>
          </w:tcPr>
          <w:p>
            <w:pPr>
              <w:spacing w:after="0"/>
              <w:rPr>
                <w:sz w:val="1"/>
                <w:szCs w:val="1"/>
                <w:color w:val="auto"/>
              </w:rPr>
            </w:pPr>
          </w:p>
        </w:tc>
      </w:tr>
      <w:tr>
        <w:trPr>
          <w:trHeight w:val="266"/>
        </w:trPr>
        <w:tc>
          <w:tcPr>
            <w:tcW w:w="5980" w:type="dxa"/>
            <w:vAlign w:val="bottom"/>
          </w:tcPr>
          <w:p>
            <w:pPr>
              <w:ind w:left="20"/>
              <w:spacing w:after="0"/>
              <w:rPr>
                <w:sz w:val="20"/>
                <w:szCs w:val="20"/>
                <w:color w:val="auto"/>
              </w:rPr>
            </w:pPr>
            <w:r>
              <w:rPr>
                <w:rFonts w:ascii="Calibri" w:cs="Calibri" w:eastAsia="Calibri" w:hAnsi="Calibri"/>
                <w:sz w:val="16"/>
                <w:szCs w:val="16"/>
                <w:color w:val="auto"/>
              </w:rPr>
              <w:t>Foreign currency translaton (loss) gain</w:t>
            </w:r>
          </w:p>
        </w:tc>
        <w:tc>
          <w:tcPr>
            <w:tcW w:w="280" w:type="dxa"/>
            <w:vAlign w:val="bottom"/>
            <w:tcBorders>
              <w:bottom w:val="single" w:sz="8" w:color="B6D2E2"/>
            </w:tcBorders>
            <w:shd w:val="clear" w:color="auto" w:fill="B6D2E2"/>
          </w:tcPr>
          <w:p>
            <w:pPr>
              <w:spacing w:after="0"/>
              <w:rPr>
                <w:sz w:val="23"/>
                <w:szCs w:val="23"/>
                <w:color w:val="auto"/>
              </w:rPr>
            </w:pPr>
          </w:p>
        </w:tc>
        <w:tc>
          <w:tcPr>
            <w:tcW w:w="1400" w:type="dxa"/>
            <w:vAlign w:val="bottom"/>
            <w:tcBorders>
              <w:bottom w:val="single" w:sz="8" w:color="B6D2E2"/>
            </w:tcBorders>
            <w:gridSpan w:val="2"/>
            <w:shd w:val="clear" w:color="auto" w:fill="B6D2E2"/>
          </w:tcPr>
          <w:p>
            <w:pPr>
              <w:jc w:val="right"/>
              <w:spacing w:after="0"/>
              <w:rPr>
                <w:sz w:val="20"/>
                <w:szCs w:val="20"/>
                <w:color w:val="auto"/>
              </w:rPr>
            </w:pPr>
            <w:r>
              <w:rPr>
                <w:rFonts w:ascii="Calibri" w:cs="Calibri" w:eastAsia="Calibri" w:hAnsi="Calibri"/>
                <w:sz w:val="16"/>
                <w:szCs w:val="16"/>
                <w:b w:val="1"/>
                <w:bCs w:val="1"/>
                <w:color w:val="auto"/>
              </w:rPr>
              <w:t>(2.0 )</w:t>
            </w:r>
          </w:p>
        </w:tc>
        <w:tc>
          <w:tcPr>
            <w:tcW w:w="160" w:type="dxa"/>
            <w:vAlign w:val="bottom"/>
          </w:tcPr>
          <w:p>
            <w:pPr>
              <w:spacing w:after="0"/>
              <w:rPr>
                <w:sz w:val="23"/>
                <w:szCs w:val="23"/>
                <w:color w:val="auto"/>
              </w:rPr>
            </w:pPr>
          </w:p>
        </w:tc>
        <w:tc>
          <w:tcPr>
            <w:tcW w:w="260" w:type="dxa"/>
            <w:vAlign w:val="bottom"/>
            <w:tcBorders>
              <w:bottom w:val="single" w:sz="8" w:color="DEEAEB"/>
            </w:tcBorders>
            <w:shd w:val="clear" w:color="auto" w:fill="DEEAEB"/>
          </w:tcPr>
          <w:p>
            <w:pPr>
              <w:spacing w:after="0"/>
              <w:rPr>
                <w:sz w:val="23"/>
                <w:szCs w:val="23"/>
                <w:color w:val="auto"/>
              </w:rPr>
            </w:pPr>
          </w:p>
        </w:tc>
        <w:tc>
          <w:tcPr>
            <w:tcW w:w="126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0.3</w:t>
            </w:r>
          </w:p>
        </w:tc>
        <w:tc>
          <w:tcPr>
            <w:tcW w:w="100" w:type="dxa"/>
            <w:vAlign w:val="bottom"/>
            <w:tcBorders>
              <w:bottom w:val="single" w:sz="8" w:color="DEEAEB"/>
            </w:tcBorders>
            <w:shd w:val="clear" w:color="auto" w:fill="DEEAEB"/>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Borders>
              <w:bottom w:val="single" w:sz="8" w:color="DEEAEB"/>
            </w:tcBorders>
            <w:shd w:val="clear" w:color="auto" w:fill="DEEAEB"/>
          </w:tcPr>
          <w:p>
            <w:pPr>
              <w:spacing w:after="0"/>
              <w:rPr>
                <w:sz w:val="23"/>
                <w:szCs w:val="23"/>
                <w:color w:val="auto"/>
              </w:rPr>
            </w:pPr>
          </w:p>
        </w:tc>
        <w:tc>
          <w:tcPr>
            <w:tcW w:w="13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0.6</w:t>
            </w:r>
          </w:p>
        </w:tc>
        <w:tc>
          <w:tcPr>
            <w:tcW w:w="100" w:type="dxa"/>
            <w:vAlign w:val="bottom"/>
            <w:tcBorders>
              <w:bottom w:val="single" w:sz="8" w:color="DEEAEB"/>
            </w:tcBorders>
            <w:shd w:val="clear" w:color="auto" w:fill="DEEAEB"/>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280" w:type="dxa"/>
            <w:vAlign w:val="bottom"/>
            <w:tcBorders>
              <w:top w:val="single" w:sz="8" w:color="auto"/>
              <w:bottom w:val="single" w:sz="8" w:color="B6D2E2"/>
            </w:tcBorders>
            <w:shd w:val="clear" w:color="auto" w:fill="B6D2E2"/>
          </w:tcPr>
          <w:p>
            <w:pPr>
              <w:spacing w:after="0"/>
              <w:rPr>
                <w:sz w:val="19"/>
                <w:szCs w:val="19"/>
                <w:color w:val="auto"/>
              </w:rPr>
            </w:pPr>
          </w:p>
        </w:tc>
        <w:tc>
          <w:tcPr>
            <w:tcW w:w="128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59.1</w:t>
            </w:r>
          </w:p>
        </w:tc>
        <w:tc>
          <w:tcPr>
            <w:tcW w:w="120" w:type="dxa"/>
            <w:vAlign w:val="bottom"/>
            <w:tcBorders>
              <w:top w:val="single" w:sz="8" w:color="auto"/>
              <w:bottom w:val="single" w:sz="8" w:color="B6D2E2"/>
            </w:tcBorders>
            <w:shd w:val="clear" w:color="auto" w:fill="B6D2E2"/>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DEEAEB"/>
            </w:tcBorders>
            <w:shd w:val="clear" w:color="auto" w:fill="DEEAEB"/>
          </w:tcPr>
          <w:p>
            <w:pPr>
              <w:spacing w:after="0"/>
              <w:rPr>
                <w:sz w:val="19"/>
                <w:szCs w:val="19"/>
                <w:color w:val="auto"/>
              </w:rPr>
            </w:pPr>
          </w:p>
        </w:tc>
        <w:tc>
          <w:tcPr>
            <w:tcW w:w="126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60.8</w:t>
            </w:r>
          </w:p>
        </w:tc>
        <w:tc>
          <w:tcPr>
            <w:tcW w:w="100" w:type="dxa"/>
            <w:vAlign w:val="bottom"/>
            <w:tcBorders>
              <w:top w:val="single" w:sz="8" w:color="auto"/>
              <w:bottom w:val="single" w:sz="8" w:color="DEEAEB"/>
            </w:tcBorders>
            <w:shd w:val="clear" w:color="auto" w:fill="DEEAEB"/>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DEEAEB"/>
            </w:tcBorders>
            <w:shd w:val="clear" w:color="auto" w:fill="DEEAEB"/>
          </w:tcPr>
          <w:p>
            <w:pPr>
              <w:spacing w:after="0"/>
              <w:rPr>
                <w:sz w:val="19"/>
                <w:szCs w:val="19"/>
                <w:color w:val="auto"/>
              </w:rPr>
            </w:pPr>
          </w:p>
        </w:tc>
        <w:tc>
          <w:tcPr>
            <w:tcW w:w="1400" w:type="dxa"/>
            <w:vAlign w:val="bottom"/>
            <w:tcBorders>
              <w:top w:val="single" w:sz="8" w:color="auto"/>
              <w:bottom w:val="single" w:sz="8" w:color="DEEAEB"/>
            </w:tcBorders>
            <w:gridSpan w:val="2"/>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(12.6 )</w:t>
            </w:r>
          </w:p>
        </w:tc>
        <w:tc>
          <w:tcPr>
            <w:tcW w:w="0" w:type="dxa"/>
            <w:vAlign w:val="bottom"/>
          </w:tcPr>
          <w:p>
            <w:pPr>
              <w:spacing w:after="0"/>
              <w:rPr>
                <w:sz w:val="1"/>
                <w:szCs w:val="1"/>
                <w:color w:val="auto"/>
              </w:rPr>
            </w:pPr>
          </w:p>
        </w:tc>
      </w:tr>
      <w:tr>
        <w:trPr>
          <w:trHeight w:val="187"/>
        </w:trPr>
        <w:tc>
          <w:tcPr>
            <w:tcW w:w="5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color w:val="auto"/>
              </w:rPr>
              <w:t>Consolidated comprehensive earnings</w:t>
            </w:r>
          </w:p>
        </w:tc>
        <w:tc>
          <w:tcPr>
            <w:tcW w:w="280" w:type="dxa"/>
            <w:vAlign w:val="bottom"/>
            <w:tcBorders>
              <w:top w:val="single" w:sz="8" w:color="auto"/>
            </w:tcBorders>
            <w:shd w:val="clear" w:color="auto" w:fill="B6D2E2"/>
          </w:tcPr>
          <w:p>
            <w:pPr>
              <w:spacing w:after="0"/>
              <w:rPr>
                <w:sz w:val="16"/>
                <w:szCs w:val="16"/>
                <w:color w:val="auto"/>
              </w:rPr>
            </w:pPr>
          </w:p>
        </w:tc>
        <w:tc>
          <w:tcPr>
            <w:tcW w:w="1280" w:type="dxa"/>
            <w:vAlign w:val="bottom"/>
            <w:tcBorders>
              <w:top w:val="single" w:sz="8" w:color="auto"/>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925.9</w:t>
            </w:r>
          </w:p>
        </w:tc>
        <w:tc>
          <w:tcPr>
            <w:tcW w:w="120" w:type="dxa"/>
            <w:vAlign w:val="bottom"/>
            <w:tcBorders>
              <w:top w:val="single" w:sz="8" w:color="auto"/>
            </w:tcBorders>
            <w:shd w:val="clear" w:color="auto" w:fill="B6D2E2"/>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shd w:val="clear" w:color="auto" w:fill="DEEAEB"/>
          </w:tcPr>
          <w:p>
            <w:pPr>
              <w:spacing w:after="0"/>
              <w:rPr>
                <w:sz w:val="16"/>
                <w:szCs w:val="16"/>
                <w:color w:val="auto"/>
              </w:rPr>
            </w:pPr>
          </w:p>
        </w:tc>
        <w:tc>
          <w:tcPr>
            <w:tcW w:w="126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763.6</w:t>
            </w:r>
          </w:p>
        </w:tc>
        <w:tc>
          <w:tcPr>
            <w:tcW w:w="100" w:type="dxa"/>
            <w:vAlign w:val="bottom"/>
            <w:tcBorders>
              <w:top w:val="single" w:sz="8" w:color="auto"/>
            </w:tcBorders>
            <w:shd w:val="clear" w:color="auto" w:fill="DEEAEB"/>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shd w:val="clear" w:color="auto" w:fill="DEEAEB"/>
          </w:tcPr>
          <w:p>
            <w:pPr>
              <w:spacing w:after="0"/>
              <w:rPr>
                <w:sz w:val="16"/>
                <w:szCs w:val="16"/>
                <w:color w:val="auto"/>
              </w:rPr>
            </w:pPr>
          </w:p>
        </w:tc>
        <w:tc>
          <w:tcPr>
            <w:tcW w:w="130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708.5</w:t>
            </w:r>
          </w:p>
        </w:tc>
        <w:tc>
          <w:tcPr>
            <w:tcW w:w="100" w:type="dxa"/>
            <w:vAlign w:val="bottom"/>
            <w:tcBorders>
              <w:top w:val="single" w:sz="8" w:color="auto"/>
            </w:tcBorders>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980" w:type="dxa"/>
            <w:vAlign w:val="bottom"/>
          </w:tcPr>
          <w:p>
            <w:pPr>
              <w:ind w:left="20"/>
              <w:spacing w:after="0"/>
              <w:rPr>
                <w:sz w:val="20"/>
                <w:szCs w:val="20"/>
                <w:color w:val="auto"/>
              </w:rPr>
            </w:pPr>
            <w:r>
              <w:rPr>
                <w:rFonts w:ascii="Calibri" w:cs="Calibri" w:eastAsia="Calibri" w:hAnsi="Calibri"/>
                <w:sz w:val="16"/>
                <w:szCs w:val="16"/>
                <w:color w:val="auto"/>
              </w:rPr>
              <w:t>Less: Comprehensive earnings atributable to noncontrolling</w:t>
            </w:r>
          </w:p>
        </w:tc>
        <w:tc>
          <w:tcPr>
            <w:tcW w:w="280" w:type="dxa"/>
            <w:vAlign w:val="bottom"/>
            <w:shd w:val="clear" w:color="auto" w:fill="B6D2E2"/>
          </w:tcPr>
          <w:p>
            <w:pPr>
              <w:spacing w:after="0"/>
              <w:rPr>
                <w:sz w:val="19"/>
                <w:szCs w:val="19"/>
                <w:color w:val="auto"/>
              </w:rPr>
            </w:pPr>
          </w:p>
        </w:tc>
        <w:tc>
          <w:tcPr>
            <w:tcW w:w="1280" w:type="dxa"/>
            <w:vAlign w:val="bottom"/>
            <w:shd w:val="clear" w:color="auto" w:fill="B6D2E2"/>
          </w:tcPr>
          <w:p>
            <w:pPr>
              <w:spacing w:after="0"/>
              <w:rPr>
                <w:sz w:val="19"/>
                <w:szCs w:val="19"/>
                <w:color w:val="auto"/>
              </w:rPr>
            </w:pPr>
          </w:p>
        </w:tc>
        <w:tc>
          <w:tcPr>
            <w:tcW w:w="120" w:type="dxa"/>
            <w:vAlign w:val="bottom"/>
            <w:shd w:val="clear" w:color="auto" w:fill="B6D2E2"/>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60" w:type="dxa"/>
            <w:vAlign w:val="bottom"/>
            <w:shd w:val="clear" w:color="auto" w:fill="DEEAEB"/>
          </w:tcPr>
          <w:p>
            <w:pPr>
              <w:spacing w:after="0"/>
              <w:rPr>
                <w:sz w:val="19"/>
                <w:szCs w:val="19"/>
                <w:color w:val="auto"/>
              </w:rPr>
            </w:pPr>
          </w:p>
        </w:tc>
        <w:tc>
          <w:tcPr>
            <w:tcW w:w="100" w:type="dxa"/>
            <w:vAlign w:val="bottom"/>
            <w:shd w:val="clear" w:color="auto" w:fill="DEEAEB"/>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300" w:type="dxa"/>
            <w:vAlign w:val="bottom"/>
            <w:shd w:val="clear" w:color="auto" w:fill="DEEAEB"/>
          </w:tcPr>
          <w:p>
            <w:pPr>
              <w:spacing w:after="0"/>
              <w:rPr>
                <w:sz w:val="19"/>
                <w:szCs w:val="19"/>
                <w:color w:val="auto"/>
              </w:rPr>
            </w:pPr>
          </w:p>
        </w:tc>
        <w:tc>
          <w:tcPr>
            <w:tcW w:w="100" w:type="dxa"/>
            <w:vAlign w:val="bottom"/>
            <w:shd w:val="clear" w:color="auto" w:fill="DEEAEB"/>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980" w:type="dxa"/>
            <w:vAlign w:val="bottom"/>
          </w:tcPr>
          <w:p>
            <w:pPr>
              <w:ind w:left="140"/>
              <w:spacing w:after="0"/>
              <w:rPr>
                <w:sz w:val="20"/>
                <w:szCs w:val="20"/>
                <w:color w:val="auto"/>
              </w:rPr>
            </w:pPr>
            <w:r>
              <w:rPr>
                <w:rFonts w:ascii="Calibri" w:cs="Calibri" w:eastAsia="Calibri" w:hAnsi="Calibri"/>
                <w:sz w:val="16"/>
                <w:szCs w:val="16"/>
                <w:color w:val="auto"/>
              </w:rPr>
              <w:t>interests</w:t>
            </w:r>
          </w:p>
        </w:tc>
        <w:tc>
          <w:tcPr>
            <w:tcW w:w="280" w:type="dxa"/>
            <w:vAlign w:val="bottom"/>
            <w:tcBorders>
              <w:bottom w:val="single" w:sz="8" w:color="B6D2E2"/>
            </w:tcBorders>
            <w:shd w:val="clear" w:color="auto" w:fill="B6D2E2"/>
          </w:tcPr>
          <w:p>
            <w:pPr>
              <w:spacing w:after="0"/>
              <w:rPr>
                <w:sz w:val="21"/>
                <w:szCs w:val="21"/>
                <w:color w:val="auto"/>
              </w:rPr>
            </w:pPr>
          </w:p>
        </w:tc>
        <w:tc>
          <w:tcPr>
            <w:tcW w:w="1400" w:type="dxa"/>
            <w:vAlign w:val="bottom"/>
            <w:tcBorders>
              <w:bottom w:val="single" w:sz="8" w:color="B6D2E2"/>
            </w:tcBorders>
            <w:gridSpan w:val="2"/>
            <w:shd w:val="clear" w:color="auto" w:fill="B6D2E2"/>
          </w:tcPr>
          <w:p>
            <w:pPr>
              <w:jc w:val="right"/>
              <w:ind w:right="59"/>
              <w:spacing w:after="0"/>
              <w:rPr>
                <w:sz w:val="20"/>
                <w:szCs w:val="20"/>
                <w:color w:val="auto"/>
              </w:rPr>
            </w:pPr>
            <w:r>
              <w:rPr>
                <w:rFonts w:ascii="Calibri" w:cs="Calibri" w:eastAsia="Calibri" w:hAnsi="Calibri"/>
                <w:sz w:val="16"/>
                <w:szCs w:val="16"/>
                <w:b w:val="1"/>
                <w:bCs w:val="1"/>
                <w:color w:val="auto"/>
              </w:rPr>
              <w:t>—</w:t>
            </w:r>
          </w:p>
        </w:tc>
        <w:tc>
          <w:tcPr>
            <w:tcW w:w="160" w:type="dxa"/>
            <w:vAlign w:val="bottom"/>
          </w:tcPr>
          <w:p>
            <w:pPr>
              <w:spacing w:after="0"/>
              <w:rPr>
                <w:sz w:val="21"/>
                <w:szCs w:val="21"/>
                <w:color w:val="auto"/>
              </w:rPr>
            </w:pPr>
          </w:p>
        </w:tc>
        <w:tc>
          <w:tcPr>
            <w:tcW w:w="260" w:type="dxa"/>
            <w:vAlign w:val="bottom"/>
            <w:tcBorders>
              <w:bottom w:val="single" w:sz="8" w:color="DEEAEB"/>
            </w:tcBorders>
            <w:shd w:val="clear" w:color="auto" w:fill="DEEAEB"/>
          </w:tcPr>
          <w:p>
            <w:pPr>
              <w:spacing w:after="0"/>
              <w:rPr>
                <w:sz w:val="21"/>
                <w:szCs w:val="21"/>
                <w:color w:val="auto"/>
              </w:rPr>
            </w:pPr>
          </w:p>
        </w:tc>
        <w:tc>
          <w:tcPr>
            <w:tcW w:w="126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0.3</w:t>
            </w:r>
          </w:p>
        </w:tc>
        <w:tc>
          <w:tcPr>
            <w:tcW w:w="100" w:type="dxa"/>
            <w:vAlign w:val="bottom"/>
            <w:tcBorders>
              <w:bottom w:val="single" w:sz="8" w:color="DEEAEB"/>
            </w:tcBorders>
            <w:shd w:val="clear" w:color="auto" w:fill="DEEAEB"/>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Borders>
              <w:bottom w:val="single" w:sz="8" w:color="DEEAEB"/>
            </w:tcBorders>
            <w:shd w:val="clear" w:color="auto" w:fill="DEEAEB"/>
          </w:tcPr>
          <w:p>
            <w:pPr>
              <w:spacing w:after="0"/>
              <w:rPr>
                <w:sz w:val="21"/>
                <w:szCs w:val="21"/>
                <w:color w:val="auto"/>
              </w:rPr>
            </w:pPr>
          </w:p>
        </w:tc>
        <w:tc>
          <w:tcPr>
            <w:tcW w:w="13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0.1</w:t>
            </w:r>
          </w:p>
        </w:tc>
        <w:tc>
          <w:tcPr>
            <w:tcW w:w="100" w:type="dxa"/>
            <w:vAlign w:val="bottom"/>
            <w:tcBorders>
              <w:bottom w:val="single" w:sz="8" w:color="DEEAEB"/>
            </w:tcBorders>
            <w:shd w:val="clear" w:color="auto" w:fill="DEEAEB"/>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Comprehensive Earnings Atributable to Martn Marieta</w:t>
            </w:r>
          </w:p>
        </w:tc>
        <w:tc>
          <w:tcPr>
            <w:tcW w:w="28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w:t>
            </w:r>
          </w:p>
        </w:tc>
        <w:tc>
          <w:tcPr>
            <w:tcW w:w="128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925.9</w:t>
            </w:r>
          </w:p>
        </w:tc>
        <w:tc>
          <w:tcPr>
            <w:tcW w:w="120" w:type="dxa"/>
            <w:vAlign w:val="bottom"/>
            <w:tcBorders>
              <w:top w:val="single" w:sz="8" w:color="auto"/>
              <w:bottom w:val="single" w:sz="8" w:color="B6D2E2"/>
            </w:tcBorders>
            <w:shd w:val="clear" w:color="auto" w:fill="B6D2E2"/>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w:t>
            </w:r>
          </w:p>
        </w:tc>
        <w:tc>
          <w:tcPr>
            <w:tcW w:w="126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763.3</w:t>
            </w:r>
          </w:p>
        </w:tc>
        <w:tc>
          <w:tcPr>
            <w:tcW w:w="100" w:type="dxa"/>
            <w:vAlign w:val="bottom"/>
            <w:tcBorders>
              <w:top w:val="single" w:sz="8" w:color="auto"/>
              <w:bottom w:val="single" w:sz="8" w:color="DEEAEB"/>
            </w:tcBorders>
            <w:shd w:val="clear" w:color="auto" w:fill="DEEAEB"/>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w:t>
            </w:r>
          </w:p>
        </w:tc>
        <w:tc>
          <w:tcPr>
            <w:tcW w:w="130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708.4</w:t>
            </w:r>
          </w:p>
        </w:tc>
        <w:tc>
          <w:tcPr>
            <w:tcW w:w="100" w:type="dxa"/>
            <w:vAlign w:val="bottom"/>
            <w:tcBorders>
              <w:top w:val="single" w:sz="8" w:color="auto"/>
              <w:bottom w:val="single" w:sz="8" w:color="DEEAEB"/>
            </w:tcBorders>
            <w:shd w:val="clear" w:color="auto" w:fill="DEEAEB"/>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The accompanying Notes to the Financial Statements 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229235</wp:posOffset>
            </wp:positionV>
            <wp:extent cx="325755" cy="1968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364"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7" w:name="page78"/>
    <w:bookmarkEnd w:id="77"/>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96" w:lineRule="exact"/>
        <w:rPr>
          <w:sz w:val="20"/>
          <w:szCs w:val="20"/>
          <w:color w:val="auto"/>
        </w:rPr>
      </w:pPr>
    </w:p>
    <w:p>
      <w:pPr>
        <w:jc w:val="center"/>
        <w:ind w:right="100"/>
        <w:spacing w:after="0"/>
        <w:rPr>
          <w:sz w:val="20"/>
          <w:szCs w:val="20"/>
          <w:color w:val="auto"/>
        </w:rPr>
      </w:pPr>
      <w:r>
        <w:rPr>
          <w:rFonts w:ascii="Calibri" w:cs="Calibri" w:eastAsia="Calibri" w:hAnsi="Calibri"/>
          <w:sz w:val="22"/>
          <w:szCs w:val="22"/>
          <w:color w:val="auto"/>
        </w:rPr>
        <w:t>Martn Marieta Materials, Inc. and Consolidated Subsidiaries</w:t>
      </w:r>
    </w:p>
    <w:p>
      <w:pPr>
        <w:spacing w:after="0" w:line="1" w:lineRule="exact"/>
        <w:rPr>
          <w:sz w:val="20"/>
          <w:szCs w:val="20"/>
          <w:color w:val="auto"/>
        </w:rPr>
      </w:pPr>
    </w:p>
    <w:p>
      <w:pPr>
        <w:jc w:val="center"/>
        <w:ind w:right="100"/>
        <w:spacing w:after="0"/>
        <w:rPr>
          <w:sz w:val="20"/>
          <w:szCs w:val="20"/>
          <w:color w:val="auto"/>
        </w:rPr>
      </w:pPr>
      <w:r>
        <w:rPr>
          <w:rFonts w:ascii="Calibri" w:cs="Calibri" w:eastAsia="Calibri" w:hAnsi="Calibri"/>
          <w:sz w:val="22"/>
          <w:szCs w:val="22"/>
          <w:b w:val="1"/>
          <w:bCs w:val="1"/>
          <w:color w:val="007DC6"/>
        </w:rPr>
        <w:t>Consolidated Balance Sheets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100" w:type="dxa"/>
            <w:vAlign w:val="bottom"/>
          </w:tcPr>
          <w:p>
            <w:pPr>
              <w:ind w:left="20"/>
              <w:spacing w:after="0"/>
              <w:rPr>
                <w:sz w:val="20"/>
                <w:szCs w:val="20"/>
                <w:color w:val="auto"/>
              </w:rPr>
            </w:pPr>
            <w:r>
              <w:rPr>
                <w:rFonts w:ascii="Calibri" w:cs="Calibri" w:eastAsia="Calibri" w:hAnsi="Calibri"/>
                <w:sz w:val="16"/>
                <w:szCs w:val="16"/>
                <w:i w:val="1"/>
                <w:iCs w:val="1"/>
                <w:color w:val="auto"/>
              </w:rPr>
              <w:t>December 31</w:t>
            </w:r>
          </w:p>
        </w:tc>
        <w:tc>
          <w:tcPr>
            <w:tcW w:w="320" w:type="dxa"/>
            <w:vAlign w:val="bottom"/>
            <w:shd w:val="clear" w:color="auto" w:fill="007DC6"/>
          </w:tcPr>
          <w:p>
            <w:pPr>
              <w:spacing w:after="0"/>
              <w:rPr>
                <w:sz w:val="17"/>
                <w:szCs w:val="17"/>
                <w:color w:val="auto"/>
              </w:rPr>
            </w:pPr>
          </w:p>
        </w:tc>
        <w:tc>
          <w:tcPr>
            <w:tcW w:w="1560" w:type="dxa"/>
            <w:vAlign w:val="bottom"/>
            <w:shd w:val="clear" w:color="auto" w:fill="007DC6"/>
          </w:tcPr>
          <w:p>
            <w:pPr>
              <w:spacing w:after="0"/>
              <w:rPr>
                <w:sz w:val="17"/>
                <w:szCs w:val="17"/>
                <w:color w:val="auto"/>
              </w:rPr>
            </w:pPr>
          </w:p>
        </w:tc>
        <w:tc>
          <w:tcPr>
            <w:tcW w:w="120" w:type="dxa"/>
            <w:vAlign w:val="bottom"/>
            <w:shd w:val="clear" w:color="auto" w:fill="007DC6"/>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shd w:val="clear" w:color="auto" w:fill="DEEAEB"/>
          </w:tcPr>
          <w:p>
            <w:pPr>
              <w:spacing w:after="0"/>
              <w:rPr>
                <w:sz w:val="17"/>
                <w:szCs w:val="17"/>
                <w:color w:val="auto"/>
              </w:rPr>
            </w:pPr>
          </w:p>
        </w:tc>
        <w:tc>
          <w:tcPr>
            <w:tcW w:w="158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r>
      <w:tr>
        <w:trPr>
          <w:trHeight w:val="234"/>
        </w:trPr>
        <w:tc>
          <w:tcPr>
            <w:tcW w:w="7100" w:type="dxa"/>
            <w:vAlign w:val="bottom"/>
          </w:tcPr>
          <w:p>
            <w:pPr>
              <w:ind w:left="20"/>
              <w:spacing w:after="0" w:line="193" w:lineRule="exact"/>
              <w:rPr>
                <w:sz w:val="20"/>
                <w:szCs w:val="20"/>
                <w:color w:val="auto"/>
              </w:rPr>
            </w:pPr>
            <w:r>
              <w:rPr>
                <w:rFonts w:ascii="Calibri" w:cs="Calibri" w:eastAsia="Calibri" w:hAnsi="Calibri"/>
                <w:sz w:val="16"/>
                <w:szCs w:val="16"/>
                <w:color w:val="auto"/>
              </w:rPr>
              <w:t>(in millions, except par value data)</w:t>
            </w:r>
          </w:p>
        </w:tc>
        <w:tc>
          <w:tcPr>
            <w:tcW w:w="320" w:type="dxa"/>
            <w:vAlign w:val="bottom"/>
            <w:tcBorders>
              <w:bottom w:val="single" w:sz="8" w:color="007DC6"/>
            </w:tcBorders>
            <w:shd w:val="clear" w:color="auto" w:fill="007DC6"/>
          </w:tcPr>
          <w:p>
            <w:pPr>
              <w:spacing w:after="0"/>
              <w:rPr>
                <w:sz w:val="20"/>
                <w:szCs w:val="20"/>
                <w:color w:val="auto"/>
              </w:rPr>
            </w:pPr>
          </w:p>
        </w:tc>
        <w:tc>
          <w:tcPr>
            <w:tcW w:w="1560" w:type="dxa"/>
            <w:vAlign w:val="bottom"/>
            <w:tcBorders>
              <w:bottom w:val="single" w:sz="8" w:color="007DC6"/>
            </w:tcBorders>
            <w:shd w:val="clear" w:color="auto" w:fill="007DC6"/>
          </w:tcPr>
          <w:p>
            <w:pPr>
              <w:jc w:val="right"/>
              <w:ind w:right="599"/>
              <w:spacing w:after="0" w:line="193" w:lineRule="exact"/>
              <w:rPr>
                <w:sz w:val="20"/>
                <w:szCs w:val="20"/>
                <w:color w:val="auto"/>
              </w:rPr>
            </w:pPr>
            <w:r>
              <w:rPr>
                <w:rFonts w:ascii="Calibri" w:cs="Calibri" w:eastAsia="Calibri" w:hAnsi="Calibri"/>
                <w:sz w:val="16"/>
                <w:szCs w:val="16"/>
                <w:b w:val="1"/>
                <w:bCs w:val="1"/>
                <w:color w:val="FFFFFF"/>
              </w:rPr>
              <w:t>2022</w:t>
            </w:r>
          </w:p>
        </w:tc>
        <w:tc>
          <w:tcPr>
            <w:tcW w:w="120" w:type="dxa"/>
            <w:vAlign w:val="bottom"/>
            <w:tcBorders>
              <w:bottom w:val="single" w:sz="8" w:color="007DC6"/>
            </w:tcBorders>
            <w:shd w:val="clear" w:color="auto" w:fill="007DC6"/>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DEEAEB"/>
            </w:tcBorders>
            <w:shd w:val="clear" w:color="auto" w:fill="DEEAEB"/>
          </w:tcPr>
          <w:p>
            <w:pPr>
              <w:spacing w:after="0"/>
              <w:rPr>
                <w:sz w:val="20"/>
                <w:szCs w:val="20"/>
                <w:color w:val="auto"/>
              </w:rPr>
            </w:pPr>
          </w:p>
        </w:tc>
        <w:tc>
          <w:tcPr>
            <w:tcW w:w="1580" w:type="dxa"/>
            <w:vAlign w:val="bottom"/>
            <w:tcBorders>
              <w:bottom w:val="single" w:sz="8" w:color="DEEAEB"/>
            </w:tcBorders>
            <w:shd w:val="clear" w:color="auto" w:fill="DEEAEB"/>
          </w:tcPr>
          <w:p>
            <w:pPr>
              <w:jc w:val="right"/>
              <w:ind w:right="599"/>
              <w:spacing w:after="0" w:line="193" w:lineRule="exact"/>
              <w:rPr>
                <w:sz w:val="20"/>
                <w:szCs w:val="20"/>
                <w:color w:val="auto"/>
              </w:rPr>
            </w:pPr>
            <w:r>
              <w:rPr>
                <w:rFonts w:ascii="Calibri" w:cs="Calibri" w:eastAsia="Calibri" w:hAnsi="Calibri"/>
                <w:sz w:val="16"/>
                <w:szCs w:val="16"/>
                <w:color w:val="auto"/>
              </w:rPr>
              <w:t>2021</w:t>
            </w:r>
          </w:p>
        </w:tc>
        <w:tc>
          <w:tcPr>
            <w:tcW w:w="100" w:type="dxa"/>
            <w:vAlign w:val="bottom"/>
            <w:tcBorders>
              <w:bottom w:val="single" w:sz="8" w:color="DEEAEB"/>
            </w:tcBorders>
            <w:shd w:val="clear" w:color="auto" w:fill="DEEAEB"/>
          </w:tcPr>
          <w:p>
            <w:pPr>
              <w:spacing w:after="0"/>
              <w:rPr>
                <w:sz w:val="20"/>
                <w:szCs w:val="20"/>
                <w:color w:val="auto"/>
              </w:rPr>
            </w:pPr>
          </w:p>
        </w:tc>
      </w:tr>
      <w:tr>
        <w:trPr>
          <w:trHeight w:val="223"/>
        </w:trPr>
        <w:tc>
          <w:tcPr>
            <w:tcW w:w="710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Assets</w:t>
            </w:r>
          </w:p>
        </w:tc>
        <w:tc>
          <w:tcPr>
            <w:tcW w:w="320" w:type="dxa"/>
            <w:vAlign w:val="bottom"/>
            <w:tcBorders>
              <w:top w:val="single" w:sz="8" w:color="auto"/>
              <w:bottom w:val="single" w:sz="8" w:color="B6D2E2"/>
            </w:tcBorders>
            <w:shd w:val="clear" w:color="auto" w:fill="B6D2E2"/>
          </w:tcPr>
          <w:p>
            <w:pPr>
              <w:spacing w:after="0"/>
              <w:rPr>
                <w:sz w:val="19"/>
                <w:szCs w:val="19"/>
                <w:color w:val="auto"/>
              </w:rPr>
            </w:pPr>
          </w:p>
        </w:tc>
        <w:tc>
          <w:tcPr>
            <w:tcW w:w="1560" w:type="dxa"/>
            <w:vAlign w:val="bottom"/>
            <w:tcBorders>
              <w:top w:val="single" w:sz="8" w:color="auto"/>
              <w:bottom w:val="single" w:sz="8" w:color="B6D2E2"/>
            </w:tcBorders>
            <w:shd w:val="clear" w:color="auto" w:fill="B6D2E2"/>
          </w:tcPr>
          <w:p>
            <w:pPr>
              <w:spacing w:after="0"/>
              <w:rPr>
                <w:sz w:val="19"/>
                <w:szCs w:val="19"/>
                <w:color w:val="auto"/>
              </w:rPr>
            </w:pPr>
          </w:p>
        </w:tc>
        <w:tc>
          <w:tcPr>
            <w:tcW w:w="120" w:type="dxa"/>
            <w:vAlign w:val="bottom"/>
            <w:tcBorders>
              <w:top w:val="single" w:sz="8" w:color="auto"/>
              <w:bottom w:val="single" w:sz="8" w:color="B6D2E2"/>
            </w:tcBorders>
            <w:shd w:val="clear" w:color="auto" w:fill="B6D2E2"/>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DEEAEB"/>
            </w:tcBorders>
            <w:shd w:val="clear" w:color="auto" w:fill="DEEAEB"/>
          </w:tcPr>
          <w:p>
            <w:pPr>
              <w:spacing w:after="0"/>
              <w:rPr>
                <w:sz w:val="19"/>
                <w:szCs w:val="19"/>
                <w:color w:val="auto"/>
              </w:rPr>
            </w:pPr>
          </w:p>
        </w:tc>
        <w:tc>
          <w:tcPr>
            <w:tcW w:w="1580" w:type="dxa"/>
            <w:vAlign w:val="bottom"/>
            <w:tcBorders>
              <w:top w:val="single" w:sz="8" w:color="auto"/>
              <w:bottom w:val="single" w:sz="8" w:color="DEEAEB"/>
            </w:tcBorders>
            <w:shd w:val="clear" w:color="auto" w:fill="DEEAEB"/>
          </w:tcPr>
          <w:p>
            <w:pPr>
              <w:spacing w:after="0"/>
              <w:rPr>
                <w:sz w:val="19"/>
                <w:szCs w:val="19"/>
                <w:color w:val="auto"/>
              </w:rPr>
            </w:pPr>
          </w:p>
        </w:tc>
        <w:tc>
          <w:tcPr>
            <w:tcW w:w="100" w:type="dxa"/>
            <w:vAlign w:val="bottom"/>
            <w:tcBorders>
              <w:top w:val="single" w:sz="8" w:color="auto"/>
              <w:bottom w:val="single" w:sz="8" w:color="DEEAEB"/>
            </w:tcBorders>
            <w:shd w:val="clear" w:color="auto" w:fill="DEEAEB"/>
          </w:tcPr>
          <w:p>
            <w:pPr>
              <w:spacing w:after="0"/>
              <w:rPr>
                <w:sz w:val="19"/>
                <w:szCs w:val="19"/>
                <w:color w:val="auto"/>
              </w:rPr>
            </w:pPr>
          </w:p>
        </w:tc>
      </w:tr>
      <w:tr>
        <w:trPr>
          <w:trHeight w:val="187"/>
        </w:trPr>
        <w:tc>
          <w:tcPr>
            <w:tcW w:w="710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Current Assets:</w:t>
            </w:r>
          </w:p>
        </w:tc>
        <w:tc>
          <w:tcPr>
            <w:tcW w:w="320" w:type="dxa"/>
            <w:vAlign w:val="bottom"/>
            <w:tcBorders>
              <w:top w:val="single" w:sz="8" w:color="auto"/>
            </w:tcBorders>
            <w:shd w:val="clear" w:color="auto" w:fill="B6D2E2"/>
          </w:tcPr>
          <w:p>
            <w:pPr>
              <w:spacing w:after="0"/>
              <w:rPr>
                <w:sz w:val="16"/>
                <w:szCs w:val="16"/>
                <w:color w:val="auto"/>
              </w:rPr>
            </w:pPr>
          </w:p>
        </w:tc>
        <w:tc>
          <w:tcPr>
            <w:tcW w:w="1560" w:type="dxa"/>
            <w:vAlign w:val="bottom"/>
            <w:tcBorders>
              <w:top w:val="single" w:sz="8" w:color="auto"/>
            </w:tcBorders>
            <w:shd w:val="clear" w:color="auto" w:fill="B6D2E2"/>
          </w:tcPr>
          <w:p>
            <w:pPr>
              <w:spacing w:after="0"/>
              <w:rPr>
                <w:sz w:val="16"/>
                <w:szCs w:val="16"/>
                <w:color w:val="auto"/>
              </w:rPr>
            </w:pPr>
          </w:p>
        </w:tc>
        <w:tc>
          <w:tcPr>
            <w:tcW w:w="120" w:type="dxa"/>
            <w:vAlign w:val="bottom"/>
            <w:tcBorders>
              <w:top w:val="single" w:sz="8" w:color="auto"/>
            </w:tcBorders>
            <w:shd w:val="clear" w:color="auto" w:fill="B6D2E2"/>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shd w:val="clear" w:color="auto" w:fill="DEEAEB"/>
          </w:tcPr>
          <w:p>
            <w:pPr>
              <w:spacing w:after="0"/>
              <w:rPr>
                <w:sz w:val="16"/>
                <w:szCs w:val="16"/>
                <w:color w:val="auto"/>
              </w:rPr>
            </w:pPr>
          </w:p>
        </w:tc>
        <w:tc>
          <w:tcPr>
            <w:tcW w:w="1580" w:type="dxa"/>
            <w:vAlign w:val="bottom"/>
            <w:tcBorders>
              <w:top w:val="single" w:sz="8" w:color="auto"/>
            </w:tcBorders>
            <w:shd w:val="clear" w:color="auto" w:fill="DEEAEB"/>
          </w:tcPr>
          <w:p>
            <w:pPr>
              <w:spacing w:after="0"/>
              <w:rPr>
                <w:sz w:val="16"/>
                <w:szCs w:val="16"/>
                <w:color w:val="auto"/>
              </w:rPr>
            </w:pPr>
          </w:p>
        </w:tc>
        <w:tc>
          <w:tcPr>
            <w:tcW w:w="100" w:type="dxa"/>
            <w:vAlign w:val="bottom"/>
            <w:tcBorders>
              <w:top w:val="single" w:sz="8" w:color="auto"/>
            </w:tcBorders>
            <w:shd w:val="clear" w:color="auto" w:fill="DEEAEB"/>
          </w:tcPr>
          <w:p>
            <w:pPr>
              <w:spacing w:after="0"/>
              <w:rPr>
                <w:sz w:val="16"/>
                <w:szCs w:val="16"/>
                <w:color w:val="auto"/>
              </w:rPr>
            </w:pPr>
          </w:p>
        </w:tc>
      </w:tr>
      <w:tr>
        <w:trPr>
          <w:trHeight w:val="225"/>
        </w:trPr>
        <w:tc>
          <w:tcPr>
            <w:tcW w:w="7100" w:type="dxa"/>
            <w:vAlign w:val="bottom"/>
          </w:tcPr>
          <w:p>
            <w:pPr>
              <w:ind w:left="20"/>
              <w:spacing w:after="0"/>
              <w:rPr>
                <w:sz w:val="20"/>
                <w:szCs w:val="20"/>
                <w:color w:val="auto"/>
              </w:rPr>
            </w:pPr>
            <w:r>
              <w:rPr>
                <w:rFonts w:ascii="Calibri" w:cs="Calibri" w:eastAsia="Calibri" w:hAnsi="Calibri"/>
                <w:sz w:val="16"/>
                <w:szCs w:val="16"/>
                <w:color w:val="auto"/>
              </w:rPr>
              <w:t>Cash and cash equivalents</w:t>
            </w:r>
          </w:p>
        </w:tc>
        <w:tc>
          <w:tcPr>
            <w:tcW w:w="32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w:t>
            </w: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358.0</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5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258.4</w:t>
            </w:r>
          </w:p>
        </w:tc>
        <w:tc>
          <w:tcPr>
            <w:tcW w:w="100" w:type="dxa"/>
            <w:vAlign w:val="bottom"/>
            <w:shd w:val="clear" w:color="auto" w:fill="DEEAEB"/>
          </w:tcPr>
          <w:p>
            <w:pPr>
              <w:spacing w:after="0"/>
              <w:rPr>
                <w:sz w:val="19"/>
                <w:szCs w:val="19"/>
                <w:color w:val="auto"/>
              </w:rPr>
            </w:pPr>
          </w:p>
        </w:tc>
      </w:tr>
      <w:tr>
        <w:trPr>
          <w:trHeight w:val="229"/>
        </w:trPr>
        <w:tc>
          <w:tcPr>
            <w:tcW w:w="7100" w:type="dxa"/>
            <w:vAlign w:val="bottom"/>
          </w:tcPr>
          <w:p>
            <w:pPr>
              <w:ind w:left="20"/>
              <w:spacing w:after="0"/>
              <w:rPr>
                <w:sz w:val="20"/>
                <w:szCs w:val="20"/>
                <w:color w:val="auto"/>
              </w:rPr>
            </w:pPr>
            <w:r>
              <w:rPr>
                <w:rFonts w:ascii="Calibri" w:cs="Calibri" w:eastAsia="Calibri" w:hAnsi="Calibri"/>
                <w:sz w:val="16"/>
                <w:szCs w:val="16"/>
                <w:color w:val="auto"/>
              </w:rPr>
              <w:t>Restricted cash</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0.8</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0.5</w:t>
            </w:r>
          </w:p>
        </w:tc>
        <w:tc>
          <w:tcPr>
            <w:tcW w:w="100" w:type="dxa"/>
            <w:vAlign w:val="bottom"/>
            <w:shd w:val="clear" w:color="auto" w:fill="DEEAEB"/>
          </w:tcPr>
          <w:p>
            <w:pPr>
              <w:spacing w:after="0"/>
              <w:rPr>
                <w:sz w:val="19"/>
                <w:szCs w:val="19"/>
                <w:color w:val="auto"/>
              </w:rPr>
            </w:pPr>
          </w:p>
        </w:tc>
      </w:tr>
      <w:tr>
        <w:trPr>
          <w:trHeight w:val="230"/>
        </w:trPr>
        <w:tc>
          <w:tcPr>
            <w:tcW w:w="7100" w:type="dxa"/>
            <w:vAlign w:val="bottom"/>
          </w:tcPr>
          <w:p>
            <w:pPr>
              <w:ind w:left="20"/>
              <w:spacing w:after="0"/>
              <w:rPr>
                <w:sz w:val="20"/>
                <w:szCs w:val="20"/>
                <w:color w:val="auto"/>
              </w:rPr>
            </w:pPr>
            <w:r>
              <w:rPr>
                <w:rFonts w:ascii="Calibri" w:cs="Calibri" w:eastAsia="Calibri" w:hAnsi="Calibri"/>
                <w:sz w:val="16"/>
                <w:szCs w:val="16"/>
                <w:color w:val="auto"/>
              </w:rPr>
              <w:t>Restricted investments (to satsfy discharged debt and related interest)</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704.6</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00" w:type="dxa"/>
            <w:vAlign w:val="bottom"/>
            <w:shd w:val="clear" w:color="auto" w:fill="DEEAEB"/>
          </w:tcPr>
          <w:p>
            <w:pPr>
              <w:spacing w:after="0"/>
              <w:rPr>
                <w:sz w:val="19"/>
                <w:szCs w:val="19"/>
                <w:color w:val="auto"/>
              </w:rPr>
            </w:pPr>
          </w:p>
        </w:tc>
      </w:tr>
      <w:tr>
        <w:trPr>
          <w:trHeight w:val="229"/>
        </w:trPr>
        <w:tc>
          <w:tcPr>
            <w:tcW w:w="7100" w:type="dxa"/>
            <w:vAlign w:val="bottom"/>
          </w:tcPr>
          <w:p>
            <w:pPr>
              <w:ind w:left="20"/>
              <w:spacing w:after="0"/>
              <w:rPr>
                <w:sz w:val="20"/>
                <w:szCs w:val="20"/>
                <w:color w:val="auto"/>
              </w:rPr>
            </w:pPr>
            <w:r>
              <w:rPr>
                <w:rFonts w:ascii="Calibri" w:cs="Calibri" w:eastAsia="Calibri" w:hAnsi="Calibri"/>
                <w:sz w:val="16"/>
                <w:szCs w:val="16"/>
                <w:color w:val="auto"/>
              </w:rPr>
              <w:t>Accounts receivable, net</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785.9</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774.0</w:t>
            </w:r>
          </w:p>
        </w:tc>
        <w:tc>
          <w:tcPr>
            <w:tcW w:w="100" w:type="dxa"/>
            <w:vAlign w:val="bottom"/>
            <w:shd w:val="clear" w:color="auto" w:fill="DEEAEB"/>
          </w:tcPr>
          <w:p>
            <w:pPr>
              <w:spacing w:after="0"/>
              <w:rPr>
                <w:sz w:val="19"/>
                <w:szCs w:val="19"/>
                <w:color w:val="auto"/>
              </w:rPr>
            </w:pPr>
          </w:p>
        </w:tc>
      </w:tr>
      <w:tr>
        <w:trPr>
          <w:trHeight w:val="229"/>
        </w:trPr>
        <w:tc>
          <w:tcPr>
            <w:tcW w:w="7100" w:type="dxa"/>
            <w:vAlign w:val="bottom"/>
          </w:tcPr>
          <w:p>
            <w:pPr>
              <w:ind w:left="20"/>
              <w:spacing w:after="0"/>
              <w:rPr>
                <w:sz w:val="20"/>
                <w:szCs w:val="20"/>
                <w:color w:val="auto"/>
              </w:rPr>
            </w:pPr>
            <w:r>
              <w:rPr>
                <w:rFonts w:ascii="Calibri" w:cs="Calibri" w:eastAsia="Calibri" w:hAnsi="Calibri"/>
                <w:sz w:val="16"/>
                <w:szCs w:val="16"/>
                <w:color w:val="auto"/>
              </w:rPr>
              <w:t>Inventories, net</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873.7</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752.6</w:t>
            </w:r>
          </w:p>
        </w:tc>
        <w:tc>
          <w:tcPr>
            <w:tcW w:w="100" w:type="dxa"/>
            <w:vAlign w:val="bottom"/>
            <w:shd w:val="clear" w:color="auto" w:fill="DEEAEB"/>
          </w:tcPr>
          <w:p>
            <w:pPr>
              <w:spacing w:after="0"/>
              <w:rPr>
                <w:sz w:val="19"/>
                <w:szCs w:val="19"/>
                <w:color w:val="auto"/>
              </w:rPr>
            </w:pPr>
          </w:p>
        </w:tc>
      </w:tr>
      <w:tr>
        <w:trPr>
          <w:trHeight w:val="230"/>
        </w:trPr>
        <w:tc>
          <w:tcPr>
            <w:tcW w:w="7100" w:type="dxa"/>
            <w:vAlign w:val="bottom"/>
          </w:tcPr>
          <w:p>
            <w:pPr>
              <w:ind w:left="20"/>
              <w:spacing w:after="0"/>
              <w:rPr>
                <w:sz w:val="20"/>
                <w:szCs w:val="20"/>
                <w:color w:val="auto"/>
              </w:rPr>
            </w:pPr>
            <w:r>
              <w:rPr>
                <w:rFonts w:ascii="Calibri" w:cs="Calibri" w:eastAsia="Calibri" w:hAnsi="Calibri"/>
                <w:sz w:val="16"/>
                <w:szCs w:val="16"/>
                <w:color w:val="auto"/>
              </w:rPr>
              <w:t>Current assets held for sale</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73.2</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102.2</w:t>
            </w:r>
          </w:p>
        </w:tc>
        <w:tc>
          <w:tcPr>
            <w:tcW w:w="100" w:type="dxa"/>
            <w:vAlign w:val="bottom"/>
            <w:shd w:val="clear" w:color="auto" w:fill="DEEAEB"/>
          </w:tcPr>
          <w:p>
            <w:pPr>
              <w:spacing w:after="0"/>
              <w:rPr>
                <w:sz w:val="19"/>
                <w:szCs w:val="19"/>
                <w:color w:val="auto"/>
              </w:rPr>
            </w:pPr>
          </w:p>
        </w:tc>
      </w:tr>
      <w:tr>
        <w:trPr>
          <w:trHeight w:val="270"/>
        </w:trPr>
        <w:tc>
          <w:tcPr>
            <w:tcW w:w="7100" w:type="dxa"/>
            <w:vAlign w:val="bottom"/>
          </w:tcPr>
          <w:p>
            <w:pPr>
              <w:ind w:left="20"/>
              <w:spacing w:after="0"/>
              <w:rPr>
                <w:sz w:val="20"/>
                <w:szCs w:val="20"/>
                <w:color w:val="auto"/>
              </w:rPr>
            </w:pPr>
            <w:r>
              <w:rPr>
                <w:rFonts w:ascii="Calibri" w:cs="Calibri" w:eastAsia="Calibri" w:hAnsi="Calibri"/>
                <w:sz w:val="16"/>
                <w:szCs w:val="16"/>
                <w:color w:val="auto"/>
              </w:rPr>
              <w:t>Other current assets</w:t>
            </w:r>
          </w:p>
        </w:tc>
        <w:tc>
          <w:tcPr>
            <w:tcW w:w="320" w:type="dxa"/>
            <w:vAlign w:val="bottom"/>
            <w:tcBorders>
              <w:bottom w:val="single" w:sz="8" w:color="B6D2E2"/>
            </w:tcBorders>
            <w:shd w:val="clear" w:color="auto" w:fill="B6D2E2"/>
          </w:tcPr>
          <w:p>
            <w:pPr>
              <w:spacing w:after="0"/>
              <w:rPr>
                <w:sz w:val="23"/>
                <w:szCs w:val="23"/>
                <w:color w:val="auto"/>
              </w:rPr>
            </w:pPr>
          </w:p>
        </w:tc>
        <w:tc>
          <w:tcPr>
            <w:tcW w:w="156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rPr>
              <w:t>80.7</w:t>
            </w:r>
          </w:p>
        </w:tc>
        <w:tc>
          <w:tcPr>
            <w:tcW w:w="120" w:type="dxa"/>
            <w:vAlign w:val="bottom"/>
            <w:tcBorders>
              <w:bottom w:val="single" w:sz="8" w:color="B6D2E2"/>
            </w:tcBorders>
            <w:shd w:val="clear" w:color="auto" w:fill="B6D2E2"/>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Borders>
              <w:bottom w:val="single" w:sz="8" w:color="DEEAEB"/>
            </w:tcBorders>
            <w:shd w:val="clear" w:color="auto" w:fill="DEEAEB"/>
          </w:tcPr>
          <w:p>
            <w:pPr>
              <w:spacing w:after="0"/>
              <w:rPr>
                <w:sz w:val="23"/>
                <w:szCs w:val="23"/>
                <w:color w:val="auto"/>
              </w:rPr>
            </w:pPr>
          </w:p>
        </w:tc>
        <w:tc>
          <w:tcPr>
            <w:tcW w:w="158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137.9</w:t>
            </w:r>
          </w:p>
        </w:tc>
        <w:tc>
          <w:tcPr>
            <w:tcW w:w="100" w:type="dxa"/>
            <w:vAlign w:val="bottom"/>
            <w:tcBorders>
              <w:bottom w:val="single" w:sz="8" w:color="DEEAEB"/>
            </w:tcBorders>
            <w:shd w:val="clear" w:color="auto" w:fill="DEEAEB"/>
          </w:tcPr>
          <w:p>
            <w:pPr>
              <w:spacing w:after="0"/>
              <w:rPr>
                <w:sz w:val="23"/>
                <w:szCs w:val="23"/>
                <w:color w:val="auto"/>
              </w:rPr>
            </w:pPr>
          </w:p>
        </w:tc>
      </w:tr>
      <w:tr>
        <w:trPr>
          <w:trHeight w:val="187"/>
        </w:trPr>
        <w:tc>
          <w:tcPr>
            <w:tcW w:w="710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Total Current Assets</w:t>
            </w:r>
          </w:p>
        </w:tc>
        <w:tc>
          <w:tcPr>
            <w:tcW w:w="320" w:type="dxa"/>
            <w:vAlign w:val="bottom"/>
            <w:tcBorders>
              <w:top w:val="single" w:sz="8" w:color="auto"/>
            </w:tcBorders>
            <w:shd w:val="clear" w:color="auto" w:fill="B6D2E2"/>
          </w:tcPr>
          <w:p>
            <w:pPr>
              <w:spacing w:after="0"/>
              <w:rPr>
                <w:sz w:val="16"/>
                <w:szCs w:val="16"/>
                <w:color w:val="auto"/>
              </w:rPr>
            </w:pPr>
          </w:p>
        </w:tc>
        <w:tc>
          <w:tcPr>
            <w:tcW w:w="1560" w:type="dxa"/>
            <w:vAlign w:val="bottom"/>
            <w:tcBorders>
              <w:top w:val="single" w:sz="8" w:color="auto"/>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2,876.9</w:t>
            </w:r>
          </w:p>
        </w:tc>
        <w:tc>
          <w:tcPr>
            <w:tcW w:w="120" w:type="dxa"/>
            <w:vAlign w:val="bottom"/>
            <w:tcBorders>
              <w:top w:val="single" w:sz="8" w:color="auto"/>
            </w:tcBorders>
            <w:shd w:val="clear" w:color="auto" w:fill="B6D2E2"/>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shd w:val="clear" w:color="auto" w:fill="DEEAEB"/>
          </w:tcPr>
          <w:p>
            <w:pPr>
              <w:spacing w:after="0"/>
              <w:rPr>
                <w:sz w:val="16"/>
                <w:szCs w:val="16"/>
                <w:color w:val="auto"/>
              </w:rPr>
            </w:pPr>
          </w:p>
        </w:tc>
        <w:tc>
          <w:tcPr>
            <w:tcW w:w="158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2,025.6</w:t>
            </w:r>
          </w:p>
        </w:tc>
        <w:tc>
          <w:tcPr>
            <w:tcW w:w="100" w:type="dxa"/>
            <w:vAlign w:val="bottom"/>
            <w:tcBorders>
              <w:top w:val="single" w:sz="8" w:color="auto"/>
            </w:tcBorders>
            <w:shd w:val="clear" w:color="auto" w:fill="DEEAEB"/>
          </w:tcPr>
          <w:p>
            <w:pPr>
              <w:spacing w:after="0"/>
              <w:rPr>
                <w:sz w:val="16"/>
                <w:szCs w:val="16"/>
                <w:color w:val="auto"/>
              </w:rPr>
            </w:pPr>
          </w:p>
        </w:tc>
      </w:tr>
      <w:tr>
        <w:trPr>
          <w:trHeight w:val="225"/>
        </w:trPr>
        <w:tc>
          <w:tcPr>
            <w:tcW w:w="7100" w:type="dxa"/>
            <w:vAlign w:val="bottom"/>
          </w:tcPr>
          <w:p>
            <w:pPr>
              <w:ind w:left="20"/>
              <w:spacing w:after="0"/>
              <w:rPr>
                <w:sz w:val="20"/>
                <w:szCs w:val="20"/>
                <w:color w:val="auto"/>
              </w:rPr>
            </w:pPr>
            <w:r>
              <w:rPr>
                <w:rFonts w:ascii="Calibri" w:cs="Calibri" w:eastAsia="Calibri" w:hAnsi="Calibri"/>
                <w:sz w:val="16"/>
                <w:szCs w:val="16"/>
                <w:color w:val="auto"/>
              </w:rPr>
              <w:t>Property, plant and equipment, net</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6,316.7</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6,338.0</w:t>
            </w:r>
          </w:p>
        </w:tc>
        <w:tc>
          <w:tcPr>
            <w:tcW w:w="100" w:type="dxa"/>
            <w:vAlign w:val="bottom"/>
            <w:shd w:val="clear" w:color="auto" w:fill="DEEAEB"/>
          </w:tcPr>
          <w:p>
            <w:pPr>
              <w:spacing w:after="0"/>
              <w:rPr>
                <w:sz w:val="19"/>
                <w:szCs w:val="19"/>
                <w:color w:val="auto"/>
              </w:rPr>
            </w:pPr>
          </w:p>
        </w:tc>
      </w:tr>
      <w:tr>
        <w:trPr>
          <w:trHeight w:val="229"/>
        </w:trPr>
        <w:tc>
          <w:tcPr>
            <w:tcW w:w="7100" w:type="dxa"/>
            <w:vAlign w:val="bottom"/>
          </w:tcPr>
          <w:p>
            <w:pPr>
              <w:ind w:left="20"/>
              <w:spacing w:after="0"/>
              <w:rPr>
                <w:sz w:val="20"/>
                <w:szCs w:val="20"/>
                <w:color w:val="auto"/>
              </w:rPr>
            </w:pPr>
            <w:r>
              <w:rPr>
                <w:rFonts w:ascii="Calibri" w:cs="Calibri" w:eastAsia="Calibri" w:hAnsi="Calibri"/>
                <w:sz w:val="16"/>
                <w:szCs w:val="16"/>
                <w:color w:val="auto"/>
              </w:rPr>
              <w:t>Goodwill</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3,649.5</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3,494.4</w:t>
            </w:r>
          </w:p>
        </w:tc>
        <w:tc>
          <w:tcPr>
            <w:tcW w:w="100" w:type="dxa"/>
            <w:vAlign w:val="bottom"/>
            <w:shd w:val="clear" w:color="auto" w:fill="DEEAEB"/>
          </w:tcPr>
          <w:p>
            <w:pPr>
              <w:spacing w:after="0"/>
              <w:rPr>
                <w:sz w:val="19"/>
                <w:szCs w:val="19"/>
                <w:color w:val="auto"/>
              </w:rPr>
            </w:pPr>
          </w:p>
        </w:tc>
      </w:tr>
      <w:tr>
        <w:trPr>
          <w:trHeight w:val="230"/>
        </w:trPr>
        <w:tc>
          <w:tcPr>
            <w:tcW w:w="7100" w:type="dxa"/>
            <w:vAlign w:val="bottom"/>
          </w:tcPr>
          <w:p>
            <w:pPr>
              <w:ind w:left="20"/>
              <w:spacing w:after="0"/>
              <w:rPr>
                <w:sz w:val="20"/>
                <w:szCs w:val="20"/>
                <w:color w:val="auto"/>
              </w:rPr>
            </w:pPr>
            <w:r>
              <w:rPr>
                <w:rFonts w:ascii="Calibri" w:cs="Calibri" w:eastAsia="Calibri" w:hAnsi="Calibri"/>
                <w:sz w:val="16"/>
                <w:szCs w:val="16"/>
                <w:color w:val="auto"/>
              </w:rPr>
              <w:t>Other intangibles, net</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847.8</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1,065.0</w:t>
            </w:r>
          </w:p>
        </w:tc>
        <w:tc>
          <w:tcPr>
            <w:tcW w:w="100" w:type="dxa"/>
            <w:vAlign w:val="bottom"/>
            <w:shd w:val="clear" w:color="auto" w:fill="DEEAEB"/>
          </w:tcPr>
          <w:p>
            <w:pPr>
              <w:spacing w:after="0"/>
              <w:rPr>
                <w:sz w:val="19"/>
                <w:szCs w:val="19"/>
                <w:color w:val="auto"/>
              </w:rPr>
            </w:pPr>
          </w:p>
        </w:tc>
      </w:tr>
      <w:tr>
        <w:trPr>
          <w:trHeight w:val="229"/>
        </w:trPr>
        <w:tc>
          <w:tcPr>
            <w:tcW w:w="7100" w:type="dxa"/>
            <w:vAlign w:val="bottom"/>
          </w:tcPr>
          <w:p>
            <w:pPr>
              <w:ind w:left="20"/>
              <w:spacing w:after="0"/>
              <w:rPr>
                <w:sz w:val="20"/>
                <w:szCs w:val="20"/>
                <w:color w:val="auto"/>
              </w:rPr>
            </w:pPr>
            <w:r>
              <w:rPr>
                <w:rFonts w:ascii="Calibri" w:cs="Calibri" w:eastAsia="Calibri" w:hAnsi="Calibri"/>
                <w:sz w:val="16"/>
                <w:szCs w:val="16"/>
                <w:color w:val="auto"/>
              </w:rPr>
              <w:t>Operatng lease right-of-use assets, net</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383.5</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426.7</w:t>
            </w:r>
          </w:p>
        </w:tc>
        <w:tc>
          <w:tcPr>
            <w:tcW w:w="100" w:type="dxa"/>
            <w:vAlign w:val="bottom"/>
            <w:shd w:val="clear" w:color="auto" w:fill="DEEAEB"/>
          </w:tcPr>
          <w:p>
            <w:pPr>
              <w:spacing w:after="0"/>
              <w:rPr>
                <w:sz w:val="19"/>
                <w:szCs w:val="19"/>
                <w:color w:val="auto"/>
              </w:rPr>
            </w:pPr>
          </w:p>
        </w:tc>
      </w:tr>
      <w:tr>
        <w:trPr>
          <w:trHeight w:val="230"/>
        </w:trPr>
        <w:tc>
          <w:tcPr>
            <w:tcW w:w="7100" w:type="dxa"/>
            <w:vAlign w:val="bottom"/>
          </w:tcPr>
          <w:p>
            <w:pPr>
              <w:ind w:left="20"/>
              <w:spacing w:after="0"/>
              <w:rPr>
                <w:sz w:val="20"/>
                <w:szCs w:val="20"/>
                <w:color w:val="auto"/>
              </w:rPr>
            </w:pPr>
            <w:r>
              <w:rPr>
                <w:rFonts w:ascii="Calibri" w:cs="Calibri" w:eastAsia="Calibri" w:hAnsi="Calibri"/>
                <w:sz w:val="16"/>
                <w:szCs w:val="16"/>
                <w:color w:val="auto"/>
              </w:rPr>
              <w:t>Noncurrent assets held for sale</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372.5</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616.9</w:t>
            </w:r>
          </w:p>
        </w:tc>
        <w:tc>
          <w:tcPr>
            <w:tcW w:w="100" w:type="dxa"/>
            <w:vAlign w:val="bottom"/>
            <w:shd w:val="clear" w:color="auto" w:fill="DEEAEB"/>
          </w:tcPr>
          <w:p>
            <w:pPr>
              <w:spacing w:after="0"/>
              <w:rPr>
                <w:sz w:val="19"/>
                <w:szCs w:val="19"/>
                <w:color w:val="auto"/>
              </w:rPr>
            </w:pPr>
          </w:p>
        </w:tc>
      </w:tr>
      <w:tr>
        <w:trPr>
          <w:trHeight w:val="270"/>
        </w:trPr>
        <w:tc>
          <w:tcPr>
            <w:tcW w:w="7100" w:type="dxa"/>
            <w:vAlign w:val="bottom"/>
          </w:tcPr>
          <w:p>
            <w:pPr>
              <w:ind w:left="20"/>
              <w:spacing w:after="0"/>
              <w:rPr>
                <w:sz w:val="20"/>
                <w:szCs w:val="20"/>
                <w:color w:val="auto"/>
              </w:rPr>
            </w:pPr>
            <w:r>
              <w:rPr>
                <w:rFonts w:ascii="Calibri" w:cs="Calibri" w:eastAsia="Calibri" w:hAnsi="Calibri"/>
                <w:sz w:val="16"/>
                <w:szCs w:val="16"/>
                <w:color w:val="auto"/>
              </w:rPr>
              <w:t>Other noncurrent assets</w:t>
            </w:r>
          </w:p>
        </w:tc>
        <w:tc>
          <w:tcPr>
            <w:tcW w:w="320" w:type="dxa"/>
            <w:vAlign w:val="bottom"/>
            <w:tcBorders>
              <w:bottom w:val="single" w:sz="8" w:color="B6D2E2"/>
            </w:tcBorders>
            <w:shd w:val="clear" w:color="auto" w:fill="B6D2E2"/>
          </w:tcPr>
          <w:p>
            <w:pPr>
              <w:spacing w:after="0"/>
              <w:rPr>
                <w:sz w:val="23"/>
                <w:szCs w:val="23"/>
                <w:color w:val="auto"/>
              </w:rPr>
            </w:pPr>
          </w:p>
        </w:tc>
        <w:tc>
          <w:tcPr>
            <w:tcW w:w="156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rPr>
              <w:t>546.7</w:t>
            </w:r>
          </w:p>
        </w:tc>
        <w:tc>
          <w:tcPr>
            <w:tcW w:w="120" w:type="dxa"/>
            <w:vAlign w:val="bottom"/>
            <w:tcBorders>
              <w:bottom w:val="single" w:sz="8" w:color="B6D2E2"/>
            </w:tcBorders>
            <w:shd w:val="clear" w:color="auto" w:fill="B6D2E2"/>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Borders>
              <w:bottom w:val="single" w:sz="8" w:color="DEEAEB"/>
            </w:tcBorders>
            <w:shd w:val="clear" w:color="auto" w:fill="DEEAEB"/>
          </w:tcPr>
          <w:p>
            <w:pPr>
              <w:spacing w:after="0"/>
              <w:rPr>
                <w:sz w:val="23"/>
                <w:szCs w:val="23"/>
                <w:color w:val="auto"/>
              </w:rPr>
            </w:pPr>
          </w:p>
        </w:tc>
        <w:tc>
          <w:tcPr>
            <w:tcW w:w="158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426.4</w:t>
            </w:r>
          </w:p>
        </w:tc>
        <w:tc>
          <w:tcPr>
            <w:tcW w:w="100" w:type="dxa"/>
            <w:vAlign w:val="bottom"/>
            <w:tcBorders>
              <w:bottom w:val="single" w:sz="8" w:color="DEEAEB"/>
            </w:tcBorders>
            <w:shd w:val="clear" w:color="auto" w:fill="DEEAEB"/>
          </w:tcPr>
          <w:p>
            <w:pPr>
              <w:spacing w:after="0"/>
              <w:rPr>
                <w:sz w:val="23"/>
                <w:szCs w:val="23"/>
                <w:color w:val="auto"/>
              </w:rPr>
            </w:pPr>
          </w:p>
        </w:tc>
      </w:tr>
      <w:tr>
        <w:trPr>
          <w:trHeight w:val="263"/>
        </w:trPr>
        <w:tc>
          <w:tcPr>
            <w:tcW w:w="710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Total Assets</w:t>
            </w:r>
          </w:p>
        </w:tc>
        <w:tc>
          <w:tcPr>
            <w:tcW w:w="32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w:t>
            </w:r>
          </w:p>
        </w:tc>
        <w:tc>
          <w:tcPr>
            <w:tcW w:w="156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14,993.6</w:t>
            </w:r>
          </w:p>
        </w:tc>
        <w:tc>
          <w:tcPr>
            <w:tcW w:w="120" w:type="dxa"/>
            <w:vAlign w:val="bottom"/>
            <w:tcBorders>
              <w:top w:val="single" w:sz="8" w:color="auto"/>
              <w:bottom w:val="single" w:sz="8" w:color="B6D2E2"/>
            </w:tcBorders>
            <w:shd w:val="clear" w:color="auto" w:fill="B6D2E2"/>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w:t>
            </w:r>
          </w:p>
        </w:tc>
        <w:tc>
          <w:tcPr>
            <w:tcW w:w="158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14,393.0</w:t>
            </w:r>
          </w:p>
        </w:tc>
        <w:tc>
          <w:tcPr>
            <w:tcW w:w="100" w:type="dxa"/>
            <w:vAlign w:val="bottom"/>
            <w:tcBorders>
              <w:top w:val="single" w:sz="8" w:color="auto"/>
              <w:bottom w:val="single" w:sz="8" w:color="DEEAEB"/>
            </w:tcBorders>
            <w:shd w:val="clear" w:color="auto" w:fill="DEEAEB"/>
          </w:tcPr>
          <w:p>
            <w:pPr>
              <w:spacing w:after="0"/>
              <w:rPr>
                <w:sz w:val="22"/>
                <w:szCs w:val="22"/>
                <w:color w:val="auto"/>
              </w:rPr>
            </w:pPr>
          </w:p>
        </w:tc>
      </w:tr>
      <w:tr>
        <w:trPr>
          <w:trHeight w:val="439"/>
        </w:trPr>
        <w:tc>
          <w:tcPr>
            <w:tcW w:w="7100" w:type="dxa"/>
            <w:vAlign w:val="bottom"/>
            <w:tcBorders>
              <w:top w:val="single" w:sz="8" w:color="auto"/>
            </w:tcBorders>
          </w:tcPr>
          <w:p>
            <w:pPr>
              <w:ind w:left="20"/>
              <w:spacing w:after="0"/>
              <w:rPr>
                <w:sz w:val="20"/>
                <w:szCs w:val="20"/>
                <w:color w:val="auto"/>
              </w:rPr>
            </w:pPr>
            <w:r>
              <w:rPr>
                <w:rFonts w:ascii="Calibri" w:cs="Calibri" w:eastAsia="Calibri" w:hAnsi="Calibri"/>
                <w:sz w:val="16"/>
                <w:szCs w:val="16"/>
                <w:b w:val="1"/>
                <w:bCs w:val="1"/>
                <w:color w:val="auto"/>
              </w:rPr>
              <w:t>Liabilites and Equity</w:t>
            </w:r>
          </w:p>
        </w:tc>
        <w:tc>
          <w:tcPr>
            <w:tcW w:w="320" w:type="dxa"/>
            <w:vAlign w:val="bottom"/>
            <w:tcBorders>
              <w:top w:val="single" w:sz="8" w:color="auto"/>
              <w:bottom w:val="single" w:sz="8" w:color="B6D2E2"/>
            </w:tcBorders>
            <w:shd w:val="clear" w:color="auto" w:fill="B6D2E2"/>
          </w:tcPr>
          <w:p>
            <w:pPr>
              <w:spacing w:after="0"/>
              <w:rPr>
                <w:sz w:val="24"/>
                <w:szCs w:val="24"/>
                <w:color w:val="auto"/>
              </w:rPr>
            </w:pPr>
          </w:p>
        </w:tc>
        <w:tc>
          <w:tcPr>
            <w:tcW w:w="1560" w:type="dxa"/>
            <w:vAlign w:val="bottom"/>
            <w:tcBorders>
              <w:top w:val="single" w:sz="8" w:color="auto"/>
              <w:bottom w:val="single" w:sz="8" w:color="B6D2E2"/>
            </w:tcBorders>
            <w:shd w:val="clear" w:color="auto" w:fill="B6D2E2"/>
          </w:tcPr>
          <w:p>
            <w:pPr>
              <w:spacing w:after="0"/>
              <w:rPr>
                <w:sz w:val="24"/>
                <w:szCs w:val="24"/>
                <w:color w:val="auto"/>
              </w:rPr>
            </w:pPr>
          </w:p>
        </w:tc>
        <w:tc>
          <w:tcPr>
            <w:tcW w:w="120" w:type="dxa"/>
            <w:vAlign w:val="bottom"/>
            <w:tcBorders>
              <w:top w:val="single" w:sz="8" w:color="auto"/>
              <w:bottom w:val="single" w:sz="8" w:color="B6D2E2"/>
            </w:tcBorders>
            <w:shd w:val="clear" w:color="auto" w:fill="B6D2E2"/>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Borders>
              <w:top w:val="single" w:sz="8" w:color="auto"/>
              <w:bottom w:val="single" w:sz="8" w:color="DEEAEB"/>
            </w:tcBorders>
            <w:shd w:val="clear" w:color="auto" w:fill="DEEAEB"/>
          </w:tcPr>
          <w:p>
            <w:pPr>
              <w:spacing w:after="0"/>
              <w:rPr>
                <w:sz w:val="24"/>
                <w:szCs w:val="24"/>
                <w:color w:val="auto"/>
              </w:rPr>
            </w:pPr>
          </w:p>
        </w:tc>
        <w:tc>
          <w:tcPr>
            <w:tcW w:w="1580" w:type="dxa"/>
            <w:vAlign w:val="bottom"/>
            <w:tcBorders>
              <w:top w:val="single" w:sz="8" w:color="auto"/>
              <w:bottom w:val="single" w:sz="8" w:color="DEEAEB"/>
            </w:tcBorders>
            <w:shd w:val="clear" w:color="auto" w:fill="DEEAEB"/>
          </w:tcPr>
          <w:p>
            <w:pPr>
              <w:spacing w:after="0"/>
              <w:rPr>
                <w:sz w:val="24"/>
                <w:szCs w:val="24"/>
                <w:color w:val="auto"/>
              </w:rPr>
            </w:pPr>
          </w:p>
        </w:tc>
        <w:tc>
          <w:tcPr>
            <w:tcW w:w="100" w:type="dxa"/>
            <w:vAlign w:val="bottom"/>
            <w:tcBorders>
              <w:top w:val="single" w:sz="8" w:color="auto"/>
              <w:bottom w:val="single" w:sz="8" w:color="DEEAEB"/>
            </w:tcBorders>
            <w:shd w:val="clear" w:color="auto" w:fill="DEEAEB"/>
          </w:tcPr>
          <w:p>
            <w:pPr>
              <w:spacing w:after="0"/>
              <w:rPr>
                <w:sz w:val="24"/>
                <w:szCs w:val="24"/>
                <w:color w:val="auto"/>
              </w:rPr>
            </w:pPr>
          </w:p>
        </w:tc>
      </w:tr>
      <w:tr>
        <w:trPr>
          <w:trHeight w:val="187"/>
        </w:trPr>
        <w:tc>
          <w:tcPr>
            <w:tcW w:w="710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Current Liabilites:</w:t>
            </w:r>
          </w:p>
        </w:tc>
        <w:tc>
          <w:tcPr>
            <w:tcW w:w="320" w:type="dxa"/>
            <w:vAlign w:val="bottom"/>
            <w:tcBorders>
              <w:top w:val="single" w:sz="8" w:color="auto"/>
            </w:tcBorders>
            <w:shd w:val="clear" w:color="auto" w:fill="B6D2E2"/>
          </w:tcPr>
          <w:p>
            <w:pPr>
              <w:spacing w:after="0"/>
              <w:rPr>
                <w:sz w:val="16"/>
                <w:szCs w:val="16"/>
                <w:color w:val="auto"/>
              </w:rPr>
            </w:pPr>
          </w:p>
        </w:tc>
        <w:tc>
          <w:tcPr>
            <w:tcW w:w="1560" w:type="dxa"/>
            <w:vAlign w:val="bottom"/>
            <w:tcBorders>
              <w:top w:val="single" w:sz="8" w:color="auto"/>
            </w:tcBorders>
            <w:shd w:val="clear" w:color="auto" w:fill="B6D2E2"/>
          </w:tcPr>
          <w:p>
            <w:pPr>
              <w:spacing w:after="0"/>
              <w:rPr>
                <w:sz w:val="16"/>
                <w:szCs w:val="16"/>
                <w:color w:val="auto"/>
              </w:rPr>
            </w:pPr>
          </w:p>
        </w:tc>
        <w:tc>
          <w:tcPr>
            <w:tcW w:w="120" w:type="dxa"/>
            <w:vAlign w:val="bottom"/>
            <w:tcBorders>
              <w:top w:val="single" w:sz="8" w:color="auto"/>
            </w:tcBorders>
            <w:shd w:val="clear" w:color="auto" w:fill="B6D2E2"/>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shd w:val="clear" w:color="auto" w:fill="DEEAEB"/>
          </w:tcPr>
          <w:p>
            <w:pPr>
              <w:spacing w:after="0"/>
              <w:rPr>
                <w:sz w:val="16"/>
                <w:szCs w:val="16"/>
                <w:color w:val="auto"/>
              </w:rPr>
            </w:pPr>
          </w:p>
        </w:tc>
        <w:tc>
          <w:tcPr>
            <w:tcW w:w="1580" w:type="dxa"/>
            <w:vAlign w:val="bottom"/>
            <w:tcBorders>
              <w:top w:val="single" w:sz="8" w:color="auto"/>
            </w:tcBorders>
            <w:shd w:val="clear" w:color="auto" w:fill="DEEAEB"/>
          </w:tcPr>
          <w:p>
            <w:pPr>
              <w:spacing w:after="0"/>
              <w:rPr>
                <w:sz w:val="16"/>
                <w:szCs w:val="16"/>
                <w:color w:val="auto"/>
              </w:rPr>
            </w:pPr>
          </w:p>
        </w:tc>
        <w:tc>
          <w:tcPr>
            <w:tcW w:w="100" w:type="dxa"/>
            <w:vAlign w:val="bottom"/>
            <w:tcBorders>
              <w:top w:val="single" w:sz="8" w:color="auto"/>
            </w:tcBorders>
            <w:shd w:val="clear" w:color="auto" w:fill="DEEAEB"/>
          </w:tcPr>
          <w:p>
            <w:pPr>
              <w:spacing w:after="0"/>
              <w:rPr>
                <w:sz w:val="16"/>
                <w:szCs w:val="16"/>
                <w:color w:val="auto"/>
              </w:rPr>
            </w:pPr>
          </w:p>
        </w:tc>
      </w:tr>
      <w:tr>
        <w:trPr>
          <w:trHeight w:val="225"/>
        </w:trPr>
        <w:tc>
          <w:tcPr>
            <w:tcW w:w="7100" w:type="dxa"/>
            <w:vAlign w:val="bottom"/>
          </w:tcPr>
          <w:p>
            <w:pPr>
              <w:ind w:left="20"/>
              <w:spacing w:after="0"/>
              <w:rPr>
                <w:sz w:val="20"/>
                <w:szCs w:val="20"/>
                <w:color w:val="auto"/>
              </w:rPr>
            </w:pPr>
            <w:r>
              <w:rPr>
                <w:rFonts w:ascii="Calibri" w:cs="Calibri" w:eastAsia="Calibri" w:hAnsi="Calibri"/>
                <w:sz w:val="16"/>
                <w:szCs w:val="16"/>
                <w:color w:val="auto"/>
              </w:rPr>
              <w:t>Accounts payable</w:t>
            </w:r>
          </w:p>
        </w:tc>
        <w:tc>
          <w:tcPr>
            <w:tcW w:w="32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w:t>
            </w: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385.0</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5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356.2</w:t>
            </w:r>
          </w:p>
        </w:tc>
        <w:tc>
          <w:tcPr>
            <w:tcW w:w="100" w:type="dxa"/>
            <w:vAlign w:val="bottom"/>
            <w:shd w:val="clear" w:color="auto" w:fill="DEEAEB"/>
          </w:tcPr>
          <w:p>
            <w:pPr>
              <w:spacing w:after="0"/>
              <w:rPr>
                <w:sz w:val="19"/>
                <w:szCs w:val="19"/>
                <w:color w:val="auto"/>
              </w:rPr>
            </w:pPr>
          </w:p>
        </w:tc>
      </w:tr>
      <w:tr>
        <w:trPr>
          <w:trHeight w:val="229"/>
        </w:trPr>
        <w:tc>
          <w:tcPr>
            <w:tcW w:w="7100" w:type="dxa"/>
            <w:vAlign w:val="bottom"/>
          </w:tcPr>
          <w:p>
            <w:pPr>
              <w:ind w:left="20"/>
              <w:spacing w:after="0"/>
              <w:rPr>
                <w:sz w:val="20"/>
                <w:szCs w:val="20"/>
                <w:color w:val="auto"/>
              </w:rPr>
            </w:pPr>
            <w:r>
              <w:rPr>
                <w:rFonts w:ascii="Calibri" w:cs="Calibri" w:eastAsia="Calibri" w:hAnsi="Calibri"/>
                <w:sz w:val="16"/>
                <w:szCs w:val="16"/>
                <w:color w:val="auto"/>
              </w:rPr>
              <w:t>Accrued salaries, benefts and payroll taxes</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71.6</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86.6</w:t>
            </w:r>
          </w:p>
        </w:tc>
        <w:tc>
          <w:tcPr>
            <w:tcW w:w="100" w:type="dxa"/>
            <w:vAlign w:val="bottom"/>
            <w:shd w:val="clear" w:color="auto" w:fill="DEEAEB"/>
          </w:tcPr>
          <w:p>
            <w:pPr>
              <w:spacing w:after="0"/>
              <w:rPr>
                <w:sz w:val="19"/>
                <w:szCs w:val="19"/>
                <w:color w:val="auto"/>
              </w:rPr>
            </w:pPr>
          </w:p>
        </w:tc>
      </w:tr>
      <w:tr>
        <w:trPr>
          <w:trHeight w:val="230"/>
        </w:trPr>
        <w:tc>
          <w:tcPr>
            <w:tcW w:w="7100" w:type="dxa"/>
            <w:vAlign w:val="bottom"/>
          </w:tcPr>
          <w:p>
            <w:pPr>
              <w:ind w:left="20"/>
              <w:spacing w:after="0"/>
              <w:rPr>
                <w:sz w:val="20"/>
                <w:szCs w:val="20"/>
                <w:color w:val="auto"/>
              </w:rPr>
            </w:pPr>
            <w:r>
              <w:rPr>
                <w:rFonts w:ascii="Calibri" w:cs="Calibri" w:eastAsia="Calibri" w:hAnsi="Calibri"/>
                <w:sz w:val="16"/>
                <w:szCs w:val="16"/>
                <w:color w:val="auto"/>
              </w:rPr>
              <w:t>Accrued other taxes</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55.4</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58.4</w:t>
            </w:r>
          </w:p>
        </w:tc>
        <w:tc>
          <w:tcPr>
            <w:tcW w:w="100" w:type="dxa"/>
            <w:vAlign w:val="bottom"/>
            <w:shd w:val="clear" w:color="auto" w:fill="DEEAEB"/>
          </w:tcPr>
          <w:p>
            <w:pPr>
              <w:spacing w:after="0"/>
              <w:rPr>
                <w:sz w:val="19"/>
                <w:szCs w:val="19"/>
                <w:color w:val="auto"/>
              </w:rPr>
            </w:pPr>
          </w:p>
        </w:tc>
      </w:tr>
      <w:tr>
        <w:trPr>
          <w:trHeight w:val="230"/>
        </w:trPr>
        <w:tc>
          <w:tcPr>
            <w:tcW w:w="7100" w:type="dxa"/>
            <w:vAlign w:val="bottom"/>
          </w:tcPr>
          <w:p>
            <w:pPr>
              <w:ind w:left="20"/>
              <w:spacing w:after="0"/>
              <w:rPr>
                <w:sz w:val="20"/>
                <w:szCs w:val="20"/>
                <w:color w:val="auto"/>
              </w:rPr>
            </w:pPr>
            <w:r>
              <w:rPr>
                <w:rFonts w:ascii="Calibri" w:cs="Calibri" w:eastAsia="Calibri" w:hAnsi="Calibri"/>
                <w:sz w:val="16"/>
                <w:szCs w:val="16"/>
                <w:color w:val="auto"/>
              </w:rPr>
              <w:t>Accrued interest</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42.8</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48.0</w:t>
            </w:r>
          </w:p>
        </w:tc>
        <w:tc>
          <w:tcPr>
            <w:tcW w:w="100" w:type="dxa"/>
            <w:vAlign w:val="bottom"/>
            <w:shd w:val="clear" w:color="auto" w:fill="DEEAEB"/>
          </w:tcPr>
          <w:p>
            <w:pPr>
              <w:spacing w:after="0"/>
              <w:rPr>
                <w:sz w:val="19"/>
                <w:szCs w:val="19"/>
                <w:color w:val="auto"/>
              </w:rPr>
            </w:pPr>
          </w:p>
        </w:tc>
      </w:tr>
      <w:tr>
        <w:trPr>
          <w:trHeight w:val="230"/>
        </w:trPr>
        <w:tc>
          <w:tcPr>
            <w:tcW w:w="7100" w:type="dxa"/>
            <w:vAlign w:val="bottom"/>
          </w:tcPr>
          <w:p>
            <w:pPr>
              <w:ind w:left="20"/>
              <w:spacing w:after="0"/>
              <w:rPr>
                <w:sz w:val="20"/>
                <w:szCs w:val="20"/>
                <w:color w:val="auto"/>
              </w:rPr>
            </w:pPr>
            <w:r>
              <w:rPr>
                <w:rFonts w:ascii="Calibri" w:cs="Calibri" w:eastAsia="Calibri" w:hAnsi="Calibri"/>
                <w:sz w:val="16"/>
                <w:szCs w:val="16"/>
                <w:color w:val="auto"/>
              </w:rPr>
              <w:t>Current maturites of discharged long-term debt</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699.1</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00" w:type="dxa"/>
            <w:vAlign w:val="bottom"/>
            <w:shd w:val="clear" w:color="auto" w:fill="DEEAEB"/>
          </w:tcPr>
          <w:p>
            <w:pPr>
              <w:spacing w:after="0"/>
              <w:rPr>
                <w:sz w:val="19"/>
                <w:szCs w:val="19"/>
                <w:color w:val="auto"/>
              </w:rPr>
            </w:pPr>
          </w:p>
        </w:tc>
      </w:tr>
      <w:tr>
        <w:trPr>
          <w:trHeight w:val="229"/>
        </w:trPr>
        <w:tc>
          <w:tcPr>
            <w:tcW w:w="7100" w:type="dxa"/>
            <w:vAlign w:val="bottom"/>
          </w:tcPr>
          <w:p>
            <w:pPr>
              <w:ind w:left="20"/>
              <w:spacing w:after="0"/>
              <w:rPr>
                <w:sz w:val="20"/>
                <w:szCs w:val="20"/>
                <w:color w:val="auto"/>
              </w:rPr>
            </w:pPr>
            <w:r>
              <w:rPr>
                <w:rFonts w:ascii="Calibri" w:cs="Calibri" w:eastAsia="Calibri" w:hAnsi="Calibri"/>
                <w:sz w:val="16"/>
                <w:szCs w:val="16"/>
                <w:color w:val="auto"/>
              </w:rPr>
              <w:t>Operatng lease liabilites</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52.1</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53.9</w:t>
            </w:r>
          </w:p>
        </w:tc>
        <w:tc>
          <w:tcPr>
            <w:tcW w:w="100" w:type="dxa"/>
            <w:vAlign w:val="bottom"/>
            <w:shd w:val="clear" w:color="auto" w:fill="DEEAEB"/>
          </w:tcPr>
          <w:p>
            <w:pPr>
              <w:spacing w:after="0"/>
              <w:rPr>
                <w:sz w:val="19"/>
                <w:szCs w:val="19"/>
                <w:color w:val="auto"/>
              </w:rPr>
            </w:pPr>
          </w:p>
        </w:tc>
      </w:tr>
      <w:tr>
        <w:trPr>
          <w:trHeight w:val="230"/>
        </w:trPr>
        <w:tc>
          <w:tcPr>
            <w:tcW w:w="7100" w:type="dxa"/>
            <w:vAlign w:val="bottom"/>
          </w:tcPr>
          <w:p>
            <w:pPr>
              <w:ind w:left="20"/>
              <w:spacing w:after="0"/>
              <w:rPr>
                <w:sz w:val="20"/>
                <w:szCs w:val="20"/>
                <w:color w:val="auto"/>
              </w:rPr>
            </w:pPr>
            <w:r>
              <w:rPr>
                <w:rFonts w:ascii="Calibri" w:cs="Calibri" w:eastAsia="Calibri" w:hAnsi="Calibri"/>
                <w:sz w:val="16"/>
                <w:szCs w:val="16"/>
                <w:color w:val="auto"/>
              </w:rPr>
              <w:t>Current liabilites held for sale</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4.5</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7.5</w:t>
            </w:r>
          </w:p>
        </w:tc>
        <w:tc>
          <w:tcPr>
            <w:tcW w:w="100" w:type="dxa"/>
            <w:vAlign w:val="bottom"/>
            <w:shd w:val="clear" w:color="auto" w:fill="DEEAEB"/>
          </w:tcPr>
          <w:p>
            <w:pPr>
              <w:spacing w:after="0"/>
              <w:rPr>
                <w:sz w:val="19"/>
                <w:szCs w:val="19"/>
                <w:color w:val="auto"/>
              </w:rPr>
            </w:pPr>
          </w:p>
        </w:tc>
      </w:tr>
      <w:tr>
        <w:trPr>
          <w:trHeight w:val="270"/>
        </w:trPr>
        <w:tc>
          <w:tcPr>
            <w:tcW w:w="7100" w:type="dxa"/>
            <w:vAlign w:val="bottom"/>
          </w:tcPr>
          <w:p>
            <w:pPr>
              <w:ind w:left="20"/>
              <w:spacing w:after="0"/>
              <w:rPr>
                <w:sz w:val="20"/>
                <w:szCs w:val="20"/>
                <w:color w:val="auto"/>
              </w:rPr>
            </w:pPr>
            <w:r>
              <w:rPr>
                <w:rFonts w:ascii="Calibri" w:cs="Calibri" w:eastAsia="Calibri" w:hAnsi="Calibri"/>
                <w:sz w:val="16"/>
                <w:szCs w:val="16"/>
                <w:color w:val="auto"/>
              </w:rPr>
              <w:t>Other current liabilites</w:t>
            </w:r>
          </w:p>
        </w:tc>
        <w:tc>
          <w:tcPr>
            <w:tcW w:w="320" w:type="dxa"/>
            <w:vAlign w:val="bottom"/>
            <w:tcBorders>
              <w:bottom w:val="single" w:sz="8" w:color="B6D2E2"/>
            </w:tcBorders>
            <w:shd w:val="clear" w:color="auto" w:fill="B6D2E2"/>
          </w:tcPr>
          <w:p>
            <w:pPr>
              <w:spacing w:after="0"/>
              <w:rPr>
                <w:sz w:val="23"/>
                <w:szCs w:val="23"/>
                <w:color w:val="auto"/>
              </w:rPr>
            </w:pPr>
          </w:p>
        </w:tc>
        <w:tc>
          <w:tcPr>
            <w:tcW w:w="156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rPr>
              <w:t>135.1</w:t>
            </w:r>
          </w:p>
        </w:tc>
        <w:tc>
          <w:tcPr>
            <w:tcW w:w="120" w:type="dxa"/>
            <w:vAlign w:val="bottom"/>
            <w:tcBorders>
              <w:bottom w:val="single" w:sz="8" w:color="B6D2E2"/>
            </w:tcBorders>
            <w:shd w:val="clear" w:color="auto" w:fill="B6D2E2"/>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Borders>
              <w:bottom w:val="single" w:sz="8" w:color="DEEAEB"/>
            </w:tcBorders>
            <w:shd w:val="clear" w:color="auto" w:fill="DEEAEB"/>
          </w:tcPr>
          <w:p>
            <w:pPr>
              <w:spacing w:after="0"/>
              <w:rPr>
                <w:sz w:val="23"/>
                <w:szCs w:val="23"/>
                <w:color w:val="auto"/>
              </w:rPr>
            </w:pPr>
          </w:p>
        </w:tc>
        <w:tc>
          <w:tcPr>
            <w:tcW w:w="158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142.0</w:t>
            </w:r>
          </w:p>
        </w:tc>
        <w:tc>
          <w:tcPr>
            <w:tcW w:w="100" w:type="dxa"/>
            <w:vAlign w:val="bottom"/>
            <w:tcBorders>
              <w:bottom w:val="single" w:sz="8" w:color="DEEAEB"/>
            </w:tcBorders>
            <w:shd w:val="clear" w:color="auto" w:fill="DEEAEB"/>
          </w:tcPr>
          <w:p>
            <w:pPr>
              <w:spacing w:after="0"/>
              <w:rPr>
                <w:sz w:val="23"/>
                <w:szCs w:val="23"/>
                <w:color w:val="auto"/>
              </w:rPr>
            </w:pPr>
          </w:p>
        </w:tc>
      </w:tr>
      <w:tr>
        <w:trPr>
          <w:trHeight w:val="187"/>
        </w:trPr>
        <w:tc>
          <w:tcPr>
            <w:tcW w:w="710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Total Current Liabilites</w:t>
            </w:r>
          </w:p>
        </w:tc>
        <w:tc>
          <w:tcPr>
            <w:tcW w:w="320" w:type="dxa"/>
            <w:vAlign w:val="bottom"/>
            <w:tcBorders>
              <w:top w:val="single" w:sz="8" w:color="auto"/>
            </w:tcBorders>
            <w:shd w:val="clear" w:color="auto" w:fill="B6D2E2"/>
          </w:tcPr>
          <w:p>
            <w:pPr>
              <w:spacing w:after="0"/>
              <w:rPr>
                <w:sz w:val="16"/>
                <w:szCs w:val="16"/>
                <w:color w:val="auto"/>
              </w:rPr>
            </w:pPr>
          </w:p>
        </w:tc>
        <w:tc>
          <w:tcPr>
            <w:tcW w:w="1560" w:type="dxa"/>
            <w:vAlign w:val="bottom"/>
            <w:tcBorders>
              <w:top w:val="single" w:sz="8" w:color="auto"/>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1,445.6</w:t>
            </w:r>
          </w:p>
        </w:tc>
        <w:tc>
          <w:tcPr>
            <w:tcW w:w="120" w:type="dxa"/>
            <w:vAlign w:val="bottom"/>
            <w:tcBorders>
              <w:top w:val="single" w:sz="8" w:color="auto"/>
            </w:tcBorders>
            <w:shd w:val="clear" w:color="auto" w:fill="B6D2E2"/>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shd w:val="clear" w:color="auto" w:fill="DEEAEB"/>
          </w:tcPr>
          <w:p>
            <w:pPr>
              <w:spacing w:after="0"/>
              <w:rPr>
                <w:sz w:val="16"/>
                <w:szCs w:val="16"/>
                <w:color w:val="auto"/>
              </w:rPr>
            </w:pPr>
          </w:p>
        </w:tc>
        <w:tc>
          <w:tcPr>
            <w:tcW w:w="158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752.6</w:t>
            </w:r>
          </w:p>
        </w:tc>
        <w:tc>
          <w:tcPr>
            <w:tcW w:w="100" w:type="dxa"/>
            <w:vAlign w:val="bottom"/>
            <w:tcBorders>
              <w:top w:val="single" w:sz="8" w:color="auto"/>
            </w:tcBorders>
            <w:shd w:val="clear" w:color="auto" w:fill="DEEAEB"/>
          </w:tcPr>
          <w:p>
            <w:pPr>
              <w:spacing w:after="0"/>
              <w:rPr>
                <w:sz w:val="16"/>
                <w:szCs w:val="16"/>
                <w:color w:val="auto"/>
              </w:rPr>
            </w:pPr>
          </w:p>
        </w:tc>
      </w:tr>
      <w:tr>
        <w:trPr>
          <w:trHeight w:val="225"/>
        </w:trPr>
        <w:tc>
          <w:tcPr>
            <w:tcW w:w="7100" w:type="dxa"/>
            <w:vAlign w:val="bottom"/>
          </w:tcPr>
          <w:p>
            <w:pPr>
              <w:ind w:left="20"/>
              <w:spacing w:after="0"/>
              <w:rPr>
                <w:sz w:val="20"/>
                <w:szCs w:val="20"/>
                <w:color w:val="auto"/>
              </w:rPr>
            </w:pPr>
            <w:r>
              <w:rPr>
                <w:rFonts w:ascii="Calibri" w:cs="Calibri" w:eastAsia="Calibri" w:hAnsi="Calibri"/>
                <w:sz w:val="16"/>
                <w:szCs w:val="16"/>
                <w:color w:val="auto"/>
              </w:rPr>
              <w:t>Long-term debt</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4,340.9</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5,100.8</w:t>
            </w:r>
          </w:p>
        </w:tc>
        <w:tc>
          <w:tcPr>
            <w:tcW w:w="100" w:type="dxa"/>
            <w:vAlign w:val="bottom"/>
            <w:shd w:val="clear" w:color="auto" w:fill="DEEAEB"/>
          </w:tcPr>
          <w:p>
            <w:pPr>
              <w:spacing w:after="0"/>
              <w:rPr>
                <w:sz w:val="19"/>
                <w:szCs w:val="19"/>
                <w:color w:val="auto"/>
              </w:rPr>
            </w:pPr>
          </w:p>
        </w:tc>
      </w:tr>
      <w:tr>
        <w:trPr>
          <w:trHeight w:val="230"/>
        </w:trPr>
        <w:tc>
          <w:tcPr>
            <w:tcW w:w="7100" w:type="dxa"/>
            <w:vAlign w:val="bottom"/>
          </w:tcPr>
          <w:p>
            <w:pPr>
              <w:ind w:left="20"/>
              <w:spacing w:after="0"/>
              <w:rPr>
                <w:sz w:val="20"/>
                <w:szCs w:val="20"/>
                <w:color w:val="auto"/>
              </w:rPr>
            </w:pPr>
            <w:r>
              <w:rPr>
                <w:rFonts w:ascii="Calibri" w:cs="Calibri" w:eastAsia="Calibri" w:hAnsi="Calibri"/>
                <w:sz w:val="16"/>
                <w:szCs w:val="16"/>
                <w:color w:val="auto"/>
              </w:rPr>
              <w:t>Deferred income taxes, net</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914.3</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895.3</w:t>
            </w:r>
          </w:p>
        </w:tc>
        <w:tc>
          <w:tcPr>
            <w:tcW w:w="100" w:type="dxa"/>
            <w:vAlign w:val="bottom"/>
            <w:shd w:val="clear" w:color="auto" w:fill="DEEAEB"/>
          </w:tcPr>
          <w:p>
            <w:pPr>
              <w:spacing w:after="0"/>
              <w:rPr>
                <w:sz w:val="19"/>
                <w:szCs w:val="19"/>
                <w:color w:val="auto"/>
              </w:rPr>
            </w:pPr>
          </w:p>
        </w:tc>
      </w:tr>
      <w:tr>
        <w:trPr>
          <w:trHeight w:val="229"/>
        </w:trPr>
        <w:tc>
          <w:tcPr>
            <w:tcW w:w="7100" w:type="dxa"/>
            <w:vAlign w:val="bottom"/>
          </w:tcPr>
          <w:p>
            <w:pPr>
              <w:ind w:left="20"/>
              <w:spacing w:after="0"/>
              <w:rPr>
                <w:sz w:val="20"/>
                <w:szCs w:val="20"/>
                <w:color w:val="auto"/>
              </w:rPr>
            </w:pPr>
            <w:r>
              <w:rPr>
                <w:rFonts w:ascii="Calibri" w:cs="Calibri" w:eastAsia="Calibri" w:hAnsi="Calibri"/>
                <w:sz w:val="16"/>
                <w:szCs w:val="16"/>
                <w:color w:val="auto"/>
              </w:rPr>
              <w:t>Noncurrent operatng lease liabilites</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335.9</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379.4</w:t>
            </w:r>
          </w:p>
        </w:tc>
        <w:tc>
          <w:tcPr>
            <w:tcW w:w="100" w:type="dxa"/>
            <w:vAlign w:val="bottom"/>
            <w:shd w:val="clear" w:color="auto" w:fill="DEEAEB"/>
          </w:tcPr>
          <w:p>
            <w:pPr>
              <w:spacing w:after="0"/>
              <w:rPr>
                <w:sz w:val="19"/>
                <w:szCs w:val="19"/>
                <w:color w:val="auto"/>
              </w:rPr>
            </w:pPr>
          </w:p>
        </w:tc>
      </w:tr>
      <w:tr>
        <w:trPr>
          <w:trHeight w:val="230"/>
        </w:trPr>
        <w:tc>
          <w:tcPr>
            <w:tcW w:w="7100" w:type="dxa"/>
            <w:vAlign w:val="bottom"/>
          </w:tcPr>
          <w:p>
            <w:pPr>
              <w:ind w:left="20"/>
              <w:spacing w:after="0"/>
              <w:rPr>
                <w:sz w:val="20"/>
                <w:szCs w:val="20"/>
                <w:color w:val="auto"/>
              </w:rPr>
            </w:pPr>
            <w:r>
              <w:rPr>
                <w:rFonts w:ascii="Calibri" w:cs="Calibri" w:eastAsia="Calibri" w:hAnsi="Calibri"/>
                <w:sz w:val="16"/>
                <w:szCs w:val="16"/>
                <w:color w:val="auto"/>
              </w:rPr>
              <w:t>Noncurrent liabilites held for sale</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21.8</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53.5</w:t>
            </w:r>
          </w:p>
        </w:tc>
        <w:tc>
          <w:tcPr>
            <w:tcW w:w="100" w:type="dxa"/>
            <w:vAlign w:val="bottom"/>
            <w:shd w:val="clear" w:color="auto" w:fill="DEEAEB"/>
          </w:tcPr>
          <w:p>
            <w:pPr>
              <w:spacing w:after="0"/>
              <w:rPr>
                <w:sz w:val="19"/>
                <w:szCs w:val="19"/>
                <w:color w:val="auto"/>
              </w:rPr>
            </w:pPr>
          </w:p>
        </w:tc>
      </w:tr>
      <w:tr>
        <w:trPr>
          <w:trHeight w:val="270"/>
        </w:trPr>
        <w:tc>
          <w:tcPr>
            <w:tcW w:w="7100" w:type="dxa"/>
            <w:vAlign w:val="bottom"/>
          </w:tcPr>
          <w:p>
            <w:pPr>
              <w:ind w:left="20"/>
              <w:spacing w:after="0"/>
              <w:rPr>
                <w:sz w:val="20"/>
                <w:szCs w:val="20"/>
                <w:color w:val="auto"/>
              </w:rPr>
            </w:pPr>
            <w:r>
              <w:rPr>
                <w:rFonts w:ascii="Calibri" w:cs="Calibri" w:eastAsia="Calibri" w:hAnsi="Calibri"/>
                <w:sz w:val="16"/>
                <w:szCs w:val="16"/>
                <w:color w:val="auto"/>
              </w:rPr>
              <w:t>Other noncurrent liabilites</w:t>
            </w:r>
          </w:p>
        </w:tc>
        <w:tc>
          <w:tcPr>
            <w:tcW w:w="320" w:type="dxa"/>
            <w:vAlign w:val="bottom"/>
            <w:tcBorders>
              <w:bottom w:val="single" w:sz="8" w:color="B6D2E2"/>
            </w:tcBorders>
            <w:shd w:val="clear" w:color="auto" w:fill="B6D2E2"/>
          </w:tcPr>
          <w:p>
            <w:pPr>
              <w:spacing w:after="0"/>
              <w:rPr>
                <w:sz w:val="23"/>
                <w:szCs w:val="23"/>
                <w:color w:val="auto"/>
              </w:rPr>
            </w:pPr>
          </w:p>
        </w:tc>
        <w:tc>
          <w:tcPr>
            <w:tcW w:w="156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rPr>
              <w:t>762.3</w:t>
            </w:r>
          </w:p>
        </w:tc>
        <w:tc>
          <w:tcPr>
            <w:tcW w:w="120" w:type="dxa"/>
            <w:vAlign w:val="bottom"/>
            <w:tcBorders>
              <w:bottom w:val="single" w:sz="8" w:color="B6D2E2"/>
            </w:tcBorders>
            <w:shd w:val="clear" w:color="auto" w:fill="B6D2E2"/>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Borders>
              <w:bottom w:val="single" w:sz="8" w:color="DEEAEB"/>
            </w:tcBorders>
            <w:shd w:val="clear" w:color="auto" w:fill="DEEAEB"/>
          </w:tcPr>
          <w:p>
            <w:pPr>
              <w:spacing w:after="0"/>
              <w:rPr>
                <w:sz w:val="23"/>
                <w:szCs w:val="23"/>
                <w:color w:val="auto"/>
              </w:rPr>
            </w:pPr>
          </w:p>
        </w:tc>
        <w:tc>
          <w:tcPr>
            <w:tcW w:w="158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673.8</w:t>
            </w:r>
          </w:p>
        </w:tc>
        <w:tc>
          <w:tcPr>
            <w:tcW w:w="100" w:type="dxa"/>
            <w:vAlign w:val="bottom"/>
            <w:tcBorders>
              <w:bottom w:val="single" w:sz="8" w:color="DEEAEB"/>
            </w:tcBorders>
            <w:shd w:val="clear" w:color="auto" w:fill="DEEAEB"/>
          </w:tcPr>
          <w:p>
            <w:pPr>
              <w:spacing w:after="0"/>
              <w:rPr>
                <w:sz w:val="23"/>
                <w:szCs w:val="23"/>
                <w:color w:val="auto"/>
              </w:rPr>
            </w:pPr>
          </w:p>
        </w:tc>
      </w:tr>
      <w:tr>
        <w:trPr>
          <w:trHeight w:val="223"/>
        </w:trPr>
        <w:tc>
          <w:tcPr>
            <w:tcW w:w="710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Total Liabilites</w:t>
            </w:r>
          </w:p>
        </w:tc>
        <w:tc>
          <w:tcPr>
            <w:tcW w:w="320" w:type="dxa"/>
            <w:vAlign w:val="bottom"/>
            <w:tcBorders>
              <w:top w:val="single" w:sz="8" w:color="auto"/>
              <w:bottom w:val="single" w:sz="8" w:color="B6D2E2"/>
            </w:tcBorders>
            <w:shd w:val="clear" w:color="auto" w:fill="B6D2E2"/>
          </w:tcPr>
          <w:p>
            <w:pPr>
              <w:spacing w:after="0"/>
              <w:rPr>
                <w:sz w:val="19"/>
                <w:szCs w:val="19"/>
                <w:color w:val="auto"/>
              </w:rPr>
            </w:pPr>
          </w:p>
        </w:tc>
        <w:tc>
          <w:tcPr>
            <w:tcW w:w="156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7,820.8</w:t>
            </w:r>
          </w:p>
        </w:tc>
        <w:tc>
          <w:tcPr>
            <w:tcW w:w="120" w:type="dxa"/>
            <w:vAlign w:val="bottom"/>
            <w:tcBorders>
              <w:top w:val="single" w:sz="8" w:color="auto"/>
              <w:bottom w:val="single" w:sz="8" w:color="B6D2E2"/>
            </w:tcBorders>
            <w:shd w:val="clear" w:color="auto" w:fill="B6D2E2"/>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DEEAEB"/>
            </w:tcBorders>
            <w:shd w:val="clear" w:color="auto" w:fill="DEEAEB"/>
          </w:tcPr>
          <w:p>
            <w:pPr>
              <w:spacing w:after="0"/>
              <w:rPr>
                <w:sz w:val="19"/>
                <w:szCs w:val="19"/>
                <w:color w:val="auto"/>
              </w:rPr>
            </w:pPr>
          </w:p>
        </w:tc>
        <w:tc>
          <w:tcPr>
            <w:tcW w:w="158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7,855.4</w:t>
            </w:r>
          </w:p>
        </w:tc>
        <w:tc>
          <w:tcPr>
            <w:tcW w:w="100" w:type="dxa"/>
            <w:vAlign w:val="bottom"/>
            <w:tcBorders>
              <w:top w:val="single" w:sz="8" w:color="auto"/>
              <w:bottom w:val="single" w:sz="8" w:color="DEEAEB"/>
            </w:tcBorders>
            <w:shd w:val="clear" w:color="auto" w:fill="DEEAEB"/>
          </w:tcPr>
          <w:p>
            <w:pPr>
              <w:spacing w:after="0"/>
              <w:rPr>
                <w:sz w:val="19"/>
                <w:szCs w:val="19"/>
                <w:color w:val="auto"/>
              </w:rPr>
            </w:pPr>
          </w:p>
        </w:tc>
      </w:tr>
      <w:tr>
        <w:trPr>
          <w:trHeight w:val="187"/>
        </w:trPr>
        <w:tc>
          <w:tcPr>
            <w:tcW w:w="710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Equity:</w:t>
            </w:r>
          </w:p>
        </w:tc>
        <w:tc>
          <w:tcPr>
            <w:tcW w:w="320" w:type="dxa"/>
            <w:vAlign w:val="bottom"/>
            <w:tcBorders>
              <w:top w:val="single" w:sz="8" w:color="auto"/>
            </w:tcBorders>
            <w:shd w:val="clear" w:color="auto" w:fill="B6D2E2"/>
          </w:tcPr>
          <w:p>
            <w:pPr>
              <w:spacing w:after="0"/>
              <w:rPr>
                <w:sz w:val="16"/>
                <w:szCs w:val="16"/>
                <w:color w:val="auto"/>
              </w:rPr>
            </w:pPr>
          </w:p>
        </w:tc>
        <w:tc>
          <w:tcPr>
            <w:tcW w:w="1560" w:type="dxa"/>
            <w:vAlign w:val="bottom"/>
            <w:tcBorders>
              <w:top w:val="single" w:sz="8" w:color="auto"/>
            </w:tcBorders>
            <w:shd w:val="clear" w:color="auto" w:fill="B6D2E2"/>
          </w:tcPr>
          <w:p>
            <w:pPr>
              <w:spacing w:after="0"/>
              <w:rPr>
                <w:sz w:val="16"/>
                <w:szCs w:val="16"/>
                <w:color w:val="auto"/>
              </w:rPr>
            </w:pPr>
          </w:p>
        </w:tc>
        <w:tc>
          <w:tcPr>
            <w:tcW w:w="120" w:type="dxa"/>
            <w:vAlign w:val="bottom"/>
            <w:tcBorders>
              <w:top w:val="single" w:sz="8" w:color="auto"/>
            </w:tcBorders>
            <w:shd w:val="clear" w:color="auto" w:fill="B6D2E2"/>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shd w:val="clear" w:color="auto" w:fill="DEEAEB"/>
          </w:tcPr>
          <w:p>
            <w:pPr>
              <w:spacing w:after="0"/>
              <w:rPr>
                <w:sz w:val="16"/>
                <w:szCs w:val="16"/>
                <w:color w:val="auto"/>
              </w:rPr>
            </w:pPr>
          </w:p>
        </w:tc>
        <w:tc>
          <w:tcPr>
            <w:tcW w:w="1580" w:type="dxa"/>
            <w:vAlign w:val="bottom"/>
            <w:tcBorders>
              <w:top w:val="single" w:sz="8" w:color="auto"/>
            </w:tcBorders>
            <w:shd w:val="clear" w:color="auto" w:fill="DEEAEB"/>
          </w:tcPr>
          <w:p>
            <w:pPr>
              <w:spacing w:after="0"/>
              <w:rPr>
                <w:sz w:val="16"/>
                <w:szCs w:val="16"/>
                <w:color w:val="auto"/>
              </w:rPr>
            </w:pPr>
          </w:p>
        </w:tc>
        <w:tc>
          <w:tcPr>
            <w:tcW w:w="100" w:type="dxa"/>
            <w:vAlign w:val="bottom"/>
            <w:tcBorders>
              <w:top w:val="single" w:sz="8" w:color="auto"/>
            </w:tcBorders>
            <w:shd w:val="clear" w:color="auto" w:fill="DEEAEB"/>
          </w:tcPr>
          <w:p>
            <w:pPr>
              <w:spacing w:after="0"/>
              <w:rPr>
                <w:sz w:val="16"/>
                <w:szCs w:val="16"/>
                <w:color w:val="auto"/>
              </w:rPr>
            </w:pPr>
          </w:p>
        </w:tc>
      </w:tr>
      <w:tr>
        <w:trPr>
          <w:trHeight w:val="225"/>
        </w:trPr>
        <w:tc>
          <w:tcPr>
            <w:tcW w:w="7100" w:type="dxa"/>
            <w:vAlign w:val="bottom"/>
          </w:tcPr>
          <w:p>
            <w:pPr>
              <w:ind w:left="20"/>
              <w:spacing w:after="0"/>
              <w:rPr>
                <w:sz w:val="20"/>
                <w:szCs w:val="20"/>
                <w:color w:val="auto"/>
              </w:rPr>
            </w:pPr>
            <w:r>
              <w:rPr>
                <w:rFonts w:ascii="Calibri" w:cs="Calibri" w:eastAsia="Calibri" w:hAnsi="Calibri"/>
                <w:sz w:val="16"/>
                <w:szCs w:val="16"/>
                <w:color w:val="auto"/>
              </w:rPr>
              <w:t>Common stock ($0.01 par value; 100.0 shares authorized; 62.1 and</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spacing w:after="0"/>
              <w:rPr>
                <w:sz w:val="19"/>
                <w:szCs w:val="19"/>
                <w:color w:val="auto"/>
              </w:rPr>
            </w:pP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80" w:type="dxa"/>
            <w:vAlign w:val="bottom"/>
            <w:shd w:val="clear" w:color="auto" w:fill="DEEAEB"/>
          </w:tcPr>
          <w:p>
            <w:pPr>
              <w:spacing w:after="0"/>
              <w:rPr>
                <w:sz w:val="19"/>
                <w:szCs w:val="19"/>
                <w:color w:val="auto"/>
              </w:rPr>
            </w:pPr>
          </w:p>
        </w:tc>
        <w:tc>
          <w:tcPr>
            <w:tcW w:w="100" w:type="dxa"/>
            <w:vAlign w:val="bottom"/>
            <w:shd w:val="clear" w:color="auto" w:fill="DEEAEB"/>
          </w:tcPr>
          <w:p>
            <w:pPr>
              <w:spacing w:after="0"/>
              <w:rPr>
                <w:sz w:val="19"/>
                <w:szCs w:val="19"/>
                <w:color w:val="auto"/>
              </w:rPr>
            </w:pPr>
          </w:p>
        </w:tc>
      </w:tr>
      <w:tr>
        <w:trPr>
          <w:trHeight w:val="203"/>
        </w:trPr>
        <w:tc>
          <w:tcPr>
            <w:tcW w:w="7100" w:type="dxa"/>
            <w:vAlign w:val="bottom"/>
          </w:tcPr>
          <w:p>
            <w:pPr>
              <w:ind w:left="140"/>
              <w:spacing w:after="0"/>
              <w:rPr>
                <w:sz w:val="20"/>
                <w:szCs w:val="20"/>
                <w:color w:val="auto"/>
              </w:rPr>
            </w:pPr>
            <w:r>
              <w:rPr>
                <w:rFonts w:ascii="Calibri" w:cs="Calibri" w:eastAsia="Calibri" w:hAnsi="Calibri"/>
                <w:sz w:val="16"/>
                <w:szCs w:val="16"/>
                <w:color w:val="auto"/>
              </w:rPr>
              <w:t>62.4 shares outstanding at December 31, 2022 and 2021, respectvely)</w:t>
            </w:r>
          </w:p>
        </w:tc>
        <w:tc>
          <w:tcPr>
            <w:tcW w:w="320" w:type="dxa"/>
            <w:vAlign w:val="bottom"/>
            <w:shd w:val="clear" w:color="auto" w:fill="B6D2E2"/>
          </w:tcPr>
          <w:p>
            <w:pPr>
              <w:spacing w:after="0"/>
              <w:rPr>
                <w:sz w:val="17"/>
                <w:szCs w:val="17"/>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0.6</w:t>
            </w:r>
          </w:p>
        </w:tc>
        <w:tc>
          <w:tcPr>
            <w:tcW w:w="120" w:type="dxa"/>
            <w:vAlign w:val="bottom"/>
            <w:shd w:val="clear" w:color="auto" w:fill="B6D2E2"/>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shd w:val="clear" w:color="auto" w:fill="DEEAEB"/>
          </w:tcPr>
          <w:p>
            <w:pPr>
              <w:spacing w:after="0"/>
              <w:rPr>
                <w:sz w:val="17"/>
                <w:szCs w:val="17"/>
                <w:color w:val="auto"/>
              </w:rPr>
            </w:pPr>
          </w:p>
        </w:tc>
        <w:tc>
          <w:tcPr>
            <w:tcW w:w="15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0.6</w:t>
            </w:r>
          </w:p>
        </w:tc>
        <w:tc>
          <w:tcPr>
            <w:tcW w:w="100" w:type="dxa"/>
            <w:vAlign w:val="bottom"/>
            <w:shd w:val="clear" w:color="auto" w:fill="DEEAEB"/>
          </w:tcPr>
          <w:p>
            <w:pPr>
              <w:spacing w:after="0"/>
              <w:rPr>
                <w:sz w:val="17"/>
                <w:szCs w:val="17"/>
                <w:color w:val="auto"/>
              </w:rPr>
            </w:pPr>
          </w:p>
        </w:tc>
      </w:tr>
      <w:tr>
        <w:trPr>
          <w:trHeight w:val="230"/>
        </w:trPr>
        <w:tc>
          <w:tcPr>
            <w:tcW w:w="7100" w:type="dxa"/>
            <w:vAlign w:val="bottom"/>
          </w:tcPr>
          <w:p>
            <w:pPr>
              <w:ind w:left="20"/>
              <w:spacing w:after="0"/>
              <w:rPr>
                <w:sz w:val="20"/>
                <w:szCs w:val="20"/>
                <w:color w:val="auto"/>
              </w:rPr>
            </w:pPr>
            <w:r>
              <w:rPr>
                <w:rFonts w:ascii="Calibri" w:cs="Calibri" w:eastAsia="Calibri" w:hAnsi="Calibri"/>
                <w:sz w:val="16"/>
                <w:szCs w:val="16"/>
                <w:color w:val="auto"/>
              </w:rPr>
              <w:t>Preferred stock ($0.01 par value; 10.0 shares authorized; no shares outstanding)</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color w:val="auto"/>
              </w:rPr>
              <w:t>—</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00" w:type="dxa"/>
            <w:vAlign w:val="bottom"/>
            <w:shd w:val="clear" w:color="auto" w:fill="DEEAEB"/>
          </w:tcPr>
          <w:p>
            <w:pPr>
              <w:spacing w:after="0"/>
              <w:rPr>
                <w:sz w:val="19"/>
                <w:szCs w:val="19"/>
                <w:color w:val="auto"/>
              </w:rPr>
            </w:pPr>
          </w:p>
        </w:tc>
      </w:tr>
      <w:tr>
        <w:trPr>
          <w:trHeight w:val="229"/>
        </w:trPr>
        <w:tc>
          <w:tcPr>
            <w:tcW w:w="7100" w:type="dxa"/>
            <w:vAlign w:val="bottom"/>
          </w:tcPr>
          <w:p>
            <w:pPr>
              <w:ind w:left="20"/>
              <w:spacing w:after="0"/>
              <w:rPr>
                <w:sz w:val="20"/>
                <w:szCs w:val="20"/>
                <w:color w:val="auto"/>
              </w:rPr>
            </w:pPr>
            <w:r>
              <w:rPr>
                <w:rFonts w:ascii="Calibri" w:cs="Calibri" w:eastAsia="Calibri" w:hAnsi="Calibri"/>
                <w:sz w:val="16"/>
                <w:szCs w:val="16"/>
                <w:color w:val="auto"/>
              </w:rPr>
              <w:t>Additonal paid-in capital</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3,489.0</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3,470.4</w:t>
            </w:r>
          </w:p>
        </w:tc>
        <w:tc>
          <w:tcPr>
            <w:tcW w:w="100" w:type="dxa"/>
            <w:vAlign w:val="bottom"/>
            <w:shd w:val="clear" w:color="auto" w:fill="DEEAEB"/>
          </w:tcPr>
          <w:p>
            <w:pPr>
              <w:spacing w:after="0"/>
              <w:rPr>
                <w:sz w:val="19"/>
                <w:szCs w:val="19"/>
                <w:color w:val="auto"/>
              </w:rPr>
            </w:pPr>
          </w:p>
        </w:tc>
      </w:tr>
      <w:tr>
        <w:trPr>
          <w:trHeight w:val="230"/>
        </w:trPr>
        <w:tc>
          <w:tcPr>
            <w:tcW w:w="7100" w:type="dxa"/>
            <w:vAlign w:val="bottom"/>
          </w:tcPr>
          <w:p>
            <w:pPr>
              <w:ind w:left="20"/>
              <w:spacing w:after="0"/>
              <w:rPr>
                <w:sz w:val="20"/>
                <w:szCs w:val="20"/>
                <w:color w:val="auto"/>
              </w:rPr>
            </w:pPr>
            <w:r>
              <w:rPr>
                <w:rFonts w:ascii="Calibri" w:cs="Calibri" w:eastAsia="Calibri" w:hAnsi="Calibri"/>
                <w:sz w:val="16"/>
                <w:szCs w:val="16"/>
                <w:color w:val="auto"/>
              </w:rPr>
              <w:t>Accumulated other comprehensive loss</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(38.5</w:t>
            </w:r>
          </w:p>
        </w:tc>
        <w:tc>
          <w:tcPr>
            <w:tcW w:w="12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w w:val="79"/>
              </w:rPr>
              <w:t>)</w:t>
            </w: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(97.6</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r>
      <w:tr>
        <w:trPr>
          <w:trHeight w:val="270"/>
        </w:trPr>
        <w:tc>
          <w:tcPr>
            <w:tcW w:w="7100" w:type="dxa"/>
            <w:vAlign w:val="bottom"/>
          </w:tcPr>
          <w:p>
            <w:pPr>
              <w:ind w:left="20"/>
              <w:spacing w:after="0"/>
              <w:rPr>
                <w:sz w:val="20"/>
                <w:szCs w:val="20"/>
                <w:color w:val="auto"/>
              </w:rPr>
            </w:pPr>
            <w:r>
              <w:rPr>
                <w:rFonts w:ascii="Calibri" w:cs="Calibri" w:eastAsia="Calibri" w:hAnsi="Calibri"/>
                <w:sz w:val="16"/>
                <w:szCs w:val="16"/>
                <w:color w:val="auto"/>
              </w:rPr>
              <w:t>Retained earnings</w:t>
            </w:r>
          </w:p>
        </w:tc>
        <w:tc>
          <w:tcPr>
            <w:tcW w:w="320" w:type="dxa"/>
            <w:vAlign w:val="bottom"/>
            <w:tcBorders>
              <w:bottom w:val="single" w:sz="8" w:color="B6D2E2"/>
            </w:tcBorders>
            <w:shd w:val="clear" w:color="auto" w:fill="B6D2E2"/>
          </w:tcPr>
          <w:p>
            <w:pPr>
              <w:spacing w:after="0"/>
              <w:rPr>
                <w:sz w:val="23"/>
                <w:szCs w:val="23"/>
                <w:color w:val="auto"/>
              </w:rPr>
            </w:pPr>
          </w:p>
        </w:tc>
        <w:tc>
          <w:tcPr>
            <w:tcW w:w="156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rPr>
              <w:t>3,719.4</w:t>
            </w:r>
          </w:p>
        </w:tc>
        <w:tc>
          <w:tcPr>
            <w:tcW w:w="120" w:type="dxa"/>
            <w:vAlign w:val="bottom"/>
            <w:tcBorders>
              <w:bottom w:val="single" w:sz="8" w:color="B6D2E2"/>
            </w:tcBorders>
            <w:shd w:val="clear" w:color="auto" w:fill="B6D2E2"/>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Borders>
              <w:bottom w:val="single" w:sz="8" w:color="DEEAEB"/>
            </w:tcBorders>
            <w:shd w:val="clear" w:color="auto" w:fill="DEEAEB"/>
          </w:tcPr>
          <w:p>
            <w:pPr>
              <w:spacing w:after="0"/>
              <w:rPr>
                <w:sz w:val="23"/>
                <w:szCs w:val="23"/>
                <w:color w:val="auto"/>
              </w:rPr>
            </w:pPr>
          </w:p>
        </w:tc>
        <w:tc>
          <w:tcPr>
            <w:tcW w:w="158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3,161.9</w:t>
            </w:r>
          </w:p>
        </w:tc>
        <w:tc>
          <w:tcPr>
            <w:tcW w:w="100" w:type="dxa"/>
            <w:vAlign w:val="bottom"/>
            <w:tcBorders>
              <w:bottom w:val="single" w:sz="8" w:color="DEEAEB"/>
            </w:tcBorders>
            <w:shd w:val="clear" w:color="auto" w:fill="DEEAEB"/>
          </w:tcPr>
          <w:p>
            <w:pPr>
              <w:spacing w:after="0"/>
              <w:rPr>
                <w:sz w:val="23"/>
                <w:szCs w:val="23"/>
                <w:color w:val="auto"/>
              </w:rPr>
            </w:pPr>
          </w:p>
        </w:tc>
      </w:tr>
      <w:tr>
        <w:trPr>
          <w:trHeight w:val="187"/>
        </w:trPr>
        <w:tc>
          <w:tcPr>
            <w:tcW w:w="710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Total Shareholders’ Equity</w:t>
            </w:r>
          </w:p>
        </w:tc>
        <w:tc>
          <w:tcPr>
            <w:tcW w:w="320" w:type="dxa"/>
            <w:vAlign w:val="bottom"/>
            <w:tcBorders>
              <w:top w:val="single" w:sz="8" w:color="auto"/>
            </w:tcBorders>
            <w:shd w:val="clear" w:color="auto" w:fill="B6D2E2"/>
          </w:tcPr>
          <w:p>
            <w:pPr>
              <w:spacing w:after="0"/>
              <w:rPr>
                <w:sz w:val="16"/>
                <w:szCs w:val="16"/>
                <w:color w:val="auto"/>
              </w:rPr>
            </w:pPr>
          </w:p>
        </w:tc>
        <w:tc>
          <w:tcPr>
            <w:tcW w:w="1560" w:type="dxa"/>
            <w:vAlign w:val="bottom"/>
            <w:tcBorders>
              <w:top w:val="single" w:sz="8" w:color="auto"/>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7,170.5</w:t>
            </w:r>
          </w:p>
        </w:tc>
        <w:tc>
          <w:tcPr>
            <w:tcW w:w="120" w:type="dxa"/>
            <w:vAlign w:val="bottom"/>
            <w:tcBorders>
              <w:top w:val="single" w:sz="8" w:color="auto"/>
            </w:tcBorders>
            <w:shd w:val="clear" w:color="auto" w:fill="B6D2E2"/>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shd w:val="clear" w:color="auto" w:fill="DEEAEB"/>
          </w:tcPr>
          <w:p>
            <w:pPr>
              <w:spacing w:after="0"/>
              <w:rPr>
                <w:sz w:val="16"/>
                <w:szCs w:val="16"/>
                <w:color w:val="auto"/>
              </w:rPr>
            </w:pPr>
          </w:p>
        </w:tc>
        <w:tc>
          <w:tcPr>
            <w:tcW w:w="158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6,535.3</w:t>
            </w:r>
          </w:p>
        </w:tc>
        <w:tc>
          <w:tcPr>
            <w:tcW w:w="100" w:type="dxa"/>
            <w:vAlign w:val="bottom"/>
            <w:tcBorders>
              <w:top w:val="single" w:sz="8" w:color="auto"/>
            </w:tcBorders>
            <w:shd w:val="clear" w:color="auto" w:fill="DEEAEB"/>
          </w:tcPr>
          <w:p>
            <w:pPr>
              <w:spacing w:after="0"/>
              <w:rPr>
                <w:sz w:val="16"/>
                <w:szCs w:val="16"/>
                <w:color w:val="auto"/>
              </w:rPr>
            </w:pPr>
          </w:p>
        </w:tc>
      </w:tr>
      <w:tr>
        <w:trPr>
          <w:trHeight w:val="266"/>
        </w:trPr>
        <w:tc>
          <w:tcPr>
            <w:tcW w:w="7100" w:type="dxa"/>
            <w:vAlign w:val="bottom"/>
          </w:tcPr>
          <w:p>
            <w:pPr>
              <w:ind w:left="20"/>
              <w:spacing w:after="0"/>
              <w:rPr>
                <w:sz w:val="20"/>
                <w:szCs w:val="20"/>
                <w:color w:val="auto"/>
              </w:rPr>
            </w:pPr>
            <w:r>
              <w:rPr>
                <w:rFonts w:ascii="Calibri" w:cs="Calibri" w:eastAsia="Calibri" w:hAnsi="Calibri"/>
                <w:sz w:val="16"/>
                <w:szCs w:val="16"/>
                <w:color w:val="auto"/>
              </w:rPr>
              <w:t>Noncontrolling interests</w:t>
            </w:r>
          </w:p>
        </w:tc>
        <w:tc>
          <w:tcPr>
            <w:tcW w:w="320" w:type="dxa"/>
            <w:vAlign w:val="bottom"/>
            <w:tcBorders>
              <w:bottom w:val="single" w:sz="8" w:color="B6D2E2"/>
            </w:tcBorders>
            <w:shd w:val="clear" w:color="auto" w:fill="B6D2E2"/>
          </w:tcPr>
          <w:p>
            <w:pPr>
              <w:spacing w:after="0"/>
              <w:rPr>
                <w:sz w:val="23"/>
                <w:szCs w:val="23"/>
                <w:color w:val="auto"/>
              </w:rPr>
            </w:pPr>
          </w:p>
        </w:tc>
        <w:tc>
          <w:tcPr>
            <w:tcW w:w="156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rPr>
              <w:t>2.3</w:t>
            </w:r>
          </w:p>
        </w:tc>
        <w:tc>
          <w:tcPr>
            <w:tcW w:w="120" w:type="dxa"/>
            <w:vAlign w:val="bottom"/>
            <w:tcBorders>
              <w:bottom w:val="single" w:sz="8" w:color="B6D2E2"/>
            </w:tcBorders>
            <w:shd w:val="clear" w:color="auto" w:fill="B6D2E2"/>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Borders>
              <w:bottom w:val="single" w:sz="8" w:color="DEEAEB"/>
            </w:tcBorders>
            <w:shd w:val="clear" w:color="auto" w:fill="DEEAEB"/>
          </w:tcPr>
          <w:p>
            <w:pPr>
              <w:spacing w:after="0"/>
              <w:rPr>
                <w:sz w:val="23"/>
                <w:szCs w:val="23"/>
                <w:color w:val="auto"/>
              </w:rPr>
            </w:pPr>
          </w:p>
        </w:tc>
        <w:tc>
          <w:tcPr>
            <w:tcW w:w="158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2.3</w:t>
            </w:r>
          </w:p>
        </w:tc>
        <w:tc>
          <w:tcPr>
            <w:tcW w:w="100" w:type="dxa"/>
            <w:vAlign w:val="bottom"/>
            <w:tcBorders>
              <w:bottom w:val="single" w:sz="8" w:color="DEEAEB"/>
            </w:tcBorders>
            <w:shd w:val="clear" w:color="auto" w:fill="DEEAEB"/>
          </w:tcPr>
          <w:p>
            <w:pPr>
              <w:spacing w:after="0"/>
              <w:rPr>
                <w:sz w:val="23"/>
                <w:szCs w:val="23"/>
                <w:color w:val="auto"/>
              </w:rPr>
            </w:pPr>
          </w:p>
        </w:tc>
      </w:tr>
      <w:tr>
        <w:trPr>
          <w:trHeight w:val="223"/>
        </w:trPr>
        <w:tc>
          <w:tcPr>
            <w:tcW w:w="710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Total Equity</w:t>
            </w:r>
          </w:p>
        </w:tc>
        <w:tc>
          <w:tcPr>
            <w:tcW w:w="320" w:type="dxa"/>
            <w:vAlign w:val="bottom"/>
            <w:tcBorders>
              <w:top w:val="single" w:sz="8" w:color="auto"/>
              <w:bottom w:val="single" w:sz="8" w:color="B6D2E2"/>
            </w:tcBorders>
            <w:shd w:val="clear" w:color="auto" w:fill="B6D2E2"/>
          </w:tcPr>
          <w:p>
            <w:pPr>
              <w:spacing w:after="0"/>
              <w:rPr>
                <w:sz w:val="19"/>
                <w:szCs w:val="19"/>
                <w:color w:val="auto"/>
              </w:rPr>
            </w:pPr>
          </w:p>
        </w:tc>
        <w:tc>
          <w:tcPr>
            <w:tcW w:w="156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7,172.8</w:t>
            </w:r>
          </w:p>
        </w:tc>
        <w:tc>
          <w:tcPr>
            <w:tcW w:w="120" w:type="dxa"/>
            <w:vAlign w:val="bottom"/>
            <w:tcBorders>
              <w:top w:val="single" w:sz="8" w:color="auto"/>
              <w:bottom w:val="single" w:sz="8" w:color="B6D2E2"/>
            </w:tcBorders>
            <w:shd w:val="clear" w:color="auto" w:fill="B6D2E2"/>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DEEAEB"/>
            </w:tcBorders>
            <w:shd w:val="clear" w:color="auto" w:fill="DEEAEB"/>
          </w:tcPr>
          <w:p>
            <w:pPr>
              <w:spacing w:after="0"/>
              <w:rPr>
                <w:sz w:val="19"/>
                <w:szCs w:val="19"/>
                <w:color w:val="auto"/>
              </w:rPr>
            </w:pPr>
          </w:p>
        </w:tc>
        <w:tc>
          <w:tcPr>
            <w:tcW w:w="158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6,537.6</w:t>
            </w:r>
          </w:p>
        </w:tc>
        <w:tc>
          <w:tcPr>
            <w:tcW w:w="100" w:type="dxa"/>
            <w:vAlign w:val="bottom"/>
            <w:tcBorders>
              <w:top w:val="single" w:sz="8" w:color="auto"/>
              <w:bottom w:val="single" w:sz="8" w:color="DEEAEB"/>
            </w:tcBorders>
            <w:shd w:val="clear" w:color="auto" w:fill="DEEAEB"/>
          </w:tcPr>
          <w:p>
            <w:pPr>
              <w:spacing w:after="0"/>
              <w:rPr>
                <w:sz w:val="19"/>
                <w:szCs w:val="19"/>
                <w:color w:val="auto"/>
              </w:rPr>
            </w:pPr>
          </w:p>
        </w:tc>
      </w:tr>
      <w:tr>
        <w:trPr>
          <w:trHeight w:val="243"/>
        </w:trPr>
        <w:tc>
          <w:tcPr>
            <w:tcW w:w="710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Total Liabilites and Equity</w:t>
            </w:r>
          </w:p>
        </w:tc>
        <w:tc>
          <w:tcPr>
            <w:tcW w:w="32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w:t>
            </w:r>
          </w:p>
        </w:tc>
        <w:tc>
          <w:tcPr>
            <w:tcW w:w="156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14,993.6</w:t>
            </w:r>
          </w:p>
        </w:tc>
        <w:tc>
          <w:tcPr>
            <w:tcW w:w="120" w:type="dxa"/>
            <w:vAlign w:val="bottom"/>
            <w:tcBorders>
              <w:top w:val="single" w:sz="8" w:color="auto"/>
              <w:bottom w:val="single" w:sz="8" w:color="B6D2E2"/>
            </w:tcBorders>
            <w:shd w:val="clear" w:color="auto" w:fill="B6D2E2"/>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w:t>
            </w:r>
          </w:p>
        </w:tc>
        <w:tc>
          <w:tcPr>
            <w:tcW w:w="158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14,393.0</w:t>
            </w:r>
          </w:p>
        </w:tc>
        <w:tc>
          <w:tcPr>
            <w:tcW w:w="100" w:type="dxa"/>
            <w:vAlign w:val="bottom"/>
            <w:tcBorders>
              <w:top w:val="single" w:sz="8" w:color="auto"/>
              <w:bottom w:val="single" w:sz="8" w:color="DEEAEB"/>
            </w:tcBorders>
            <w:shd w:val="clear" w:color="auto" w:fill="DEEAEB"/>
          </w:tcPr>
          <w:p>
            <w:pPr>
              <w:spacing w:after="0"/>
              <w:rPr>
                <w:sz w:val="21"/>
                <w:szCs w:val="21"/>
                <w:color w:val="auto"/>
              </w:rPr>
            </w:pPr>
          </w:p>
        </w:tc>
      </w:tr>
      <w:tr>
        <w:trPr>
          <w:trHeight w:val="20"/>
        </w:trPr>
        <w:tc>
          <w:tcPr>
            <w:tcW w:w="71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The accompanying Notes to the Financial Statements 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229235</wp:posOffset>
            </wp:positionV>
            <wp:extent cx="325755" cy="1974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364"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8" w:name="page79"/>
    <w:bookmarkEnd w:id="78"/>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96" w:lineRule="exact"/>
        <w:rPr>
          <w:sz w:val="20"/>
          <w:szCs w:val="20"/>
          <w:color w:val="auto"/>
        </w:rPr>
      </w:pPr>
    </w:p>
    <w:p>
      <w:pPr>
        <w:jc w:val="center"/>
        <w:ind w:right="100"/>
        <w:spacing w:after="0"/>
        <w:rPr>
          <w:sz w:val="20"/>
          <w:szCs w:val="20"/>
          <w:color w:val="auto"/>
        </w:rPr>
      </w:pPr>
      <w:r>
        <w:rPr>
          <w:rFonts w:ascii="Calibri" w:cs="Calibri" w:eastAsia="Calibri" w:hAnsi="Calibri"/>
          <w:sz w:val="22"/>
          <w:szCs w:val="22"/>
          <w:color w:val="auto"/>
        </w:rPr>
        <w:t>Martn Marieta Materials, Inc. and Consolidated Subsidiaries</w:t>
      </w:r>
    </w:p>
    <w:p>
      <w:pPr>
        <w:spacing w:after="0" w:line="1" w:lineRule="exact"/>
        <w:rPr>
          <w:sz w:val="20"/>
          <w:szCs w:val="20"/>
          <w:color w:val="auto"/>
        </w:rPr>
      </w:pPr>
    </w:p>
    <w:p>
      <w:pPr>
        <w:jc w:val="center"/>
        <w:ind w:right="100"/>
        <w:spacing w:after="0"/>
        <w:rPr>
          <w:sz w:val="20"/>
          <w:szCs w:val="20"/>
          <w:color w:val="auto"/>
        </w:rPr>
      </w:pPr>
      <w:r>
        <w:rPr>
          <w:rFonts w:ascii="Calibri" w:cs="Calibri" w:eastAsia="Calibri" w:hAnsi="Calibri"/>
          <w:sz w:val="22"/>
          <w:szCs w:val="22"/>
          <w:b w:val="1"/>
          <w:bCs w:val="1"/>
          <w:color w:val="007DC6"/>
        </w:rPr>
        <w:t>Consolidated Statements of Cash Flows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980" w:type="dxa"/>
            <w:vAlign w:val="bottom"/>
          </w:tcPr>
          <w:p>
            <w:pPr>
              <w:ind w:left="20"/>
              <w:spacing w:after="0"/>
              <w:rPr>
                <w:sz w:val="20"/>
                <w:szCs w:val="20"/>
                <w:color w:val="auto"/>
              </w:rPr>
            </w:pPr>
            <w:r>
              <w:rPr>
                <w:rFonts w:ascii="Calibri" w:cs="Calibri" w:eastAsia="Calibri" w:hAnsi="Calibri"/>
                <w:sz w:val="16"/>
                <w:szCs w:val="16"/>
                <w:i w:val="1"/>
                <w:iCs w:val="1"/>
                <w:color w:val="auto"/>
              </w:rPr>
              <w:t>years ended December 31</w:t>
            </w:r>
          </w:p>
        </w:tc>
        <w:tc>
          <w:tcPr>
            <w:tcW w:w="280" w:type="dxa"/>
            <w:vAlign w:val="bottom"/>
            <w:shd w:val="clear" w:color="auto" w:fill="007DC6"/>
          </w:tcPr>
          <w:p>
            <w:pPr>
              <w:spacing w:after="0"/>
              <w:rPr>
                <w:sz w:val="17"/>
                <w:szCs w:val="17"/>
                <w:color w:val="auto"/>
              </w:rPr>
            </w:pPr>
          </w:p>
        </w:tc>
        <w:tc>
          <w:tcPr>
            <w:tcW w:w="1280" w:type="dxa"/>
            <w:vAlign w:val="bottom"/>
            <w:shd w:val="clear" w:color="auto" w:fill="007DC6"/>
          </w:tcPr>
          <w:p>
            <w:pPr>
              <w:spacing w:after="0"/>
              <w:rPr>
                <w:sz w:val="17"/>
                <w:szCs w:val="17"/>
                <w:color w:val="auto"/>
              </w:rPr>
            </w:pPr>
          </w:p>
        </w:tc>
        <w:tc>
          <w:tcPr>
            <w:tcW w:w="120" w:type="dxa"/>
            <w:vAlign w:val="bottom"/>
            <w:shd w:val="clear" w:color="auto" w:fill="007DC6"/>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shd w:val="clear" w:color="auto" w:fill="DEEAEB"/>
          </w:tcPr>
          <w:p>
            <w:pPr>
              <w:spacing w:after="0"/>
              <w:rPr>
                <w:sz w:val="17"/>
                <w:szCs w:val="17"/>
                <w:color w:val="auto"/>
              </w:rPr>
            </w:pPr>
          </w:p>
        </w:tc>
        <w:tc>
          <w:tcPr>
            <w:tcW w:w="128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shd w:val="clear" w:color="auto" w:fill="DEEAEB"/>
          </w:tcPr>
          <w:p>
            <w:pPr>
              <w:spacing w:after="0"/>
              <w:rPr>
                <w:sz w:val="17"/>
                <w:szCs w:val="17"/>
                <w:color w:val="auto"/>
              </w:rPr>
            </w:pPr>
          </w:p>
        </w:tc>
        <w:tc>
          <w:tcPr>
            <w:tcW w:w="130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r>
      <w:tr>
        <w:trPr>
          <w:trHeight w:val="234"/>
        </w:trPr>
        <w:tc>
          <w:tcPr>
            <w:tcW w:w="5980" w:type="dxa"/>
            <w:vAlign w:val="bottom"/>
          </w:tcPr>
          <w:p>
            <w:pPr>
              <w:ind w:left="20"/>
              <w:spacing w:after="0" w:line="193" w:lineRule="exact"/>
              <w:rPr>
                <w:sz w:val="20"/>
                <w:szCs w:val="20"/>
                <w:color w:val="auto"/>
              </w:rPr>
            </w:pPr>
            <w:r>
              <w:rPr>
                <w:rFonts w:ascii="Calibri" w:cs="Calibri" w:eastAsia="Calibri" w:hAnsi="Calibri"/>
                <w:sz w:val="16"/>
                <w:szCs w:val="16"/>
                <w:color w:val="auto"/>
              </w:rPr>
              <w:t>(in millions)</w:t>
            </w:r>
          </w:p>
        </w:tc>
        <w:tc>
          <w:tcPr>
            <w:tcW w:w="280" w:type="dxa"/>
            <w:vAlign w:val="bottom"/>
            <w:tcBorders>
              <w:bottom w:val="single" w:sz="8" w:color="007DC6"/>
            </w:tcBorders>
            <w:shd w:val="clear" w:color="auto" w:fill="007DC6"/>
          </w:tcPr>
          <w:p>
            <w:pPr>
              <w:spacing w:after="0"/>
              <w:rPr>
                <w:sz w:val="20"/>
                <w:szCs w:val="20"/>
                <w:color w:val="auto"/>
              </w:rPr>
            </w:pPr>
          </w:p>
        </w:tc>
        <w:tc>
          <w:tcPr>
            <w:tcW w:w="1280" w:type="dxa"/>
            <w:vAlign w:val="bottom"/>
            <w:tcBorders>
              <w:bottom w:val="single" w:sz="8" w:color="007DC6"/>
            </w:tcBorders>
            <w:shd w:val="clear" w:color="auto" w:fill="007DC6"/>
          </w:tcPr>
          <w:p>
            <w:pPr>
              <w:jc w:val="right"/>
              <w:ind w:right="459"/>
              <w:spacing w:after="0" w:line="193" w:lineRule="exact"/>
              <w:rPr>
                <w:sz w:val="20"/>
                <w:szCs w:val="20"/>
                <w:color w:val="auto"/>
              </w:rPr>
            </w:pPr>
            <w:r>
              <w:rPr>
                <w:rFonts w:ascii="Calibri" w:cs="Calibri" w:eastAsia="Calibri" w:hAnsi="Calibri"/>
                <w:sz w:val="16"/>
                <w:szCs w:val="16"/>
                <w:b w:val="1"/>
                <w:bCs w:val="1"/>
                <w:color w:val="FFFFFF"/>
              </w:rPr>
              <w:t>2022</w:t>
            </w:r>
          </w:p>
        </w:tc>
        <w:tc>
          <w:tcPr>
            <w:tcW w:w="120" w:type="dxa"/>
            <w:vAlign w:val="bottom"/>
            <w:tcBorders>
              <w:bottom w:val="single" w:sz="8" w:color="007DC6"/>
            </w:tcBorders>
            <w:shd w:val="clear" w:color="auto" w:fill="007DC6"/>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DEEAEB"/>
            </w:tcBorders>
            <w:shd w:val="clear" w:color="auto" w:fill="DEEAEB"/>
          </w:tcPr>
          <w:p>
            <w:pPr>
              <w:spacing w:after="0"/>
              <w:rPr>
                <w:sz w:val="20"/>
                <w:szCs w:val="20"/>
                <w:color w:val="auto"/>
              </w:rPr>
            </w:pPr>
          </w:p>
        </w:tc>
        <w:tc>
          <w:tcPr>
            <w:tcW w:w="1280" w:type="dxa"/>
            <w:vAlign w:val="bottom"/>
            <w:tcBorders>
              <w:bottom w:val="single" w:sz="8" w:color="DEEAEB"/>
            </w:tcBorders>
            <w:shd w:val="clear" w:color="auto" w:fill="DEEAEB"/>
          </w:tcPr>
          <w:p>
            <w:pPr>
              <w:jc w:val="right"/>
              <w:ind w:right="439"/>
              <w:spacing w:after="0" w:line="193" w:lineRule="exact"/>
              <w:rPr>
                <w:sz w:val="20"/>
                <w:szCs w:val="20"/>
                <w:color w:val="auto"/>
              </w:rPr>
            </w:pPr>
            <w:r>
              <w:rPr>
                <w:rFonts w:ascii="Calibri" w:cs="Calibri" w:eastAsia="Calibri" w:hAnsi="Calibri"/>
                <w:sz w:val="16"/>
                <w:szCs w:val="16"/>
                <w:color w:val="auto"/>
              </w:rPr>
              <w:t>2021</w:t>
            </w:r>
          </w:p>
        </w:tc>
        <w:tc>
          <w:tcPr>
            <w:tcW w:w="100" w:type="dxa"/>
            <w:vAlign w:val="bottom"/>
            <w:tcBorders>
              <w:bottom w:val="single" w:sz="8" w:color="DEEAEB"/>
            </w:tcBorders>
            <w:shd w:val="clear" w:color="auto" w:fill="DEEAEB"/>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DEEAEB"/>
            </w:tcBorders>
            <w:shd w:val="clear" w:color="auto" w:fill="DEEAEB"/>
          </w:tcPr>
          <w:p>
            <w:pPr>
              <w:spacing w:after="0"/>
              <w:rPr>
                <w:sz w:val="20"/>
                <w:szCs w:val="20"/>
                <w:color w:val="auto"/>
              </w:rPr>
            </w:pPr>
          </w:p>
        </w:tc>
        <w:tc>
          <w:tcPr>
            <w:tcW w:w="1300" w:type="dxa"/>
            <w:vAlign w:val="bottom"/>
            <w:tcBorders>
              <w:bottom w:val="single" w:sz="8" w:color="DEEAEB"/>
            </w:tcBorders>
            <w:shd w:val="clear" w:color="auto" w:fill="DEEAEB"/>
          </w:tcPr>
          <w:p>
            <w:pPr>
              <w:jc w:val="right"/>
              <w:ind w:right="459"/>
              <w:spacing w:after="0" w:line="193" w:lineRule="exact"/>
              <w:rPr>
                <w:sz w:val="20"/>
                <w:szCs w:val="20"/>
                <w:color w:val="auto"/>
              </w:rPr>
            </w:pPr>
            <w:r>
              <w:rPr>
                <w:rFonts w:ascii="Calibri" w:cs="Calibri" w:eastAsia="Calibri" w:hAnsi="Calibri"/>
                <w:sz w:val="16"/>
                <w:szCs w:val="16"/>
                <w:color w:val="auto"/>
              </w:rPr>
              <w:t>2020</w:t>
            </w:r>
          </w:p>
        </w:tc>
        <w:tc>
          <w:tcPr>
            <w:tcW w:w="100" w:type="dxa"/>
            <w:vAlign w:val="bottom"/>
            <w:tcBorders>
              <w:bottom w:val="single" w:sz="8" w:color="DEEAEB"/>
            </w:tcBorders>
            <w:shd w:val="clear" w:color="auto" w:fill="DEEAEB"/>
          </w:tcPr>
          <w:p>
            <w:pPr>
              <w:spacing w:after="0"/>
              <w:rPr>
                <w:sz w:val="20"/>
                <w:szCs w:val="20"/>
                <w:color w:val="auto"/>
              </w:rPr>
            </w:pPr>
          </w:p>
        </w:tc>
      </w:tr>
      <w:tr>
        <w:trPr>
          <w:trHeight w:val="187"/>
        </w:trPr>
        <w:tc>
          <w:tcPr>
            <w:tcW w:w="5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Cash Flows from Operatng Actvites:</w:t>
            </w:r>
          </w:p>
        </w:tc>
        <w:tc>
          <w:tcPr>
            <w:tcW w:w="280" w:type="dxa"/>
            <w:vAlign w:val="bottom"/>
            <w:tcBorders>
              <w:top w:val="single" w:sz="8" w:color="auto"/>
            </w:tcBorders>
            <w:shd w:val="clear" w:color="auto" w:fill="B6D2E2"/>
          </w:tcPr>
          <w:p>
            <w:pPr>
              <w:spacing w:after="0"/>
              <w:rPr>
                <w:sz w:val="16"/>
                <w:szCs w:val="16"/>
                <w:color w:val="auto"/>
              </w:rPr>
            </w:pPr>
          </w:p>
        </w:tc>
        <w:tc>
          <w:tcPr>
            <w:tcW w:w="1280" w:type="dxa"/>
            <w:vAlign w:val="bottom"/>
            <w:tcBorders>
              <w:top w:val="single" w:sz="8" w:color="auto"/>
            </w:tcBorders>
            <w:shd w:val="clear" w:color="auto" w:fill="B6D2E2"/>
          </w:tcPr>
          <w:p>
            <w:pPr>
              <w:spacing w:after="0"/>
              <w:rPr>
                <w:sz w:val="16"/>
                <w:szCs w:val="16"/>
                <w:color w:val="auto"/>
              </w:rPr>
            </w:pPr>
          </w:p>
        </w:tc>
        <w:tc>
          <w:tcPr>
            <w:tcW w:w="120" w:type="dxa"/>
            <w:vAlign w:val="bottom"/>
            <w:tcBorders>
              <w:top w:val="single" w:sz="8" w:color="auto"/>
            </w:tcBorders>
            <w:shd w:val="clear" w:color="auto" w:fill="B6D2E2"/>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shd w:val="clear" w:color="auto" w:fill="DEEAEB"/>
          </w:tcPr>
          <w:p>
            <w:pPr>
              <w:spacing w:after="0"/>
              <w:rPr>
                <w:sz w:val="16"/>
                <w:szCs w:val="16"/>
                <w:color w:val="auto"/>
              </w:rPr>
            </w:pPr>
          </w:p>
        </w:tc>
        <w:tc>
          <w:tcPr>
            <w:tcW w:w="1280" w:type="dxa"/>
            <w:vAlign w:val="bottom"/>
            <w:tcBorders>
              <w:top w:val="single" w:sz="8" w:color="auto"/>
            </w:tcBorders>
            <w:shd w:val="clear" w:color="auto" w:fill="DEEAEB"/>
          </w:tcPr>
          <w:p>
            <w:pPr>
              <w:spacing w:after="0"/>
              <w:rPr>
                <w:sz w:val="16"/>
                <w:szCs w:val="16"/>
                <w:color w:val="auto"/>
              </w:rPr>
            </w:pPr>
          </w:p>
        </w:tc>
        <w:tc>
          <w:tcPr>
            <w:tcW w:w="100" w:type="dxa"/>
            <w:vAlign w:val="bottom"/>
            <w:tcBorders>
              <w:top w:val="single" w:sz="8" w:color="auto"/>
            </w:tcBorders>
            <w:shd w:val="clear" w:color="auto" w:fill="DEEAEB"/>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shd w:val="clear" w:color="auto" w:fill="DEEAEB"/>
          </w:tcPr>
          <w:p>
            <w:pPr>
              <w:spacing w:after="0"/>
              <w:rPr>
                <w:sz w:val="16"/>
                <w:szCs w:val="16"/>
                <w:color w:val="auto"/>
              </w:rPr>
            </w:pPr>
          </w:p>
        </w:tc>
        <w:tc>
          <w:tcPr>
            <w:tcW w:w="1300" w:type="dxa"/>
            <w:vAlign w:val="bottom"/>
            <w:tcBorders>
              <w:top w:val="single" w:sz="8" w:color="auto"/>
            </w:tcBorders>
            <w:shd w:val="clear" w:color="auto" w:fill="DEEAEB"/>
          </w:tcPr>
          <w:p>
            <w:pPr>
              <w:spacing w:after="0"/>
              <w:rPr>
                <w:sz w:val="16"/>
                <w:szCs w:val="16"/>
                <w:color w:val="auto"/>
              </w:rPr>
            </w:pPr>
          </w:p>
        </w:tc>
        <w:tc>
          <w:tcPr>
            <w:tcW w:w="100" w:type="dxa"/>
            <w:vAlign w:val="bottom"/>
            <w:tcBorders>
              <w:top w:val="single" w:sz="8" w:color="auto"/>
            </w:tcBorders>
            <w:shd w:val="clear" w:color="auto" w:fill="DEEAEB"/>
          </w:tcPr>
          <w:p>
            <w:pPr>
              <w:spacing w:after="0"/>
              <w:rPr>
                <w:sz w:val="16"/>
                <w:szCs w:val="16"/>
                <w:color w:val="auto"/>
              </w:rPr>
            </w:pPr>
          </w:p>
        </w:tc>
      </w:tr>
      <w:tr>
        <w:trPr>
          <w:trHeight w:val="224"/>
        </w:trPr>
        <w:tc>
          <w:tcPr>
            <w:tcW w:w="5980" w:type="dxa"/>
            <w:vAlign w:val="bottom"/>
          </w:tcPr>
          <w:p>
            <w:pPr>
              <w:ind w:left="20"/>
              <w:spacing w:after="0"/>
              <w:rPr>
                <w:sz w:val="20"/>
                <w:szCs w:val="20"/>
                <w:color w:val="auto"/>
              </w:rPr>
            </w:pPr>
            <w:r>
              <w:rPr>
                <w:rFonts w:ascii="Calibri" w:cs="Calibri" w:eastAsia="Calibri" w:hAnsi="Calibri"/>
                <w:sz w:val="16"/>
                <w:szCs w:val="16"/>
                <w:color w:val="auto"/>
              </w:rPr>
              <w:t>Consolidated net earnings</w:t>
            </w:r>
          </w:p>
        </w:tc>
        <w:tc>
          <w:tcPr>
            <w:tcW w:w="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w:t>
            </w: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866.8</w:t>
            </w:r>
          </w:p>
        </w:tc>
        <w:tc>
          <w:tcPr>
            <w:tcW w:w="120" w:type="dxa"/>
            <w:vAlign w:val="bottom"/>
            <w:shd w:val="clear" w:color="auto" w:fill="B6D2E2"/>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702.8</w:t>
            </w:r>
          </w:p>
        </w:tc>
        <w:tc>
          <w:tcPr>
            <w:tcW w:w="100" w:type="dxa"/>
            <w:vAlign w:val="bottom"/>
            <w:shd w:val="clear" w:color="auto" w:fill="DEEAEB"/>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3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721.1</w:t>
            </w:r>
          </w:p>
        </w:tc>
        <w:tc>
          <w:tcPr>
            <w:tcW w:w="100" w:type="dxa"/>
            <w:vAlign w:val="bottom"/>
            <w:shd w:val="clear" w:color="auto" w:fill="DEEAEB"/>
          </w:tcPr>
          <w:p>
            <w:pPr>
              <w:spacing w:after="0"/>
              <w:rPr>
                <w:sz w:val="19"/>
                <w:szCs w:val="19"/>
                <w:color w:val="auto"/>
              </w:rPr>
            </w:pPr>
          </w:p>
        </w:tc>
      </w:tr>
      <w:tr>
        <w:trPr>
          <w:trHeight w:val="229"/>
        </w:trPr>
        <w:tc>
          <w:tcPr>
            <w:tcW w:w="5980" w:type="dxa"/>
            <w:vAlign w:val="bottom"/>
          </w:tcPr>
          <w:p>
            <w:pPr>
              <w:ind w:left="20"/>
              <w:spacing w:after="0"/>
              <w:rPr>
                <w:sz w:val="20"/>
                <w:szCs w:val="20"/>
                <w:color w:val="auto"/>
              </w:rPr>
            </w:pPr>
            <w:r>
              <w:rPr>
                <w:rFonts w:ascii="Calibri" w:cs="Calibri" w:eastAsia="Calibri" w:hAnsi="Calibri"/>
                <w:sz w:val="16"/>
                <w:szCs w:val="16"/>
                <w:color w:val="auto"/>
              </w:rPr>
              <w:t>Adjustments to reconcile consolidated net earnings to net cash provided</w:t>
            </w:r>
          </w:p>
        </w:tc>
        <w:tc>
          <w:tcPr>
            <w:tcW w:w="280" w:type="dxa"/>
            <w:vAlign w:val="bottom"/>
            <w:shd w:val="clear" w:color="auto" w:fill="B6D2E2"/>
          </w:tcPr>
          <w:p>
            <w:pPr>
              <w:spacing w:after="0"/>
              <w:rPr>
                <w:sz w:val="19"/>
                <w:szCs w:val="19"/>
                <w:color w:val="auto"/>
              </w:rPr>
            </w:pPr>
          </w:p>
        </w:tc>
        <w:tc>
          <w:tcPr>
            <w:tcW w:w="1280" w:type="dxa"/>
            <w:vAlign w:val="bottom"/>
            <w:shd w:val="clear" w:color="auto" w:fill="B6D2E2"/>
          </w:tcPr>
          <w:p>
            <w:pPr>
              <w:spacing w:after="0"/>
              <w:rPr>
                <w:sz w:val="19"/>
                <w:szCs w:val="19"/>
                <w:color w:val="auto"/>
              </w:rPr>
            </w:pPr>
          </w:p>
        </w:tc>
        <w:tc>
          <w:tcPr>
            <w:tcW w:w="120" w:type="dxa"/>
            <w:vAlign w:val="bottom"/>
            <w:shd w:val="clear" w:color="auto" w:fill="B6D2E2"/>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280" w:type="dxa"/>
            <w:vAlign w:val="bottom"/>
            <w:shd w:val="clear" w:color="auto" w:fill="DEEAEB"/>
          </w:tcPr>
          <w:p>
            <w:pPr>
              <w:spacing w:after="0"/>
              <w:rPr>
                <w:sz w:val="19"/>
                <w:szCs w:val="19"/>
                <w:color w:val="auto"/>
              </w:rPr>
            </w:pPr>
          </w:p>
        </w:tc>
        <w:tc>
          <w:tcPr>
            <w:tcW w:w="100" w:type="dxa"/>
            <w:vAlign w:val="bottom"/>
            <w:shd w:val="clear" w:color="auto" w:fill="DEEAEB"/>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300" w:type="dxa"/>
            <w:vAlign w:val="bottom"/>
            <w:shd w:val="clear" w:color="auto" w:fill="DEEAEB"/>
          </w:tcPr>
          <w:p>
            <w:pPr>
              <w:spacing w:after="0"/>
              <w:rPr>
                <w:sz w:val="19"/>
                <w:szCs w:val="19"/>
                <w:color w:val="auto"/>
              </w:rPr>
            </w:pPr>
          </w:p>
        </w:tc>
        <w:tc>
          <w:tcPr>
            <w:tcW w:w="100" w:type="dxa"/>
            <w:vAlign w:val="bottom"/>
            <w:shd w:val="clear" w:color="auto" w:fill="DEEAEB"/>
          </w:tcPr>
          <w:p>
            <w:pPr>
              <w:spacing w:after="0"/>
              <w:rPr>
                <w:sz w:val="19"/>
                <w:szCs w:val="19"/>
                <w:color w:val="auto"/>
              </w:rPr>
            </w:pPr>
          </w:p>
        </w:tc>
      </w:tr>
      <w:tr>
        <w:trPr>
          <w:trHeight w:val="203"/>
        </w:trPr>
        <w:tc>
          <w:tcPr>
            <w:tcW w:w="5980" w:type="dxa"/>
            <w:vAlign w:val="bottom"/>
          </w:tcPr>
          <w:p>
            <w:pPr>
              <w:ind w:left="140"/>
              <w:spacing w:after="0"/>
              <w:rPr>
                <w:sz w:val="20"/>
                <w:szCs w:val="20"/>
                <w:color w:val="auto"/>
              </w:rPr>
            </w:pPr>
            <w:r>
              <w:rPr>
                <w:rFonts w:ascii="Calibri" w:cs="Calibri" w:eastAsia="Calibri" w:hAnsi="Calibri"/>
                <w:sz w:val="16"/>
                <w:szCs w:val="16"/>
                <w:color w:val="auto"/>
              </w:rPr>
              <w:t>by operatng actvites:</w:t>
            </w:r>
          </w:p>
        </w:tc>
        <w:tc>
          <w:tcPr>
            <w:tcW w:w="280" w:type="dxa"/>
            <w:vAlign w:val="bottom"/>
            <w:shd w:val="clear" w:color="auto" w:fill="B6D2E2"/>
          </w:tcPr>
          <w:p>
            <w:pPr>
              <w:spacing w:after="0"/>
              <w:rPr>
                <w:sz w:val="17"/>
                <w:szCs w:val="17"/>
                <w:color w:val="auto"/>
              </w:rPr>
            </w:pPr>
          </w:p>
        </w:tc>
        <w:tc>
          <w:tcPr>
            <w:tcW w:w="1280" w:type="dxa"/>
            <w:vAlign w:val="bottom"/>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shd w:val="clear" w:color="auto" w:fill="DEEAEB"/>
          </w:tcPr>
          <w:p>
            <w:pPr>
              <w:spacing w:after="0"/>
              <w:rPr>
                <w:sz w:val="17"/>
                <w:szCs w:val="17"/>
                <w:color w:val="auto"/>
              </w:rPr>
            </w:pPr>
          </w:p>
        </w:tc>
        <w:tc>
          <w:tcPr>
            <w:tcW w:w="128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shd w:val="clear" w:color="auto" w:fill="DEEAEB"/>
          </w:tcPr>
          <w:p>
            <w:pPr>
              <w:spacing w:after="0"/>
              <w:rPr>
                <w:sz w:val="17"/>
                <w:szCs w:val="17"/>
                <w:color w:val="auto"/>
              </w:rPr>
            </w:pPr>
          </w:p>
        </w:tc>
        <w:tc>
          <w:tcPr>
            <w:tcW w:w="130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r>
      <w:tr>
        <w:trPr>
          <w:trHeight w:val="230"/>
        </w:trPr>
        <w:tc>
          <w:tcPr>
            <w:tcW w:w="5980" w:type="dxa"/>
            <w:vAlign w:val="bottom"/>
          </w:tcPr>
          <w:p>
            <w:pPr>
              <w:ind w:left="20"/>
              <w:spacing w:after="0"/>
              <w:rPr>
                <w:sz w:val="20"/>
                <w:szCs w:val="20"/>
                <w:color w:val="auto"/>
              </w:rPr>
            </w:pPr>
            <w:r>
              <w:rPr>
                <w:rFonts w:ascii="Calibri" w:cs="Calibri" w:eastAsia="Calibri" w:hAnsi="Calibri"/>
                <w:sz w:val="16"/>
                <w:szCs w:val="16"/>
                <w:color w:val="auto"/>
              </w:rPr>
              <w:t>Depreciaton, depleton and amortzaton</w:t>
            </w:r>
          </w:p>
        </w:tc>
        <w:tc>
          <w:tcPr>
            <w:tcW w:w="28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506.0</w:t>
            </w:r>
          </w:p>
        </w:tc>
        <w:tc>
          <w:tcPr>
            <w:tcW w:w="120" w:type="dxa"/>
            <w:vAlign w:val="bottom"/>
            <w:shd w:val="clear" w:color="auto" w:fill="B6D2E2"/>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451.7</w:t>
            </w:r>
          </w:p>
        </w:tc>
        <w:tc>
          <w:tcPr>
            <w:tcW w:w="100" w:type="dxa"/>
            <w:vAlign w:val="bottom"/>
            <w:shd w:val="clear" w:color="auto" w:fill="DEEAEB"/>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3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393.5</w:t>
            </w:r>
          </w:p>
        </w:tc>
        <w:tc>
          <w:tcPr>
            <w:tcW w:w="100" w:type="dxa"/>
            <w:vAlign w:val="bottom"/>
            <w:shd w:val="clear" w:color="auto" w:fill="DEEAEB"/>
          </w:tcPr>
          <w:p>
            <w:pPr>
              <w:spacing w:after="0"/>
              <w:rPr>
                <w:sz w:val="19"/>
                <w:szCs w:val="19"/>
                <w:color w:val="auto"/>
              </w:rPr>
            </w:pPr>
          </w:p>
        </w:tc>
      </w:tr>
      <w:tr>
        <w:trPr>
          <w:trHeight w:val="229"/>
        </w:trPr>
        <w:tc>
          <w:tcPr>
            <w:tcW w:w="5980" w:type="dxa"/>
            <w:vAlign w:val="bottom"/>
          </w:tcPr>
          <w:p>
            <w:pPr>
              <w:ind w:left="20"/>
              <w:spacing w:after="0"/>
              <w:rPr>
                <w:sz w:val="20"/>
                <w:szCs w:val="20"/>
                <w:color w:val="auto"/>
              </w:rPr>
            </w:pPr>
            <w:r>
              <w:rPr>
                <w:rFonts w:ascii="Calibri" w:cs="Calibri" w:eastAsia="Calibri" w:hAnsi="Calibri"/>
                <w:sz w:val="16"/>
                <w:szCs w:val="16"/>
                <w:color w:val="auto"/>
              </w:rPr>
              <w:t>Stock-based compensaton expense</w:t>
            </w:r>
          </w:p>
        </w:tc>
        <w:tc>
          <w:tcPr>
            <w:tcW w:w="28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42.7</w:t>
            </w:r>
          </w:p>
        </w:tc>
        <w:tc>
          <w:tcPr>
            <w:tcW w:w="120" w:type="dxa"/>
            <w:vAlign w:val="bottom"/>
            <w:shd w:val="clear" w:color="auto" w:fill="B6D2E2"/>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43.0</w:t>
            </w:r>
          </w:p>
        </w:tc>
        <w:tc>
          <w:tcPr>
            <w:tcW w:w="100" w:type="dxa"/>
            <w:vAlign w:val="bottom"/>
            <w:shd w:val="clear" w:color="auto" w:fill="DEEAEB"/>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3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30.0</w:t>
            </w:r>
          </w:p>
        </w:tc>
        <w:tc>
          <w:tcPr>
            <w:tcW w:w="100" w:type="dxa"/>
            <w:vAlign w:val="bottom"/>
            <w:shd w:val="clear" w:color="auto" w:fill="DEEAEB"/>
          </w:tcPr>
          <w:p>
            <w:pPr>
              <w:spacing w:after="0"/>
              <w:rPr>
                <w:sz w:val="19"/>
                <w:szCs w:val="19"/>
                <w:color w:val="auto"/>
              </w:rPr>
            </w:pPr>
          </w:p>
        </w:tc>
      </w:tr>
      <w:tr>
        <w:trPr>
          <w:trHeight w:val="230"/>
        </w:trPr>
        <w:tc>
          <w:tcPr>
            <w:tcW w:w="5980" w:type="dxa"/>
            <w:vAlign w:val="bottom"/>
          </w:tcPr>
          <w:p>
            <w:pPr>
              <w:ind w:left="20"/>
              <w:spacing w:after="0"/>
              <w:rPr>
                <w:sz w:val="20"/>
                <w:szCs w:val="20"/>
                <w:color w:val="auto"/>
              </w:rPr>
            </w:pPr>
            <w:r>
              <w:rPr>
                <w:rFonts w:ascii="Calibri" w:cs="Calibri" w:eastAsia="Calibri" w:hAnsi="Calibri"/>
                <w:sz w:val="16"/>
                <w:szCs w:val="16"/>
                <w:color w:val="auto"/>
              </w:rPr>
              <w:t>Gains on divesttures, sales of assets and extnguishment of debt</w:t>
            </w:r>
          </w:p>
        </w:tc>
        <w:tc>
          <w:tcPr>
            <w:tcW w:w="28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(195.7</w:t>
            </w:r>
          </w:p>
        </w:tc>
        <w:tc>
          <w:tcPr>
            <w:tcW w:w="12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w w:val="79"/>
              </w:rPr>
              <w:t>)</w:t>
            </w: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(21.7</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3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(73.0</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r>
      <w:tr>
        <w:trPr>
          <w:trHeight w:val="229"/>
        </w:trPr>
        <w:tc>
          <w:tcPr>
            <w:tcW w:w="5980" w:type="dxa"/>
            <w:vAlign w:val="bottom"/>
          </w:tcPr>
          <w:p>
            <w:pPr>
              <w:ind w:left="20"/>
              <w:spacing w:after="0"/>
              <w:rPr>
                <w:sz w:val="20"/>
                <w:szCs w:val="20"/>
                <w:color w:val="auto"/>
              </w:rPr>
            </w:pPr>
            <w:r>
              <w:rPr>
                <w:rFonts w:ascii="Calibri" w:cs="Calibri" w:eastAsia="Calibri" w:hAnsi="Calibri"/>
                <w:sz w:val="16"/>
                <w:szCs w:val="16"/>
                <w:color w:val="auto"/>
              </w:rPr>
              <w:t>Deferred income taxes, net</w:t>
            </w:r>
          </w:p>
        </w:tc>
        <w:tc>
          <w:tcPr>
            <w:tcW w:w="28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(0.6</w:t>
            </w:r>
          </w:p>
        </w:tc>
        <w:tc>
          <w:tcPr>
            <w:tcW w:w="12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w w:val="79"/>
              </w:rPr>
              <w:t>)</w:t>
            </w: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92.2</w:t>
            </w:r>
          </w:p>
        </w:tc>
        <w:tc>
          <w:tcPr>
            <w:tcW w:w="100" w:type="dxa"/>
            <w:vAlign w:val="bottom"/>
            <w:shd w:val="clear" w:color="auto" w:fill="DEEAEB"/>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3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43.8</w:t>
            </w:r>
          </w:p>
        </w:tc>
        <w:tc>
          <w:tcPr>
            <w:tcW w:w="100" w:type="dxa"/>
            <w:vAlign w:val="bottom"/>
            <w:shd w:val="clear" w:color="auto" w:fill="DEEAEB"/>
          </w:tcPr>
          <w:p>
            <w:pPr>
              <w:spacing w:after="0"/>
              <w:rPr>
                <w:sz w:val="19"/>
                <w:szCs w:val="19"/>
                <w:color w:val="auto"/>
              </w:rPr>
            </w:pPr>
          </w:p>
        </w:tc>
      </w:tr>
      <w:tr>
        <w:trPr>
          <w:trHeight w:val="229"/>
        </w:trPr>
        <w:tc>
          <w:tcPr>
            <w:tcW w:w="5980" w:type="dxa"/>
            <w:vAlign w:val="bottom"/>
          </w:tcPr>
          <w:p>
            <w:pPr>
              <w:ind w:left="20"/>
              <w:spacing w:after="0"/>
              <w:rPr>
                <w:sz w:val="20"/>
                <w:szCs w:val="20"/>
                <w:color w:val="auto"/>
              </w:rPr>
            </w:pPr>
            <w:r>
              <w:rPr>
                <w:rFonts w:ascii="Calibri" w:cs="Calibri" w:eastAsia="Calibri" w:hAnsi="Calibri"/>
                <w:sz w:val="16"/>
                <w:szCs w:val="16"/>
                <w:color w:val="auto"/>
              </w:rPr>
              <w:t>Other items, net</w:t>
            </w:r>
          </w:p>
        </w:tc>
        <w:tc>
          <w:tcPr>
            <w:tcW w:w="28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(11.7</w:t>
            </w:r>
          </w:p>
        </w:tc>
        <w:tc>
          <w:tcPr>
            <w:tcW w:w="12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w w:val="79"/>
              </w:rPr>
              <w:t>)</w:t>
            </w: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(14.9</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3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2.1</w:t>
            </w:r>
          </w:p>
        </w:tc>
        <w:tc>
          <w:tcPr>
            <w:tcW w:w="100" w:type="dxa"/>
            <w:vAlign w:val="bottom"/>
            <w:shd w:val="clear" w:color="auto" w:fill="DEEAEB"/>
          </w:tcPr>
          <w:p>
            <w:pPr>
              <w:spacing w:after="0"/>
              <w:rPr>
                <w:sz w:val="19"/>
                <w:szCs w:val="19"/>
                <w:color w:val="auto"/>
              </w:rPr>
            </w:pPr>
          </w:p>
        </w:tc>
      </w:tr>
      <w:tr>
        <w:trPr>
          <w:trHeight w:val="230"/>
        </w:trPr>
        <w:tc>
          <w:tcPr>
            <w:tcW w:w="5980" w:type="dxa"/>
            <w:vAlign w:val="bottom"/>
          </w:tcPr>
          <w:p>
            <w:pPr>
              <w:ind w:left="20"/>
              <w:spacing w:after="0"/>
              <w:rPr>
                <w:sz w:val="20"/>
                <w:szCs w:val="20"/>
                <w:color w:val="auto"/>
              </w:rPr>
            </w:pPr>
            <w:r>
              <w:rPr>
                <w:rFonts w:ascii="Calibri" w:cs="Calibri" w:eastAsia="Calibri" w:hAnsi="Calibri"/>
                <w:sz w:val="16"/>
                <w:szCs w:val="16"/>
                <w:color w:val="auto"/>
              </w:rPr>
              <w:t>Changes in operatng assets and liabilites, net of efects of acquisitons</w:t>
            </w:r>
          </w:p>
        </w:tc>
        <w:tc>
          <w:tcPr>
            <w:tcW w:w="280" w:type="dxa"/>
            <w:vAlign w:val="bottom"/>
            <w:shd w:val="clear" w:color="auto" w:fill="B6D2E2"/>
          </w:tcPr>
          <w:p>
            <w:pPr>
              <w:spacing w:after="0"/>
              <w:rPr>
                <w:sz w:val="19"/>
                <w:szCs w:val="19"/>
                <w:color w:val="auto"/>
              </w:rPr>
            </w:pPr>
          </w:p>
        </w:tc>
        <w:tc>
          <w:tcPr>
            <w:tcW w:w="1280" w:type="dxa"/>
            <w:vAlign w:val="bottom"/>
            <w:shd w:val="clear" w:color="auto" w:fill="B6D2E2"/>
          </w:tcPr>
          <w:p>
            <w:pPr>
              <w:spacing w:after="0"/>
              <w:rPr>
                <w:sz w:val="19"/>
                <w:szCs w:val="19"/>
                <w:color w:val="auto"/>
              </w:rPr>
            </w:pPr>
          </w:p>
        </w:tc>
        <w:tc>
          <w:tcPr>
            <w:tcW w:w="120" w:type="dxa"/>
            <w:vAlign w:val="bottom"/>
            <w:shd w:val="clear" w:color="auto" w:fill="B6D2E2"/>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280" w:type="dxa"/>
            <w:vAlign w:val="bottom"/>
            <w:shd w:val="clear" w:color="auto" w:fill="DEEAEB"/>
          </w:tcPr>
          <w:p>
            <w:pPr>
              <w:spacing w:after="0"/>
              <w:rPr>
                <w:sz w:val="19"/>
                <w:szCs w:val="19"/>
                <w:color w:val="auto"/>
              </w:rPr>
            </w:pPr>
          </w:p>
        </w:tc>
        <w:tc>
          <w:tcPr>
            <w:tcW w:w="100" w:type="dxa"/>
            <w:vAlign w:val="bottom"/>
            <w:shd w:val="clear" w:color="auto" w:fill="DEEAEB"/>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300" w:type="dxa"/>
            <w:vAlign w:val="bottom"/>
            <w:shd w:val="clear" w:color="auto" w:fill="DEEAEB"/>
          </w:tcPr>
          <w:p>
            <w:pPr>
              <w:spacing w:after="0"/>
              <w:rPr>
                <w:sz w:val="19"/>
                <w:szCs w:val="19"/>
                <w:color w:val="auto"/>
              </w:rPr>
            </w:pPr>
          </w:p>
        </w:tc>
        <w:tc>
          <w:tcPr>
            <w:tcW w:w="100" w:type="dxa"/>
            <w:vAlign w:val="bottom"/>
            <w:shd w:val="clear" w:color="auto" w:fill="DEEAEB"/>
          </w:tcPr>
          <w:p>
            <w:pPr>
              <w:spacing w:after="0"/>
              <w:rPr>
                <w:sz w:val="19"/>
                <w:szCs w:val="19"/>
                <w:color w:val="auto"/>
              </w:rPr>
            </w:pPr>
          </w:p>
        </w:tc>
      </w:tr>
      <w:tr>
        <w:trPr>
          <w:trHeight w:val="203"/>
        </w:trPr>
        <w:tc>
          <w:tcPr>
            <w:tcW w:w="5980" w:type="dxa"/>
            <w:vAlign w:val="bottom"/>
          </w:tcPr>
          <w:p>
            <w:pPr>
              <w:ind w:left="140"/>
              <w:spacing w:after="0"/>
              <w:rPr>
                <w:sz w:val="20"/>
                <w:szCs w:val="20"/>
                <w:color w:val="auto"/>
              </w:rPr>
            </w:pPr>
            <w:r>
              <w:rPr>
                <w:rFonts w:ascii="Calibri" w:cs="Calibri" w:eastAsia="Calibri" w:hAnsi="Calibri"/>
                <w:sz w:val="16"/>
                <w:szCs w:val="16"/>
                <w:color w:val="auto"/>
              </w:rPr>
              <w:t>and divesttures:</w:t>
            </w:r>
          </w:p>
        </w:tc>
        <w:tc>
          <w:tcPr>
            <w:tcW w:w="280" w:type="dxa"/>
            <w:vAlign w:val="bottom"/>
            <w:shd w:val="clear" w:color="auto" w:fill="B6D2E2"/>
          </w:tcPr>
          <w:p>
            <w:pPr>
              <w:spacing w:after="0"/>
              <w:rPr>
                <w:sz w:val="17"/>
                <w:szCs w:val="17"/>
                <w:color w:val="auto"/>
              </w:rPr>
            </w:pPr>
          </w:p>
        </w:tc>
        <w:tc>
          <w:tcPr>
            <w:tcW w:w="1280" w:type="dxa"/>
            <w:vAlign w:val="bottom"/>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shd w:val="clear" w:color="auto" w:fill="DEEAEB"/>
          </w:tcPr>
          <w:p>
            <w:pPr>
              <w:spacing w:after="0"/>
              <w:rPr>
                <w:sz w:val="17"/>
                <w:szCs w:val="17"/>
                <w:color w:val="auto"/>
              </w:rPr>
            </w:pPr>
          </w:p>
        </w:tc>
        <w:tc>
          <w:tcPr>
            <w:tcW w:w="128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shd w:val="clear" w:color="auto" w:fill="DEEAEB"/>
          </w:tcPr>
          <w:p>
            <w:pPr>
              <w:spacing w:after="0"/>
              <w:rPr>
                <w:sz w:val="17"/>
                <w:szCs w:val="17"/>
                <w:color w:val="auto"/>
              </w:rPr>
            </w:pPr>
          </w:p>
        </w:tc>
        <w:tc>
          <w:tcPr>
            <w:tcW w:w="130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r>
      <w:tr>
        <w:trPr>
          <w:trHeight w:val="229"/>
        </w:trPr>
        <w:tc>
          <w:tcPr>
            <w:tcW w:w="5980" w:type="dxa"/>
            <w:vAlign w:val="bottom"/>
          </w:tcPr>
          <w:p>
            <w:pPr>
              <w:ind w:left="300"/>
              <w:spacing w:after="0"/>
              <w:rPr>
                <w:sz w:val="20"/>
                <w:szCs w:val="20"/>
                <w:color w:val="auto"/>
              </w:rPr>
            </w:pPr>
            <w:r>
              <w:rPr>
                <w:rFonts w:ascii="Calibri" w:cs="Calibri" w:eastAsia="Calibri" w:hAnsi="Calibri"/>
                <w:sz w:val="16"/>
                <w:szCs w:val="16"/>
                <w:color w:val="auto"/>
              </w:rPr>
              <w:t>Accounts receivable, net</w:t>
            </w:r>
          </w:p>
        </w:tc>
        <w:tc>
          <w:tcPr>
            <w:tcW w:w="28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(12.1</w:t>
            </w:r>
          </w:p>
        </w:tc>
        <w:tc>
          <w:tcPr>
            <w:tcW w:w="12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w w:val="79"/>
              </w:rPr>
              <w:t>)</w:t>
            </w: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(194.4</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3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6.1</w:t>
            </w:r>
          </w:p>
        </w:tc>
        <w:tc>
          <w:tcPr>
            <w:tcW w:w="100" w:type="dxa"/>
            <w:vAlign w:val="bottom"/>
            <w:shd w:val="clear" w:color="auto" w:fill="DEEAEB"/>
          </w:tcPr>
          <w:p>
            <w:pPr>
              <w:spacing w:after="0"/>
              <w:rPr>
                <w:sz w:val="19"/>
                <w:szCs w:val="19"/>
                <w:color w:val="auto"/>
              </w:rPr>
            </w:pPr>
          </w:p>
        </w:tc>
      </w:tr>
      <w:tr>
        <w:trPr>
          <w:trHeight w:val="229"/>
        </w:trPr>
        <w:tc>
          <w:tcPr>
            <w:tcW w:w="5980" w:type="dxa"/>
            <w:vAlign w:val="bottom"/>
          </w:tcPr>
          <w:p>
            <w:pPr>
              <w:ind w:left="300"/>
              <w:spacing w:after="0"/>
              <w:rPr>
                <w:sz w:val="20"/>
                <w:szCs w:val="20"/>
                <w:color w:val="auto"/>
              </w:rPr>
            </w:pPr>
            <w:r>
              <w:rPr>
                <w:rFonts w:ascii="Calibri" w:cs="Calibri" w:eastAsia="Calibri" w:hAnsi="Calibri"/>
                <w:sz w:val="16"/>
                <w:szCs w:val="16"/>
                <w:color w:val="auto"/>
              </w:rPr>
              <w:t>Inventories, net</w:t>
            </w:r>
          </w:p>
        </w:tc>
        <w:tc>
          <w:tcPr>
            <w:tcW w:w="28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(131.7</w:t>
            </w:r>
          </w:p>
        </w:tc>
        <w:tc>
          <w:tcPr>
            <w:tcW w:w="12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w w:val="79"/>
              </w:rPr>
              <w:t>)</w:t>
            </w: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73.2</w:t>
            </w:r>
          </w:p>
        </w:tc>
        <w:tc>
          <w:tcPr>
            <w:tcW w:w="100" w:type="dxa"/>
            <w:vAlign w:val="bottom"/>
            <w:shd w:val="clear" w:color="auto" w:fill="DEEAEB"/>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3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(19.3</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r>
      <w:tr>
        <w:trPr>
          <w:trHeight w:val="230"/>
        </w:trPr>
        <w:tc>
          <w:tcPr>
            <w:tcW w:w="5980" w:type="dxa"/>
            <w:vAlign w:val="bottom"/>
          </w:tcPr>
          <w:p>
            <w:pPr>
              <w:ind w:left="300"/>
              <w:spacing w:after="0"/>
              <w:rPr>
                <w:sz w:val="20"/>
                <w:szCs w:val="20"/>
                <w:color w:val="auto"/>
              </w:rPr>
            </w:pPr>
            <w:r>
              <w:rPr>
                <w:rFonts w:ascii="Calibri" w:cs="Calibri" w:eastAsia="Calibri" w:hAnsi="Calibri"/>
                <w:sz w:val="16"/>
                <w:szCs w:val="16"/>
                <w:color w:val="auto"/>
              </w:rPr>
              <w:t>Accounts payable</w:t>
            </w:r>
          </w:p>
        </w:tc>
        <w:tc>
          <w:tcPr>
            <w:tcW w:w="28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(31.2</w:t>
            </w:r>
          </w:p>
        </w:tc>
        <w:tc>
          <w:tcPr>
            <w:tcW w:w="12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w w:val="79"/>
              </w:rPr>
              <w:t>)</w:t>
            </w: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109.8</w:t>
            </w:r>
          </w:p>
        </w:tc>
        <w:tc>
          <w:tcPr>
            <w:tcW w:w="100" w:type="dxa"/>
            <w:vAlign w:val="bottom"/>
            <w:shd w:val="clear" w:color="auto" w:fill="DEEAEB"/>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3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(34.0</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r>
      <w:tr>
        <w:trPr>
          <w:trHeight w:val="270"/>
        </w:trPr>
        <w:tc>
          <w:tcPr>
            <w:tcW w:w="5980" w:type="dxa"/>
            <w:vAlign w:val="bottom"/>
          </w:tcPr>
          <w:p>
            <w:pPr>
              <w:ind w:left="300"/>
              <w:spacing w:after="0"/>
              <w:rPr>
                <w:sz w:val="20"/>
                <w:szCs w:val="20"/>
                <w:color w:val="auto"/>
              </w:rPr>
            </w:pPr>
            <w:r>
              <w:rPr>
                <w:rFonts w:ascii="Calibri" w:cs="Calibri" w:eastAsia="Calibri" w:hAnsi="Calibri"/>
                <w:sz w:val="16"/>
                <w:szCs w:val="16"/>
                <w:color w:val="auto"/>
              </w:rPr>
              <w:t>Other assets and liabilites, net</w:t>
            </w:r>
          </w:p>
        </w:tc>
        <w:tc>
          <w:tcPr>
            <w:tcW w:w="280" w:type="dxa"/>
            <w:vAlign w:val="bottom"/>
            <w:tcBorders>
              <w:bottom w:val="single" w:sz="8" w:color="B6D2E2"/>
            </w:tcBorders>
            <w:shd w:val="clear" w:color="auto" w:fill="B6D2E2"/>
          </w:tcPr>
          <w:p>
            <w:pPr>
              <w:spacing w:after="0"/>
              <w:rPr>
                <w:sz w:val="23"/>
                <w:szCs w:val="23"/>
                <w:color w:val="auto"/>
              </w:rPr>
            </w:pPr>
          </w:p>
        </w:tc>
        <w:tc>
          <w:tcPr>
            <w:tcW w:w="128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rPr>
              <w:t>(41.3</w:t>
            </w:r>
          </w:p>
        </w:tc>
        <w:tc>
          <w:tcPr>
            <w:tcW w:w="12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w w:val="79"/>
              </w:rPr>
              <w:t>)</w:t>
            </w:r>
          </w:p>
        </w:tc>
        <w:tc>
          <w:tcPr>
            <w:tcW w:w="160" w:type="dxa"/>
            <w:vAlign w:val="bottom"/>
          </w:tcPr>
          <w:p>
            <w:pPr>
              <w:spacing w:after="0"/>
              <w:rPr>
                <w:sz w:val="23"/>
                <w:szCs w:val="23"/>
                <w:color w:val="auto"/>
              </w:rPr>
            </w:pPr>
          </w:p>
        </w:tc>
        <w:tc>
          <w:tcPr>
            <w:tcW w:w="240" w:type="dxa"/>
            <w:vAlign w:val="bottom"/>
            <w:tcBorders>
              <w:bottom w:val="single" w:sz="8" w:color="DEEAEB"/>
            </w:tcBorders>
            <w:shd w:val="clear" w:color="auto" w:fill="DEEAEB"/>
          </w:tcPr>
          <w:p>
            <w:pPr>
              <w:spacing w:after="0"/>
              <w:rPr>
                <w:sz w:val="23"/>
                <w:szCs w:val="23"/>
                <w:color w:val="auto"/>
              </w:rPr>
            </w:pPr>
          </w:p>
        </w:tc>
        <w:tc>
          <w:tcPr>
            <w:tcW w:w="128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(104.0</w:t>
            </w:r>
          </w:p>
        </w:tc>
        <w:tc>
          <w:tcPr>
            <w:tcW w:w="1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c>
          <w:tcPr>
            <w:tcW w:w="160" w:type="dxa"/>
            <w:vAlign w:val="bottom"/>
          </w:tcPr>
          <w:p>
            <w:pPr>
              <w:spacing w:after="0"/>
              <w:rPr>
                <w:sz w:val="23"/>
                <w:szCs w:val="23"/>
                <w:color w:val="auto"/>
              </w:rPr>
            </w:pPr>
          </w:p>
        </w:tc>
        <w:tc>
          <w:tcPr>
            <w:tcW w:w="240" w:type="dxa"/>
            <w:vAlign w:val="bottom"/>
            <w:tcBorders>
              <w:bottom w:val="single" w:sz="8" w:color="DEEAEB"/>
            </w:tcBorders>
            <w:shd w:val="clear" w:color="auto" w:fill="DEEAEB"/>
          </w:tcPr>
          <w:p>
            <w:pPr>
              <w:spacing w:after="0"/>
              <w:rPr>
                <w:sz w:val="23"/>
                <w:szCs w:val="23"/>
                <w:color w:val="auto"/>
              </w:rPr>
            </w:pPr>
          </w:p>
        </w:tc>
        <w:tc>
          <w:tcPr>
            <w:tcW w:w="13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(20.2</w:t>
            </w:r>
          </w:p>
        </w:tc>
        <w:tc>
          <w:tcPr>
            <w:tcW w:w="1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r>
      <w:tr>
        <w:trPr>
          <w:trHeight w:val="223"/>
        </w:trPr>
        <w:tc>
          <w:tcPr>
            <w:tcW w:w="5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Net Cash Provided by Operatng Actvites</w:t>
            </w:r>
          </w:p>
        </w:tc>
        <w:tc>
          <w:tcPr>
            <w:tcW w:w="280" w:type="dxa"/>
            <w:vAlign w:val="bottom"/>
            <w:tcBorders>
              <w:top w:val="single" w:sz="8" w:color="auto"/>
              <w:bottom w:val="single" w:sz="8" w:color="B6D2E2"/>
            </w:tcBorders>
            <w:shd w:val="clear" w:color="auto" w:fill="B6D2E2"/>
          </w:tcPr>
          <w:p>
            <w:pPr>
              <w:spacing w:after="0"/>
              <w:rPr>
                <w:sz w:val="19"/>
                <w:szCs w:val="19"/>
                <w:color w:val="auto"/>
              </w:rPr>
            </w:pPr>
          </w:p>
        </w:tc>
        <w:tc>
          <w:tcPr>
            <w:tcW w:w="128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991.2</w:t>
            </w:r>
          </w:p>
        </w:tc>
        <w:tc>
          <w:tcPr>
            <w:tcW w:w="120" w:type="dxa"/>
            <w:vAlign w:val="bottom"/>
            <w:tcBorders>
              <w:top w:val="single" w:sz="8" w:color="auto"/>
              <w:bottom w:val="single" w:sz="8" w:color="B6D2E2"/>
            </w:tcBorders>
            <w:shd w:val="clear" w:color="auto" w:fill="B6D2E2"/>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DEEAEB"/>
            </w:tcBorders>
            <w:shd w:val="clear" w:color="auto" w:fill="DEEAEB"/>
          </w:tcPr>
          <w:p>
            <w:pPr>
              <w:spacing w:after="0"/>
              <w:rPr>
                <w:sz w:val="19"/>
                <w:szCs w:val="19"/>
                <w:color w:val="auto"/>
              </w:rPr>
            </w:pPr>
          </w:p>
        </w:tc>
        <w:tc>
          <w:tcPr>
            <w:tcW w:w="128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1,137.7</w:t>
            </w:r>
          </w:p>
        </w:tc>
        <w:tc>
          <w:tcPr>
            <w:tcW w:w="100" w:type="dxa"/>
            <w:vAlign w:val="bottom"/>
            <w:tcBorders>
              <w:top w:val="single" w:sz="8" w:color="auto"/>
              <w:bottom w:val="single" w:sz="8" w:color="DEEAEB"/>
            </w:tcBorders>
            <w:shd w:val="clear" w:color="auto" w:fill="DEEAEB"/>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DEEAEB"/>
            </w:tcBorders>
            <w:shd w:val="clear" w:color="auto" w:fill="DEEAEB"/>
          </w:tcPr>
          <w:p>
            <w:pPr>
              <w:spacing w:after="0"/>
              <w:rPr>
                <w:sz w:val="19"/>
                <w:szCs w:val="19"/>
                <w:color w:val="auto"/>
              </w:rPr>
            </w:pPr>
          </w:p>
        </w:tc>
        <w:tc>
          <w:tcPr>
            <w:tcW w:w="130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1,050.1</w:t>
            </w:r>
          </w:p>
        </w:tc>
        <w:tc>
          <w:tcPr>
            <w:tcW w:w="100" w:type="dxa"/>
            <w:vAlign w:val="bottom"/>
            <w:tcBorders>
              <w:top w:val="single" w:sz="8" w:color="auto"/>
              <w:bottom w:val="single" w:sz="8" w:color="DEEAEB"/>
            </w:tcBorders>
            <w:shd w:val="clear" w:color="auto" w:fill="DEEAEB"/>
          </w:tcPr>
          <w:p>
            <w:pPr>
              <w:spacing w:after="0"/>
              <w:rPr>
                <w:sz w:val="19"/>
                <w:szCs w:val="19"/>
                <w:color w:val="auto"/>
              </w:rPr>
            </w:pPr>
          </w:p>
        </w:tc>
      </w:tr>
      <w:tr>
        <w:trPr>
          <w:trHeight w:val="187"/>
        </w:trPr>
        <w:tc>
          <w:tcPr>
            <w:tcW w:w="5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Cash Flows from Investng Actvites:</w:t>
            </w:r>
          </w:p>
        </w:tc>
        <w:tc>
          <w:tcPr>
            <w:tcW w:w="280" w:type="dxa"/>
            <w:vAlign w:val="bottom"/>
            <w:tcBorders>
              <w:top w:val="single" w:sz="8" w:color="auto"/>
            </w:tcBorders>
            <w:shd w:val="clear" w:color="auto" w:fill="B6D2E2"/>
          </w:tcPr>
          <w:p>
            <w:pPr>
              <w:spacing w:after="0"/>
              <w:rPr>
                <w:sz w:val="16"/>
                <w:szCs w:val="16"/>
                <w:color w:val="auto"/>
              </w:rPr>
            </w:pPr>
          </w:p>
        </w:tc>
        <w:tc>
          <w:tcPr>
            <w:tcW w:w="1280" w:type="dxa"/>
            <w:vAlign w:val="bottom"/>
            <w:tcBorders>
              <w:top w:val="single" w:sz="8" w:color="auto"/>
            </w:tcBorders>
            <w:shd w:val="clear" w:color="auto" w:fill="B6D2E2"/>
          </w:tcPr>
          <w:p>
            <w:pPr>
              <w:spacing w:after="0"/>
              <w:rPr>
                <w:sz w:val="16"/>
                <w:szCs w:val="16"/>
                <w:color w:val="auto"/>
              </w:rPr>
            </w:pPr>
          </w:p>
        </w:tc>
        <w:tc>
          <w:tcPr>
            <w:tcW w:w="120" w:type="dxa"/>
            <w:vAlign w:val="bottom"/>
            <w:tcBorders>
              <w:top w:val="single" w:sz="8" w:color="auto"/>
            </w:tcBorders>
            <w:shd w:val="clear" w:color="auto" w:fill="B6D2E2"/>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shd w:val="clear" w:color="auto" w:fill="DEEAEB"/>
          </w:tcPr>
          <w:p>
            <w:pPr>
              <w:spacing w:after="0"/>
              <w:rPr>
                <w:sz w:val="16"/>
                <w:szCs w:val="16"/>
                <w:color w:val="auto"/>
              </w:rPr>
            </w:pPr>
          </w:p>
        </w:tc>
        <w:tc>
          <w:tcPr>
            <w:tcW w:w="1280" w:type="dxa"/>
            <w:vAlign w:val="bottom"/>
            <w:tcBorders>
              <w:top w:val="single" w:sz="8" w:color="auto"/>
            </w:tcBorders>
            <w:shd w:val="clear" w:color="auto" w:fill="DEEAEB"/>
          </w:tcPr>
          <w:p>
            <w:pPr>
              <w:spacing w:after="0"/>
              <w:rPr>
                <w:sz w:val="16"/>
                <w:szCs w:val="16"/>
                <w:color w:val="auto"/>
              </w:rPr>
            </w:pPr>
          </w:p>
        </w:tc>
        <w:tc>
          <w:tcPr>
            <w:tcW w:w="100" w:type="dxa"/>
            <w:vAlign w:val="bottom"/>
            <w:tcBorders>
              <w:top w:val="single" w:sz="8" w:color="auto"/>
            </w:tcBorders>
            <w:shd w:val="clear" w:color="auto" w:fill="DEEAEB"/>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shd w:val="clear" w:color="auto" w:fill="DEEAEB"/>
          </w:tcPr>
          <w:p>
            <w:pPr>
              <w:spacing w:after="0"/>
              <w:rPr>
                <w:sz w:val="16"/>
                <w:szCs w:val="16"/>
                <w:color w:val="auto"/>
              </w:rPr>
            </w:pPr>
          </w:p>
        </w:tc>
        <w:tc>
          <w:tcPr>
            <w:tcW w:w="1300" w:type="dxa"/>
            <w:vAlign w:val="bottom"/>
            <w:tcBorders>
              <w:top w:val="single" w:sz="8" w:color="auto"/>
            </w:tcBorders>
            <w:shd w:val="clear" w:color="auto" w:fill="DEEAEB"/>
          </w:tcPr>
          <w:p>
            <w:pPr>
              <w:spacing w:after="0"/>
              <w:rPr>
                <w:sz w:val="16"/>
                <w:szCs w:val="16"/>
                <w:color w:val="auto"/>
              </w:rPr>
            </w:pPr>
          </w:p>
        </w:tc>
        <w:tc>
          <w:tcPr>
            <w:tcW w:w="100" w:type="dxa"/>
            <w:vAlign w:val="bottom"/>
            <w:tcBorders>
              <w:top w:val="single" w:sz="8" w:color="auto"/>
            </w:tcBorders>
            <w:shd w:val="clear" w:color="auto" w:fill="DEEAEB"/>
          </w:tcPr>
          <w:p>
            <w:pPr>
              <w:spacing w:after="0"/>
              <w:rPr>
                <w:sz w:val="16"/>
                <w:szCs w:val="16"/>
                <w:color w:val="auto"/>
              </w:rPr>
            </w:pPr>
          </w:p>
        </w:tc>
      </w:tr>
      <w:tr>
        <w:trPr>
          <w:trHeight w:val="225"/>
        </w:trPr>
        <w:tc>
          <w:tcPr>
            <w:tcW w:w="5980" w:type="dxa"/>
            <w:vAlign w:val="bottom"/>
          </w:tcPr>
          <w:p>
            <w:pPr>
              <w:ind w:left="20"/>
              <w:spacing w:after="0"/>
              <w:rPr>
                <w:sz w:val="20"/>
                <w:szCs w:val="20"/>
                <w:color w:val="auto"/>
              </w:rPr>
            </w:pPr>
            <w:r>
              <w:rPr>
                <w:rFonts w:ascii="Calibri" w:cs="Calibri" w:eastAsia="Calibri" w:hAnsi="Calibri"/>
                <w:sz w:val="16"/>
                <w:szCs w:val="16"/>
                <w:color w:val="auto"/>
              </w:rPr>
              <w:t>Additons to property, plant and equipment</w:t>
            </w:r>
          </w:p>
        </w:tc>
        <w:tc>
          <w:tcPr>
            <w:tcW w:w="280" w:type="dxa"/>
            <w:vAlign w:val="bottom"/>
            <w:shd w:val="clear" w:color="auto" w:fill="B6D2E2"/>
          </w:tcPr>
          <w:p>
            <w:pPr>
              <w:spacing w:after="0"/>
              <w:rPr>
                <w:sz w:val="19"/>
                <w:szCs w:val="19"/>
                <w:color w:val="auto"/>
              </w:rPr>
            </w:pPr>
          </w:p>
        </w:tc>
        <w:tc>
          <w:tcPr>
            <w:tcW w:w="1400" w:type="dxa"/>
            <w:vAlign w:val="bottom"/>
            <w:gridSpan w:val="2"/>
            <w:shd w:val="clear" w:color="auto" w:fill="B6D2E2"/>
          </w:tcPr>
          <w:p>
            <w:pPr>
              <w:jc w:val="right"/>
              <w:spacing w:after="0"/>
              <w:rPr>
                <w:sz w:val="20"/>
                <w:szCs w:val="20"/>
                <w:color w:val="auto"/>
              </w:rPr>
            </w:pPr>
            <w:r>
              <w:rPr>
                <w:rFonts w:ascii="Calibri" w:cs="Calibri" w:eastAsia="Calibri" w:hAnsi="Calibri"/>
                <w:sz w:val="16"/>
                <w:szCs w:val="16"/>
                <w:b w:val="1"/>
                <w:bCs w:val="1"/>
                <w:color w:val="auto"/>
              </w:rPr>
              <w:t>(481.8 )</w:t>
            </w: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380" w:type="dxa"/>
            <w:vAlign w:val="bottom"/>
            <w:gridSpan w:val="2"/>
            <w:shd w:val="clear" w:color="auto" w:fill="DEEAEB"/>
          </w:tcPr>
          <w:p>
            <w:pPr>
              <w:jc w:val="right"/>
              <w:spacing w:after="0"/>
              <w:rPr>
                <w:sz w:val="20"/>
                <w:szCs w:val="20"/>
                <w:color w:val="auto"/>
              </w:rPr>
            </w:pPr>
            <w:r>
              <w:rPr>
                <w:rFonts w:ascii="Calibri" w:cs="Calibri" w:eastAsia="Calibri" w:hAnsi="Calibri"/>
                <w:sz w:val="16"/>
                <w:szCs w:val="16"/>
                <w:color w:val="auto"/>
              </w:rPr>
              <w:t>(423.1 )</w:t>
            </w: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400" w:type="dxa"/>
            <w:vAlign w:val="bottom"/>
            <w:gridSpan w:val="2"/>
            <w:shd w:val="clear" w:color="auto" w:fill="DEEAEB"/>
          </w:tcPr>
          <w:p>
            <w:pPr>
              <w:jc w:val="right"/>
              <w:spacing w:after="0"/>
              <w:rPr>
                <w:sz w:val="20"/>
                <w:szCs w:val="20"/>
                <w:color w:val="auto"/>
              </w:rPr>
            </w:pPr>
            <w:r>
              <w:rPr>
                <w:rFonts w:ascii="Calibri" w:cs="Calibri" w:eastAsia="Calibri" w:hAnsi="Calibri"/>
                <w:sz w:val="16"/>
                <w:szCs w:val="16"/>
                <w:color w:val="auto"/>
              </w:rPr>
              <w:t>(359.7 )</w:t>
            </w:r>
          </w:p>
        </w:tc>
      </w:tr>
      <w:tr>
        <w:trPr>
          <w:trHeight w:val="229"/>
        </w:trPr>
        <w:tc>
          <w:tcPr>
            <w:tcW w:w="5980" w:type="dxa"/>
            <w:vAlign w:val="bottom"/>
          </w:tcPr>
          <w:p>
            <w:pPr>
              <w:ind w:left="20"/>
              <w:spacing w:after="0"/>
              <w:rPr>
                <w:sz w:val="20"/>
                <w:szCs w:val="20"/>
                <w:color w:val="auto"/>
              </w:rPr>
            </w:pPr>
            <w:r>
              <w:rPr>
                <w:rFonts w:ascii="Calibri" w:cs="Calibri" w:eastAsia="Calibri" w:hAnsi="Calibri"/>
                <w:sz w:val="16"/>
                <w:szCs w:val="16"/>
                <w:color w:val="auto"/>
              </w:rPr>
              <w:t>Acquisitons, net of cash acquired</w:t>
            </w:r>
          </w:p>
        </w:tc>
        <w:tc>
          <w:tcPr>
            <w:tcW w:w="28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11.0</w:t>
            </w:r>
          </w:p>
        </w:tc>
        <w:tc>
          <w:tcPr>
            <w:tcW w:w="120" w:type="dxa"/>
            <w:vAlign w:val="bottom"/>
            <w:shd w:val="clear" w:color="auto" w:fill="B6D2E2"/>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(3,109.2</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3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(65.1</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r>
      <w:tr>
        <w:trPr>
          <w:trHeight w:val="229"/>
        </w:trPr>
        <w:tc>
          <w:tcPr>
            <w:tcW w:w="5980" w:type="dxa"/>
            <w:vAlign w:val="bottom"/>
          </w:tcPr>
          <w:p>
            <w:pPr>
              <w:ind w:left="20"/>
              <w:spacing w:after="0"/>
              <w:rPr>
                <w:sz w:val="20"/>
                <w:szCs w:val="20"/>
                <w:color w:val="auto"/>
              </w:rPr>
            </w:pPr>
            <w:r>
              <w:rPr>
                <w:rFonts w:ascii="Calibri" w:cs="Calibri" w:eastAsia="Calibri" w:hAnsi="Calibri"/>
                <w:sz w:val="16"/>
                <w:szCs w:val="16"/>
                <w:color w:val="auto"/>
              </w:rPr>
              <w:t>Proceeds from divesttures and sales of assets</w:t>
            </w:r>
          </w:p>
        </w:tc>
        <w:tc>
          <w:tcPr>
            <w:tcW w:w="28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687.1</w:t>
            </w:r>
          </w:p>
        </w:tc>
        <w:tc>
          <w:tcPr>
            <w:tcW w:w="120" w:type="dxa"/>
            <w:vAlign w:val="bottom"/>
            <w:shd w:val="clear" w:color="auto" w:fill="B6D2E2"/>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42.8</w:t>
            </w:r>
          </w:p>
        </w:tc>
        <w:tc>
          <w:tcPr>
            <w:tcW w:w="100" w:type="dxa"/>
            <w:vAlign w:val="bottom"/>
            <w:shd w:val="clear" w:color="auto" w:fill="DEEAEB"/>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3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142.3</w:t>
            </w:r>
          </w:p>
        </w:tc>
        <w:tc>
          <w:tcPr>
            <w:tcW w:w="100" w:type="dxa"/>
            <w:vAlign w:val="bottom"/>
            <w:shd w:val="clear" w:color="auto" w:fill="DEEAEB"/>
          </w:tcPr>
          <w:p>
            <w:pPr>
              <w:spacing w:after="0"/>
              <w:rPr>
                <w:sz w:val="19"/>
                <w:szCs w:val="19"/>
                <w:color w:val="auto"/>
              </w:rPr>
            </w:pPr>
          </w:p>
        </w:tc>
      </w:tr>
      <w:tr>
        <w:trPr>
          <w:trHeight w:val="230"/>
        </w:trPr>
        <w:tc>
          <w:tcPr>
            <w:tcW w:w="5980" w:type="dxa"/>
            <w:vAlign w:val="bottom"/>
          </w:tcPr>
          <w:p>
            <w:pPr>
              <w:ind w:left="20"/>
              <w:spacing w:after="0"/>
              <w:rPr>
                <w:sz w:val="20"/>
                <w:szCs w:val="20"/>
                <w:color w:val="auto"/>
              </w:rPr>
            </w:pPr>
            <w:r>
              <w:rPr>
                <w:rFonts w:ascii="Calibri" w:cs="Calibri" w:eastAsia="Calibri" w:hAnsi="Calibri"/>
                <w:sz w:val="16"/>
                <w:szCs w:val="16"/>
                <w:color w:val="auto"/>
              </w:rPr>
              <w:t>Purchase of restricted investments to discharge long-term debt</w:t>
            </w:r>
          </w:p>
        </w:tc>
        <w:tc>
          <w:tcPr>
            <w:tcW w:w="28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(704.6</w:t>
            </w:r>
          </w:p>
        </w:tc>
        <w:tc>
          <w:tcPr>
            <w:tcW w:w="12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w w:val="79"/>
              </w:rPr>
              <w:t>)</w:t>
            </w: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00" w:type="dxa"/>
            <w:vAlign w:val="bottom"/>
            <w:shd w:val="clear" w:color="auto" w:fill="DEEAEB"/>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3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00" w:type="dxa"/>
            <w:vAlign w:val="bottom"/>
            <w:shd w:val="clear" w:color="auto" w:fill="DEEAEB"/>
          </w:tcPr>
          <w:p>
            <w:pPr>
              <w:spacing w:after="0"/>
              <w:rPr>
                <w:sz w:val="19"/>
                <w:szCs w:val="19"/>
                <w:color w:val="auto"/>
              </w:rPr>
            </w:pPr>
          </w:p>
        </w:tc>
      </w:tr>
      <w:tr>
        <w:trPr>
          <w:trHeight w:val="229"/>
        </w:trPr>
        <w:tc>
          <w:tcPr>
            <w:tcW w:w="5980" w:type="dxa"/>
            <w:vAlign w:val="bottom"/>
          </w:tcPr>
          <w:p>
            <w:pPr>
              <w:ind w:left="20"/>
              <w:spacing w:after="0"/>
              <w:rPr>
                <w:sz w:val="20"/>
                <w:szCs w:val="20"/>
                <w:color w:val="auto"/>
              </w:rPr>
            </w:pPr>
            <w:r>
              <w:rPr>
                <w:rFonts w:ascii="Calibri" w:cs="Calibri" w:eastAsia="Calibri" w:hAnsi="Calibri"/>
                <w:sz w:val="16"/>
                <w:szCs w:val="16"/>
                <w:color w:val="auto"/>
              </w:rPr>
              <w:t>Investments in life insurance contracts, net</w:t>
            </w:r>
          </w:p>
        </w:tc>
        <w:tc>
          <w:tcPr>
            <w:tcW w:w="28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7.5</w:t>
            </w:r>
          </w:p>
        </w:tc>
        <w:tc>
          <w:tcPr>
            <w:tcW w:w="120" w:type="dxa"/>
            <w:vAlign w:val="bottom"/>
            <w:shd w:val="clear" w:color="auto" w:fill="B6D2E2"/>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14.9</w:t>
            </w:r>
          </w:p>
        </w:tc>
        <w:tc>
          <w:tcPr>
            <w:tcW w:w="100" w:type="dxa"/>
            <w:vAlign w:val="bottom"/>
            <w:shd w:val="clear" w:color="auto" w:fill="DEEAEB"/>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3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(111.2</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r>
      <w:tr>
        <w:trPr>
          <w:trHeight w:val="271"/>
        </w:trPr>
        <w:tc>
          <w:tcPr>
            <w:tcW w:w="5980" w:type="dxa"/>
            <w:vAlign w:val="bottom"/>
          </w:tcPr>
          <w:p>
            <w:pPr>
              <w:ind w:left="20"/>
              <w:spacing w:after="0"/>
              <w:rPr>
                <w:sz w:val="20"/>
                <w:szCs w:val="20"/>
                <w:color w:val="auto"/>
              </w:rPr>
            </w:pPr>
            <w:r>
              <w:rPr>
                <w:rFonts w:ascii="Calibri" w:cs="Calibri" w:eastAsia="Calibri" w:hAnsi="Calibri"/>
                <w:sz w:val="16"/>
                <w:szCs w:val="16"/>
                <w:color w:val="auto"/>
              </w:rPr>
              <w:t>Other investng actvites, net</w:t>
            </w:r>
          </w:p>
        </w:tc>
        <w:tc>
          <w:tcPr>
            <w:tcW w:w="280" w:type="dxa"/>
            <w:vAlign w:val="bottom"/>
            <w:tcBorders>
              <w:bottom w:val="single" w:sz="8" w:color="B6D2E2"/>
            </w:tcBorders>
            <w:shd w:val="clear" w:color="auto" w:fill="B6D2E2"/>
          </w:tcPr>
          <w:p>
            <w:pPr>
              <w:spacing w:after="0"/>
              <w:rPr>
                <w:sz w:val="23"/>
                <w:szCs w:val="23"/>
                <w:color w:val="auto"/>
              </w:rPr>
            </w:pPr>
          </w:p>
        </w:tc>
        <w:tc>
          <w:tcPr>
            <w:tcW w:w="128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rPr>
              <w:t>(3.0</w:t>
            </w:r>
          </w:p>
        </w:tc>
        <w:tc>
          <w:tcPr>
            <w:tcW w:w="12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w w:val="79"/>
              </w:rPr>
              <w:t>)</w:t>
            </w:r>
          </w:p>
        </w:tc>
        <w:tc>
          <w:tcPr>
            <w:tcW w:w="160" w:type="dxa"/>
            <w:vAlign w:val="bottom"/>
          </w:tcPr>
          <w:p>
            <w:pPr>
              <w:spacing w:after="0"/>
              <w:rPr>
                <w:sz w:val="23"/>
                <w:szCs w:val="23"/>
                <w:color w:val="auto"/>
              </w:rPr>
            </w:pPr>
          </w:p>
        </w:tc>
        <w:tc>
          <w:tcPr>
            <w:tcW w:w="240" w:type="dxa"/>
            <w:vAlign w:val="bottom"/>
            <w:tcBorders>
              <w:bottom w:val="single" w:sz="8" w:color="DEEAEB"/>
            </w:tcBorders>
            <w:shd w:val="clear" w:color="auto" w:fill="DEEAEB"/>
          </w:tcPr>
          <w:p>
            <w:pPr>
              <w:spacing w:after="0"/>
              <w:rPr>
                <w:sz w:val="23"/>
                <w:szCs w:val="23"/>
                <w:color w:val="auto"/>
              </w:rPr>
            </w:pPr>
          </w:p>
        </w:tc>
        <w:tc>
          <w:tcPr>
            <w:tcW w:w="128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00" w:type="dxa"/>
            <w:vAlign w:val="bottom"/>
            <w:tcBorders>
              <w:bottom w:val="single" w:sz="8" w:color="DEEAEB"/>
            </w:tcBorders>
            <w:shd w:val="clear" w:color="auto" w:fill="DEEAEB"/>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Borders>
              <w:bottom w:val="single" w:sz="8" w:color="DEEAEB"/>
            </w:tcBorders>
            <w:shd w:val="clear" w:color="auto" w:fill="DEEAEB"/>
          </w:tcPr>
          <w:p>
            <w:pPr>
              <w:spacing w:after="0"/>
              <w:rPr>
                <w:sz w:val="23"/>
                <w:szCs w:val="23"/>
                <w:color w:val="auto"/>
              </w:rPr>
            </w:pPr>
          </w:p>
        </w:tc>
        <w:tc>
          <w:tcPr>
            <w:tcW w:w="13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(16.0</w:t>
            </w:r>
          </w:p>
        </w:tc>
        <w:tc>
          <w:tcPr>
            <w:tcW w:w="1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r>
      <w:tr>
        <w:trPr>
          <w:trHeight w:val="223"/>
        </w:trPr>
        <w:tc>
          <w:tcPr>
            <w:tcW w:w="5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Net Cash Used for Investng Actvites</w:t>
            </w:r>
          </w:p>
        </w:tc>
        <w:tc>
          <w:tcPr>
            <w:tcW w:w="280" w:type="dxa"/>
            <w:vAlign w:val="bottom"/>
            <w:tcBorders>
              <w:top w:val="single" w:sz="8" w:color="auto"/>
              <w:bottom w:val="single" w:sz="8" w:color="B6D2E2"/>
            </w:tcBorders>
            <w:shd w:val="clear" w:color="auto" w:fill="B6D2E2"/>
          </w:tcPr>
          <w:p>
            <w:pPr>
              <w:spacing w:after="0"/>
              <w:rPr>
                <w:sz w:val="19"/>
                <w:szCs w:val="19"/>
                <w:color w:val="auto"/>
              </w:rPr>
            </w:pPr>
          </w:p>
        </w:tc>
        <w:tc>
          <w:tcPr>
            <w:tcW w:w="128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(483.8</w:t>
            </w:r>
          </w:p>
        </w:tc>
        <w:tc>
          <w:tcPr>
            <w:tcW w:w="12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w w:val="79"/>
              </w:rPr>
              <w:t>)</w:t>
            </w:r>
          </w:p>
        </w:tc>
        <w:tc>
          <w:tcPr>
            <w:tcW w:w="1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DEEAEB"/>
            </w:tcBorders>
            <w:shd w:val="clear" w:color="auto" w:fill="DEEAEB"/>
          </w:tcPr>
          <w:p>
            <w:pPr>
              <w:spacing w:after="0"/>
              <w:rPr>
                <w:sz w:val="19"/>
                <w:szCs w:val="19"/>
                <w:color w:val="auto"/>
              </w:rPr>
            </w:pPr>
          </w:p>
        </w:tc>
        <w:tc>
          <w:tcPr>
            <w:tcW w:w="128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(3,474.6</w:t>
            </w:r>
          </w:p>
        </w:tc>
        <w:tc>
          <w:tcPr>
            <w:tcW w:w="10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w w:val="81"/>
              </w:rPr>
              <w:t>)</w:t>
            </w:r>
          </w:p>
        </w:tc>
        <w:tc>
          <w:tcPr>
            <w:tcW w:w="1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DEEAEB"/>
            </w:tcBorders>
            <w:shd w:val="clear" w:color="auto" w:fill="DEEAEB"/>
          </w:tcPr>
          <w:p>
            <w:pPr>
              <w:spacing w:after="0"/>
              <w:rPr>
                <w:sz w:val="19"/>
                <w:szCs w:val="19"/>
                <w:color w:val="auto"/>
              </w:rPr>
            </w:pPr>
          </w:p>
        </w:tc>
        <w:tc>
          <w:tcPr>
            <w:tcW w:w="130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(409.7</w:t>
            </w:r>
          </w:p>
        </w:tc>
        <w:tc>
          <w:tcPr>
            <w:tcW w:w="10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w w:val="81"/>
              </w:rPr>
              <w:t>)</w:t>
            </w:r>
          </w:p>
        </w:tc>
      </w:tr>
      <w:tr>
        <w:trPr>
          <w:trHeight w:val="187"/>
        </w:trPr>
        <w:tc>
          <w:tcPr>
            <w:tcW w:w="5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Cash Flows from Financing Actvites:</w:t>
            </w:r>
          </w:p>
        </w:tc>
        <w:tc>
          <w:tcPr>
            <w:tcW w:w="280" w:type="dxa"/>
            <w:vAlign w:val="bottom"/>
            <w:tcBorders>
              <w:top w:val="single" w:sz="8" w:color="auto"/>
            </w:tcBorders>
            <w:shd w:val="clear" w:color="auto" w:fill="B6D2E2"/>
          </w:tcPr>
          <w:p>
            <w:pPr>
              <w:spacing w:after="0"/>
              <w:rPr>
                <w:sz w:val="16"/>
                <w:szCs w:val="16"/>
                <w:color w:val="auto"/>
              </w:rPr>
            </w:pPr>
          </w:p>
        </w:tc>
        <w:tc>
          <w:tcPr>
            <w:tcW w:w="1280" w:type="dxa"/>
            <w:vAlign w:val="bottom"/>
            <w:tcBorders>
              <w:top w:val="single" w:sz="8" w:color="auto"/>
            </w:tcBorders>
            <w:shd w:val="clear" w:color="auto" w:fill="B6D2E2"/>
          </w:tcPr>
          <w:p>
            <w:pPr>
              <w:spacing w:after="0"/>
              <w:rPr>
                <w:sz w:val="16"/>
                <w:szCs w:val="16"/>
                <w:color w:val="auto"/>
              </w:rPr>
            </w:pPr>
          </w:p>
        </w:tc>
        <w:tc>
          <w:tcPr>
            <w:tcW w:w="120" w:type="dxa"/>
            <w:vAlign w:val="bottom"/>
            <w:tcBorders>
              <w:top w:val="single" w:sz="8" w:color="auto"/>
            </w:tcBorders>
            <w:shd w:val="clear" w:color="auto" w:fill="B6D2E2"/>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shd w:val="clear" w:color="auto" w:fill="DEEAEB"/>
          </w:tcPr>
          <w:p>
            <w:pPr>
              <w:spacing w:after="0"/>
              <w:rPr>
                <w:sz w:val="16"/>
                <w:szCs w:val="16"/>
                <w:color w:val="auto"/>
              </w:rPr>
            </w:pPr>
          </w:p>
        </w:tc>
        <w:tc>
          <w:tcPr>
            <w:tcW w:w="1280" w:type="dxa"/>
            <w:vAlign w:val="bottom"/>
            <w:tcBorders>
              <w:top w:val="single" w:sz="8" w:color="auto"/>
            </w:tcBorders>
            <w:shd w:val="clear" w:color="auto" w:fill="DEEAEB"/>
          </w:tcPr>
          <w:p>
            <w:pPr>
              <w:spacing w:after="0"/>
              <w:rPr>
                <w:sz w:val="16"/>
                <w:szCs w:val="16"/>
                <w:color w:val="auto"/>
              </w:rPr>
            </w:pPr>
          </w:p>
        </w:tc>
        <w:tc>
          <w:tcPr>
            <w:tcW w:w="100" w:type="dxa"/>
            <w:vAlign w:val="bottom"/>
            <w:tcBorders>
              <w:top w:val="single" w:sz="8" w:color="auto"/>
            </w:tcBorders>
            <w:shd w:val="clear" w:color="auto" w:fill="DEEAEB"/>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shd w:val="clear" w:color="auto" w:fill="DEEAEB"/>
          </w:tcPr>
          <w:p>
            <w:pPr>
              <w:spacing w:after="0"/>
              <w:rPr>
                <w:sz w:val="16"/>
                <w:szCs w:val="16"/>
                <w:color w:val="auto"/>
              </w:rPr>
            </w:pPr>
          </w:p>
        </w:tc>
        <w:tc>
          <w:tcPr>
            <w:tcW w:w="1300" w:type="dxa"/>
            <w:vAlign w:val="bottom"/>
            <w:tcBorders>
              <w:top w:val="single" w:sz="8" w:color="auto"/>
            </w:tcBorders>
            <w:shd w:val="clear" w:color="auto" w:fill="DEEAEB"/>
          </w:tcPr>
          <w:p>
            <w:pPr>
              <w:spacing w:after="0"/>
              <w:rPr>
                <w:sz w:val="16"/>
                <w:szCs w:val="16"/>
                <w:color w:val="auto"/>
              </w:rPr>
            </w:pPr>
          </w:p>
        </w:tc>
        <w:tc>
          <w:tcPr>
            <w:tcW w:w="100" w:type="dxa"/>
            <w:vAlign w:val="bottom"/>
            <w:tcBorders>
              <w:top w:val="single" w:sz="8" w:color="auto"/>
            </w:tcBorders>
            <w:shd w:val="clear" w:color="auto" w:fill="DEEAEB"/>
          </w:tcPr>
          <w:p>
            <w:pPr>
              <w:spacing w:after="0"/>
              <w:rPr>
                <w:sz w:val="16"/>
                <w:szCs w:val="16"/>
                <w:color w:val="auto"/>
              </w:rPr>
            </w:pPr>
          </w:p>
        </w:tc>
      </w:tr>
      <w:tr>
        <w:trPr>
          <w:trHeight w:val="224"/>
        </w:trPr>
        <w:tc>
          <w:tcPr>
            <w:tcW w:w="5980" w:type="dxa"/>
            <w:vAlign w:val="bottom"/>
          </w:tcPr>
          <w:p>
            <w:pPr>
              <w:ind w:left="20"/>
              <w:spacing w:after="0"/>
              <w:rPr>
                <w:sz w:val="20"/>
                <w:szCs w:val="20"/>
                <w:color w:val="auto"/>
              </w:rPr>
            </w:pPr>
            <w:r>
              <w:rPr>
                <w:rFonts w:ascii="Calibri" w:cs="Calibri" w:eastAsia="Calibri" w:hAnsi="Calibri"/>
                <w:sz w:val="16"/>
                <w:szCs w:val="16"/>
                <w:color w:val="auto"/>
              </w:rPr>
              <w:t>Borrowings of long-term debt</w:t>
            </w:r>
          </w:p>
        </w:tc>
        <w:tc>
          <w:tcPr>
            <w:tcW w:w="280" w:type="dxa"/>
            <w:vAlign w:val="bottom"/>
            <w:shd w:val="clear" w:color="auto" w:fill="B6D2E2"/>
          </w:tcPr>
          <w:p>
            <w:pPr>
              <w:spacing w:after="0"/>
              <w:rPr>
                <w:sz w:val="19"/>
                <w:szCs w:val="19"/>
                <w:color w:val="auto"/>
              </w:rPr>
            </w:pPr>
          </w:p>
        </w:tc>
        <w:tc>
          <w:tcPr>
            <w:tcW w:w="1400" w:type="dxa"/>
            <w:vAlign w:val="bottom"/>
            <w:gridSpan w:val="2"/>
            <w:shd w:val="clear" w:color="auto" w:fill="B6D2E2"/>
          </w:tcPr>
          <w:p>
            <w:pPr>
              <w:jc w:val="right"/>
              <w:ind w:right="59"/>
              <w:spacing w:after="0"/>
              <w:rPr>
                <w:sz w:val="20"/>
                <w:szCs w:val="20"/>
                <w:color w:val="auto"/>
              </w:rPr>
            </w:pPr>
            <w:r>
              <w:rPr>
                <w:rFonts w:ascii="Calibri" w:cs="Calibri" w:eastAsia="Calibri" w:hAnsi="Calibri"/>
                <w:sz w:val="16"/>
                <w:szCs w:val="16"/>
                <w:b w:val="1"/>
                <w:bCs w:val="1"/>
                <w:color w:val="auto"/>
              </w:rPr>
              <w:t>—</w:t>
            </w: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2,896.7</w:t>
            </w:r>
          </w:p>
        </w:tc>
        <w:tc>
          <w:tcPr>
            <w:tcW w:w="100" w:type="dxa"/>
            <w:vAlign w:val="bottom"/>
            <w:shd w:val="clear" w:color="auto" w:fill="DEEAEB"/>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3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628.1</w:t>
            </w:r>
          </w:p>
        </w:tc>
        <w:tc>
          <w:tcPr>
            <w:tcW w:w="100" w:type="dxa"/>
            <w:vAlign w:val="bottom"/>
            <w:shd w:val="clear" w:color="auto" w:fill="DEEAEB"/>
          </w:tcPr>
          <w:p>
            <w:pPr>
              <w:spacing w:after="0"/>
              <w:rPr>
                <w:sz w:val="19"/>
                <w:szCs w:val="19"/>
                <w:color w:val="auto"/>
              </w:rPr>
            </w:pPr>
          </w:p>
        </w:tc>
      </w:tr>
      <w:tr>
        <w:trPr>
          <w:trHeight w:val="230"/>
        </w:trPr>
        <w:tc>
          <w:tcPr>
            <w:tcW w:w="5980" w:type="dxa"/>
            <w:vAlign w:val="bottom"/>
          </w:tcPr>
          <w:p>
            <w:pPr>
              <w:ind w:left="20"/>
              <w:spacing w:after="0"/>
              <w:rPr>
                <w:sz w:val="20"/>
                <w:szCs w:val="20"/>
                <w:color w:val="auto"/>
              </w:rPr>
            </w:pPr>
            <w:r>
              <w:rPr>
                <w:rFonts w:ascii="Calibri" w:cs="Calibri" w:eastAsia="Calibri" w:hAnsi="Calibri"/>
                <w:sz w:val="16"/>
                <w:szCs w:val="16"/>
                <w:color w:val="auto"/>
              </w:rPr>
              <w:t>Repayments of long-term debt</w:t>
            </w:r>
          </w:p>
        </w:tc>
        <w:tc>
          <w:tcPr>
            <w:tcW w:w="28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(54.5</w:t>
            </w:r>
          </w:p>
        </w:tc>
        <w:tc>
          <w:tcPr>
            <w:tcW w:w="12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w w:val="79"/>
              </w:rPr>
              <w:t>)</w:t>
            </w: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(420.1</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3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(777.1</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r>
      <w:tr>
        <w:trPr>
          <w:trHeight w:val="230"/>
        </w:trPr>
        <w:tc>
          <w:tcPr>
            <w:tcW w:w="5980" w:type="dxa"/>
            <w:vAlign w:val="bottom"/>
          </w:tcPr>
          <w:p>
            <w:pPr>
              <w:ind w:left="20"/>
              <w:spacing w:after="0"/>
              <w:rPr>
                <w:sz w:val="20"/>
                <w:szCs w:val="20"/>
                <w:color w:val="auto"/>
              </w:rPr>
            </w:pPr>
            <w:r>
              <w:rPr>
                <w:rFonts w:ascii="Calibri" w:cs="Calibri" w:eastAsia="Calibri" w:hAnsi="Calibri"/>
                <w:sz w:val="16"/>
                <w:szCs w:val="16"/>
                <w:color w:val="auto"/>
              </w:rPr>
              <w:t>Debt issuance and extnguishment costs</w:t>
            </w:r>
          </w:p>
        </w:tc>
        <w:tc>
          <w:tcPr>
            <w:tcW w:w="28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(0.7</w:t>
            </w:r>
          </w:p>
        </w:tc>
        <w:tc>
          <w:tcPr>
            <w:tcW w:w="12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w w:val="79"/>
              </w:rPr>
              <w:t>)</w:t>
            </w: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(7.5</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3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(2.0</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r>
      <w:tr>
        <w:trPr>
          <w:trHeight w:val="230"/>
        </w:trPr>
        <w:tc>
          <w:tcPr>
            <w:tcW w:w="5980" w:type="dxa"/>
            <w:vAlign w:val="bottom"/>
          </w:tcPr>
          <w:p>
            <w:pPr>
              <w:ind w:left="20"/>
              <w:spacing w:after="0"/>
              <w:rPr>
                <w:sz w:val="20"/>
                <w:szCs w:val="20"/>
                <w:color w:val="auto"/>
              </w:rPr>
            </w:pPr>
            <w:r>
              <w:rPr>
                <w:rFonts w:ascii="Calibri" w:cs="Calibri" w:eastAsia="Calibri" w:hAnsi="Calibri"/>
                <w:sz w:val="16"/>
                <w:szCs w:val="16"/>
                <w:color w:val="auto"/>
              </w:rPr>
              <w:t>Payments on fnance lease obligatons</w:t>
            </w:r>
          </w:p>
        </w:tc>
        <w:tc>
          <w:tcPr>
            <w:tcW w:w="28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(15.0</w:t>
            </w:r>
          </w:p>
        </w:tc>
        <w:tc>
          <w:tcPr>
            <w:tcW w:w="12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w w:val="79"/>
              </w:rPr>
              <w:t>)</w:t>
            </w: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(11.1</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3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(3.5</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r>
      <w:tr>
        <w:trPr>
          <w:trHeight w:val="229"/>
        </w:trPr>
        <w:tc>
          <w:tcPr>
            <w:tcW w:w="5980" w:type="dxa"/>
            <w:vAlign w:val="bottom"/>
          </w:tcPr>
          <w:p>
            <w:pPr>
              <w:ind w:left="20"/>
              <w:spacing w:after="0"/>
              <w:rPr>
                <w:sz w:val="20"/>
                <w:szCs w:val="20"/>
                <w:color w:val="auto"/>
              </w:rPr>
            </w:pPr>
            <w:r>
              <w:rPr>
                <w:rFonts w:ascii="Calibri" w:cs="Calibri" w:eastAsia="Calibri" w:hAnsi="Calibri"/>
                <w:sz w:val="16"/>
                <w:szCs w:val="16"/>
                <w:color w:val="auto"/>
              </w:rPr>
              <w:t>Dividends paid</w:t>
            </w:r>
          </w:p>
        </w:tc>
        <w:tc>
          <w:tcPr>
            <w:tcW w:w="28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(159.1</w:t>
            </w:r>
          </w:p>
        </w:tc>
        <w:tc>
          <w:tcPr>
            <w:tcW w:w="12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w w:val="79"/>
              </w:rPr>
              <w:t>)</w:t>
            </w: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(147.8</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3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(140.3</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r>
      <w:tr>
        <w:trPr>
          <w:trHeight w:val="230"/>
        </w:trPr>
        <w:tc>
          <w:tcPr>
            <w:tcW w:w="5980" w:type="dxa"/>
            <w:vAlign w:val="bottom"/>
          </w:tcPr>
          <w:p>
            <w:pPr>
              <w:ind w:left="20"/>
              <w:spacing w:after="0"/>
              <w:rPr>
                <w:sz w:val="20"/>
                <w:szCs w:val="20"/>
                <w:color w:val="auto"/>
              </w:rPr>
            </w:pPr>
            <w:r>
              <w:rPr>
                <w:rFonts w:ascii="Calibri" w:cs="Calibri" w:eastAsia="Calibri" w:hAnsi="Calibri"/>
                <w:sz w:val="16"/>
                <w:szCs w:val="16"/>
                <w:color w:val="auto"/>
              </w:rPr>
              <w:t>Repurchases of common stock</w:t>
            </w:r>
          </w:p>
        </w:tc>
        <w:tc>
          <w:tcPr>
            <w:tcW w:w="28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(150.0</w:t>
            </w:r>
          </w:p>
        </w:tc>
        <w:tc>
          <w:tcPr>
            <w:tcW w:w="12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w w:val="79"/>
              </w:rPr>
              <w:t>)</w:t>
            </w: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00" w:type="dxa"/>
            <w:vAlign w:val="bottom"/>
            <w:shd w:val="clear" w:color="auto" w:fill="DEEAEB"/>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3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(50.0</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r>
      <w:tr>
        <w:trPr>
          <w:trHeight w:val="230"/>
        </w:trPr>
        <w:tc>
          <w:tcPr>
            <w:tcW w:w="5980" w:type="dxa"/>
            <w:vAlign w:val="bottom"/>
          </w:tcPr>
          <w:p>
            <w:pPr>
              <w:ind w:left="20"/>
              <w:spacing w:after="0"/>
              <w:rPr>
                <w:sz w:val="20"/>
                <w:szCs w:val="20"/>
                <w:color w:val="auto"/>
              </w:rPr>
            </w:pPr>
            <w:r>
              <w:rPr>
                <w:rFonts w:ascii="Calibri" w:cs="Calibri" w:eastAsia="Calibri" w:hAnsi="Calibri"/>
                <w:sz w:val="16"/>
                <w:szCs w:val="16"/>
                <w:color w:val="auto"/>
              </w:rPr>
              <w:t>Distributons to owners of noncontrolling interest</w:t>
            </w:r>
          </w:p>
        </w:tc>
        <w:tc>
          <w:tcPr>
            <w:tcW w:w="28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w:t>
            </w:r>
          </w:p>
        </w:tc>
        <w:tc>
          <w:tcPr>
            <w:tcW w:w="120" w:type="dxa"/>
            <w:vAlign w:val="bottom"/>
            <w:shd w:val="clear" w:color="auto" w:fill="B6D2E2"/>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(0.6</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3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00" w:type="dxa"/>
            <w:vAlign w:val="bottom"/>
            <w:shd w:val="clear" w:color="auto" w:fill="DEEAEB"/>
          </w:tcPr>
          <w:p>
            <w:pPr>
              <w:spacing w:after="0"/>
              <w:rPr>
                <w:sz w:val="19"/>
                <w:szCs w:val="19"/>
                <w:color w:val="auto"/>
              </w:rPr>
            </w:pPr>
          </w:p>
        </w:tc>
      </w:tr>
      <w:tr>
        <w:trPr>
          <w:trHeight w:val="230"/>
        </w:trPr>
        <w:tc>
          <w:tcPr>
            <w:tcW w:w="5980" w:type="dxa"/>
            <w:vAlign w:val="bottom"/>
          </w:tcPr>
          <w:p>
            <w:pPr>
              <w:ind w:left="20"/>
              <w:spacing w:after="0"/>
              <w:rPr>
                <w:sz w:val="20"/>
                <w:szCs w:val="20"/>
                <w:color w:val="auto"/>
              </w:rPr>
            </w:pPr>
            <w:r>
              <w:rPr>
                <w:rFonts w:ascii="Calibri" w:cs="Calibri" w:eastAsia="Calibri" w:hAnsi="Calibri"/>
                <w:sz w:val="16"/>
                <w:szCs w:val="16"/>
                <w:color w:val="auto"/>
              </w:rPr>
              <w:t>Proceeds from exercise of stock optons</w:t>
            </w:r>
          </w:p>
        </w:tc>
        <w:tc>
          <w:tcPr>
            <w:tcW w:w="28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0.6</w:t>
            </w:r>
          </w:p>
        </w:tc>
        <w:tc>
          <w:tcPr>
            <w:tcW w:w="120" w:type="dxa"/>
            <w:vAlign w:val="bottom"/>
            <w:shd w:val="clear" w:color="auto" w:fill="B6D2E2"/>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1.3</w:t>
            </w:r>
          </w:p>
        </w:tc>
        <w:tc>
          <w:tcPr>
            <w:tcW w:w="100" w:type="dxa"/>
            <w:vAlign w:val="bottom"/>
            <w:shd w:val="clear" w:color="auto" w:fill="DEEAEB"/>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shd w:val="clear" w:color="auto" w:fill="DEEAEB"/>
          </w:tcPr>
          <w:p>
            <w:pPr>
              <w:spacing w:after="0"/>
              <w:rPr>
                <w:sz w:val="19"/>
                <w:szCs w:val="19"/>
                <w:color w:val="auto"/>
              </w:rPr>
            </w:pPr>
          </w:p>
        </w:tc>
        <w:tc>
          <w:tcPr>
            <w:tcW w:w="13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2.3</w:t>
            </w:r>
          </w:p>
        </w:tc>
        <w:tc>
          <w:tcPr>
            <w:tcW w:w="100" w:type="dxa"/>
            <w:vAlign w:val="bottom"/>
            <w:shd w:val="clear" w:color="auto" w:fill="DEEAEB"/>
          </w:tcPr>
          <w:p>
            <w:pPr>
              <w:spacing w:after="0"/>
              <w:rPr>
                <w:sz w:val="19"/>
                <w:szCs w:val="19"/>
                <w:color w:val="auto"/>
              </w:rPr>
            </w:pPr>
          </w:p>
        </w:tc>
      </w:tr>
      <w:tr>
        <w:trPr>
          <w:trHeight w:val="270"/>
        </w:trPr>
        <w:tc>
          <w:tcPr>
            <w:tcW w:w="5980" w:type="dxa"/>
            <w:vAlign w:val="bottom"/>
          </w:tcPr>
          <w:p>
            <w:pPr>
              <w:ind w:left="20"/>
              <w:spacing w:after="0"/>
              <w:rPr>
                <w:sz w:val="20"/>
                <w:szCs w:val="20"/>
                <w:color w:val="auto"/>
              </w:rPr>
            </w:pPr>
            <w:r>
              <w:rPr>
                <w:rFonts w:ascii="Calibri" w:cs="Calibri" w:eastAsia="Calibri" w:hAnsi="Calibri"/>
                <w:sz w:val="16"/>
                <w:szCs w:val="16"/>
                <w:color w:val="auto"/>
              </w:rPr>
              <w:t>Shares withheld for employees’ income tax obligatons</w:t>
            </w:r>
          </w:p>
        </w:tc>
        <w:tc>
          <w:tcPr>
            <w:tcW w:w="280" w:type="dxa"/>
            <w:vAlign w:val="bottom"/>
            <w:tcBorders>
              <w:bottom w:val="single" w:sz="8" w:color="B6D2E2"/>
            </w:tcBorders>
            <w:shd w:val="clear" w:color="auto" w:fill="B6D2E2"/>
          </w:tcPr>
          <w:p>
            <w:pPr>
              <w:spacing w:after="0"/>
              <w:rPr>
                <w:sz w:val="23"/>
                <w:szCs w:val="23"/>
                <w:color w:val="auto"/>
              </w:rPr>
            </w:pPr>
          </w:p>
        </w:tc>
        <w:tc>
          <w:tcPr>
            <w:tcW w:w="128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rPr>
              <w:t>(28.8</w:t>
            </w:r>
          </w:p>
        </w:tc>
        <w:tc>
          <w:tcPr>
            <w:tcW w:w="12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w w:val="79"/>
              </w:rPr>
              <w:t>)</w:t>
            </w:r>
          </w:p>
        </w:tc>
        <w:tc>
          <w:tcPr>
            <w:tcW w:w="160" w:type="dxa"/>
            <w:vAlign w:val="bottom"/>
          </w:tcPr>
          <w:p>
            <w:pPr>
              <w:spacing w:after="0"/>
              <w:rPr>
                <w:sz w:val="23"/>
                <w:szCs w:val="23"/>
                <w:color w:val="auto"/>
              </w:rPr>
            </w:pPr>
          </w:p>
        </w:tc>
        <w:tc>
          <w:tcPr>
            <w:tcW w:w="240" w:type="dxa"/>
            <w:vAlign w:val="bottom"/>
            <w:tcBorders>
              <w:bottom w:val="single" w:sz="8" w:color="DEEAEB"/>
            </w:tcBorders>
            <w:shd w:val="clear" w:color="auto" w:fill="DEEAEB"/>
          </w:tcPr>
          <w:p>
            <w:pPr>
              <w:spacing w:after="0"/>
              <w:rPr>
                <w:sz w:val="23"/>
                <w:szCs w:val="23"/>
                <w:color w:val="auto"/>
              </w:rPr>
            </w:pPr>
          </w:p>
        </w:tc>
        <w:tc>
          <w:tcPr>
            <w:tcW w:w="128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(19.5</w:t>
            </w:r>
          </w:p>
        </w:tc>
        <w:tc>
          <w:tcPr>
            <w:tcW w:w="1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c>
          <w:tcPr>
            <w:tcW w:w="160" w:type="dxa"/>
            <w:vAlign w:val="bottom"/>
          </w:tcPr>
          <w:p>
            <w:pPr>
              <w:spacing w:after="0"/>
              <w:rPr>
                <w:sz w:val="23"/>
                <w:szCs w:val="23"/>
                <w:color w:val="auto"/>
              </w:rPr>
            </w:pPr>
          </w:p>
        </w:tc>
        <w:tc>
          <w:tcPr>
            <w:tcW w:w="240" w:type="dxa"/>
            <w:vAlign w:val="bottom"/>
            <w:tcBorders>
              <w:bottom w:val="single" w:sz="8" w:color="DEEAEB"/>
            </w:tcBorders>
            <w:shd w:val="clear" w:color="auto" w:fill="DEEAEB"/>
          </w:tcPr>
          <w:p>
            <w:pPr>
              <w:spacing w:after="0"/>
              <w:rPr>
                <w:sz w:val="23"/>
                <w:szCs w:val="23"/>
                <w:color w:val="auto"/>
              </w:rPr>
            </w:pPr>
          </w:p>
        </w:tc>
        <w:tc>
          <w:tcPr>
            <w:tcW w:w="13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(14.5</w:t>
            </w:r>
          </w:p>
        </w:tc>
        <w:tc>
          <w:tcPr>
            <w:tcW w:w="1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r>
      <w:tr>
        <w:trPr>
          <w:trHeight w:val="223"/>
        </w:trPr>
        <w:tc>
          <w:tcPr>
            <w:tcW w:w="5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Net Cash (Used for) Provided by Financing Actvites</w:t>
            </w:r>
          </w:p>
        </w:tc>
        <w:tc>
          <w:tcPr>
            <w:tcW w:w="280" w:type="dxa"/>
            <w:vAlign w:val="bottom"/>
            <w:tcBorders>
              <w:top w:val="single" w:sz="8" w:color="auto"/>
              <w:bottom w:val="single" w:sz="8" w:color="B6D2E2"/>
            </w:tcBorders>
            <w:shd w:val="clear" w:color="auto" w:fill="B6D2E2"/>
          </w:tcPr>
          <w:p>
            <w:pPr>
              <w:spacing w:after="0"/>
              <w:rPr>
                <w:sz w:val="19"/>
                <w:szCs w:val="19"/>
                <w:color w:val="auto"/>
              </w:rPr>
            </w:pPr>
          </w:p>
        </w:tc>
        <w:tc>
          <w:tcPr>
            <w:tcW w:w="128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(407.5</w:t>
            </w:r>
          </w:p>
        </w:tc>
        <w:tc>
          <w:tcPr>
            <w:tcW w:w="12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w w:val="79"/>
              </w:rPr>
              <w:t>)</w:t>
            </w:r>
          </w:p>
        </w:tc>
        <w:tc>
          <w:tcPr>
            <w:tcW w:w="1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DEEAEB"/>
            </w:tcBorders>
            <w:shd w:val="clear" w:color="auto" w:fill="DEEAEB"/>
          </w:tcPr>
          <w:p>
            <w:pPr>
              <w:spacing w:after="0"/>
              <w:rPr>
                <w:sz w:val="19"/>
                <w:szCs w:val="19"/>
                <w:color w:val="auto"/>
              </w:rPr>
            </w:pPr>
          </w:p>
        </w:tc>
        <w:tc>
          <w:tcPr>
            <w:tcW w:w="128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2,291.4</w:t>
            </w:r>
          </w:p>
        </w:tc>
        <w:tc>
          <w:tcPr>
            <w:tcW w:w="100" w:type="dxa"/>
            <w:vAlign w:val="bottom"/>
            <w:tcBorders>
              <w:top w:val="single" w:sz="8" w:color="auto"/>
              <w:bottom w:val="single" w:sz="8" w:color="DEEAEB"/>
            </w:tcBorders>
            <w:shd w:val="clear" w:color="auto" w:fill="DEEAEB"/>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DEEAEB"/>
            </w:tcBorders>
            <w:shd w:val="clear" w:color="auto" w:fill="DEEAEB"/>
          </w:tcPr>
          <w:p>
            <w:pPr>
              <w:spacing w:after="0"/>
              <w:rPr>
                <w:sz w:val="19"/>
                <w:szCs w:val="19"/>
                <w:color w:val="auto"/>
              </w:rPr>
            </w:pPr>
          </w:p>
        </w:tc>
        <w:tc>
          <w:tcPr>
            <w:tcW w:w="130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(357.0</w:t>
            </w:r>
          </w:p>
        </w:tc>
        <w:tc>
          <w:tcPr>
            <w:tcW w:w="10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w w:val="81"/>
              </w:rPr>
              <w:t>)</w:t>
            </w:r>
          </w:p>
        </w:tc>
      </w:tr>
      <w:tr>
        <w:trPr>
          <w:trHeight w:val="187"/>
        </w:trPr>
        <w:tc>
          <w:tcPr>
            <w:tcW w:w="5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color w:val="auto"/>
              </w:rPr>
              <w:t>Net Increase (Decrease) in Cash, Cash Equivalents and Restricted Cash</w:t>
            </w:r>
          </w:p>
        </w:tc>
        <w:tc>
          <w:tcPr>
            <w:tcW w:w="280" w:type="dxa"/>
            <w:vAlign w:val="bottom"/>
            <w:tcBorders>
              <w:top w:val="single" w:sz="8" w:color="auto"/>
            </w:tcBorders>
            <w:shd w:val="clear" w:color="auto" w:fill="B6D2E2"/>
          </w:tcPr>
          <w:p>
            <w:pPr>
              <w:spacing w:after="0"/>
              <w:rPr>
                <w:sz w:val="16"/>
                <w:szCs w:val="16"/>
                <w:color w:val="auto"/>
              </w:rPr>
            </w:pPr>
          </w:p>
        </w:tc>
        <w:tc>
          <w:tcPr>
            <w:tcW w:w="1280" w:type="dxa"/>
            <w:vAlign w:val="bottom"/>
            <w:tcBorders>
              <w:top w:val="single" w:sz="8" w:color="auto"/>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99.9</w:t>
            </w:r>
          </w:p>
        </w:tc>
        <w:tc>
          <w:tcPr>
            <w:tcW w:w="120" w:type="dxa"/>
            <w:vAlign w:val="bottom"/>
            <w:tcBorders>
              <w:top w:val="single" w:sz="8" w:color="auto"/>
            </w:tcBorders>
            <w:shd w:val="clear" w:color="auto" w:fill="B6D2E2"/>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shd w:val="clear" w:color="auto" w:fill="DEEAEB"/>
          </w:tcPr>
          <w:p>
            <w:pPr>
              <w:spacing w:after="0"/>
              <w:rPr>
                <w:sz w:val="16"/>
                <w:szCs w:val="16"/>
                <w:color w:val="auto"/>
              </w:rPr>
            </w:pPr>
          </w:p>
        </w:tc>
        <w:tc>
          <w:tcPr>
            <w:tcW w:w="128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(45.5</w:t>
            </w:r>
          </w:p>
        </w:tc>
        <w:tc>
          <w:tcPr>
            <w:tcW w:w="10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w w:val="81"/>
              </w:rPr>
              <w:t>)</w:t>
            </w:r>
          </w:p>
        </w:tc>
        <w:tc>
          <w:tcPr>
            <w:tcW w:w="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shd w:val="clear" w:color="auto" w:fill="DEEAEB"/>
          </w:tcPr>
          <w:p>
            <w:pPr>
              <w:spacing w:after="0"/>
              <w:rPr>
                <w:sz w:val="16"/>
                <w:szCs w:val="16"/>
                <w:color w:val="auto"/>
              </w:rPr>
            </w:pPr>
          </w:p>
        </w:tc>
        <w:tc>
          <w:tcPr>
            <w:tcW w:w="130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283.4</w:t>
            </w:r>
          </w:p>
        </w:tc>
        <w:tc>
          <w:tcPr>
            <w:tcW w:w="100" w:type="dxa"/>
            <w:vAlign w:val="bottom"/>
            <w:tcBorders>
              <w:top w:val="single" w:sz="8" w:color="auto"/>
            </w:tcBorders>
            <w:shd w:val="clear" w:color="auto" w:fill="DEEAEB"/>
          </w:tcPr>
          <w:p>
            <w:pPr>
              <w:spacing w:after="0"/>
              <w:rPr>
                <w:sz w:val="16"/>
                <w:szCs w:val="16"/>
                <w:color w:val="auto"/>
              </w:rPr>
            </w:pPr>
          </w:p>
        </w:tc>
      </w:tr>
      <w:tr>
        <w:trPr>
          <w:trHeight w:val="265"/>
        </w:trPr>
        <w:tc>
          <w:tcPr>
            <w:tcW w:w="5980" w:type="dxa"/>
            <w:vAlign w:val="bottom"/>
          </w:tcPr>
          <w:p>
            <w:pPr>
              <w:ind w:left="20"/>
              <w:spacing w:after="0"/>
              <w:rPr>
                <w:sz w:val="20"/>
                <w:szCs w:val="20"/>
                <w:color w:val="auto"/>
              </w:rPr>
            </w:pPr>
            <w:r>
              <w:rPr>
                <w:rFonts w:ascii="Calibri" w:cs="Calibri" w:eastAsia="Calibri" w:hAnsi="Calibri"/>
                <w:sz w:val="16"/>
                <w:szCs w:val="16"/>
                <w:b w:val="1"/>
                <w:bCs w:val="1"/>
                <w:color w:val="auto"/>
              </w:rPr>
              <w:t>Cash, Cash Equivalents and Restricted Cash, beginning of year</w:t>
            </w:r>
          </w:p>
        </w:tc>
        <w:tc>
          <w:tcPr>
            <w:tcW w:w="280" w:type="dxa"/>
            <w:vAlign w:val="bottom"/>
            <w:tcBorders>
              <w:bottom w:val="single" w:sz="8" w:color="B6D2E2"/>
            </w:tcBorders>
            <w:shd w:val="clear" w:color="auto" w:fill="B6D2E2"/>
          </w:tcPr>
          <w:p>
            <w:pPr>
              <w:spacing w:after="0"/>
              <w:rPr>
                <w:sz w:val="23"/>
                <w:szCs w:val="23"/>
                <w:color w:val="auto"/>
              </w:rPr>
            </w:pPr>
          </w:p>
        </w:tc>
        <w:tc>
          <w:tcPr>
            <w:tcW w:w="128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rPr>
              <w:t>258.9</w:t>
            </w:r>
          </w:p>
        </w:tc>
        <w:tc>
          <w:tcPr>
            <w:tcW w:w="120" w:type="dxa"/>
            <w:vAlign w:val="bottom"/>
            <w:tcBorders>
              <w:bottom w:val="single" w:sz="8" w:color="B6D2E2"/>
            </w:tcBorders>
            <w:shd w:val="clear" w:color="auto" w:fill="B6D2E2"/>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Borders>
              <w:bottom w:val="single" w:sz="8" w:color="DEEAEB"/>
            </w:tcBorders>
            <w:shd w:val="clear" w:color="auto" w:fill="DEEAEB"/>
          </w:tcPr>
          <w:p>
            <w:pPr>
              <w:spacing w:after="0"/>
              <w:rPr>
                <w:sz w:val="23"/>
                <w:szCs w:val="23"/>
                <w:color w:val="auto"/>
              </w:rPr>
            </w:pPr>
          </w:p>
        </w:tc>
        <w:tc>
          <w:tcPr>
            <w:tcW w:w="128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304.4</w:t>
            </w:r>
          </w:p>
        </w:tc>
        <w:tc>
          <w:tcPr>
            <w:tcW w:w="100" w:type="dxa"/>
            <w:vAlign w:val="bottom"/>
            <w:tcBorders>
              <w:bottom w:val="single" w:sz="8" w:color="DEEAEB"/>
            </w:tcBorders>
            <w:shd w:val="clear" w:color="auto" w:fill="DEEAEB"/>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Borders>
              <w:bottom w:val="single" w:sz="8" w:color="DEEAEB"/>
            </w:tcBorders>
            <w:shd w:val="clear" w:color="auto" w:fill="DEEAEB"/>
          </w:tcPr>
          <w:p>
            <w:pPr>
              <w:spacing w:after="0"/>
              <w:rPr>
                <w:sz w:val="23"/>
                <w:szCs w:val="23"/>
                <w:color w:val="auto"/>
              </w:rPr>
            </w:pPr>
          </w:p>
        </w:tc>
        <w:tc>
          <w:tcPr>
            <w:tcW w:w="13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21.0</w:t>
            </w:r>
          </w:p>
        </w:tc>
        <w:tc>
          <w:tcPr>
            <w:tcW w:w="100" w:type="dxa"/>
            <w:vAlign w:val="bottom"/>
            <w:tcBorders>
              <w:bottom w:val="single" w:sz="8" w:color="DEEAEB"/>
            </w:tcBorders>
            <w:shd w:val="clear" w:color="auto" w:fill="DEEAEB"/>
          </w:tcPr>
          <w:p>
            <w:pPr>
              <w:spacing w:after="0"/>
              <w:rPr>
                <w:sz w:val="23"/>
                <w:szCs w:val="23"/>
                <w:color w:val="auto"/>
              </w:rPr>
            </w:pPr>
          </w:p>
        </w:tc>
      </w:tr>
      <w:tr>
        <w:trPr>
          <w:trHeight w:val="243"/>
        </w:trPr>
        <w:tc>
          <w:tcPr>
            <w:tcW w:w="5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Cash, Cash Equivalents and Restricted Cash, end of year</w:t>
            </w:r>
          </w:p>
        </w:tc>
        <w:tc>
          <w:tcPr>
            <w:tcW w:w="28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w:t>
            </w:r>
          </w:p>
        </w:tc>
        <w:tc>
          <w:tcPr>
            <w:tcW w:w="128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358.8</w:t>
            </w:r>
          </w:p>
        </w:tc>
        <w:tc>
          <w:tcPr>
            <w:tcW w:w="120" w:type="dxa"/>
            <w:vAlign w:val="bottom"/>
            <w:tcBorders>
              <w:top w:val="single" w:sz="8" w:color="auto"/>
              <w:bottom w:val="single" w:sz="8" w:color="B6D2E2"/>
            </w:tcBorders>
            <w:shd w:val="clear" w:color="auto" w:fill="B6D2E2"/>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w:t>
            </w:r>
          </w:p>
        </w:tc>
        <w:tc>
          <w:tcPr>
            <w:tcW w:w="128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258.9</w:t>
            </w:r>
          </w:p>
        </w:tc>
        <w:tc>
          <w:tcPr>
            <w:tcW w:w="100" w:type="dxa"/>
            <w:vAlign w:val="bottom"/>
            <w:tcBorders>
              <w:top w:val="single" w:sz="8" w:color="auto"/>
              <w:bottom w:val="single" w:sz="8" w:color="DEEAEB"/>
            </w:tcBorders>
            <w:shd w:val="clear" w:color="auto" w:fill="DEEAEB"/>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w:t>
            </w:r>
          </w:p>
        </w:tc>
        <w:tc>
          <w:tcPr>
            <w:tcW w:w="130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304.4</w:t>
            </w:r>
          </w:p>
        </w:tc>
        <w:tc>
          <w:tcPr>
            <w:tcW w:w="100" w:type="dxa"/>
            <w:vAlign w:val="bottom"/>
            <w:tcBorders>
              <w:top w:val="single" w:sz="8" w:color="auto"/>
              <w:bottom w:val="single" w:sz="8" w:color="DEEAEB"/>
            </w:tcBorders>
            <w:shd w:val="clear" w:color="auto" w:fill="DEEAEB"/>
          </w:tcPr>
          <w:p>
            <w:pPr>
              <w:spacing w:after="0"/>
              <w:rPr>
                <w:sz w:val="21"/>
                <w:szCs w:val="21"/>
                <w:color w:val="auto"/>
              </w:rPr>
            </w:pPr>
          </w:p>
        </w:tc>
      </w:tr>
      <w:tr>
        <w:trPr>
          <w:trHeight w:val="20"/>
        </w:trPr>
        <w:tc>
          <w:tcPr>
            <w:tcW w:w="5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The accompanying Notes to the Financial Statements 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92075</wp:posOffset>
            </wp:positionV>
            <wp:extent cx="325755" cy="1974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9" w:name="page80"/>
    <w:bookmarkEnd w:id="79"/>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96" w:lineRule="exact"/>
        <w:rPr>
          <w:sz w:val="20"/>
          <w:szCs w:val="20"/>
          <w:color w:val="auto"/>
        </w:rPr>
      </w:pPr>
    </w:p>
    <w:p>
      <w:pPr>
        <w:jc w:val="center"/>
        <w:ind w:right="100"/>
        <w:spacing w:after="0"/>
        <w:rPr>
          <w:sz w:val="20"/>
          <w:szCs w:val="20"/>
          <w:color w:val="auto"/>
        </w:rPr>
      </w:pPr>
      <w:r>
        <w:rPr>
          <w:rFonts w:ascii="Calibri" w:cs="Calibri" w:eastAsia="Calibri" w:hAnsi="Calibri"/>
          <w:sz w:val="22"/>
          <w:szCs w:val="22"/>
          <w:color w:val="auto"/>
        </w:rPr>
        <w:t>Martn Marieta Materials, Inc. and Consolidated Subsidiaries</w:t>
      </w:r>
    </w:p>
    <w:p>
      <w:pPr>
        <w:spacing w:after="0" w:line="1" w:lineRule="exact"/>
        <w:rPr>
          <w:sz w:val="20"/>
          <w:szCs w:val="20"/>
          <w:color w:val="auto"/>
        </w:rPr>
      </w:pPr>
    </w:p>
    <w:p>
      <w:pPr>
        <w:jc w:val="center"/>
        <w:ind w:right="100"/>
        <w:spacing w:after="0"/>
        <w:rPr>
          <w:sz w:val="20"/>
          <w:szCs w:val="20"/>
          <w:color w:val="auto"/>
        </w:rPr>
      </w:pPr>
      <w:r>
        <w:rPr>
          <w:rFonts w:ascii="Calibri" w:cs="Calibri" w:eastAsia="Calibri" w:hAnsi="Calibri"/>
          <w:sz w:val="22"/>
          <w:szCs w:val="22"/>
          <w:b w:val="1"/>
          <w:bCs w:val="1"/>
          <w:color w:val="007DC6"/>
        </w:rPr>
        <w:t>Consolidated Statements of Total Equity</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spacing w:after="0"/>
              <w:rPr>
                <w:sz w:val="20"/>
                <w:szCs w:val="20"/>
                <w:color w:val="auto"/>
              </w:rPr>
            </w:pPr>
            <w:r>
              <w:rPr>
                <w:rFonts w:ascii="Calibri" w:cs="Calibri" w:eastAsia="Calibri" w:hAnsi="Calibri"/>
                <w:sz w:val="14"/>
                <w:szCs w:val="14"/>
                <w:b w:val="1"/>
                <w:bCs w:val="1"/>
                <w:color w:val="auto"/>
              </w:rPr>
              <w:t>Accumulated</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center"/>
              <w:ind w:right="188"/>
              <w:spacing w:after="0"/>
              <w:rPr>
                <w:sz w:val="20"/>
                <w:szCs w:val="20"/>
                <w:color w:val="auto"/>
              </w:rPr>
            </w:pPr>
            <w:r>
              <w:rPr>
                <w:rFonts w:ascii="Calibri" w:cs="Calibri" w:eastAsia="Calibri" w:hAnsi="Calibri"/>
                <w:sz w:val="14"/>
                <w:szCs w:val="14"/>
                <w:b w:val="1"/>
                <w:bCs w:val="1"/>
                <w:color w:val="auto"/>
              </w:rPr>
              <w:t>Total</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3060" w:type="dxa"/>
            <w:vAlign w:val="bottom"/>
          </w:tcPr>
          <w:p>
            <w:pPr>
              <w:spacing w:after="0"/>
              <w:rPr>
                <w:sz w:val="15"/>
                <w:szCs w:val="15"/>
                <w:color w:val="auto"/>
              </w:rPr>
            </w:pPr>
          </w:p>
        </w:tc>
        <w:tc>
          <w:tcPr>
            <w:tcW w:w="800" w:type="dxa"/>
            <w:vAlign w:val="bottom"/>
            <w:gridSpan w:val="3"/>
          </w:tcPr>
          <w:p>
            <w:pPr>
              <w:jc w:val="center"/>
              <w:ind w:right="88"/>
              <w:spacing w:after="0"/>
              <w:rPr>
                <w:sz w:val="20"/>
                <w:szCs w:val="20"/>
                <w:color w:val="auto"/>
              </w:rPr>
            </w:pPr>
            <w:r>
              <w:rPr>
                <w:rFonts w:ascii="Calibri" w:cs="Calibri" w:eastAsia="Calibri" w:hAnsi="Calibri"/>
                <w:sz w:val="14"/>
                <w:szCs w:val="14"/>
                <w:b w:val="1"/>
                <w:bCs w:val="1"/>
                <w:color w:val="auto"/>
              </w:rPr>
              <w:t>Shares of</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3"/>
          </w:tcPr>
          <w:p>
            <w:pPr>
              <w:jc w:val="center"/>
              <w:ind w:right="168"/>
              <w:spacing w:after="0"/>
              <w:rPr>
                <w:sz w:val="20"/>
                <w:szCs w:val="20"/>
                <w:color w:val="auto"/>
              </w:rPr>
            </w:pPr>
            <w:r>
              <w:rPr>
                <w:rFonts w:ascii="Calibri" w:cs="Calibri" w:eastAsia="Calibri" w:hAnsi="Calibri"/>
                <w:sz w:val="14"/>
                <w:szCs w:val="14"/>
                <w:b w:val="1"/>
                <w:bCs w:val="1"/>
                <w:color w:val="auto"/>
              </w:rPr>
              <w:t>Additonal</w:t>
            </w:r>
          </w:p>
        </w:tc>
        <w:tc>
          <w:tcPr>
            <w:tcW w:w="240" w:type="dxa"/>
            <w:vAlign w:val="bottom"/>
          </w:tcPr>
          <w:p>
            <w:pPr>
              <w:spacing w:after="0"/>
              <w:rPr>
                <w:sz w:val="15"/>
                <w:szCs w:val="15"/>
                <w:color w:val="auto"/>
              </w:rPr>
            </w:pPr>
          </w:p>
        </w:tc>
        <w:tc>
          <w:tcPr>
            <w:tcW w:w="940" w:type="dxa"/>
            <w:vAlign w:val="bottom"/>
            <w:gridSpan w:val="2"/>
          </w:tcPr>
          <w:p>
            <w:pPr>
              <w:jc w:val="center"/>
              <w:ind w:right="188"/>
              <w:spacing w:after="0"/>
              <w:rPr>
                <w:sz w:val="20"/>
                <w:szCs w:val="20"/>
                <w:color w:val="auto"/>
              </w:rPr>
            </w:pPr>
            <w:r>
              <w:rPr>
                <w:rFonts w:ascii="Calibri" w:cs="Calibri" w:eastAsia="Calibri" w:hAnsi="Calibri"/>
                <w:sz w:val="14"/>
                <w:szCs w:val="14"/>
                <w:b w:val="1"/>
                <w:bCs w:val="1"/>
                <w:color w:val="auto"/>
              </w:rPr>
              <w:t>Other</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jc w:val="center"/>
              <w:spacing w:after="0"/>
              <w:rPr>
                <w:sz w:val="20"/>
                <w:szCs w:val="20"/>
                <w:color w:val="auto"/>
              </w:rPr>
            </w:pPr>
            <w:r>
              <w:rPr>
                <w:rFonts w:ascii="Calibri" w:cs="Calibri" w:eastAsia="Calibri" w:hAnsi="Calibri"/>
                <w:sz w:val="14"/>
                <w:szCs w:val="14"/>
                <w:b w:val="1"/>
                <w:bCs w:val="1"/>
                <w:color w:val="auto"/>
              </w:rPr>
              <w:t>Shareholder</w:t>
            </w:r>
          </w:p>
        </w:tc>
        <w:tc>
          <w:tcPr>
            <w:tcW w:w="1000" w:type="dxa"/>
            <w:vAlign w:val="bottom"/>
            <w:gridSpan w:val="3"/>
          </w:tcPr>
          <w:p>
            <w:pPr>
              <w:ind w:left="120"/>
              <w:spacing w:after="0"/>
              <w:rPr>
                <w:sz w:val="20"/>
                <w:szCs w:val="20"/>
                <w:color w:val="auto"/>
              </w:rPr>
            </w:pPr>
            <w:r>
              <w:rPr>
                <w:rFonts w:ascii="Calibri" w:cs="Calibri" w:eastAsia="Calibri" w:hAnsi="Calibri"/>
                <w:sz w:val="14"/>
                <w:szCs w:val="14"/>
                <w:b w:val="1"/>
                <w:bCs w:val="1"/>
                <w:color w:val="auto"/>
              </w:rPr>
              <w:t>Noncontrolli</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3060" w:type="dxa"/>
            <w:vAlign w:val="bottom"/>
          </w:tcPr>
          <w:p>
            <w:pPr>
              <w:spacing w:after="0"/>
              <w:rPr>
                <w:sz w:val="15"/>
                <w:szCs w:val="15"/>
                <w:color w:val="auto"/>
              </w:rPr>
            </w:pPr>
          </w:p>
        </w:tc>
        <w:tc>
          <w:tcPr>
            <w:tcW w:w="800" w:type="dxa"/>
            <w:vAlign w:val="bottom"/>
            <w:gridSpan w:val="3"/>
          </w:tcPr>
          <w:p>
            <w:pPr>
              <w:jc w:val="center"/>
              <w:ind w:right="88"/>
              <w:spacing w:after="0"/>
              <w:rPr>
                <w:sz w:val="20"/>
                <w:szCs w:val="20"/>
                <w:color w:val="auto"/>
              </w:rPr>
            </w:pPr>
            <w:r>
              <w:rPr>
                <w:rFonts w:ascii="Calibri" w:cs="Calibri" w:eastAsia="Calibri" w:hAnsi="Calibri"/>
                <w:sz w:val="14"/>
                <w:szCs w:val="14"/>
                <w:b w:val="1"/>
                <w:bCs w:val="1"/>
                <w:color w:val="auto"/>
              </w:rPr>
              <w:t>Common</w:t>
            </w:r>
          </w:p>
        </w:tc>
        <w:tc>
          <w:tcPr>
            <w:tcW w:w="22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Calibri" w:cs="Calibri" w:eastAsia="Calibri" w:hAnsi="Calibri"/>
                <w:sz w:val="14"/>
                <w:szCs w:val="14"/>
                <w:b w:val="1"/>
                <w:bCs w:val="1"/>
                <w:color w:val="auto"/>
              </w:rPr>
              <w:t>Common</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jc w:val="center"/>
              <w:ind w:right="208"/>
              <w:spacing w:after="0"/>
              <w:rPr>
                <w:sz w:val="20"/>
                <w:szCs w:val="20"/>
                <w:color w:val="auto"/>
              </w:rPr>
            </w:pPr>
            <w:r>
              <w:rPr>
                <w:rFonts w:ascii="Calibri" w:cs="Calibri" w:eastAsia="Calibri" w:hAnsi="Calibri"/>
                <w:sz w:val="14"/>
                <w:szCs w:val="14"/>
                <w:b w:val="1"/>
                <w:bCs w:val="1"/>
                <w:color w:val="auto"/>
              </w:rPr>
              <w:t>Paid-In</w:t>
            </w:r>
          </w:p>
        </w:tc>
        <w:tc>
          <w:tcPr>
            <w:tcW w:w="1180" w:type="dxa"/>
            <w:vAlign w:val="bottom"/>
            <w:gridSpan w:val="3"/>
          </w:tcPr>
          <w:p>
            <w:pPr>
              <w:jc w:val="center"/>
              <w:spacing w:after="0"/>
              <w:rPr>
                <w:sz w:val="20"/>
                <w:szCs w:val="20"/>
                <w:color w:val="auto"/>
              </w:rPr>
            </w:pPr>
            <w:r>
              <w:rPr>
                <w:rFonts w:ascii="Calibri" w:cs="Calibri" w:eastAsia="Calibri" w:hAnsi="Calibri"/>
                <w:sz w:val="14"/>
                <w:szCs w:val="14"/>
                <w:b w:val="1"/>
                <w:bCs w:val="1"/>
                <w:color w:val="auto"/>
              </w:rPr>
              <w:t>Comprehensive</w:t>
            </w:r>
          </w:p>
        </w:tc>
        <w:tc>
          <w:tcPr>
            <w:tcW w:w="220" w:type="dxa"/>
            <w:vAlign w:val="bottom"/>
          </w:tcPr>
          <w:p>
            <w:pPr>
              <w:spacing w:after="0"/>
              <w:rPr>
                <w:sz w:val="15"/>
                <w:szCs w:val="15"/>
                <w:color w:val="auto"/>
              </w:rPr>
            </w:pPr>
          </w:p>
        </w:tc>
        <w:tc>
          <w:tcPr>
            <w:tcW w:w="800" w:type="dxa"/>
            <w:vAlign w:val="bottom"/>
            <w:gridSpan w:val="2"/>
          </w:tcPr>
          <w:p>
            <w:pPr>
              <w:jc w:val="right"/>
              <w:ind w:right="188"/>
              <w:spacing w:after="0"/>
              <w:rPr>
                <w:sz w:val="20"/>
                <w:szCs w:val="20"/>
                <w:color w:val="auto"/>
              </w:rPr>
            </w:pPr>
            <w:r>
              <w:rPr>
                <w:rFonts w:ascii="Calibri" w:cs="Calibri" w:eastAsia="Calibri" w:hAnsi="Calibri"/>
                <w:sz w:val="14"/>
                <w:szCs w:val="14"/>
                <w:b w:val="1"/>
                <w:bCs w:val="1"/>
                <w:color w:val="auto"/>
                <w:w w:val="99"/>
              </w:rPr>
              <w:t>Retained</w:t>
            </w:r>
          </w:p>
        </w:tc>
        <w:tc>
          <w:tcPr>
            <w:tcW w:w="220" w:type="dxa"/>
            <w:vAlign w:val="bottom"/>
          </w:tcPr>
          <w:p>
            <w:pPr>
              <w:spacing w:after="0"/>
              <w:rPr>
                <w:sz w:val="15"/>
                <w:szCs w:val="15"/>
                <w:color w:val="auto"/>
              </w:rPr>
            </w:pPr>
          </w:p>
        </w:tc>
        <w:tc>
          <w:tcPr>
            <w:tcW w:w="800" w:type="dxa"/>
            <w:vAlign w:val="bottom"/>
            <w:gridSpan w:val="2"/>
          </w:tcPr>
          <w:p>
            <w:pPr>
              <w:jc w:val="center"/>
              <w:ind w:right="168"/>
              <w:spacing w:after="0"/>
              <w:rPr>
                <w:sz w:val="20"/>
                <w:szCs w:val="20"/>
                <w:color w:val="auto"/>
              </w:rPr>
            </w:pPr>
            <w:r>
              <w:rPr>
                <w:rFonts w:ascii="Calibri" w:cs="Calibri" w:eastAsia="Calibri" w:hAnsi="Calibri"/>
                <w:sz w:val="14"/>
                <w:szCs w:val="14"/>
                <w:b w:val="1"/>
                <w:bCs w:val="1"/>
                <w:color w:val="auto"/>
                <w:w w:val="86"/>
              </w:rPr>
              <w:t>s’</w:t>
            </w:r>
          </w:p>
        </w:tc>
        <w:tc>
          <w:tcPr>
            <w:tcW w:w="200" w:type="dxa"/>
            <w:vAlign w:val="bottom"/>
          </w:tcPr>
          <w:p>
            <w:pPr>
              <w:spacing w:after="0"/>
              <w:rPr>
                <w:sz w:val="15"/>
                <w:szCs w:val="15"/>
                <w:color w:val="auto"/>
              </w:rPr>
            </w:pPr>
          </w:p>
        </w:tc>
        <w:tc>
          <w:tcPr>
            <w:tcW w:w="800" w:type="dxa"/>
            <w:vAlign w:val="bottom"/>
            <w:gridSpan w:val="2"/>
          </w:tcPr>
          <w:p>
            <w:pPr>
              <w:jc w:val="center"/>
              <w:ind w:right="194"/>
              <w:spacing w:after="0"/>
              <w:rPr>
                <w:sz w:val="20"/>
                <w:szCs w:val="20"/>
                <w:color w:val="auto"/>
              </w:rPr>
            </w:pPr>
            <w:r>
              <w:rPr>
                <w:rFonts w:ascii="Calibri" w:cs="Calibri" w:eastAsia="Calibri" w:hAnsi="Calibri"/>
                <w:sz w:val="14"/>
                <w:szCs w:val="14"/>
                <w:b w:val="1"/>
                <w:bCs w:val="1"/>
                <w:color w:val="auto"/>
              </w:rPr>
              <w:t>ng</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3060" w:type="dxa"/>
            <w:vAlign w:val="bottom"/>
          </w:tcPr>
          <w:p>
            <w:pPr>
              <w:ind w:left="20"/>
              <w:spacing w:after="0"/>
              <w:rPr>
                <w:sz w:val="20"/>
                <w:szCs w:val="20"/>
                <w:color w:val="auto"/>
              </w:rPr>
            </w:pPr>
            <w:r>
              <w:rPr>
                <w:rFonts w:ascii="Calibri" w:cs="Calibri" w:eastAsia="Calibri" w:hAnsi="Calibri"/>
                <w:sz w:val="14"/>
                <w:szCs w:val="14"/>
                <w:color w:val="auto"/>
              </w:rPr>
              <w:t>(in millions, except per share data)</w:t>
            </w:r>
          </w:p>
        </w:tc>
        <w:tc>
          <w:tcPr>
            <w:tcW w:w="120" w:type="dxa"/>
            <w:vAlign w:val="bottom"/>
          </w:tcPr>
          <w:p>
            <w:pPr>
              <w:spacing w:after="0"/>
              <w:rPr>
                <w:sz w:val="15"/>
                <w:szCs w:val="15"/>
                <w:color w:val="auto"/>
              </w:rPr>
            </w:pPr>
          </w:p>
        </w:tc>
        <w:tc>
          <w:tcPr>
            <w:tcW w:w="680" w:type="dxa"/>
            <w:vAlign w:val="bottom"/>
            <w:gridSpan w:val="2"/>
          </w:tcPr>
          <w:p>
            <w:pPr>
              <w:jc w:val="center"/>
              <w:ind w:right="168"/>
              <w:spacing w:after="0"/>
              <w:rPr>
                <w:sz w:val="20"/>
                <w:szCs w:val="20"/>
                <w:color w:val="auto"/>
              </w:rPr>
            </w:pPr>
            <w:r>
              <w:rPr>
                <w:rFonts w:ascii="Calibri" w:cs="Calibri" w:eastAsia="Calibri" w:hAnsi="Calibri"/>
                <w:sz w:val="14"/>
                <w:szCs w:val="14"/>
                <w:b w:val="1"/>
                <w:bCs w:val="1"/>
                <w:color w:val="auto"/>
              </w:rPr>
              <w:t>Stock</w:t>
            </w:r>
          </w:p>
        </w:tc>
        <w:tc>
          <w:tcPr>
            <w:tcW w:w="22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Stock</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jc w:val="center"/>
              <w:ind w:right="188"/>
              <w:spacing w:after="0"/>
              <w:rPr>
                <w:sz w:val="20"/>
                <w:szCs w:val="20"/>
                <w:color w:val="auto"/>
              </w:rPr>
            </w:pPr>
            <w:r>
              <w:rPr>
                <w:rFonts w:ascii="Calibri" w:cs="Calibri" w:eastAsia="Calibri" w:hAnsi="Calibri"/>
                <w:sz w:val="14"/>
                <w:szCs w:val="14"/>
                <w:b w:val="1"/>
                <w:bCs w:val="1"/>
                <w:color w:val="auto"/>
                <w:w w:val="98"/>
              </w:rPr>
              <w:t>Capital</w:t>
            </w:r>
          </w:p>
        </w:tc>
        <w:tc>
          <w:tcPr>
            <w:tcW w:w="240" w:type="dxa"/>
            <w:vAlign w:val="bottom"/>
          </w:tcPr>
          <w:p>
            <w:pPr>
              <w:spacing w:after="0"/>
              <w:rPr>
                <w:sz w:val="15"/>
                <w:szCs w:val="15"/>
                <w:color w:val="auto"/>
              </w:rPr>
            </w:pPr>
          </w:p>
        </w:tc>
        <w:tc>
          <w:tcPr>
            <w:tcW w:w="940" w:type="dxa"/>
            <w:vAlign w:val="bottom"/>
            <w:gridSpan w:val="2"/>
          </w:tcPr>
          <w:p>
            <w:pPr>
              <w:jc w:val="center"/>
              <w:ind w:right="168"/>
              <w:spacing w:after="0"/>
              <w:rPr>
                <w:sz w:val="20"/>
                <w:szCs w:val="20"/>
                <w:color w:val="auto"/>
              </w:rPr>
            </w:pPr>
            <w:r>
              <w:rPr>
                <w:rFonts w:ascii="Calibri" w:cs="Calibri" w:eastAsia="Calibri" w:hAnsi="Calibri"/>
                <w:sz w:val="14"/>
                <w:szCs w:val="14"/>
                <w:b w:val="1"/>
                <w:bCs w:val="1"/>
                <w:color w:val="auto"/>
              </w:rPr>
              <w:t>Loss</w:t>
            </w:r>
          </w:p>
        </w:tc>
        <w:tc>
          <w:tcPr>
            <w:tcW w:w="220" w:type="dxa"/>
            <w:vAlign w:val="bottom"/>
          </w:tcPr>
          <w:p>
            <w:pPr>
              <w:spacing w:after="0"/>
              <w:rPr>
                <w:sz w:val="15"/>
                <w:szCs w:val="15"/>
                <w:color w:val="auto"/>
              </w:rPr>
            </w:pPr>
          </w:p>
        </w:tc>
        <w:tc>
          <w:tcPr>
            <w:tcW w:w="800" w:type="dxa"/>
            <w:vAlign w:val="bottom"/>
            <w:gridSpan w:val="2"/>
          </w:tcPr>
          <w:p>
            <w:pPr>
              <w:jc w:val="right"/>
              <w:ind w:right="188"/>
              <w:spacing w:after="0"/>
              <w:rPr>
                <w:sz w:val="20"/>
                <w:szCs w:val="20"/>
                <w:color w:val="auto"/>
              </w:rPr>
            </w:pPr>
            <w:r>
              <w:rPr>
                <w:rFonts w:ascii="Calibri" w:cs="Calibri" w:eastAsia="Calibri" w:hAnsi="Calibri"/>
                <w:sz w:val="14"/>
                <w:szCs w:val="14"/>
                <w:b w:val="1"/>
                <w:bCs w:val="1"/>
                <w:color w:val="auto"/>
              </w:rPr>
              <w:t>Earnings</w:t>
            </w:r>
          </w:p>
        </w:tc>
        <w:tc>
          <w:tcPr>
            <w:tcW w:w="220" w:type="dxa"/>
            <w:vAlign w:val="bottom"/>
          </w:tcPr>
          <w:p>
            <w:pPr>
              <w:spacing w:after="0"/>
              <w:rPr>
                <w:sz w:val="15"/>
                <w:szCs w:val="15"/>
                <w:color w:val="auto"/>
              </w:rPr>
            </w:pPr>
          </w:p>
        </w:tc>
        <w:tc>
          <w:tcPr>
            <w:tcW w:w="800" w:type="dxa"/>
            <w:vAlign w:val="bottom"/>
            <w:gridSpan w:val="2"/>
          </w:tcPr>
          <w:p>
            <w:pPr>
              <w:jc w:val="center"/>
              <w:ind w:right="168"/>
              <w:spacing w:after="0"/>
              <w:rPr>
                <w:sz w:val="20"/>
                <w:szCs w:val="20"/>
                <w:color w:val="auto"/>
              </w:rPr>
            </w:pPr>
            <w:r>
              <w:rPr>
                <w:rFonts w:ascii="Calibri" w:cs="Calibri" w:eastAsia="Calibri" w:hAnsi="Calibri"/>
                <w:sz w:val="14"/>
                <w:szCs w:val="14"/>
                <w:b w:val="1"/>
                <w:bCs w:val="1"/>
                <w:color w:val="auto"/>
                <w:w w:val="97"/>
              </w:rPr>
              <w:t>Equity</w:t>
            </w:r>
          </w:p>
        </w:tc>
        <w:tc>
          <w:tcPr>
            <w:tcW w:w="200" w:type="dxa"/>
            <w:vAlign w:val="bottom"/>
          </w:tcPr>
          <w:p>
            <w:pPr>
              <w:spacing w:after="0"/>
              <w:rPr>
                <w:sz w:val="15"/>
                <w:szCs w:val="15"/>
                <w:color w:val="auto"/>
              </w:rPr>
            </w:pPr>
          </w:p>
        </w:tc>
        <w:tc>
          <w:tcPr>
            <w:tcW w:w="800" w:type="dxa"/>
            <w:vAlign w:val="bottom"/>
            <w:gridSpan w:val="2"/>
          </w:tcPr>
          <w:p>
            <w:pPr>
              <w:jc w:val="center"/>
              <w:ind w:right="154"/>
              <w:spacing w:after="0"/>
              <w:rPr>
                <w:sz w:val="20"/>
                <w:szCs w:val="20"/>
                <w:color w:val="auto"/>
              </w:rPr>
            </w:pPr>
            <w:r>
              <w:rPr>
                <w:rFonts w:ascii="Calibri" w:cs="Calibri" w:eastAsia="Calibri" w:hAnsi="Calibri"/>
                <w:sz w:val="14"/>
                <w:szCs w:val="14"/>
                <w:b w:val="1"/>
                <w:bCs w:val="1"/>
                <w:color w:val="auto"/>
              </w:rPr>
              <w:t>Interests</w:t>
            </w:r>
          </w:p>
        </w:tc>
        <w:tc>
          <w:tcPr>
            <w:tcW w:w="1040" w:type="dxa"/>
            <w:vAlign w:val="bottom"/>
            <w:gridSpan w:val="3"/>
          </w:tcPr>
          <w:p>
            <w:pPr>
              <w:jc w:val="right"/>
              <w:ind w:right="126"/>
              <w:spacing w:after="0"/>
              <w:rPr>
                <w:sz w:val="20"/>
                <w:szCs w:val="20"/>
                <w:color w:val="auto"/>
              </w:rPr>
            </w:pPr>
            <w:r>
              <w:rPr>
                <w:rFonts w:ascii="Calibri" w:cs="Calibri" w:eastAsia="Calibri" w:hAnsi="Calibri"/>
                <w:sz w:val="14"/>
                <w:szCs w:val="14"/>
                <w:b w:val="1"/>
                <w:bCs w:val="1"/>
                <w:color w:val="auto"/>
              </w:rPr>
              <w:t>Total Equity</w:t>
            </w:r>
          </w:p>
        </w:tc>
      </w:tr>
      <w:tr>
        <w:trPr>
          <w:trHeight w:val="33"/>
        </w:trPr>
        <w:tc>
          <w:tcPr>
            <w:tcW w:w="3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63"/>
        </w:trPr>
        <w:tc>
          <w:tcPr>
            <w:tcW w:w="3060" w:type="dxa"/>
            <w:vAlign w:val="bottom"/>
            <w:tcBorders>
              <w:right w:val="single" w:sz="8" w:color="007CBA"/>
            </w:tcBorders>
          </w:tcPr>
          <w:p>
            <w:pPr>
              <w:ind w:left="20"/>
              <w:spacing w:after="0" w:line="164" w:lineRule="exact"/>
              <w:rPr>
                <w:sz w:val="20"/>
                <w:szCs w:val="20"/>
                <w:color w:val="auto"/>
              </w:rPr>
            </w:pPr>
            <w:r>
              <w:rPr>
                <w:rFonts w:ascii="Calibri" w:cs="Calibri" w:eastAsia="Calibri" w:hAnsi="Calibri"/>
                <w:sz w:val="14"/>
                <w:szCs w:val="14"/>
                <w:color w:val="auto"/>
              </w:rPr>
              <w:t>Balance at December 31, 2019</w:t>
            </w:r>
          </w:p>
        </w:tc>
        <w:tc>
          <w:tcPr>
            <w:tcW w:w="120" w:type="dxa"/>
            <w:vAlign w:val="bottom"/>
            <w:shd w:val="clear" w:color="auto" w:fill="DEEAEB"/>
          </w:tcPr>
          <w:p>
            <w:pPr>
              <w:spacing w:after="0"/>
              <w:rPr>
                <w:sz w:val="14"/>
                <w:szCs w:val="14"/>
                <w:color w:val="auto"/>
              </w:rPr>
            </w:pPr>
          </w:p>
        </w:tc>
        <w:tc>
          <w:tcPr>
            <w:tcW w:w="560" w:type="dxa"/>
            <w:vAlign w:val="bottom"/>
            <w:shd w:val="clear" w:color="auto" w:fill="DEEAEB"/>
          </w:tcPr>
          <w:p>
            <w:pPr>
              <w:jc w:val="right"/>
              <w:spacing w:after="0" w:line="164" w:lineRule="exact"/>
              <w:rPr>
                <w:sz w:val="20"/>
                <w:szCs w:val="20"/>
                <w:color w:val="auto"/>
              </w:rPr>
            </w:pPr>
            <w:r>
              <w:rPr>
                <w:rFonts w:ascii="Calibri" w:cs="Calibri" w:eastAsia="Calibri" w:hAnsi="Calibri"/>
                <w:sz w:val="14"/>
                <w:szCs w:val="14"/>
                <w:color w:val="auto"/>
              </w:rPr>
              <w:t>62.4</w:t>
            </w:r>
          </w:p>
        </w:tc>
        <w:tc>
          <w:tcPr>
            <w:tcW w:w="120" w:type="dxa"/>
            <w:vAlign w:val="bottom"/>
            <w:tcBorders>
              <w:right w:val="single" w:sz="8" w:color="007CBA"/>
            </w:tcBorders>
            <w:shd w:val="clear" w:color="auto" w:fill="DEEAEB"/>
          </w:tcPr>
          <w:p>
            <w:pPr>
              <w:spacing w:after="0"/>
              <w:rPr>
                <w:sz w:val="14"/>
                <w:szCs w:val="14"/>
                <w:color w:val="auto"/>
              </w:rPr>
            </w:pPr>
          </w:p>
        </w:tc>
        <w:tc>
          <w:tcPr>
            <w:tcW w:w="220" w:type="dxa"/>
            <w:vAlign w:val="bottom"/>
            <w:shd w:val="clear" w:color="auto" w:fill="DEEAEB"/>
          </w:tcPr>
          <w:p>
            <w:pPr>
              <w:jc w:val="right"/>
              <w:spacing w:after="0" w:line="164" w:lineRule="exact"/>
              <w:rPr>
                <w:sz w:val="20"/>
                <w:szCs w:val="20"/>
                <w:color w:val="auto"/>
              </w:rPr>
            </w:pPr>
            <w:r>
              <w:rPr>
                <w:rFonts w:ascii="Calibri" w:cs="Calibri" w:eastAsia="Calibri" w:hAnsi="Calibri"/>
                <w:sz w:val="14"/>
                <w:szCs w:val="14"/>
                <w:color w:val="auto"/>
              </w:rPr>
              <w:t>$</w:t>
            </w:r>
          </w:p>
        </w:tc>
        <w:tc>
          <w:tcPr>
            <w:tcW w:w="700" w:type="dxa"/>
            <w:vAlign w:val="bottom"/>
            <w:shd w:val="clear" w:color="auto" w:fill="DEEAEB"/>
          </w:tcPr>
          <w:p>
            <w:pPr>
              <w:jc w:val="right"/>
              <w:spacing w:after="0" w:line="164" w:lineRule="exact"/>
              <w:rPr>
                <w:sz w:val="20"/>
                <w:szCs w:val="20"/>
                <w:color w:val="auto"/>
              </w:rPr>
            </w:pPr>
            <w:r>
              <w:rPr>
                <w:rFonts w:ascii="Calibri" w:cs="Calibri" w:eastAsia="Calibri" w:hAnsi="Calibri"/>
                <w:sz w:val="14"/>
                <w:szCs w:val="14"/>
                <w:color w:val="auto"/>
              </w:rPr>
              <w:t>0.6</w:t>
            </w:r>
          </w:p>
        </w:tc>
        <w:tc>
          <w:tcPr>
            <w:tcW w:w="140" w:type="dxa"/>
            <w:vAlign w:val="bottom"/>
            <w:tcBorders>
              <w:right w:val="single" w:sz="8" w:color="007CBA"/>
            </w:tcBorders>
            <w:shd w:val="clear" w:color="auto" w:fill="DEEAEB"/>
          </w:tcPr>
          <w:p>
            <w:pPr>
              <w:spacing w:after="0"/>
              <w:rPr>
                <w:sz w:val="14"/>
                <w:szCs w:val="14"/>
                <w:color w:val="auto"/>
              </w:rPr>
            </w:pPr>
          </w:p>
        </w:tc>
        <w:tc>
          <w:tcPr>
            <w:tcW w:w="200" w:type="dxa"/>
            <w:vAlign w:val="bottom"/>
            <w:shd w:val="clear" w:color="auto" w:fill="DEEAEB"/>
          </w:tcPr>
          <w:p>
            <w:pPr>
              <w:jc w:val="right"/>
              <w:spacing w:after="0" w:line="164" w:lineRule="exact"/>
              <w:rPr>
                <w:sz w:val="20"/>
                <w:szCs w:val="20"/>
                <w:color w:val="auto"/>
              </w:rPr>
            </w:pPr>
            <w:r>
              <w:rPr>
                <w:rFonts w:ascii="Calibri" w:cs="Calibri" w:eastAsia="Calibri" w:hAnsi="Calibri"/>
                <w:sz w:val="14"/>
                <w:szCs w:val="14"/>
                <w:color w:val="auto"/>
              </w:rPr>
              <w:t>$</w:t>
            </w:r>
          </w:p>
        </w:tc>
        <w:tc>
          <w:tcPr>
            <w:tcW w:w="740" w:type="dxa"/>
            <w:vAlign w:val="bottom"/>
            <w:gridSpan w:val="2"/>
            <w:shd w:val="clear" w:color="auto" w:fill="DEEAEB"/>
          </w:tcPr>
          <w:p>
            <w:pPr>
              <w:jc w:val="right"/>
              <w:spacing w:after="0" w:line="164" w:lineRule="exact"/>
              <w:rPr>
                <w:sz w:val="20"/>
                <w:szCs w:val="20"/>
                <w:color w:val="auto"/>
              </w:rPr>
            </w:pPr>
            <w:r>
              <w:rPr>
                <w:rFonts w:ascii="Calibri" w:cs="Calibri" w:eastAsia="Calibri" w:hAnsi="Calibri"/>
                <w:sz w:val="14"/>
                <w:szCs w:val="14"/>
                <w:color w:val="auto"/>
              </w:rPr>
              <w:t>3,418.8</w:t>
            </w:r>
          </w:p>
        </w:tc>
        <w:tc>
          <w:tcPr>
            <w:tcW w:w="120" w:type="dxa"/>
            <w:vAlign w:val="bottom"/>
            <w:tcBorders>
              <w:right w:val="single" w:sz="8" w:color="007CBA"/>
            </w:tcBorders>
            <w:shd w:val="clear" w:color="auto" w:fill="DEEAEB"/>
          </w:tcPr>
          <w:p>
            <w:pPr>
              <w:spacing w:after="0"/>
              <w:rPr>
                <w:sz w:val="14"/>
                <w:szCs w:val="14"/>
                <w:color w:val="auto"/>
              </w:rPr>
            </w:pPr>
          </w:p>
        </w:tc>
        <w:tc>
          <w:tcPr>
            <w:tcW w:w="240" w:type="dxa"/>
            <w:vAlign w:val="bottom"/>
            <w:shd w:val="clear" w:color="auto" w:fill="DEEAEB"/>
          </w:tcPr>
          <w:p>
            <w:pPr>
              <w:jc w:val="right"/>
              <w:spacing w:after="0" w:line="164" w:lineRule="exact"/>
              <w:rPr>
                <w:sz w:val="20"/>
                <w:szCs w:val="20"/>
                <w:color w:val="auto"/>
              </w:rPr>
            </w:pPr>
            <w:r>
              <w:rPr>
                <w:rFonts w:ascii="Calibri" w:cs="Calibri" w:eastAsia="Calibri" w:hAnsi="Calibri"/>
                <w:sz w:val="14"/>
                <w:szCs w:val="14"/>
                <w:color w:val="auto"/>
              </w:rPr>
              <w:t>$</w:t>
            </w:r>
          </w:p>
        </w:tc>
        <w:tc>
          <w:tcPr>
            <w:tcW w:w="940" w:type="dxa"/>
            <w:vAlign w:val="bottom"/>
            <w:tcBorders>
              <w:right w:val="single" w:sz="8" w:color="007CBA"/>
            </w:tcBorders>
            <w:gridSpan w:val="2"/>
            <w:shd w:val="clear" w:color="auto" w:fill="DEEAEB"/>
          </w:tcPr>
          <w:p>
            <w:pPr>
              <w:jc w:val="right"/>
              <w:spacing w:after="0" w:line="164" w:lineRule="exact"/>
              <w:rPr>
                <w:sz w:val="20"/>
                <w:szCs w:val="20"/>
                <w:color w:val="auto"/>
              </w:rPr>
            </w:pPr>
            <w:r>
              <w:rPr>
                <w:rFonts w:ascii="Calibri" w:cs="Calibri" w:eastAsia="Calibri" w:hAnsi="Calibri"/>
                <w:sz w:val="14"/>
                <w:szCs w:val="14"/>
                <w:color w:val="auto"/>
              </w:rPr>
              <w:t>(145.8 )</w:t>
            </w:r>
          </w:p>
        </w:tc>
        <w:tc>
          <w:tcPr>
            <w:tcW w:w="220" w:type="dxa"/>
            <w:vAlign w:val="bottom"/>
            <w:shd w:val="clear" w:color="auto" w:fill="DEEAEB"/>
          </w:tcPr>
          <w:p>
            <w:pPr>
              <w:jc w:val="right"/>
              <w:spacing w:after="0" w:line="164" w:lineRule="exact"/>
              <w:rPr>
                <w:sz w:val="20"/>
                <w:szCs w:val="20"/>
                <w:color w:val="auto"/>
              </w:rPr>
            </w:pPr>
            <w:r>
              <w:rPr>
                <w:rFonts w:ascii="Calibri" w:cs="Calibri" w:eastAsia="Calibri" w:hAnsi="Calibri"/>
                <w:sz w:val="14"/>
                <w:szCs w:val="14"/>
                <w:color w:val="auto"/>
              </w:rPr>
              <w:t>$</w:t>
            </w:r>
          </w:p>
        </w:tc>
        <w:tc>
          <w:tcPr>
            <w:tcW w:w="680" w:type="dxa"/>
            <w:vAlign w:val="bottom"/>
            <w:shd w:val="clear" w:color="auto" w:fill="DEEAEB"/>
          </w:tcPr>
          <w:p>
            <w:pPr>
              <w:jc w:val="right"/>
              <w:spacing w:after="0" w:line="164" w:lineRule="exact"/>
              <w:rPr>
                <w:sz w:val="20"/>
                <w:szCs w:val="20"/>
                <w:color w:val="auto"/>
              </w:rPr>
            </w:pPr>
            <w:r>
              <w:rPr>
                <w:rFonts w:ascii="Calibri" w:cs="Calibri" w:eastAsia="Calibri" w:hAnsi="Calibri"/>
                <w:sz w:val="14"/>
                <w:szCs w:val="14"/>
                <w:color w:val="auto"/>
              </w:rPr>
              <w:t>2,077.2</w:t>
            </w:r>
          </w:p>
        </w:tc>
        <w:tc>
          <w:tcPr>
            <w:tcW w:w="120" w:type="dxa"/>
            <w:vAlign w:val="bottom"/>
            <w:tcBorders>
              <w:right w:val="single" w:sz="8" w:color="007CBA"/>
            </w:tcBorders>
            <w:shd w:val="clear" w:color="auto" w:fill="DEEAEB"/>
          </w:tcPr>
          <w:p>
            <w:pPr>
              <w:spacing w:after="0"/>
              <w:rPr>
                <w:sz w:val="14"/>
                <w:szCs w:val="14"/>
                <w:color w:val="auto"/>
              </w:rPr>
            </w:pPr>
          </w:p>
        </w:tc>
        <w:tc>
          <w:tcPr>
            <w:tcW w:w="220" w:type="dxa"/>
            <w:vAlign w:val="bottom"/>
            <w:shd w:val="clear" w:color="auto" w:fill="DEEAEB"/>
          </w:tcPr>
          <w:p>
            <w:pPr>
              <w:jc w:val="right"/>
              <w:spacing w:after="0" w:line="164" w:lineRule="exact"/>
              <w:rPr>
                <w:sz w:val="20"/>
                <w:szCs w:val="20"/>
                <w:color w:val="auto"/>
              </w:rPr>
            </w:pPr>
            <w:r>
              <w:rPr>
                <w:rFonts w:ascii="Calibri" w:cs="Calibri" w:eastAsia="Calibri" w:hAnsi="Calibri"/>
                <w:sz w:val="14"/>
                <w:szCs w:val="14"/>
                <w:color w:val="auto"/>
              </w:rPr>
              <w:t>$</w:t>
            </w:r>
          </w:p>
        </w:tc>
        <w:tc>
          <w:tcPr>
            <w:tcW w:w="680" w:type="dxa"/>
            <w:vAlign w:val="bottom"/>
            <w:shd w:val="clear" w:color="auto" w:fill="DEEAEB"/>
          </w:tcPr>
          <w:p>
            <w:pPr>
              <w:jc w:val="right"/>
              <w:spacing w:after="0" w:line="164" w:lineRule="exact"/>
              <w:rPr>
                <w:sz w:val="20"/>
                <w:szCs w:val="20"/>
                <w:color w:val="auto"/>
              </w:rPr>
            </w:pPr>
            <w:r>
              <w:rPr>
                <w:rFonts w:ascii="Calibri" w:cs="Calibri" w:eastAsia="Calibri" w:hAnsi="Calibri"/>
                <w:sz w:val="14"/>
                <w:szCs w:val="14"/>
                <w:color w:val="auto"/>
              </w:rPr>
              <w:t>5,350.8</w:t>
            </w:r>
          </w:p>
        </w:tc>
        <w:tc>
          <w:tcPr>
            <w:tcW w:w="120" w:type="dxa"/>
            <w:vAlign w:val="bottom"/>
            <w:tcBorders>
              <w:right w:val="single" w:sz="8" w:color="007CBA"/>
            </w:tcBorders>
            <w:shd w:val="clear" w:color="auto" w:fill="DEEAEB"/>
          </w:tcPr>
          <w:p>
            <w:pPr>
              <w:spacing w:after="0"/>
              <w:rPr>
                <w:sz w:val="14"/>
                <w:szCs w:val="14"/>
                <w:color w:val="auto"/>
              </w:rPr>
            </w:pPr>
          </w:p>
        </w:tc>
        <w:tc>
          <w:tcPr>
            <w:tcW w:w="200" w:type="dxa"/>
            <w:vAlign w:val="bottom"/>
            <w:shd w:val="clear" w:color="auto" w:fill="DEEAEB"/>
          </w:tcPr>
          <w:p>
            <w:pPr>
              <w:ind w:left="100"/>
              <w:spacing w:after="0" w:line="164" w:lineRule="exact"/>
              <w:rPr>
                <w:sz w:val="20"/>
                <w:szCs w:val="20"/>
                <w:color w:val="auto"/>
              </w:rPr>
            </w:pPr>
            <w:r>
              <w:rPr>
                <w:rFonts w:ascii="Calibri" w:cs="Calibri" w:eastAsia="Calibri" w:hAnsi="Calibri"/>
                <w:sz w:val="14"/>
                <w:szCs w:val="14"/>
                <w:color w:val="auto"/>
              </w:rPr>
              <w:t>$</w:t>
            </w:r>
          </w:p>
        </w:tc>
        <w:tc>
          <w:tcPr>
            <w:tcW w:w="700" w:type="dxa"/>
            <w:vAlign w:val="bottom"/>
            <w:shd w:val="clear" w:color="auto" w:fill="DEEAEB"/>
          </w:tcPr>
          <w:p>
            <w:pPr>
              <w:jc w:val="right"/>
              <w:spacing w:after="0" w:line="164" w:lineRule="exact"/>
              <w:rPr>
                <w:sz w:val="20"/>
                <w:szCs w:val="20"/>
                <w:color w:val="auto"/>
              </w:rPr>
            </w:pPr>
            <w:r>
              <w:rPr>
                <w:rFonts w:ascii="Calibri" w:cs="Calibri" w:eastAsia="Calibri" w:hAnsi="Calibri"/>
                <w:sz w:val="14"/>
                <w:szCs w:val="14"/>
                <w:color w:val="auto"/>
              </w:rPr>
              <w:t>2.5</w:t>
            </w:r>
          </w:p>
        </w:tc>
        <w:tc>
          <w:tcPr>
            <w:tcW w:w="100" w:type="dxa"/>
            <w:vAlign w:val="bottom"/>
            <w:tcBorders>
              <w:right w:val="single" w:sz="8" w:color="007CBA"/>
            </w:tcBorders>
            <w:shd w:val="clear" w:color="auto" w:fill="DEEAEB"/>
          </w:tcPr>
          <w:p>
            <w:pPr>
              <w:spacing w:after="0"/>
              <w:rPr>
                <w:sz w:val="14"/>
                <w:szCs w:val="14"/>
                <w:color w:val="auto"/>
              </w:rPr>
            </w:pPr>
          </w:p>
        </w:tc>
        <w:tc>
          <w:tcPr>
            <w:tcW w:w="220" w:type="dxa"/>
            <w:vAlign w:val="bottom"/>
            <w:shd w:val="clear" w:color="auto" w:fill="DEEAEB"/>
          </w:tcPr>
          <w:p>
            <w:pPr>
              <w:jc w:val="right"/>
              <w:spacing w:after="0" w:line="164" w:lineRule="exact"/>
              <w:rPr>
                <w:sz w:val="20"/>
                <w:szCs w:val="20"/>
                <w:color w:val="auto"/>
              </w:rPr>
            </w:pPr>
            <w:r>
              <w:rPr>
                <w:rFonts w:ascii="Calibri" w:cs="Calibri" w:eastAsia="Calibri" w:hAnsi="Calibri"/>
                <w:sz w:val="14"/>
                <w:szCs w:val="14"/>
                <w:color w:val="auto"/>
              </w:rPr>
              <w:t>$</w:t>
            </w:r>
          </w:p>
        </w:tc>
        <w:tc>
          <w:tcPr>
            <w:tcW w:w="720" w:type="dxa"/>
            <w:vAlign w:val="bottom"/>
            <w:shd w:val="clear" w:color="auto" w:fill="DEEAEB"/>
          </w:tcPr>
          <w:p>
            <w:pPr>
              <w:jc w:val="right"/>
              <w:spacing w:after="0" w:line="164" w:lineRule="exact"/>
              <w:rPr>
                <w:sz w:val="20"/>
                <w:szCs w:val="20"/>
                <w:color w:val="auto"/>
              </w:rPr>
            </w:pPr>
            <w:r>
              <w:rPr>
                <w:rFonts w:ascii="Calibri" w:cs="Calibri" w:eastAsia="Calibri" w:hAnsi="Calibri"/>
                <w:sz w:val="14"/>
                <w:szCs w:val="14"/>
                <w:color w:val="auto"/>
              </w:rPr>
              <w:t>5,353.3</w:t>
            </w:r>
          </w:p>
        </w:tc>
        <w:tc>
          <w:tcPr>
            <w:tcW w:w="100" w:type="dxa"/>
            <w:vAlign w:val="bottom"/>
            <w:tcBorders>
              <w:right w:val="single" w:sz="8" w:color="DEEAEB"/>
            </w:tcBorders>
            <w:shd w:val="clear" w:color="auto" w:fill="DEEAEB"/>
          </w:tcPr>
          <w:p>
            <w:pPr>
              <w:spacing w:after="0"/>
              <w:rPr>
                <w:sz w:val="14"/>
                <w:szCs w:val="14"/>
                <w:color w:val="auto"/>
              </w:rPr>
            </w:pPr>
          </w:p>
        </w:tc>
      </w:tr>
      <w:tr>
        <w:trPr>
          <w:trHeight w:val="202"/>
        </w:trPr>
        <w:tc>
          <w:tcPr>
            <w:tcW w:w="306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color w:val="auto"/>
              </w:rPr>
              <w:t>Consolidated net earnings</w:t>
            </w:r>
          </w:p>
        </w:tc>
        <w:tc>
          <w:tcPr>
            <w:tcW w:w="120" w:type="dxa"/>
            <w:vAlign w:val="bottom"/>
            <w:shd w:val="clear" w:color="auto" w:fill="DEEAEB"/>
          </w:tcPr>
          <w:p>
            <w:pPr>
              <w:spacing w:after="0"/>
              <w:rPr>
                <w:sz w:val="17"/>
                <w:szCs w:val="17"/>
                <w:color w:val="auto"/>
              </w:rPr>
            </w:pPr>
          </w:p>
        </w:tc>
        <w:tc>
          <w:tcPr>
            <w:tcW w:w="56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7"/>
                <w:szCs w:val="17"/>
                <w:color w:val="auto"/>
              </w:rPr>
            </w:pPr>
          </w:p>
        </w:tc>
        <w:tc>
          <w:tcPr>
            <w:tcW w:w="220" w:type="dxa"/>
            <w:vAlign w:val="bottom"/>
            <w:shd w:val="clear" w:color="auto" w:fill="DEEAEB"/>
          </w:tcPr>
          <w:p>
            <w:pPr>
              <w:spacing w:after="0"/>
              <w:rPr>
                <w:sz w:val="17"/>
                <w:szCs w:val="17"/>
                <w:color w:val="auto"/>
              </w:rPr>
            </w:pPr>
          </w:p>
        </w:tc>
        <w:tc>
          <w:tcPr>
            <w:tcW w:w="840" w:type="dxa"/>
            <w:vAlign w:val="bottom"/>
            <w:tcBorders>
              <w:right w:val="single" w:sz="8" w:color="007CBA"/>
            </w:tcBorders>
            <w:gridSpan w:val="2"/>
            <w:shd w:val="clear" w:color="auto" w:fill="DEEAEB"/>
          </w:tcPr>
          <w:p>
            <w:pPr>
              <w:jc w:val="right"/>
              <w:ind w:right="140"/>
              <w:spacing w:after="0"/>
              <w:rPr>
                <w:sz w:val="20"/>
                <w:szCs w:val="20"/>
                <w:color w:val="auto"/>
              </w:rPr>
            </w:pPr>
            <w:r>
              <w:rPr>
                <w:rFonts w:ascii="Calibri" w:cs="Calibri" w:eastAsia="Calibri" w:hAnsi="Calibri"/>
                <w:sz w:val="14"/>
                <w:szCs w:val="14"/>
                <w:color w:val="auto"/>
              </w:rPr>
              <w:t>—</w:t>
            </w:r>
          </w:p>
        </w:tc>
        <w:tc>
          <w:tcPr>
            <w:tcW w:w="200" w:type="dxa"/>
            <w:vAlign w:val="bottom"/>
            <w:shd w:val="clear" w:color="auto" w:fill="DEEAEB"/>
          </w:tcPr>
          <w:p>
            <w:pPr>
              <w:spacing w:after="0"/>
              <w:rPr>
                <w:sz w:val="17"/>
                <w:szCs w:val="17"/>
                <w:color w:val="auto"/>
              </w:rPr>
            </w:pPr>
          </w:p>
        </w:tc>
        <w:tc>
          <w:tcPr>
            <w:tcW w:w="40" w:type="dxa"/>
            <w:vAlign w:val="bottom"/>
            <w:shd w:val="clear" w:color="auto" w:fill="DEEAEB"/>
          </w:tcPr>
          <w:p>
            <w:pPr>
              <w:spacing w:after="0"/>
              <w:rPr>
                <w:sz w:val="17"/>
                <w:szCs w:val="17"/>
                <w:color w:val="auto"/>
              </w:rPr>
            </w:pPr>
          </w:p>
        </w:tc>
        <w:tc>
          <w:tcPr>
            <w:tcW w:w="820" w:type="dxa"/>
            <w:vAlign w:val="bottom"/>
            <w:tcBorders>
              <w:right w:val="single" w:sz="8" w:color="007CBA"/>
            </w:tcBorders>
            <w:gridSpan w:val="2"/>
            <w:shd w:val="clear" w:color="auto" w:fill="DEEAEB"/>
          </w:tcPr>
          <w:p>
            <w:pPr>
              <w:jc w:val="right"/>
              <w:ind w:right="68"/>
              <w:spacing w:after="0"/>
              <w:rPr>
                <w:sz w:val="20"/>
                <w:szCs w:val="20"/>
                <w:color w:val="auto"/>
              </w:rPr>
            </w:pPr>
            <w:r>
              <w:rPr>
                <w:rFonts w:ascii="Calibri" w:cs="Calibri" w:eastAsia="Calibri" w:hAnsi="Calibri"/>
                <w:sz w:val="14"/>
                <w:szCs w:val="14"/>
                <w:color w:val="auto"/>
              </w:rPr>
              <w:t>—</w:t>
            </w:r>
          </w:p>
        </w:tc>
        <w:tc>
          <w:tcPr>
            <w:tcW w:w="240" w:type="dxa"/>
            <w:vAlign w:val="bottom"/>
            <w:shd w:val="clear" w:color="auto" w:fill="DEEAEB"/>
          </w:tcPr>
          <w:p>
            <w:pPr>
              <w:spacing w:after="0"/>
              <w:rPr>
                <w:sz w:val="17"/>
                <w:szCs w:val="17"/>
                <w:color w:val="auto"/>
              </w:rPr>
            </w:pPr>
          </w:p>
        </w:tc>
        <w:tc>
          <w:tcPr>
            <w:tcW w:w="940" w:type="dxa"/>
            <w:vAlign w:val="bottom"/>
            <w:tcBorders>
              <w:right w:val="single" w:sz="8" w:color="007CBA"/>
            </w:tcBorders>
            <w:gridSpan w:val="2"/>
            <w:shd w:val="clear" w:color="auto" w:fill="DEEAEB"/>
          </w:tcPr>
          <w:p>
            <w:pPr>
              <w:jc w:val="right"/>
              <w:ind w:right="48"/>
              <w:spacing w:after="0"/>
              <w:rPr>
                <w:sz w:val="20"/>
                <w:szCs w:val="20"/>
                <w:color w:val="auto"/>
              </w:rPr>
            </w:pPr>
            <w:r>
              <w:rPr>
                <w:rFonts w:ascii="Calibri" w:cs="Calibri" w:eastAsia="Calibri" w:hAnsi="Calibri"/>
                <w:sz w:val="14"/>
                <w:szCs w:val="14"/>
                <w:color w:val="auto"/>
              </w:rPr>
              <w:t>—</w:t>
            </w:r>
          </w:p>
        </w:tc>
        <w:tc>
          <w:tcPr>
            <w:tcW w:w="220" w:type="dxa"/>
            <w:vAlign w:val="bottom"/>
            <w:shd w:val="clear" w:color="auto" w:fill="DEEAEB"/>
          </w:tcPr>
          <w:p>
            <w:pPr>
              <w:spacing w:after="0"/>
              <w:rPr>
                <w:sz w:val="17"/>
                <w:szCs w:val="17"/>
                <w:color w:val="auto"/>
              </w:rPr>
            </w:pPr>
          </w:p>
        </w:tc>
        <w:tc>
          <w:tcPr>
            <w:tcW w:w="6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721.0</w:t>
            </w:r>
          </w:p>
        </w:tc>
        <w:tc>
          <w:tcPr>
            <w:tcW w:w="120" w:type="dxa"/>
            <w:vAlign w:val="bottom"/>
            <w:tcBorders>
              <w:right w:val="single" w:sz="8" w:color="007CBA"/>
            </w:tcBorders>
            <w:shd w:val="clear" w:color="auto" w:fill="DEEAEB"/>
          </w:tcPr>
          <w:p>
            <w:pPr>
              <w:spacing w:after="0"/>
              <w:rPr>
                <w:sz w:val="17"/>
                <w:szCs w:val="17"/>
                <w:color w:val="auto"/>
              </w:rPr>
            </w:pPr>
          </w:p>
        </w:tc>
        <w:tc>
          <w:tcPr>
            <w:tcW w:w="220" w:type="dxa"/>
            <w:vAlign w:val="bottom"/>
            <w:shd w:val="clear" w:color="auto" w:fill="DEEAEB"/>
          </w:tcPr>
          <w:p>
            <w:pPr>
              <w:spacing w:after="0"/>
              <w:rPr>
                <w:sz w:val="17"/>
                <w:szCs w:val="17"/>
                <w:color w:val="auto"/>
              </w:rPr>
            </w:pPr>
          </w:p>
        </w:tc>
        <w:tc>
          <w:tcPr>
            <w:tcW w:w="6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721.0</w:t>
            </w:r>
          </w:p>
        </w:tc>
        <w:tc>
          <w:tcPr>
            <w:tcW w:w="120" w:type="dxa"/>
            <w:vAlign w:val="bottom"/>
            <w:tcBorders>
              <w:right w:val="single" w:sz="8" w:color="007CBA"/>
            </w:tcBorders>
            <w:shd w:val="clear" w:color="auto" w:fill="DEEAEB"/>
          </w:tcPr>
          <w:p>
            <w:pPr>
              <w:spacing w:after="0"/>
              <w:rPr>
                <w:sz w:val="17"/>
                <w:szCs w:val="17"/>
                <w:color w:val="auto"/>
              </w:rPr>
            </w:pPr>
          </w:p>
        </w:tc>
        <w:tc>
          <w:tcPr>
            <w:tcW w:w="200" w:type="dxa"/>
            <w:vAlign w:val="bottom"/>
            <w:shd w:val="clear" w:color="auto" w:fill="DEEAEB"/>
          </w:tcPr>
          <w:p>
            <w:pPr>
              <w:spacing w:after="0"/>
              <w:rPr>
                <w:sz w:val="17"/>
                <w:szCs w:val="17"/>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0.1</w:t>
            </w:r>
          </w:p>
        </w:tc>
        <w:tc>
          <w:tcPr>
            <w:tcW w:w="100" w:type="dxa"/>
            <w:vAlign w:val="bottom"/>
            <w:tcBorders>
              <w:right w:val="single" w:sz="8" w:color="007CBA"/>
            </w:tcBorders>
            <w:shd w:val="clear" w:color="auto" w:fill="DEEAEB"/>
          </w:tcPr>
          <w:p>
            <w:pPr>
              <w:spacing w:after="0"/>
              <w:rPr>
                <w:sz w:val="17"/>
                <w:szCs w:val="17"/>
                <w:color w:val="auto"/>
              </w:rPr>
            </w:pPr>
          </w:p>
        </w:tc>
        <w:tc>
          <w:tcPr>
            <w:tcW w:w="220" w:type="dxa"/>
            <w:vAlign w:val="bottom"/>
            <w:shd w:val="clear" w:color="auto" w:fill="DEEAEB"/>
          </w:tcPr>
          <w:p>
            <w:pPr>
              <w:spacing w:after="0"/>
              <w:rPr>
                <w:sz w:val="17"/>
                <w:szCs w:val="17"/>
                <w:color w:val="auto"/>
              </w:rPr>
            </w:pPr>
          </w:p>
        </w:tc>
        <w:tc>
          <w:tcPr>
            <w:tcW w:w="72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721.1</w:t>
            </w:r>
          </w:p>
        </w:tc>
        <w:tc>
          <w:tcPr>
            <w:tcW w:w="100" w:type="dxa"/>
            <w:vAlign w:val="bottom"/>
            <w:tcBorders>
              <w:right w:val="single" w:sz="8" w:color="DEEAEB"/>
            </w:tcBorders>
            <w:shd w:val="clear" w:color="auto" w:fill="DEEAEB"/>
          </w:tcPr>
          <w:p>
            <w:pPr>
              <w:spacing w:after="0"/>
              <w:rPr>
                <w:sz w:val="17"/>
                <w:szCs w:val="17"/>
                <w:color w:val="auto"/>
              </w:rPr>
            </w:pPr>
          </w:p>
        </w:tc>
      </w:tr>
      <w:tr>
        <w:trPr>
          <w:trHeight w:val="203"/>
        </w:trPr>
        <w:tc>
          <w:tcPr>
            <w:tcW w:w="306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color w:val="auto"/>
              </w:rPr>
              <w:t>Other comprehensive loss</w:t>
            </w:r>
          </w:p>
        </w:tc>
        <w:tc>
          <w:tcPr>
            <w:tcW w:w="120" w:type="dxa"/>
            <w:vAlign w:val="bottom"/>
            <w:shd w:val="clear" w:color="auto" w:fill="DEEAEB"/>
          </w:tcPr>
          <w:p>
            <w:pPr>
              <w:spacing w:after="0"/>
              <w:rPr>
                <w:sz w:val="17"/>
                <w:szCs w:val="17"/>
                <w:color w:val="auto"/>
              </w:rPr>
            </w:pPr>
          </w:p>
        </w:tc>
        <w:tc>
          <w:tcPr>
            <w:tcW w:w="56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7"/>
                <w:szCs w:val="17"/>
                <w:color w:val="auto"/>
              </w:rPr>
            </w:pPr>
          </w:p>
        </w:tc>
        <w:tc>
          <w:tcPr>
            <w:tcW w:w="220" w:type="dxa"/>
            <w:vAlign w:val="bottom"/>
            <w:shd w:val="clear" w:color="auto" w:fill="DEEAEB"/>
          </w:tcPr>
          <w:p>
            <w:pPr>
              <w:spacing w:after="0"/>
              <w:rPr>
                <w:sz w:val="17"/>
                <w:szCs w:val="17"/>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40" w:type="dxa"/>
            <w:vAlign w:val="bottom"/>
            <w:tcBorders>
              <w:right w:val="single" w:sz="8" w:color="007CBA"/>
            </w:tcBorders>
            <w:shd w:val="clear" w:color="auto" w:fill="DEEAEB"/>
          </w:tcPr>
          <w:p>
            <w:pPr>
              <w:spacing w:after="0"/>
              <w:rPr>
                <w:sz w:val="17"/>
                <w:szCs w:val="17"/>
                <w:color w:val="auto"/>
              </w:rPr>
            </w:pPr>
          </w:p>
        </w:tc>
        <w:tc>
          <w:tcPr>
            <w:tcW w:w="200" w:type="dxa"/>
            <w:vAlign w:val="bottom"/>
            <w:shd w:val="clear" w:color="auto" w:fill="DEEAEB"/>
          </w:tcPr>
          <w:p>
            <w:pPr>
              <w:spacing w:after="0"/>
              <w:rPr>
                <w:sz w:val="17"/>
                <w:szCs w:val="17"/>
                <w:color w:val="auto"/>
              </w:rPr>
            </w:pPr>
          </w:p>
        </w:tc>
        <w:tc>
          <w:tcPr>
            <w:tcW w:w="40" w:type="dxa"/>
            <w:vAlign w:val="bottom"/>
            <w:shd w:val="clear" w:color="auto" w:fill="DEEAEB"/>
          </w:tcPr>
          <w:p>
            <w:pPr>
              <w:spacing w:after="0"/>
              <w:rPr>
                <w:sz w:val="17"/>
                <w:szCs w:val="17"/>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7"/>
                <w:szCs w:val="17"/>
                <w:color w:val="auto"/>
              </w:rPr>
            </w:pPr>
          </w:p>
        </w:tc>
        <w:tc>
          <w:tcPr>
            <w:tcW w:w="240" w:type="dxa"/>
            <w:vAlign w:val="bottom"/>
            <w:shd w:val="clear" w:color="auto" w:fill="DEEAEB"/>
          </w:tcPr>
          <w:p>
            <w:pPr>
              <w:spacing w:after="0"/>
              <w:rPr>
                <w:sz w:val="17"/>
                <w:szCs w:val="17"/>
                <w:color w:val="auto"/>
              </w:rPr>
            </w:pPr>
          </w:p>
        </w:tc>
        <w:tc>
          <w:tcPr>
            <w:tcW w:w="84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(12.6</w:t>
            </w:r>
          </w:p>
        </w:tc>
        <w:tc>
          <w:tcPr>
            <w:tcW w:w="100" w:type="dxa"/>
            <w:vAlign w:val="bottom"/>
            <w:tcBorders>
              <w:right w:val="single" w:sz="8" w:color="007CBA"/>
            </w:tcBorders>
            <w:shd w:val="clear" w:color="auto" w:fill="DEEAEB"/>
          </w:tcPr>
          <w:p>
            <w:pPr>
              <w:jc w:val="right"/>
              <w:spacing w:after="0"/>
              <w:rPr>
                <w:sz w:val="20"/>
                <w:szCs w:val="20"/>
                <w:color w:val="auto"/>
              </w:rPr>
            </w:pPr>
            <w:r>
              <w:rPr>
                <w:rFonts w:ascii="Calibri" w:cs="Calibri" w:eastAsia="Calibri" w:hAnsi="Calibri"/>
                <w:sz w:val="14"/>
                <w:szCs w:val="14"/>
                <w:color w:val="auto"/>
                <w:w w:val="93"/>
              </w:rPr>
              <w:t>)</w:t>
            </w:r>
          </w:p>
        </w:tc>
        <w:tc>
          <w:tcPr>
            <w:tcW w:w="220" w:type="dxa"/>
            <w:vAlign w:val="bottom"/>
            <w:shd w:val="clear" w:color="auto" w:fill="DEEAEB"/>
          </w:tcPr>
          <w:p>
            <w:pPr>
              <w:spacing w:after="0"/>
              <w:rPr>
                <w:sz w:val="17"/>
                <w:szCs w:val="17"/>
                <w:color w:val="auto"/>
              </w:rPr>
            </w:pPr>
          </w:p>
        </w:tc>
        <w:tc>
          <w:tcPr>
            <w:tcW w:w="6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7"/>
                <w:szCs w:val="17"/>
                <w:color w:val="auto"/>
              </w:rPr>
            </w:pPr>
          </w:p>
        </w:tc>
        <w:tc>
          <w:tcPr>
            <w:tcW w:w="220" w:type="dxa"/>
            <w:vAlign w:val="bottom"/>
            <w:shd w:val="clear" w:color="auto" w:fill="DEEAEB"/>
          </w:tcPr>
          <w:p>
            <w:pPr>
              <w:spacing w:after="0"/>
              <w:rPr>
                <w:sz w:val="17"/>
                <w:szCs w:val="17"/>
                <w:color w:val="auto"/>
              </w:rPr>
            </w:pPr>
          </w:p>
        </w:tc>
        <w:tc>
          <w:tcPr>
            <w:tcW w:w="6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(12.6</w:t>
            </w:r>
          </w:p>
        </w:tc>
        <w:tc>
          <w:tcPr>
            <w:tcW w:w="120" w:type="dxa"/>
            <w:vAlign w:val="bottom"/>
            <w:tcBorders>
              <w:right w:val="single" w:sz="8" w:color="007CBA"/>
            </w:tcBorders>
            <w:shd w:val="clear" w:color="auto" w:fill="DEEAEB"/>
          </w:tcPr>
          <w:p>
            <w:pPr>
              <w:jc w:val="right"/>
              <w:spacing w:after="0"/>
              <w:rPr>
                <w:sz w:val="20"/>
                <w:szCs w:val="20"/>
                <w:color w:val="auto"/>
              </w:rPr>
            </w:pPr>
            <w:r>
              <w:rPr>
                <w:rFonts w:ascii="Calibri" w:cs="Calibri" w:eastAsia="Calibri" w:hAnsi="Calibri"/>
                <w:sz w:val="14"/>
                <w:szCs w:val="14"/>
                <w:color w:val="auto"/>
                <w:w w:val="93"/>
              </w:rPr>
              <w:t>)</w:t>
            </w:r>
          </w:p>
        </w:tc>
        <w:tc>
          <w:tcPr>
            <w:tcW w:w="200" w:type="dxa"/>
            <w:vAlign w:val="bottom"/>
            <w:shd w:val="clear" w:color="auto" w:fill="DEEAEB"/>
          </w:tcPr>
          <w:p>
            <w:pPr>
              <w:spacing w:after="0"/>
              <w:rPr>
                <w:sz w:val="17"/>
                <w:szCs w:val="17"/>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right w:val="single" w:sz="8" w:color="007CBA"/>
            </w:tcBorders>
            <w:shd w:val="clear" w:color="auto" w:fill="DEEAEB"/>
          </w:tcPr>
          <w:p>
            <w:pPr>
              <w:spacing w:after="0"/>
              <w:rPr>
                <w:sz w:val="17"/>
                <w:szCs w:val="17"/>
                <w:color w:val="auto"/>
              </w:rPr>
            </w:pPr>
          </w:p>
        </w:tc>
        <w:tc>
          <w:tcPr>
            <w:tcW w:w="220" w:type="dxa"/>
            <w:vAlign w:val="bottom"/>
            <w:shd w:val="clear" w:color="auto" w:fill="DEEAEB"/>
          </w:tcPr>
          <w:p>
            <w:pPr>
              <w:spacing w:after="0"/>
              <w:rPr>
                <w:sz w:val="17"/>
                <w:szCs w:val="17"/>
                <w:color w:val="auto"/>
              </w:rPr>
            </w:pPr>
          </w:p>
        </w:tc>
        <w:tc>
          <w:tcPr>
            <w:tcW w:w="72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(12.6</w:t>
            </w:r>
          </w:p>
        </w:tc>
        <w:tc>
          <w:tcPr>
            <w:tcW w:w="100" w:type="dxa"/>
            <w:vAlign w:val="bottom"/>
            <w:tcBorders>
              <w:right w:val="single" w:sz="8" w:color="DEEAEB"/>
            </w:tcBorders>
            <w:shd w:val="clear" w:color="auto" w:fill="DEEAEB"/>
          </w:tcPr>
          <w:p>
            <w:pPr>
              <w:jc w:val="right"/>
              <w:ind w:right="6"/>
              <w:spacing w:after="0"/>
              <w:rPr>
                <w:sz w:val="20"/>
                <w:szCs w:val="20"/>
                <w:color w:val="auto"/>
              </w:rPr>
            </w:pPr>
            <w:r>
              <w:rPr>
                <w:rFonts w:ascii="Calibri" w:cs="Calibri" w:eastAsia="Calibri" w:hAnsi="Calibri"/>
                <w:sz w:val="9"/>
                <w:szCs w:val="9"/>
                <w:color w:val="auto"/>
                <w:w w:val="71"/>
              </w:rPr>
              <w:t>)</w:t>
            </w:r>
          </w:p>
        </w:tc>
      </w:tr>
      <w:tr>
        <w:trPr>
          <w:trHeight w:val="203"/>
        </w:trPr>
        <w:tc>
          <w:tcPr>
            <w:tcW w:w="306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color w:val="auto"/>
              </w:rPr>
              <w:t>Dividends declared ($2.24 per common share)</w:t>
            </w:r>
          </w:p>
        </w:tc>
        <w:tc>
          <w:tcPr>
            <w:tcW w:w="120" w:type="dxa"/>
            <w:vAlign w:val="bottom"/>
            <w:shd w:val="clear" w:color="auto" w:fill="DEEAEB"/>
          </w:tcPr>
          <w:p>
            <w:pPr>
              <w:spacing w:after="0"/>
              <w:rPr>
                <w:sz w:val="17"/>
                <w:szCs w:val="17"/>
                <w:color w:val="auto"/>
              </w:rPr>
            </w:pPr>
          </w:p>
        </w:tc>
        <w:tc>
          <w:tcPr>
            <w:tcW w:w="56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7"/>
                <w:szCs w:val="17"/>
                <w:color w:val="auto"/>
              </w:rPr>
            </w:pPr>
          </w:p>
        </w:tc>
        <w:tc>
          <w:tcPr>
            <w:tcW w:w="220" w:type="dxa"/>
            <w:vAlign w:val="bottom"/>
            <w:shd w:val="clear" w:color="auto" w:fill="DEEAEB"/>
          </w:tcPr>
          <w:p>
            <w:pPr>
              <w:spacing w:after="0"/>
              <w:rPr>
                <w:sz w:val="17"/>
                <w:szCs w:val="17"/>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40" w:type="dxa"/>
            <w:vAlign w:val="bottom"/>
            <w:tcBorders>
              <w:right w:val="single" w:sz="8" w:color="007CBA"/>
            </w:tcBorders>
            <w:shd w:val="clear" w:color="auto" w:fill="DEEAEB"/>
          </w:tcPr>
          <w:p>
            <w:pPr>
              <w:spacing w:after="0"/>
              <w:rPr>
                <w:sz w:val="17"/>
                <w:szCs w:val="17"/>
                <w:color w:val="auto"/>
              </w:rPr>
            </w:pPr>
          </w:p>
        </w:tc>
        <w:tc>
          <w:tcPr>
            <w:tcW w:w="200" w:type="dxa"/>
            <w:vAlign w:val="bottom"/>
            <w:shd w:val="clear" w:color="auto" w:fill="DEEAEB"/>
          </w:tcPr>
          <w:p>
            <w:pPr>
              <w:spacing w:after="0"/>
              <w:rPr>
                <w:sz w:val="17"/>
                <w:szCs w:val="17"/>
                <w:color w:val="auto"/>
              </w:rPr>
            </w:pPr>
          </w:p>
        </w:tc>
        <w:tc>
          <w:tcPr>
            <w:tcW w:w="40" w:type="dxa"/>
            <w:vAlign w:val="bottom"/>
            <w:shd w:val="clear" w:color="auto" w:fill="DEEAEB"/>
          </w:tcPr>
          <w:p>
            <w:pPr>
              <w:spacing w:after="0"/>
              <w:rPr>
                <w:sz w:val="17"/>
                <w:szCs w:val="17"/>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7"/>
                <w:szCs w:val="17"/>
                <w:color w:val="auto"/>
              </w:rPr>
            </w:pPr>
          </w:p>
        </w:tc>
        <w:tc>
          <w:tcPr>
            <w:tcW w:w="240" w:type="dxa"/>
            <w:vAlign w:val="bottom"/>
            <w:shd w:val="clear" w:color="auto" w:fill="DEEAEB"/>
          </w:tcPr>
          <w:p>
            <w:pPr>
              <w:spacing w:after="0"/>
              <w:rPr>
                <w:sz w:val="17"/>
                <w:szCs w:val="17"/>
                <w:color w:val="auto"/>
              </w:rPr>
            </w:pPr>
          </w:p>
        </w:tc>
        <w:tc>
          <w:tcPr>
            <w:tcW w:w="84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right w:val="single" w:sz="8" w:color="007CBA"/>
            </w:tcBorders>
            <w:shd w:val="clear" w:color="auto" w:fill="DEEAEB"/>
          </w:tcPr>
          <w:p>
            <w:pPr>
              <w:spacing w:after="0"/>
              <w:rPr>
                <w:sz w:val="17"/>
                <w:szCs w:val="17"/>
                <w:color w:val="auto"/>
              </w:rPr>
            </w:pPr>
          </w:p>
        </w:tc>
        <w:tc>
          <w:tcPr>
            <w:tcW w:w="220" w:type="dxa"/>
            <w:vAlign w:val="bottom"/>
            <w:shd w:val="clear" w:color="auto" w:fill="DEEAEB"/>
          </w:tcPr>
          <w:p>
            <w:pPr>
              <w:spacing w:after="0"/>
              <w:rPr>
                <w:sz w:val="17"/>
                <w:szCs w:val="17"/>
                <w:color w:val="auto"/>
              </w:rPr>
            </w:pPr>
          </w:p>
        </w:tc>
        <w:tc>
          <w:tcPr>
            <w:tcW w:w="6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(140.5</w:t>
            </w:r>
          </w:p>
        </w:tc>
        <w:tc>
          <w:tcPr>
            <w:tcW w:w="120" w:type="dxa"/>
            <w:vAlign w:val="bottom"/>
            <w:tcBorders>
              <w:right w:val="single" w:sz="8" w:color="007CBA"/>
            </w:tcBorders>
            <w:shd w:val="clear" w:color="auto" w:fill="DEEAEB"/>
          </w:tcPr>
          <w:p>
            <w:pPr>
              <w:jc w:val="right"/>
              <w:spacing w:after="0"/>
              <w:rPr>
                <w:sz w:val="20"/>
                <w:szCs w:val="20"/>
                <w:color w:val="auto"/>
              </w:rPr>
            </w:pPr>
            <w:r>
              <w:rPr>
                <w:rFonts w:ascii="Calibri" w:cs="Calibri" w:eastAsia="Calibri" w:hAnsi="Calibri"/>
                <w:sz w:val="14"/>
                <w:szCs w:val="14"/>
                <w:color w:val="auto"/>
                <w:w w:val="93"/>
              </w:rPr>
              <w:t>)</w:t>
            </w:r>
          </w:p>
        </w:tc>
        <w:tc>
          <w:tcPr>
            <w:tcW w:w="220" w:type="dxa"/>
            <w:vAlign w:val="bottom"/>
            <w:shd w:val="clear" w:color="auto" w:fill="DEEAEB"/>
          </w:tcPr>
          <w:p>
            <w:pPr>
              <w:spacing w:after="0"/>
              <w:rPr>
                <w:sz w:val="17"/>
                <w:szCs w:val="17"/>
                <w:color w:val="auto"/>
              </w:rPr>
            </w:pPr>
          </w:p>
        </w:tc>
        <w:tc>
          <w:tcPr>
            <w:tcW w:w="6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(140.5</w:t>
            </w:r>
          </w:p>
        </w:tc>
        <w:tc>
          <w:tcPr>
            <w:tcW w:w="120" w:type="dxa"/>
            <w:vAlign w:val="bottom"/>
            <w:tcBorders>
              <w:right w:val="single" w:sz="8" w:color="007CBA"/>
            </w:tcBorders>
            <w:shd w:val="clear" w:color="auto" w:fill="DEEAEB"/>
          </w:tcPr>
          <w:p>
            <w:pPr>
              <w:jc w:val="right"/>
              <w:spacing w:after="0"/>
              <w:rPr>
                <w:sz w:val="20"/>
                <w:szCs w:val="20"/>
                <w:color w:val="auto"/>
              </w:rPr>
            </w:pPr>
            <w:r>
              <w:rPr>
                <w:rFonts w:ascii="Calibri" w:cs="Calibri" w:eastAsia="Calibri" w:hAnsi="Calibri"/>
                <w:sz w:val="14"/>
                <w:szCs w:val="14"/>
                <w:color w:val="auto"/>
                <w:w w:val="93"/>
              </w:rPr>
              <w:t>)</w:t>
            </w:r>
          </w:p>
        </w:tc>
        <w:tc>
          <w:tcPr>
            <w:tcW w:w="200" w:type="dxa"/>
            <w:vAlign w:val="bottom"/>
            <w:shd w:val="clear" w:color="auto" w:fill="DEEAEB"/>
          </w:tcPr>
          <w:p>
            <w:pPr>
              <w:spacing w:after="0"/>
              <w:rPr>
                <w:sz w:val="17"/>
                <w:szCs w:val="17"/>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right w:val="single" w:sz="8" w:color="007CBA"/>
            </w:tcBorders>
            <w:shd w:val="clear" w:color="auto" w:fill="DEEAEB"/>
          </w:tcPr>
          <w:p>
            <w:pPr>
              <w:spacing w:after="0"/>
              <w:rPr>
                <w:sz w:val="17"/>
                <w:szCs w:val="17"/>
                <w:color w:val="auto"/>
              </w:rPr>
            </w:pPr>
          </w:p>
        </w:tc>
        <w:tc>
          <w:tcPr>
            <w:tcW w:w="220" w:type="dxa"/>
            <w:vAlign w:val="bottom"/>
            <w:shd w:val="clear" w:color="auto" w:fill="DEEAEB"/>
          </w:tcPr>
          <w:p>
            <w:pPr>
              <w:spacing w:after="0"/>
              <w:rPr>
                <w:sz w:val="17"/>
                <w:szCs w:val="17"/>
                <w:color w:val="auto"/>
              </w:rPr>
            </w:pPr>
          </w:p>
        </w:tc>
        <w:tc>
          <w:tcPr>
            <w:tcW w:w="72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(140.5</w:t>
            </w:r>
          </w:p>
        </w:tc>
        <w:tc>
          <w:tcPr>
            <w:tcW w:w="100" w:type="dxa"/>
            <w:vAlign w:val="bottom"/>
            <w:tcBorders>
              <w:right w:val="single" w:sz="8" w:color="DEEAEB"/>
            </w:tcBorders>
            <w:shd w:val="clear" w:color="auto" w:fill="DEEAEB"/>
          </w:tcPr>
          <w:p>
            <w:pPr>
              <w:jc w:val="right"/>
              <w:ind w:right="6"/>
              <w:spacing w:after="0"/>
              <w:rPr>
                <w:sz w:val="20"/>
                <w:szCs w:val="20"/>
                <w:color w:val="auto"/>
              </w:rPr>
            </w:pPr>
            <w:r>
              <w:rPr>
                <w:rFonts w:ascii="Calibri" w:cs="Calibri" w:eastAsia="Calibri" w:hAnsi="Calibri"/>
                <w:sz w:val="9"/>
                <w:szCs w:val="9"/>
                <w:color w:val="auto"/>
                <w:w w:val="71"/>
              </w:rPr>
              <w:t>)</w:t>
            </w:r>
          </w:p>
        </w:tc>
      </w:tr>
      <w:tr>
        <w:trPr>
          <w:trHeight w:val="203"/>
        </w:trPr>
        <w:tc>
          <w:tcPr>
            <w:tcW w:w="306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color w:val="auto"/>
              </w:rPr>
              <w:t>Issuances of common stock for stock award</w:t>
            </w:r>
          </w:p>
        </w:tc>
        <w:tc>
          <w:tcPr>
            <w:tcW w:w="120" w:type="dxa"/>
            <w:vAlign w:val="bottom"/>
            <w:shd w:val="clear" w:color="auto" w:fill="DEEAEB"/>
          </w:tcPr>
          <w:p>
            <w:pPr>
              <w:spacing w:after="0"/>
              <w:rPr>
                <w:sz w:val="17"/>
                <w:szCs w:val="17"/>
                <w:color w:val="auto"/>
              </w:rPr>
            </w:pPr>
          </w:p>
        </w:tc>
        <w:tc>
          <w:tcPr>
            <w:tcW w:w="560" w:type="dxa"/>
            <w:vAlign w:val="bottom"/>
            <w:shd w:val="clear" w:color="auto" w:fill="DEEAEB"/>
          </w:tcPr>
          <w:p>
            <w:pPr>
              <w:spacing w:after="0"/>
              <w:rPr>
                <w:sz w:val="17"/>
                <w:szCs w:val="17"/>
                <w:color w:val="auto"/>
              </w:rPr>
            </w:pPr>
          </w:p>
        </w:tc>
        <w:tc>
          <w:tcPr>
            <w:tcW w:w="120" w:type="dxa"/>
            <w:vAlign w:val="bottom"/>
            <w:tcBorders>
              <w:right w:val="single" w:sz="8" w:color="007CBA"/>
            </w:tcBorders>
            <w:shd w:val="clear" w:color="auto" w:fill="DEEAEB"/>
          </w:tcPr>
          <w:p>
            <w:pPr>
              <w:spacing w:after="0"/>
              <w:rPr>
                <w:sz w:val="17"/>
                <w:szCs w:val="17"/>
                <w:color w:val="auto"/>
              </w:rPr>
            </w:pPr>
          </w:p>
        </w:tc>
        <w:tc>
          <w:tcPr>
            <w:tcW w:w="220" w:type="dxa"/>
            <w:vAlign w:val="bottom"/>
            <w:shd w:val="clear" w:color="auto" w:fill="DEEAEB"/>
          </w:tcPr>
          <w:p>
            <w:pPr>
              <w:spacing w:after="0"/>
              <w:rPr>
                <w:sz w:val="17"/>
                <w:szCs w:val="17"/>
                <w:color w:val="auto"/>
              </w:rPr>
            </w:pPr>
          </w:p>
        </w:tc>
        <w:tc>
          <w:tcPr>
            <w:tcW w:w="700" w:type="dxa"/>
            <w:vAlign w:val="bottom"/>
            <w:shd w:val="clear" w:color="auto" w:fill="DEEAEB"/>
          </w:tcPr>
          <w:p>
            <w:pPr>
              <w:spacing w:after="0"/>
              <w:rPr>
                <w:sz w:val="17"/>
                <w:szCs w:val="17"/>
                <w:color w:val="auto"/>
              </w:rPr>
            </w:pPr>
          </w:p>
        </w:tc>
        <w:tc>
          <w:tcPr>
            <w:tcW w:w="140" w:type="dxa"/>
            <w:vAlign w:val="bottom"/>
            <w:tcBorders>
              <w:right w:val="single" w:sz="8" w:color="007CBA"/>
            </w:tcBorders>
            <w:shd w:val="clear" w:color="auto" w:fill="DEEAEB"/>
          </w:tcPr>
          <w:p>
            <w:pPr>
              <w:spacing w:after="0"/>
              <w:rPr>
                <w:sz w:val="17"/>
                <w:szCs w:val="17"/>
                <w:color w:val="auto"/>
              </w:rPr>
            </w:pPr>
          </w:p>
        </w:tc>
        <w:tc>
          <w:tcPr>
            <w:tcW w:w="200" w:type="dxa"/>
            <w:vAlign w:val="bottom"/>
            <w:shd w:val="clear" w:color="auto" w:fill="DEEAEB"/>
          </w:tcPr>
          <w:p>
            <w:pPr>
              <w:spacing w:after="0"/>
              <w:rPr>
                <w:sz w:val="17"/>
                <w:szCs w:val="17"/>
                <w:color w:val="auto"/>
              </w:rPr>
            </w:pPr>
          </w:p>
        </w:tc>
        <w:tc>
          <w:tcPr>
            <w:tcW w:w="40" w:type="dxa"/>
            <w:vAlign w:val="bottom"/>
            <w:shd w:val="clear" w:color="auto" w:fill="DEEAEB"/>
          </w:tcPr>
          <w:p>
            <w:pPr>
              <w:spacing w:after="0"/>
              <w:rPr>
                <w:sz w:val="17"/>
                <w:szCs w:val="17"/>
                <w:color w:val="auto"/>
              </w:rPr>
            </w:pPr>
          </w:p>
        </w:tc>
        <w:tc>
          <w:tcPr>
            <w:tcW w:w="700" w:type="dxa"/>
            <w:vAlign w:val="bottom"/>
            <w:shd w:val="clear" w:color="auto" w:fill="DEEAEB"/>
          </w:tcPr>
          <w:p>
            <w:pPr>
              <w:spacing w:after="0"/>
              <w:rPr>
                <w:sz w:val="17"/>
                <w:szCs w:val="17"/>
                <w:color w:val="auto"/>
              </w:rPr>
            </w:pPr>
          </w:p>
        </w:tc>
        <w:tc>
          <w:tcPr>
            <w:tcW w:w="120" w:type="dxa"/>
            <w:vAlign w:val="bottom"/>
            <w:tcBorders>
              <w:right w:val="single" w:sz="8" w:color="007CBA"/>
            </w:tcBorders>
            <w:shd w:val="clear" w:color="auto" w:fill="DEEAEB"/>
          </w:tcPr>
          <w:p>
            <w:pPr>
              <w:spacing w:after="0"/>
              <w:rPr>
                <w:sz w:val="17"/>
                <w:szCs w:val="17"/>
                <w:color w:val="auto"/>
              </w:rPr>
            </w:pPr>
          </w:p>
        </w:tc>
        <w:tc>
          <w:tcPr>
            <w:tcW w:w="240" w:type="dxa"/>
            <w:vAlign w:val="bottom"/>
            <w:shd w:val="clear" w:color="auto" w:fill="DEEAEB"/>
          </w:tcPr>
          <w:p>
            <w:pPr>
              <w:spacing w:after="0"/>
              <w:rPr>
                <w:sz w:val="17"/>
                <w:szCs w:val="17"/>
                <w:color w:val="auto"/>
              </w:rPr>
            </w:pPr>
          </w:p>
        </w:tc>
        <w:tc>
          <w:tcPr>
            <w:tcW w:w="840" w:type="dxa"/>
            <w:vAlign w:val="bottom"/>
            <w:shd w:val="clear" w:color="auto" w:fill="DEEAEB"/>
          </w:tcPr>
          <w:p>
            <w:pPr>
              <w:spacing w:after="0"/>
              <w:rPr>
                <w:sz w:val="17"/>
                <w:szCs w:val="17"/>
                <w:color w:val="auto"/>
              </w:rPr>
            </w:pPr>
          </w:p>
        </w:tc>
        <w:tc>
          <w:tcPr>
            <w:tcW w:w="100" w:type="dxa"/>
            <w:vAlign w:val="bottom"/>
            <w:tcBorders>
              <w:right w:val="single" w:sz="8" w:color="007CBA"/>
            </w:tcBorders>
            <w:shd w:val="clear" w:color="auto" w:fill="DEEAEB"/>
          </w:tcPr>
          <w:p>
            <w:pPr>
              <w:spacing w:after="0"/>
              <w:rPr>
                <w:sz w:val="17"/>
                <w:szCs w:val="17"/>
                <w:color w:val="auto"/>
              </w:rPr>
            </w:pPr>
          </w:p>
        </w:tc>
        <w:tc>
          <w:tcPr>
            <w:tcW w:w="220" w:type="dxa"/>
            <w:vAlign w:val="bottom"/>
            <w:shd w:val="clear" w:color="auto" w:fill="DEEAEB"/>
          </w:tcPr>
          <w:p>
            <w:pPr>
              <w:spacing w:after="0"/>
              <w:rPr>
                <w:sz w:val="17"/>
                <w:szCs w:val="17"/>
                <w:color w:val="auto"/>
              </w:rPr>
            </w:pPr>
          </w:p>
        </w:tc>
        <w:tc>
          <w:tcPr>
            <w:tcW w:w="680" w:type="dxa"/>
            <w:vAlign w:val="bottom"/>
            <w:shd w:val="clear" w:color="auto" w:fill="DEEAEB"/>
          </w:tcPr>
          <w:p>
            <w:pPr>
              <w:spacing w:after="0"/>
              <w:rPr>
                <w:sz w:val="17"/>
                <w:szCs w:val="17"/>
                <w:color w:val="auto"/>
              </w:rPr>
            </w:pPr>
          </w:p>
        </w:tc>
        <w:tc>
          <w:tcPr>
            <w:tcW w:w="120" w:type="dxa"/>
            <w:vAlign w:val="bottom"/>
            <w:tcBorders>
              <w:right w:val="single" w:sz="8" w:color="007CBA"/>
            </w:tcBorders>
            <w:shd w:val="clear" w:color="auto" w:fill="DEEAEB"/>
          </w:tcPr>
          <w:p>
            <w:pPr>
              <w:spacing w:after="0"/>
              <w:rPr>
                <w:sz w:val="17"/>
                <w:szCs w:val="17"/>
                <w:color w:val="auto"/>
              </w:rPr>
            </w:pPr>
          </w:p>
        </w:tc>
        <w:tc>
          <w:tcPr>
            <w:tcW w:w="220" w:type="dxa"/>
            <w:vAlign w:val="bottom"/>
            <w:shd w:val="clear" w:color="auto" w:fill="DEEAEB"/>
          </w:tcPr>
          <w:p>
            <w:pPr>
              <w:spacing w:after="0"/>
              <w:rPr>
                <w:sz w:val="17"/>
                <w:szCs w:val="17"/>
                <w:color w:val="auto"/>
              </w:rPr>
            </w:pPr>
          </w:p>
        </w:tc>
        <w:tc>
          <w:tcPr>
            <w:tcW w:w="680" w:type="dxa"/>
            <w:vAlign w:val="bottom"/>
            <w:shd w:val="clear" w:color="auto" w:fill="DEEAEB"/>
          </w:tcPr>
          <w:p>
            <w:pPr>
              <w:spacing w:after="0"/>
              <w:rPr>
                <w:sz w:val="17"/>
                <w:szCs w:val="17"/>
                <w:color w:val="auto"/>
              </w:rPr>
            </w:pPr>
          </w:p>
        </w:tc>
        <w:tc>
          <w:tcPr>
            <w:tcW w:w="120" w:type="dxa"/>
            <w:vAlign w:val="bottom"/>
            <w:tcBorders>
              <w:right w:val="single" w:sz="8" w:color="007CBA"/>
            </w:tcBorders>
            <w:shd w:val="clear" w:color="auto" w:fill="DEEAEB"/>
          </w:tcPr>
          <w:p>
            <w:pPr>
              <w:spacing w:after="0"/>
              <w:rPr>
                <w:sz w:val="17"/>
                <w:szCs w:val="17"/>
                <w:color w:val="auto"/>
              </w:rPr>
            </w:pPr>
          </w:p>
        </w:tc>
        <w:tc>
          <w:tcPr>
            <w:tcW w:w="200" w:type="dxa"/>
            <w:vAlign w:val="bottom"/>
            <w:shd w:val="clear" w:color="auto" w:fill="DEEAEB"/>
          </w:tcPr>
          <w:p>
            <w:pPr>
              <w:spacing w:after="0"/>
              <w:rPr>
                <w:sz w:val="17"/>
                <w:szCs w:val="17"/>
                <w:color w:val="auto"/>
              </w:rPr>
            </w:pPr>
          </w:p>
        </w:tc>
        <w:tc>
          <w:tcPr>
            <w:tcW w:w="700" w:type="dxa"/>
            <w:vAlign w:val="bottom"/>
            <w:shd w:val="clear" w:color="auto" w:fill="DEEAEB"/>
          </w:tcPr>
          <w:p>
            <w:pPr>
              <w:spacing w:after="0"/>
              <w:rPr>
                <w:sz w:val="17"/>
                <w:szCs w:val="17"/>
                <w:color w:val="auto"/>
              </w:rPr>
            </w:pPr>
          </w:p>
        </w:tc>
        <w:tc>
          <w:tcPr>
            <w:tcW w:w="100" w:type="dxa"/>
            <w:vAlign w:val="bottom"/>
            <w:tcBorders>
              <w:right w:val="single" w:sz="8" w:color="007CBA"/>
            </w:tcBorders>
            <w:shd w:val="clear" w:color="auto" w:fill="DEEAEB"/>
          </w:tcPr>
          <w:p>
            <w:pPr>
              <w:spacing w:after="0"/>
              <w:rPr>
                <w:sz w:val="17"/>
                <w:szCs w:val="17"/>
                <w:color w:val="auto"/>
              </w:rPr>
            </w:pPr>
          </w:p>
        </w:tc>
        <w:tc>
          <w:tcPr>
            <w:tcW w:w="220" w:type="dxa"/>
            <w:vAlign w:val="bottom"/>
            <w:shd w:val="clear" w:color="auto" w:fill="DEEAEB"/>
          </w:tcPr>
          <w:p>
            <w:pPr>
              <w:spacing w:after="0"/>
              <w:rPr>
                <w:sz w:val="17"/>
                <w:szCs w:val="17"/>
                <w:color w:val="auto"/>
              </w:rPr>
            </w:pPr>
          </w:p>
        </w:tc>
        <w:tc>
          <w:tcPr>
            <w:tcW w:w="720" w:type="dxa"/>
            <w:vAlign w:val="bottom"/>
            <w:shd w:val="clear" w:color="auto" w:fill="DEEAEB"/>
          </w:tcPr>
          <w:p>
            <w:pPr>
              <w:spacing w:after="0"/>
              <w:rPr>
                <w:sz w:val="17"/>
                <w:szCs w:val="17"/>
                <w:color w:val="auto"/>
              </w:rPr>
            </w:pPr>
          </w:p>
        </w:tc>
        <w:tc>
          <w:tcPr>
            <w:tcW w:w="100" w:type="dxa"/>
            <w:vAlign w:val="bottom"/>
            <w:tcBorders>
              <w:right w:val="single" w:sz="8" w:color="DEEAEB"/>
            </w:tcBorders>
            <w:shd w:val="clear" w:color="auto" w:fill="DEEAEB"/>
          </w:tcPr>
          <w:p>
            <w:pPr>
              <w:spacing w:after="0"/>
              <w:rPr>
                <w:sz w:val="17"/>
                <w:szCs w:val="17"/>
                <w:color w:val="auto"/>
              </w:rPr>
            </w:pPr>
          </w:p>
        </w:tc>
      </w:tr>
      <w:tr>
        <w:trPr>
          <w:trHeight w:val="175"/>
        </w:trPr>
        <w:tc>
          <w:tcPr>
            <w:tcW w:w="306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color w:val="auto"/>
              </w:rPr>
              <w:t>plans</w:t>
            </w:r>
          </w:p>
        </w:tc>
        <w:tc>
          <w:tcPr>
            <w:tcW w:w="120" w:type="dxa"/>
            <w:vAlign w:val="bottom"/>
            <w:shd w:val="clear" w:color="auto" w:fill="DEEAEB"/>
          </w:tcPr>
          <w:p>
            <w:pPr>
              <w:spacing w:after="0"/>
              <w:rPr>
                <w:sz w:val="15"/>
                <w:szCs w:val="15"/>
                <w:color w:val="auto"/>
              </w:rPr>
            </w:pPr>
          </w:p>
        </w:tc>
        <w:tc>
          <w:tcPr>
            <w:tcW w:w="56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0.1</w:t>
            </w:r>
          </w:p>
        </w:tc>
        <w:tc>
          <w:tcPr>
            <w:tcW w:w="120" w:type="dxa"/>
            <w:vAlign w:val="bottom"/>
            <w:tcBorders>
              <w:right w:val="single" w:sz="8" w:color="007CBA"/>
            </w:tcBorders>
            <w:shd w:val="clear" w:color="auto" w:fill="DEEAEB"/>
          </w:tcPr>
          <w:p>
            <w:pPr>
              <w:spacing w:after="0"/>
              <w:rPr>
                <w:sz w:val="15"/>
                <w:szCs w:val="15"/>
                <w:color w:val="auto"/>
              </w:rPr>
            </w:pPr>
          </w:p>
        </w:tc>
        <w:tc>
          <w:tcPr>
            <w:tcW w:w="22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40" w:type="dxa"/>
            <w:vAlign w:val="bottom"/>
            <w:tcBorders>
              <w:right w:val="single" w:sz="8" w:color="007CBA"/>
            </w:tcBorders>
            <w:shd w:val="clear" w:color="auto" w:fill="DEEAEB"/>
          </w:tcPr>
          <w:p>
            <w:pPr>
              <w:spacing w:after="0"/>
              <w:rPr>
                <w:sz w:val="15"/>
                <w:szCs w:val="15"/>
                <w:color w:val="auto"/>
              </w:rPr>
            </w:pPr>
          </w:p>
        </w:tc>
        <w:tc>
          <w:tcPr>
            <w:tcW w:w="200" w:type="dxa"/>
            <w:vAlign w:val="bottom"/>
            <w:shd w:val="clear" w:color="auto" w:fill="DEEAEB"/>
          </w:tcPr>
          <w:p>
            <w:pPr>
              <w:spacing w:after="0"/>
              <w:rPr>
                <w:sz w:val="15"/>
                <w:szCs w:val="15"/>
                <w:color w:val="auto"/>
              </w:rPr>
            </w:pPr>
          </w:p>
        </w:tc>
        <w:tc>
          <w:tcPr>
            <w:tcW w:w="4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6.8</w:t>
            </w:r>
          </w:p>
        </w:tc>
        <w:tc>
          <w:tcPr>
            <w:tcW w:w="120" w:type="dxa"/>
            <w:vAlign w:val="bottom"/>
            <w:tcBorders>
              <w:right w:val="single" w:sz="8" w:color="007CBA"/>
            </w:tcBorders>
            <w:shd w:val="clear" w:color="auto" w:fill="DEEAEB"/>
          </w:tcPr>
          <w:p>
            <w:pPr>
              <w:spacing w:after="0"/>
              <w:rPr>
                <w:sz w:val="15"/>
                <w:szCs w:val="15"/>
                <w:color w:val="auto"/>
              </w:rPr>
            </w:pPr>
          </w:p>
        </w:tc>
        <w:tc>
          <w:tcPr>
            <w:tcW w:w="240" w:type="dxa"/>
            <w:vAlign w:val="bottom"/>
            <w:shd w:val="clear" w:color="auto" w:fill="DEEAEB"/>
          </w:tcPr>
          <w:p>
            <w:pPr>
              <w:spacing w:after="0"/>
              <w:rPr>
                <w:sz w:val="15"/>
                <w:szCs w:val="15"/>
                <w:color w:val="auto"/>
              </w:rPr>
            </w:pPr>
          </w:p>
        </w:tc>
        <w:tc>
          <w:tcPr>
            <w:tcW w:w="84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right w:val="single" w:sz="8" w:color="007CBA"/>
            </w:tcBorders>
            <w:shd w:val="clear" w:color="auto" w:fill="DEEAEB"/>
          </w:tcPr>
          <w:p>
            <w:pPr>
              <w:spacing w:after="0"/>
              <w:rPr>
                <w:sz w:val="15"/>
                <w:szCs w:val="15"/>
                <w:color w:val="auto"/>
              </w:rPr>
            </w:pPr>
          </w:p>
        </w:tc>
        <w:tc>
          <w:tcPr>
            <w:tcW w:w="220" w:type="dxa"/>
            <w:vAlign w:val="bottom"/>
            <w:shd w:val="clear" w:color="auto" w:fill="DEEAEB"/>
          </w:tcPr>
          <w:p>
            <w:pPr>
              <w:spacing w:after="0"/>
              <w:rPr>
                <w:sz w:val="15"/>
                <w:szCs w:val="15"/>
                <w:color w:val="auto"/>
              </w:rPr>
            </w:pPr>
          </w:p>
        </w:tc>
        <w:tc>
          <w:tcPr>
            <w:tcW w:w="6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220" w:type="dxa"/>
            <w:vAlign w:val="bottom"/>
            <w:shd w:val="clear" w:color="auto" w:fill="DEEAEB"/>
          </w:tcPr>
          <w:p>
            <w:pPr>
              <w:spacing w:after="0"/>
              <w:rPr>
                <w:sz w:val="15"/>
                <w:szCs w:val="15"/>
                <w:color w:val="auto"/>
              </w:rPr>
            </w:pPr>
          </w:p>
        </w:tc>
        <w:tc>
          <w:tcPr>
            <w:tcW w:w="6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6.8</w:t>
            </w:r>
          </w:p>
        </w:tc>
        <w:tc>
          <w:tcPr>
            <w:tcW w:w="120" w:type="dxa"/>
            <w:vAlign w:val="bottom"/>
            <w:tcBorders>
              <w:right w:val="single" w:sz="8" w:color="007CBA"/>
            </w:tcBorders>
            <w:shd w:val="clear" w:color="auto" w:fill="DEEAEB"/>
          </w:tcPr>
          <w:p>
            <w:pPr>
              <w:spacing w:after="0"/>
              <w:rPr>
                <w:sz w:val="15"/>
                <w:szCs w:val="15"/>
                <w:color w:val="auto"/>
              </w:rPr>
            </w:pPr>
          </w:p>
        </w:tc>
        <w:tc>
          <w:tcPr>
            <w:tcW w:w="2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right w:val="single" w:sz="8" w:color="007CBA"/>
            </w:tcBorders>
            <w:shd w:val="clear" w:color="auto" w:fill="DEEAEB"/>
          </w:tcPr>
          <w:p>
            <w:pPr>
              <w:spacing w:after="0"/>
              <w:rPr>
                <w:sz w:val="15"/>
                <w:szCs w:val="15"/>
                <w:color w:val="auto"/>
              </w:rPr>
            </w:pPr>
          </w:p>
        </w:tc>
        <w:tc>
          <w:tcPr>
            <w:tcW w:w="220" w:type="dxa"/>
            <w:vAlign w:val="bottom"/>
            <w:shd w:val="clear" w:color="auto" w:fill="DEEAEB"/>
          </w:tcPr>
          <w:p>
            <w:pPr>
              <w:spacing w:after="0"/>
              <w:rPr>
                <w:sz w:val="15"/>
                <w:szCs w:val="15"/>
                <w:color w:val="auto"/>
              </w:rPr>
            </w:pPr>
          </w:p>
        </w:tc>
        <w:tc>
          <w:tcPr>
            <w:tcW w:w="72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6.8</w:t>
            </w:r>
          </w:p>
        </w:tc>
        <w:tc>
          <w:tcPr>
            <w:tcW w:w="100" w:type="dxa"/>
            <w:vAlign w:val="bottom"/>
            <w:tcBorders>
              <w:right w:val="single" w:sz="8" w:color="DEEAEB"/>
            </w:tcBorders>
            <w:shd w:val="clear" w:color="auto" w:fill="DEEAEB"/>
          </w:tcPr>
          <w:p>
            <w:pPr>
              <w:spacing w:after="0"/>
              <w:rPr>
                <w:sz w:val="15"/>
                <w:szCs w:val="15"/>
                <w:color w:val="auto"/>
              </w:rPr>
            </w:pPr>
          </w:p>
        </w:tc>
      </w:tr>
      <w:tr>
        <w:trPr>
          <w:trHeight w:val="203"/>
        </w:trPr>
        <w:tc>
          <w:tcPr>
            <w:tcW w:w="306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color w:val="auto"/>
              </w:rPr>
              <w:t>Shares withheld for employees’ income tax</w:t>
            </w:r>
          </w:p>
        </w:tc>
        <w:tc>
          <w:tcPr>
            <w:tcW w:w="120" w:type="dxa"/>
            <w:vAlign w:val="bottom"/>
            <w:shd w:val="clear" w:color="auto" w:fill="DEEAEB"/>
          </w:tcPr>
          <w:p>
            <w:pPr>
              <w:spacing w:after="0"/>
              <w:rPr>
                <w:sz w:val="17"/>
                <w:szCs w:val="17"/>
                <w:color w:val="auto"/>
              </w:rPr>
            </w:pPr>
          </w:p>
        </w:tc>
        <w:tc>
          <w:tcPr>
            <w:tcW w:w="560" w:type="dxa"/>
            <w:vAlign w:val="bottom"/>
            <w:shd w:val="clear" w:color="auto" w:fill="DEEAEB"/>
          </w:tcPr>
          <w:p>
            <w:pPr>
              <w:spacing w:after="0"/>
              <w:rPr>
                <w:sz w:val="17"/>
                <w:szCs w:val="17"/>
                <w:color w:val="auto"/>
              </w:rPr>
            </w:pPr>
          </w:p>
        </w:tc>
        <w:tc>
          <w:tcPr>
            <w:tcW w:w="120" w:type="dxa"/>
            <w:vAlign w:val="bottom"/>
            <w:tcBorders>
              <w:right w:val="single" w:sz="8" w:color="007CBA"/>
            </w:tcBorders>
            <w:shd w:val="clear" w:color="auto" w:fill="DEEAEB"/>
          </w:tcPr>
          <w:p>
            <w:pPr>
              <w:spacing w:after="0"/>
              <w:rPr>
                <w:sz w:val="17"/>
                <w:szCs w:val="17"/>
                <w:color w:val="auto"/>
              </w:rPr>
            </w:pPr>
          </w:p>
        </w:tc>
        <w:tc>
          <w:tcPr>
            <w:tcW w:w="220" w:type="dxa"/>
            <w:vAlign w:val="bottom"/>
            <w:shd w:val="clear" w:color="auto" w:fill="DEEAEB"/>
          </w:tcPr>
          <w:p>
            <w:pPr>
              <w:spacing w:after="0"/>
              <w:rPr>
                <w:sz w:val="17"/>
                <w:szCs w:val="17"/>
                <w:color w:val="auto"/>
              </w:rPr>
            </w:pPr>
          </w:p>
        </w:tc>
        <w:tc>
          <w:tcPr>
            <w:tcW w:w="700" w:type="dxa"/>
            <w:vAlign w:val="bottom"/>
            <w:shd w:val="clear" w:color="auto" w:fill="DEEAEB"/>
          </w:tcPr>
          <w:p>
            <w:pPr>
              <w:spacing w:after="0"/>
              <w:rPr>
                <w:sz w:val="17"/>
                <w:szCs w:val="17"/>
                <w:color w:val="auto"/>
              </w:rPr>
            </w:pPr>
          </w:p>
        </w:tc>
        <w:tc>
          <w:tcPr>
            <w:tcW w:w="140" w:type="dxa"/>
            <w:vAlign w:val="bottom"/>
            <w:tcBorders>
              <w:right w:val="single" w:sz="8" w:color="007CBA"/>
            </w:tcBorders>
            <w:shd w:val="clear" w:color="auto" w:fill="DEEAEB"/>
          </w:tcPr>
          <w:p>
            <w:pPr>
              <w:spacing w:after="0"/>
              <w:rPr>
                <w:sz w:val="17"/>
                <w:szCs w:val="17"/>
                <w:color w:val="auto"/>
              </w:rPr>
            </w:pPr>
          </w:p>
        </w:tc>
        <w:tc>
          <w:tcPr>
            <w:tcW w:w="200" w:type="dxa"/>
            <w:vAlign w:val="bottom"/>
            <w:shd w:val="clear" w:color="auto" w:fill="DEEAEB"/>
          </w:tcPr>
          <w:p>
            <w:pPr>
              <w:spacing w:after="0"/>
              <w:rPr>
                <w:sz w:val="17"/>
                <w:szCs w:val="17"/>
                <w:color w:val="auto"/>
              </w:rPr>
            </w:pPr>
          </w:p>
        </w:tc>
        <w:tc>
          <w:tcPr>
            <w:tcW w:w="40" w:type="dxa"/>
            <w:vAlign w:val="bottom"/>
            <w:shd w:val="clear" w:color="auto" w:fill="DEEAEB"/>
          </w:tcPr>
          <w:p>
            <w:pPr>
              <w:spacing w:after="0"/>
              <w:rPr>
                <w:sz w:val="17"/>
                <w:szCs w:val="17"/>
                <w:color w:val="auto"/>
              </w:rPr>
            </w:pPr>
          </w:p>
        </w:tc>
        <w:tc>
          <w:tcPr>
            <w:tcW w:w="700" w:type="dxa"/>
            <w:vAlign w:val="bottom"/>
            <w:shd w:val="clear" w:color="auto" w:fill="DEEAEB"/>
          </w:tcPr>
          <w:p>
            <w:pPr>
              <w:spacing w:after="0"/>
              <w:rPr>
                <w:sz w:val="17"/>
                <w:szCs w:val="17"/>
                <w:color w:val="auto"/>
              </w:rPr>
            </w:pPr>
          </w:p>
        </w:tc>
        <w:tc>
          <w:tcPr>
            <w:tcW w:w="120" w:type="dxa"/>
            <w:vAlign w:val="bottom"/>
            <w:tcBorders>
              <w:right w:val="single" w:sz="8" w:color="007CBA"/>
            </w:tcBorders>
            <w:shd w:val="clear" w:color="auto" w:fill="DEEAEB"/>
          </w:tcPr>
          <w:p>
            <w:pPr>
              <w:spacing w:after="0"/>
              <w:rPr>
                <w:sz w:val="17"/>
                <w:szCs w:val="17"/>
                <w:color w:val="auto"/>
              </w:rPr>
            </w:pPr>
          </w:p>
        </w:tc>
        <w:tc>
          <w:tcPr>
            <w:tcW w:w="240" w:type="dxa"/>
            <w:vAlign w:val="bottom"/>
            <w:shd w:val="clear" w:color="auto" w:fill="DEEAEB"/>
          </w:tcPr>
          <w:p>
            <w:pPr>
              <w:spacing w:after="0"/>
              <w:rPr>
                <w:sz w:val="17"/>
                <w:szCs w:val="17"/>
                <w:color w:val="auto"/>
              </w:rPr>
            </w:pPr>
          </w:p>
        </w:tc>
        <w:tc>
          <w:tcPr>
            <w:tcW w:w="840" w:type="dxa"/>
            <w:vAlign w:val="bottom"/>
            <w:shd w:val="clear" w:color="auto" w:fill="DEEAEB"/>
          </w:tcPr>
          <w:p>
            <w:pPr>
              <w:spacing w:after="0"/>
              <w:rPr>
                <w:sz w:val="17"/>
                <w:szCs w:val="17"/>
                <w:color w:val="auto"/>
              </w:rPr>
            </w:pPr>
          </w:p>
        </w:tc>
        <w:tc>
          <w:tcPr>
            <w:tcW w:w="100" w:type="dxa"/>
            <w:vAlign w:val="bottom"/>
            <w:tcBorders>
              <w:right w:val="single" w:sz="8" w:color="007CBA"/>
            </w:tcBorders>
            <w:shd w:val="clear" w:color="auto" w:fill="DEEAEB"/>
          </w:tcPr>
          <w:p>
            <w:pPr>
              <w:spacing w:after="0"/>
              <w:rPr>
                <w:sz w:val="17"/>
                <w:szCs w:val="17"/>
                <w:color w:val="auto"/>
              </w:rPr>
            </w:pPr>
          </w:p>
        </w:tc>
        <w:tc>
          <w:tcPr>
            <w:tcW w:w="220" w:type="dxa"/>
            <w:vAlign w:val="bottom"/>
            <w:shd w:val="clear" w:color="auto" w:fill="DEEAEB"/>
          </w:tcPr>
          <w:p>
            <w:pPr>
              <w:spacing w:after="0"/>
              <w:rPr>
                <w:sz w:val="17"/>
                <w:szCs w:val="17"/>
                <w:color w:val="auto"/>
              </w:rPr>
            </w:pPr>
          </w:p>
        </w:tc>
        <w:tc>
          <w:tcPr>
            <w:tcW w:w="680" w:type="dxa"/>
            <w:vAlign w:val="bottom"/>
            <w:shd w:val="clear" w:color="auto" w:fill="DEEAEB"/>
          </w:tcPr>
          <w:p>
            <w:pPr>
              <w:spacing w:after="0"/>
              <w:rPr>
                <w:sz w:val="17"/>
                <w:szCs w:val="17"/>
                <w:color w:val="auto"/>
              </w:rPr>
            </w:pPr>
          </w:p>
        </w:tc>
        <w:tc>
          <w:tcPr>
            <w:tcW w:w="120" w:type="dxa"/>
            <w:vAlign w:val="bottom"/>
            <w:tcBorders>
              <w:right w:val="single" w:sz="8" w:color="007CBA"/>
            </w:tcBorders>
            <w:shd w:val="clear" w:color="auto" w:fill="DEEAEB"/>
          </w:tcPr>
          <w:p>
            <w:pPr>
              <w:spacing w:after="0"/>
              <w:rPr>
                <w:sz w:val="17"/>
                <w:szCs w:val="17"/>
                <w:color w:val="auto"/>
              </w:rPr>
            </w:pPr>
          </w:p>
        </w:tc>
        <w:tc>
          <w:tcPr>
            <w:tcW w:w="220" w:type="dxa"/>
            <w:vAlign w:val="bottom"/>
            <w:shd w:val="clear" w:color="auto" w:fill="DEEAEB"/>
          </w:tcPr>
          <w:p>
            <w:pPr>
              <w:spacing w:after="0"/>
              <w:rPr>
                <w:sz w:val="17"/>
                <w:szCs w:val="17"/>
                <w:color w:val="auto"/>
              </w:rPr>
            </w:pPr>
          </w:p>
        </w:tc>
        <w:tc>
          <w:tcPr>
            <w:tcW w:w="680" w:type="dxa"/>
            <w:vAlign w:val="bottom"/>
            <w:shd w:val="clear" w:color="auto" w:fill="DEEAEB"/>
          </w:tcPr>
          <w:p>
            <w:pPr>
              <w:spacing w:after="0"/>
              <w:rPr>
                <w:sz w:val="17"/>
                <w:szCs w:val="17"/>
                <w:color w:val="auto"/>
              </w:rPr>
            </w:pPr>
          </w:p>
        </w:tc>
        <w:tc>
          <w:tcPr>
            <w:tcW w:w="120" w:type="dxa"/>
            <w:vAlign w:val="bottom"/>
            <w:tcBorders>
              <w:right w:val="single" w:sz="8" w:color="007CBA"/>
            </w:tcBorders>
            <w:shd w:val="clear" w:color="auto" w:fill="DEEAEB"/>
          </w:tcPr>
          <w:p>
            <w:pPr>
              <w:spacing w:after="0"/>
              <w:rPr>
                <w:sz w:val="17"/>
                <w:szCs w:val="17"/>
                <w:color w:val="auto"/>
              </w:rPr>
            </w:pPr>
          </w:p>
        </w:tc>
        <w:tc>
          <w:tcPr>
            <w:tcW w:w="200" w:type="dxa"/>
            <w:vAlign w:val="bottom"/>
            <w:shd w:val="clear" w:color="auto" w:fill="DEEAEB"/>
          </w:tcPr>
          <w:p>
            <w:pPr>
              <w:spacing w:after="0"/>
              <w:rPr>
                <w:sz w:val="17"/>
                <w:szCs w:val="17"/>
                <w:color w:val="auto"/>
              </w:rPr>
            </w:pPr>
          </w:p>
        </w:tc>
        <w:tc>
          <w:tcPr>
            <w:tcW w:w="700" w:type="dxa"/>
            <w:vAlign w:val="bottom"/>
            <w:shd w:val="clear" w:color="auto" w:fill="DEEAEB"/>
          </w:tcPr>
          <w:p>
            <w:pPr>
              <w:spacing w:after="0"/>
              <w:rPr>
                <w:sz w:val="17"/>
                <w:szCs w:val="17"/>
                <w:color w:val="auto"/>
              </w:rPr>
            </w:pPr>
          </w:p>
        </w:tc>
        <w:tc>
          <w:tcPr>
            <w:tcW w:w="100" w:type="dxa"/>
            <w:vAlign w:val="bottom"/>
            <w:tcBorders>
              <w:right w:val="single" w:sz="8" w:color="007CBA"/>
            </w:tcBorders>
            <w:shd w:val="clear" w:color="auto" w:fill="DEEAEB"/>
          </w:tcPr>
          <w:p>
            <w:pPr>
              <w:spacing w:after="0"/>
              <w:rPr>
                <w:sz w:val="17"/>
                <w:szCs w:val="17"/>
                <w:color w:val="auto"/>
              </w:rPr>
            </w:pPr>
          </w:p>
        </w:tc>
        <w:tc>
          <w:tcPr>
            <w:tcW w:w="220" w:type="dxa"/>
            <w:vAlign w:val="bottom"/>
            <w:shd w:val="clear" w:color="auto" w:fill="DEEAEB"/>
          </w:tcPr>
          <w:p>
            <w:pPr>
              <w:spacing w:after="0"/>
              <w:rPr>
                <w:sz w:val="17"/>
                <w:szCs w:val="17"/>
                <w:color w:val="auto"/>
              </w:rPr>
            </w:pPr>
          </w:p>
        </w:tc>
        <w:tc>
          <w:tcPr>
            <w:tcW w:w="720" w:type="dxa"/>
            <w:vAlign w:val="bottom"/>
            <w:shd w:val="clear" w:color="auto" w:fill="DEEAEB"/>
          </w:tcPr>
          <w:p>
            <w:pPr>
              <w:spacing w:after="0"/>
              <w:rPr>
                <w:sz w:val="17"/>
                <w:szCs w:val="17"/>
                <w:color w:val="auto"/>
              </w:rPr>
            </w:pPr>
          </w:p>
        </w:tc>
        <w:tc>
          <w:tcPr>
            <w:tcW w:w="100" w:type="dxa"/>
            <w:vAlign w:val="bottom"/>
            <w:tcBorders>
              <w:right w:val="single" w:sz="8" w:color="DEEAEB"/>
            </w:tcBorders>
            <w:shd w:val="clear" w:color="auto" w:fill="DEEAEB"/>
          </w:tcPr>
          <w:p>
            <w:pPr>
              <w:spacing w:after="0"/>
              <w:rPr>
                <w:sz w:val="17"/>
                <w:szCs w:val="17"/>
                <w:color w:val="auto"/>
              </w:rPr>
            </w:pPr>
          </w:p>
        </w:tc>
      </w:tr>
      <w:tr>
        <w:trPr>
          <w:trHeight w:val="176"/>
        </w:trPr>
        <w:tc>
          <w:tcPr>
            <w:tcW w:w="3060" w:type="dxa"/>
            <w:vAlign w:val="bottom"/>
            <w:tcBorders>
              <w:right w:val="single" w:sz="8" w:color="007CBA"/>
            </w:tcBorders>
          </w:tcPr>
          <w:p>
            <w:pPr>
              <w:ind w:left="260"/>
              <w:spacing w:after="0"/>
              <w:rPr>
                <w:sz w:val="20"/>
                <w:szCs w:val="20"/>
                <w:color w:val="auto"/>
              </w:rPr>
            </w:pPr>
            <w:r>
              <w:rPr>
                <w:rFonts w:ascii="Calibri" w:cs="Calibri" w:eastAsia="Calibri" w:hAnsi="Calibri"/>
                <w:sz w:val="14"/>
                <w:szCs w:val="14"/>
                <w:color w:val="auto"/>
              </w:rPr>
              <w:t>obligatons</w:t>
            </w:r>
          </w:p>
        </w:tc>
        <w:tc>
          <w:tcPr>
            <w:tcW w:w="120" w:type="dxa"/>
            <w:vAlign w:val="bottom"/>
            <w:shd w:val="clear" w:color="auto" w:fill="DEEAEB"/>
          </w:tcPr>
          <w:p>
            <w:pPr>
              <w:spacing w:after="0"/>
              <w:rPr>
                <w:sz w:val="15"/>
                <w:szCs w:val="15"/>
                <w:color w:val="auto"/>
              </w:rPr>
            </w:pPr>
          </w:p>
        </w:tc>
        <w:tc>
          <w:tcPr>
            <w:tcW w:w="56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22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40" w:type="dxa"/>
            <w:vAlign w:val="bottom"/>
            <w:tcBorders>
              <w:right w:val="single" w:sz="8" w:color="007CBA"/>
            </w:tcBorders>
            <w:shd w:val="clear" w:color="auto" w:fill="DEEAEB"/>
          </w:tcPr>
          <w:p>
            <w:pPr>
              <w:spacing w:after="0"/>
              <w:rPr>
                <w:sz w:val="15"/>
                <w:szCs w:val="15"/>
                <w:color w:val="auto"/>
              </w:rPr>
            </w:pPr>
          </w:p>
        </w:tc>
        <w:tc>
          <w:tcPr>
            <w:tcW w:w="200" w:type="dxa"/>
            <w:vAlign w:val="bottom"/>
            <w:shd w:val="clear" w:color="auto" w:fill="DEEAEB"/>
          </w:tcPr>
          <w:p>
            <w:pPr>
              <w:spacing w:after="0"/>
              <w:rPr>
                <w:sz w:val="15"/>
                <w:szCs w:val="15"/>
                <w:color w:val="auto"/>
              </w:rPr>
            </w:pPr>
          </w:p>
        </w:tc>
        <w:tc>
          <w:tcPr>
            <w:tcW w:w="4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(14.8</w:t>
            </w:r>
          </w:p>
        </w:tc>
        <w:tc>
          <w:tcPr>
            <w:tcW w:w="120" w:type="dxa"/>
            <w:vAlign w:val="bottom"/>
            <w:tcBorders>
              <w:right w:val="single" w:sz="8" w:color="007CBA"/>
            </w:tcBorders>
            <w:shd w:val="clear" w:color="auto" w:fill="DEEAEB"/>
          </w:tcPr>
          <w:p>
            <w:pPr>
              <w:jc w:val="right"/>
              <w:spacing w:after="0"/>
              <w:rPr>
                <w:sz w:val="20"/>
                <w:szCs w:val="20"/>
                <w:color w:val="auto"/>
              </w:rPr>
            </w:pPr>
            <w:r>
              <w:rPr>
                <w:rFonts w:ascii="Calibri" w:cs="Calibri" w:eastAsia="Calibri" w:hAnsi="Calibri"/>
                <w:sz w:val="14"/>
                <w:szCs w:val="14"/>
                <w:color w:val="auto"/>
                <w:w w:val="93"/>
              </w:rPr>
              <w:t>)</w:t>
            </w:r>
          </w:p>
        </w:tc>
        <w:tc>
          <w:tcPr>
            <w:tcW w:w="240" w:type="dxa"/>
            <w:vAlign w:val="bottom"/>
            <w:shd w:val="clear" w:color="auto" w:fill="DEEAEB"/>
          </w:tcPr>
          <w:p>
            <w:pPr>
              <w:spacing w:after="0"/>
              <w:rPr>
                <w:sz w:val="15"/>
                <w:szCs w:val="15"/>
                <w:color w:val="auto"/>
              </w:rPr>
            </w:pPr>
          </w:p>
        </w:tc>
        <w:tc>
          <w:tcPr>
            <w:tcW w:w="84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right w:val="single" w:sz="8" w:color="007CBA"/>
            </w:tcBorders>
            <w:shd w:val="clear" w:color="auto" w:fill="DEEAEB"/>
          </w:tcPr>
          <w:p>
            <w:pPr>
              <w:spacing w:after="0"/>
              <w:rPr>
                <w:sz w:val="15"/>
                <w:szCs w:val="15"/>
                <w:color w:val="auto"/>
              </w:rPr>
            </w:pPr>
          </w:p>
        </w:tc>
        <w:tc>
          <w:tcPr>
            <w:tcW w:w="220" w:type="dxa"/>
            <w:vAlign w:val="bottom"/>
            <w:shd w:val="clear" w:color="auto" w:fill="DEEAEB"/>
          </w:tcPr>
          <w:p>
            <w:pPr>
              <w:spacing w:after="0"/>
              <w:rPr>
                <w:sz w:val="15"/>
                <w:szCs w:val="15"/>
                <w:color w:val="auto"/>
              </w:rPr>
            </w:pPr>
          </w:p>
        </w:tc>
        <w:tc>
          <w:tcPr>
            <w:tcW w:w="6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220" w:type="dxa"/>
            <w:vAlign w:val="bottom"/>
            <w:shd w:val="clear" w:color="auto" w:fill="DEEAEB"/>
          </w:tcPr>
          <w:p>
            <w:pPr>
              <w:spacing w:after="0"/>
              <w:rPr>
                <w:sz w:val="15"/>
                <w:szCs w:val="15"/>
                <w:color w:val="auto"/>
              </w:rPr>
            </w:pPr>
          </w:p>
        </w:tc>
        <w:tc>
          <w:tcPr>
            <w:tcW w:w="6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(14.8</w:t>
            </w:r>
          </w:p>
        </w:tc>
        <w:tc>
          <w:tcPr>
            <w:tcW w:w="120" w:type="dxa"/>
            <w:vAlign w:val="bottom"/>
            <w:tcBorders>
              <w:right w:val="single" w:sz="8" w:color="007CBA"/>
            </w:tcBorders>
            <w:shd w:val="clear" w:color="auto" w:fill="DEEAEB"/>
          </w:tcPr>
          <w:p>
            <w:pPr>
              <w:jc w:val="right"/>
              <w:spacing w:after="0"/>
              <w:rPr>
                <w:sz w:val="20"/>
                <w:szCs w:val="20"/>
                <w:color w:val="auto"/>
              </w:rPr>
            </w:pPr>
            <w:r>
              <w:rPr>
                <w:rFonts w:ascii="Calibri" w:cs="Calibri" w:eastAsia="Calibri" w:hAnsi="Calibri"/>
                <w:sz w:val="14"/>
                <w:szCs w:val="14"/>
                <w:color w:val="auto"/>
                <w:w w:val="93"/>
              </w:rPr>
              <w:t>)</w:t>
            </w:r>
          </w:p>
        </w:tc>
        <w:tc>
          <w:tcPr>
            <w:tcW w:w="2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right w:val="single" w:sz="8" w:color="007CBA"/>
            </w:tcBorders>
            <w:shd w:val="clear" w:color="auto" w:fill="DEEAEB"/>
          </w:tcPr>
          <w:p>
            <w:pPr>
              <w:spacing w:after="0"/>
              <w:rPr>
                <w:sz w:val="15"/>
                <w:szCs w:val="15"/>
                <w:color w:val="auto"/>
              </w:rPr>
            </w:pPr>
          </w:p>
        </w:tc>
        <w:tc>
          <w:tcPr>
            <w:tcW w:w="220" w:type="dxa"/>
            <w:vAlign w:val="bottom"/>
            <w:shd w:val="clear" w:color="auto" w:fill="DEEAEB"/>
          </w:tcPr>
          <w:p>
            <w:pPr>
              <w:spacing w:after="0"/>
              <w:rPr>
                <w:sz w:val="15"/>
                <w:szCs w:val="15"/>
                <w:color w:val="auto"/>
              </w:rPr>
            </w:pPr>
          </w:p>
        </w:tc>
        <w:tc>
          <w:tcPr>
            <w:tcW w:w="72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(14.8</w:t>
            </w:r>
          </w:p>
        </w:tc>
        <w:tc>
          <w:tcPr>
            <w:tcW w:w="100" w:type="dxa"/>
            <w:vAlign w:val="bottom"/>
            <w:tcBorders>
              <w:right w:val="single" w:sz="8" w:color="DEEAEB"/>
            </w:tcBorders>
            <w:shd w:val="clear" w:color="auto" w:fill="DEEAEB"/>
          </w:tcPr>
          <w:p>
            <w:pPr>
              <w:jc w:val="right"/>
              <w:ind w:right="6"/>
              <w:spacing w:after="0"/>
              <w:rPr>
                <w:sz w:val="20"/>
                <w:szCs w:val="20"/>
                <w:color w:val="auto"/>
              </w:rPr>
            </w:pPr>
            <w:r>
              <w:rPr>
                <w:rFonts w:ascii="Calibri" w:cs="Calibri" w:eastAsia="Calibri" w:hAnsi="Calibri"/>
                <w:sz w:val="9"/>
                <w:szCs w:val="9"/>
                <w:color w:val="auto"/>
                <w:w w:val="71"/>
              </w:rPr>
              <w:t>)</w:t>
            </w:r>
          </w:p>
        </w:tc>
      </w:tr>
      <w:tr>
        <w:trPr>
          <w:trHeight w:val="216"/>
        </w:trPr>
        <w:tc>
          <w:tcPr>
            <w:tcW w:w="306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color w:val="auto"/>
              </w:rPr>
              <w:t>Repurchases of common stock</w:t>
            </w:r>
          </w:p>
        </w:tc>
        <w:tc>
          <w:tcPr>
            <w:tcW w:w="120" w:type="dxa"/>
            <w:vAlign w:val="bottom"/>
            <w:tcBorders>
              <w:bottom w:val="single" w:sz="8" w:color="DEEAEB"/>
            </w:tcBorders>
            <w:shd w:val="clear" w:color="auto" w:fill="DEEAEB"/>
          </w:tcPr>
          <w:p>
            <w:pPr>
              <w:spacing w:after="0"/>
              <w:rPr>
                <w:sz w:val="18"/>
                <w:szCs w:val="18"/>
                <w:color w:val="auto"/>
              </w:rPr>
            </w:pPr>
          </w:p>
        </w:tc>
        <w:tc>
          <w:tcPr>
            <w:tcW w:w="56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(0.2</w:t>
            </w:r>
          </w:p>
        </w:tc>
        <w:tc>
          <w:tcPr>
            <w:tcW w:w="120" w:type="dxa"/>
            <w:vAlign w:val="bottom"/>
            <w:tcBorders>
              <w:bottom w:val="single" w:sz="8" w:color="DEEAEB"/>
              <w:right w:val="single" w:sz="8" w:color="007CBA"/>
            </w:tcBorders>
            <w:shd w:val="clear" w:color="auto" w:fill="DEEAEB"/>
          </w:tcPr>
          <w:p>
            <w:pPr>
              <w:jc w:val="right"/>
              <w:spacing w:after="0"/>
              <w:rPr>
                <w:sz w:val="20"/>
                <w:szCs w:val="20"/>
                <w:color w:val="auto"/>
              </w:rPr>
            </w:pPr>
            <w:r>
              <w:rPr>
                <w:rFonts w:ascii="Calibri" w:cs="Calibri" w:eastAsia="Calibri" w:hAnsi="Calibri"/>
                <w:sz w:val="14"/>
                <w:szCs w:val="14"/>
                <w:color w:val="auto"/>
                <w:w w:val="93"/>
              </w:rPr>
              <w:t>)</w:t>
            </w:r>
          </w:p>
        </w:tc>
        <w:tc>
          <w:tcPr>
            <w:tcW w:w="220" w:type="dxa"/>
            <w:vAlign w:val="bottom"/>
            <w:tcBorders>
              <w:bottom w:val="single" w:sz="8" w:color="DEEAEB"/>
            </w:tcBorders>
            <w:shd w:val="clear" w:color="auto" w:fill="DEEAEB"/>
          </w:tcPr>
          <w:p>
            <w:pPr>
              <w:spacing w:after="0"/>
              <w:rPr>
                <w:sz w:val="18"/>
                <w:szCs w:val="18"/>
                <w:color w:val="auto"/>
              </w:rPr>
            </w:pPr>
          </w:p>
        </w:tc>
        <w:tc>
          <w:tcPr>
            <w:tcW w:w="7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40" w:type="dxa"/>
            <w:vAlign w:val="bottom"/>
            <w:tcBorders>
              <w:bottom w:val="single" w:sz="8" w:color="DEEAEB"/>
              <w:right w:val="single" w:sz="8" w:color="007CBA"/>
            </w:tcBorders>
            <w:shd w:val="clear" w:color="auto" w:fill="DEEAEB"/>
          </w:tcPr>
          <w:p>
            <w:pPr>
              <w:spacing w:after="0"/>
              <w:rPr>
                <w:sz w:val="18"/>
                <w:szCs w:val="18"/>
                <w:color w:val="auto"/>
              </w:rPr>
            </w:pPr>
          </w:p>
        </w:tc>
        <w:tc>
          <w:tcPr>
            <w:tcW w:w="200" w:type="dxa"/>
            <w:vAlign w:val="bottom"/>
            <w:tcBorders>
              <w:bottom w:val="single" w:sz="8" w:color="DEEAEB"/>
            </w:tcBorders>
            <w:shd w:val="clear" w:color="auto" w:fill="DEEAEB"/>
          </w:tcPr>
          <w:p>
            <w:pPr>
              <w:spacing w:after="0"/>
              <w:rPr>
                <w:sz w:val="18"/>
                <w:szCs w:val="18"/>
                <w:color w:val="auto"/>
              </w:rPr>
            </w:pPr>
          </w:p>
        </w:tc>
        <w:tc>
          <w:tcPr>
            <w:tcW w:w="40" w:type="dxa"/>
            <w:vAlign w:val="bottom"/>
            <w:tcBorders>
              <w:bottom w:val="single" w:sz="8" w:color="DEEAEB"/>
            </w:tcBorders>
            <w:shd w:val="clear" w:color="auto" w:fill="DEEAEB"/>
          </w:tcPr>
          <w:p>
            <w:pPr>
              <w:spacing w:after="0"/>
              <w:rPr>
                <w:sz w:val="18"/>
                <w:szCs w:val="18"/>
                <w:color w:val="auto"/>
              </w:rPr>
            </w:pPr>
          </w:p>
        </w:tc>
        <w:tc>
          <w:tcPr>
            <w:tcW w:w="7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DEEAEB"/>
              <w:right w:val="single" w:sz="8" w:color="007CBA"/>
            </w:tcBorders>
            <w:shd w:val="clear" w:color="auto" w:fill="DEEAEB"/>
          </w:tcPr>
          <w:p>
            <w:pPr>
              <w:spacing w:after="0"/>
              <w:rPr>
                <w:sz w:val="18"/>
                <w:szCs w:val="18"/>
                <w:color w:val="auto"/>
              </w:rPr>
            </w:pPr>
          </w:p>
        </w:tc>
        <w:tc>
          <w:tcPr>
            <w:tcW w:w="240" w:type="dxa"/>
            <w:vAlign w:val="bottom"/>
            <w:tcBorders>
              <w:bottom w:val="single" w:sz="8" w:color="DEEAEB"/>
            </w:tcBorders>
            <w:shd w:val="clear" w:color="auto" w:fill="DEEAEB"/>
          </w:tcPr>
          <w:p>
            <w:pPr>
              <w:spacing w:after="0"/>
              <w:rPr>
                <w:sz w:val="18"/>
                <w:szCs w:val="18"/>
                <w:color w:val="auto"/>
              </w:rPr>
            </w:pPr>
          </w:p>
        </w:tc>
        <w:tc>
          <w:tcPr>
            <w:tcW w:w="84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bottom w:val="single" w:sz="8" w:color="DEEAEB"/>
              <w:right w:val="single" w:sz="8" w:color="007CBA"/>
            </w:tcBorders>
            <w:shd w:val="clear" w:color="auto" w:fill="DEEAEB"/>
          </w:tcPr>
          <w:p>
            <w:pPr>
              <w:spacing w:after="0"/>
              <w:rPr>
                <w:sz w:val="18"/>
                <w:szCs w:val="18"/>
                <w:color w:val="auto"/>
              </w:rPr>
            </w:pPr>
          </w:p>
        </w:tc>
        <w:tc>
          <w:tcPr>
            <w:tcW w:w="220" w:type="dxa"/>
            <w:vAlign w:val="bottom"/>
            <w:tcBorders>
              <w:bottom w:val="single" w:sz="8" w:color="DEEAEB"/>
            </w:tcBorders>
            <w:shd w:val="clear" w:color="auto" w:fill="DEEAEB"/>
          </w:tcPr>
          <w:p>
            <w:pPr>
              <w:spacing w:after="0"/>
              <w:rPr>
                <w:sz w:val="18"/>
                <w:szCs w:val="18"/>
                <w:color w:val="auto"/>
              </w:rPr>
            </w:pPr>
          </w:p>
        </w:tc>
        <w:tc>
          <w:tcPr>
            <w:tcW w:w="68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(50.0</w:t>
            </w:r>
          </w:p>
        </w:tc>
        <w:tc>
          <w:tcPr>
            <w:tcW w:w="120" w:type="dxa"/>
            <w:vAlign w:val="bottom"/>
            <w:tcBorders>
              <w:bottom w:val="single" w:sz="8" w:color="DEEAEB"/>
              <w:right w:val="single" w:sz="8" w:color="007CBA"/>
            </w:tcBorders>
            <w:shd w:val="clear" w:color="auto" w:fill="DEEAEB"/>
          </w:tcPr>
          <w:p>
            <w:pPr>
              <w:jc w:val="right"/>
              <w:spacing w:after="0"/>
              <w:rPr>
                <w:sz w:val="20"/>
                <w:szCs w:val="20"/>
                <w:color w:val="auto"/>
              </w:rPr>
            </w:pPr>
            <w:r>
              <w:rPr>
                <w:rFonts w:ascii="Calibri" w:cs="Calibri" w:eastAsia="Calibri" w:hAnsi="Calibri"/>
                <w:sz w:val="14"/>
                <w:szCs w:val="14"/>
                <w:color w:val="auto"/>
                <w:w w:val="93"/>
              </w:rPr>
              <w:t>)</w:t>
            </w:r>
          </w:p>
        </w:tc>
        <w:tc>
          <w:tcPr>
            <w:tcW w:w="220" w:type="dxa"/>
            <w:vAlign w:val="bottom"/>
            <w:tcBorders>
              <w:bottom w:val="single" w:sz="8" w:color="DEEAEB"/>
            </w:tcBorders>
            <w:shd w:val="clear" w:color="auto" w:fill="DEEAEB"/>
          </w:tcPr>
          <w:p>
            <w:pPr>
              <w:spacing w:after="0"/>
              <w:rPr>
                <w:sz w:val="18"/>
                <w:szCs w:val="18"/>
                <w:color w:val="auto"/>
              </w:rPr>
            </w:pPr>
          </w:p>
        </w:tc>
        <w:tc>
          <w:tcPr>
            <w:tcW w:w="68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(50.0</w:t>
            </w:r>
          </w:p>
        </w:tc>
        <w:tc>
          <w:tcPr>
            <w:tcW w:w="120" w:type="dxa"/>
            <w:vAlign w:val="bottom"/>
            <w:tcBorders>
              <w:bottom w:val="single" w:sz="8" w:color="DEEAEB"/>
              <w:right w:val="single" w:sz="8" w:color="007CBA"/>
            </w:tcBorders>
            <w:shd w:val="clear" w:color="auto" w:fill="DEEAEB"/>
          </w:tcPr>
          <w:p>
            <w:pPr>
              <w:jc w:val="right"/>
              <w:spacing w:after="0"/>
              <w:rPr>
                <w:sz w:val="20"/>
                <w:szCs w:val="20"/>
                <w:color w:val="auto"/>
              </w:rPr>
            </w:pPr>
            <w:r>
              <w:rPr>
                <w:rFonts w:ascii="Calibri" w:cs="Calibri" w:eastAsia="Calibri" w:hAnsi="Calibri"/>
                <w:sz w:val="14"/>
                <w:szCs w:val="14"/>
                <w:color w:val="auto"/>
                <w:w w:val="93"/>
              </w:rPr>
              <w:t>)</w:t>
            </w:r>
          </w:p>
        </w:tc>
        <w:tc>
          <w:tcPr>
            <w:tcW w:w="200" w:type="dxa"/>
            <w:vAlign w:val="bottom"/>
            <w:tcBorders>
              <w:bottom w:val="single" w:sz="8" w:color="DEEAEB"/>
            </w:tcBorders>
            <w:shd w:val="clear" w:color="auto" w:fill="DEEAEB"/>
          </w:tcPr>
          <w:p>
            <w:pPr>
              <w:spacing w:after="0"/>
              <w:rPr>
                <w:sz w:val="18"/>
                <w:szCs w:val="18"/>
                <w:color w:val="auto"/>
              </w:rPr>
            </w:pPr>
          </w:p>
        </w:tc>
        <w:tc>
          <w:tcPr>
            <w:tcW w:w="7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bottom w:val="single" w:sz="8" w:color="DEEAEB"/>
              <w:right w:val="single" w:sz="8" w:color="007CBA"/>
            </w:tcBorders>
            <w:shd w:val="clear" w:color="auto" w:fill="DEEAEB"/>
          </w:tcPr>
          <w:p>
            <w:pPr>
              <w:spacing w:after="0"/>
              <w:rPr>
                <w:sz w:val="18"/>
                <w:szCs w:val="18"/>
                <w:color w:val="auto"/>
              </w:rPr>
            </w:pPr>
          </w:p>
        </w:tc>
        <w:tc>
          <w:tcPr>
            <w:tcW w:w="220" w:type="dxa"/>
            <w:vAlign w:val="bottom"/>
            <w:tcBorders>
              <w:bottom w:val="single" w:sz="8" w:color="DEEAEB"/>
            </w:tcBorders>
            <w:shd w:val="clear" w:color="auto" w:fill="DEEAEB"/>
          </w:tcPr>
          <w:p>
            <w:pPr>
              <w:spacing w:after="0"/>
              <w:rPr>
                <w:sz w:val="18"/>
                <w:szCs w:val="18"/>
                <w:color w:val="auto"/>
              </w:rPr>
            </w:pPr>
          </w:p>
        </w:tc>
        <w:tc>
          <w:tcPr>
            <w:tcW w:w="72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(50.0</w:t>
            </w:r>
          </w:p>
        </w:tc>
        <w:tc>
          <w:tcPr>
            <w:tcW w:w="100" w:type="dxa"/>
            <w:vAlign w:val="bottom"/>
            <w:tcBorders>
              <w:bottom w:val="single" w:sz="8" w:color="DEEAEB"/>
              <w:right w:val="single" w:sz="8" w:color="DEEAEB"/>
            </w:tcBorders>
            <w:shd w:val="clear" w:color="auto" w:fill="DEEAEB"/>
          </w:tcPr>
          <w:p>
            <w:pPr>
              <w:jc w:val="right"/>
              <w:ind w:right="6"/>
              <w:spacing w:after="0"/>
              <w:rPr>
                <w:sz w:val="20"/>
                <w:szCs w:val="20"/>
                <w:color w:val="auto"/>
              </w:rPr>
            </w:pPr>
            <w:r>
              <w:rPr>
                <w:rFonts w:ascii="Calibri" w:cs="Calibri" w:eastAsia="Calibri" w:hAnsi="Calibri"/>
                <w:sz w:val="9"/>
                <w:szCs w:val="9"/>
                <w:color w:val="auto"/>
                <w:w w:val="71"/>
              </w:rPr>
              <w:t>)</w:t>
            </w:r>
          </w:p>
        </w:tc>
      </w:tr>
      <w:tr>
        <w:trPr>
          <w:trHeight w:val="202"/>
        </w:trPr>
        <w:tc>
          <w:tcPr>
            <w:tcW w:w="3060" w:type="dxa"/>
            <w:vAlign w:val="bottom"/>
          </w:tcPr>
          <w:p>
            <w:pPr>
              <w:ind w:left="160"/>
              <w:spacing w:after="0" w:line="169" w:lineRule="exact"/>
              <w:rPr>
                <w:sz w:val="20"/>
                <w:szCs w:val="20"/>
                <w:color w:val="auto"/>
              </w:rPr>
            </w:pPr>
            <w:r>
              <w:rPr>
                <w:rFonts w:ascii="Calibri" w:cs="Calibri" w:eastAsia="Calibri" w:hAnsi="Calibri"/>
                <w:sz w:val="14"/>
                <w:szCs w:val="14"/>
                <w:color w:val="auto"/>
              </w:rPr>
              <w:t>Stock-based compensaton expense</w:t>
            </w:r>
          </w:p>
        </w:tc>
        <w:tc>
          <w:tcPr>
            <w:tcW w:w="120" w:type="dxa"/>
            <w:vAlign w:val="bottom"/>
            <w:tcBorders>
              <w:bottom w:val="single" w:sz="8" w:color="DEEAEB"/>
            </w:tcBorders>
            <w:shd w:val="clear" w:color="auto" w:fill="DEEAEB"/>
          </w:tcPr>
          <w:p>
            <w:pPr>
              <w:spacing w:after="0"/>
              <w:rPr>
                <w:sz w:val="17"/>
                <w:szCs w:val="17"/>
                <w:color w:val="auto"/>
              </w:rPr>
            </w:pPr>
          </w:p>
        </w:tc>
        <w:tc>
          <w:tcPr>
            <w:tcW w:w="560" w:type="dxa"/>
            <w:vAlign w:val="bottom"/>
            <w:tcBorders>
              <w:bottom w:val="single" w:sz="8" w:color="DEEAEB"/>
            </w:tcBorders>
            <w:shd w:val="clear" w:color="auto" w:fill="DEEAEB"/>
          </w:tcPr>
          <w:p>
            <w:pPr>
              <w:jc w:val="right"/>
              <w:spacing w:after="0" w:line="169" w:lineRule="exact"/>
              <w:rPr>
                <w:sz w:val="20"/>
                <w:szCs w:val="20"/>
                <w:color w:val="auto"/>
              </w:rPr>
            </w:pPr>
            <w:r>
              <w:rPr>
                <w:rFonts w:ascii="Calibri" w:cs="Calibri" w:eastAsia="Calibri" w:hAnsi="Calibri"/>
                <w:sz w:val="14"/>
                <w:szCs w:val="14"/>
                <w:color w:val="auto"/>
              </w:rPr>
              <w:t>—</w:t>
            </w:r>
          </w:p>
        </w:tc>
        <w:tc>
          <w:tcPr>
            <w:tcW w:w="120" w:type="dxa"/>
            <w:vAlign w:val="bottom"/>
            <w:tcBorders>
              <w:bottom w:val="single" w:sz="8" w:color="DEEAEB"/>
              <w:right w:val="single" w:sz="8" w:color="DEEAEB"/>
            </w:tcBorders>
            <w:shd w:val="clear" w:color="auto" w:fill="DEEAEB"/>
          </w:tcPr>
          <w:p>
            <w:pPr>
              <w:spacing w:after="0"/>
              <w:rPr>
                <w:sz w:val="17"/>
                <w:szCs w:val="17"/>
                <w:color w:val="auto"/>
              </w:rPr>
            </w:pPr>
          </w:p>
        </w:tc>
        <w:tc>
          <w:tcPr>
            <w:tcW w:w="220" w:type="dxa"/>
            <w:vAlign w:val="bottom"/>
            <w:tcBorders>
              <w:bottom w:val="single" w:sz="8" w:color="DEEAEB"/>
            </w:tcBorders>
            <w:shd w:val="clear" w:color="auto" w:fill="DEEAEB"/>
          </w:tcPr>
          <w:p>
            <w:pPr>
              <w:spacing w:after="0"/>
              <w:rPr>
                <w:sz w:val="17"/>
                <w:szCs w:val="17"/>
                <w:color w:val="auto"/>
              </w:rPr>
            </w:pPr>
          </w:p>
        </w:tc>
        <w:tc>
          <w:tcPr>
            <w:tcW w:w="700" w:type="dxa"/>
            <w:vAlign w:val="bottom"/>
            <w:tcBorders>
              <w:bottom w:val="single" w:sz="8" w:color="DEEAEB"/>
            </w:tcBorders>
            <w:shd w:val="clear" w:color="auto" w:fill="DEEAEB"/>
          </w:tcPr>
          <w:p>
            <w:pPr>
              <w:jc w:val="right"/>
              <w:spacing w:after="0" w:line="169" w:lineRule="exact"/>
              <w:rPr>
                <w:sz w:val="20"/>
                <w:szCs w:val="20"/>
                <w:color w:val="auto"/>
              </w:rPr>
            </w:pPr>
            <w:r>
              <w:rPr>
                <w:rFonts w:ascii="Calibri" w:cs="Calibri" w:eastAsia="Calibri" w:hAnsi="Calibri"/>
                <w:sz w:val="14"/>
                <w:szCs w:val="14"/>
                <w:color w:val="auto"/>
              </w:rPr>
              <w:t>—</w:t>
            </w:r>
          </w:p>
        </w:tc>
        <w:tc>
          <w:tcPr>
            <w:tcW w:w="140" w:type="dxa"/>
            <w:vAlign w:val="bottom"/>
            <w:tcBorders>
              <w:bottom w:val="single" w:sz="8" w:color="DEEAEB"/>
              <w:right w:val="single" w:sz="8" w:color="DEEAEB"/>
            </w:tcBorders>
            <w:shd w:val="clear" w:color="auto" w:fill="DEEAEB"/>
          </w:tcPr>
          <w:p>
            <w:pPr>
              <w:spacing w:after="0"/>
              <w:rPr>
                <w:sz w:val="17"/>
                <w:szCs w:val="17"/>
                <w:color w:val="auto"/>
              </w:rPr>
            </w:pPr>
          </w:p>
        </w:tc>
        <w:tc>
          <w:tcPr>
            <w:tcW w:w="200" w:type="dxa"/>
            <w:vAlign w:val="bottom"/>
            <w:tcBorders>
              <w:bottom w:val="single" w:sz="8" w:color="DEEAEB"/>
            </w:tcBorders>
            <w:shd w:val="clear" w:color="auto" w:fill="DEEAEB"/>
          </w:tcPr>
          <w:p>
            <w:pPr>
              <w:spacing w:after="0"/>
              <w:rPr>
                <w:sz w:val="17"/>
                <w:szCs w:val="17"/>
                <w:color w:val="auto"/>
              </w:rPr>
            </w:pPr>
          </w:p>
        </w:tc>
        <w:tc>
          <w:tcPr>
            <w:tcW w:w="40" w:type="dxa"/>
            <w:vAlign w:val="bottom"/>
            <w:tcBorders>
              <w:bottom w:val="single" w:sz="8" w:color="DEEAEB"/>
            </w:tcBorders>
            <w:shd w:val="clear" w:color="auto" w:fill="DEEAEB"/>
          </w:tcPr>
          <w:p>
            <w:pPr>
              <w:spacing w:after="0"/>
              <w:rPr>
                <w:sz w:val="17"/>
                <w:szCs w:val="17"/>
                <w:color w:val="auto"/>
              </w:rPr>
            </w:pPr>
          </w:p>
        </w:tc>
        <w:tc>
          <w:tcPr>
            <w:tcW w:w="700" w:type="dxa"/>
            <w:vAlign w:val="bottom"/>
            <w:tcBorders>
              <w:bottom w:val="single" w:sz="8" w:color="DEEAEB"/>
            </w:tcBorders>
            <w:shd w:val="clear" w:color="auto" w:fill="DEEAEB"/>
          </w:tcPr>
          <w:p>
            <w:pPr>
              <w:jc w:val="right"/>
              <w:spacing w:after="0" w:line="169" w:lineRule="exact"/>
              <w:rPr>
                <w:sz w:val="20"/>
                <w:szCs w:val="20"/>
                <w:color w:val="auto"/>
              </w:rPr>
            </w:pPr>
            <w:r>
              <w:rPr>
                <w:rFonts w:ascii="Calibri" w:cs="Calibri" w:eastAsia="Calibri" w:hAnsi="Calibri"/>
                <w:sz w:val="14"/>
                <w:szCs w:val="14"/>
                <w:color w:val="auto"/>
              </w:rPr>
              <w:t>30.0</w:t>
            </w:r>
          </w:p>
        </w:tc>
        <w:tc>
          <w:tcPr>
            <w:tcW w:w="120" w:type="dxa"/>
            <w:vAlign w:val="bottom"/>
            <w:tcBorders>
              <w:bottom w:val="single" w:sz="8" w:color="DEEAEB"/>
              <w:right w:val="single" w:sz="8" w:color="DEEAEB"/>
            </w:tcBorders>
            <w:shd w:val="clear" w:color="auto" w:fill="DEEAEB"/>
          </w:tcPr>
          <w:p>
            <w:pPr>
              <w:spacing w:after="0"/>
              <w:rPr>
                <w:sz w:val="17"/>
                <w:szCs w:val="17"/>
                <w:color w:val="auto"/>
              </w:rPr>
            </w:pPr>
          </w:p>
        </w:tc>
        <w:tc>
          <w:tcPr>
            <w:tcW w:w="240" w:type="dxa"/>
            <w:vAlign w:val="bottom"/>
            <w:tcBorders>
              <w:bottom w:val="single" w:sz="8" w:color="DEEAEB"/>
            </w:tcBorders>
            <w:shd w:val="clear" w:color="auto" w:fill="DEEAEB"/>
          </w:tcPr>
          <w:p>
            <w:pPr>
              <w:spacing w:after="0"/>
              <w:rPr>
                <w:sz w:val="17"/>
                <w:szCs w:val="17"/>
                <w:color w:val="auto"/>
              </w:rPr>
            </w:pPr>
          </w:p>
        </w:tc>
        <w:tc>
          <w:tcPr>
            <w:tcW w:w="840" w:type="dxa"/>
            <w:vAlign w:val="bottom"/>
            <w:tcBorders>
              <w:bottom w:val="single" w:sz="8" w:color="DEEAEB"/>
            </w:tcBorders>
            <w:shd w:val="clear" w:color="auto" w:fill="DEEAEB"/>
          </w:tcPr>
          <w:p>
            <w:pPr>
              <w:jc w:val="right"/>
              <w:spacing w:after="0" w:line="169" w:lineRule="exact"/>
              <w:rPr>
                <w:sz w:val="20"/>
                <w:szCs w:val="20"/>
                <w:color w:val="auto"/>
              </w:rPr>
            </w:pPr>
            <w:r>
              <w:rPr>
                <w:rFonts w:ascii="Calibri" w:cs="Calibri" w:eastAsia="Calibri" w:hAnsi="Calibri"/>
                <w:sz w:val="14"/>
                <w:szCs w:val="14"/>
                <w:color w:val="auto"/>
              </w:rPr>
              <w:t>—</w:t>
            </w:r>
          </w:p>
        </w:tc>
        <w:tc>
          <w:tcPr>
            <w:tcW w:w="100" w:type="dxa"/>
            <w:vAlign w:val="bottom"/>
            <w:tcBorders>
              <w:bottom w:val="single" w:sz="8" w:color="DEEAEB"/>
              <w:right w:val="single" w:sz="8" w:color="DEEAEB"/>
            </w:tcBorders>
            <w:shd w:val="clear" w:color="auto" w:fill="DEEAEB"/>
          </w:tcPr>
          <w:p>
            <w:pPr>
              <w:spacing w:after="0"/>
              <w:rPr>
                <w:sz w:val="17"/>
                <w:szCs w:val="17"/>
                <w:color w:val="auto"/>
              </w:rPr>
            </w:pPr>
          </w:p>
        </w:tc>
        <w:tc>
          <w:tcPr>
            <w:tcW w:w="220" w:type="dxa"/>
            <w:vAlign w:val="bottom"/>
            <w:tcBorders>
              <w:bottom w:val="single" w:sz="8" w:color="DEEAEB"/>
            </w:tcBorders>
            <w:shd w:val="clear" w:color="auto" w:fill="DEEAEB"/>
          </w:tcPr>
          <w:p>
            <w:pPr>
              <w:spacing w:after="0"/>
              <w:rPr>
                <w:sz w:val="17"/>
                <w:szCs w:val="17"/>
                <w:color w:val="auto"/>
              </w:rPr>
            </w:pPr>
          </w:p>
        </w:tc>
        <w:tc>
          <w:tcPr>
            <w:tcW w:w="680" w:type="dxa"/>
            <w:vAlign w:val="bottom"/>
            <w:tcBorders>
              <w:bottom w:val="single" w:sz="8" w:color="DEEAEB"/>
            </w:tcBorders>
            <w:shd w:val="clear" w:color="auto" w:fill="DEEAEB"/>
          </w:tcPr>
          <w:p>
            <w:pPr>
              <w:jc w:val="right"/>
              <w:spacing w:after="0" w:line="169" w:lineRule="exact"/>
              <w:rPr>
                <w:sz w:val="20"/>
                <w:szCs w:val="20"/>
                <w:color w:val="auto"/>
              </w:rPr>
            </w:pPr>
            <w:r>
              <w:rPr>
                <w:rFonts w:ascii="Calibri" w:cs="Calibri" w:eastAsia="Calibri" w:hAnsi="Calibri"/>
                <w:sz w:val="14"/>
                <w:szCs w:val="14"/>
                <w:color w:val="auto"/>
              </w:rPr>
              <w:t>—</w:t>
            </w:r>
          </w:p>
        </w:tc>
        <w:tc>
          <w:tcPr>
            <w:tcW w:w="120" w:type="dxa"/>
            <w:vAlign w:val="bottom"/>
            <w:tcBorders>
              <w:bottom w:val="single" w:sz="8" w:color="DEEAEB"/>
              <w:right w:val="single" w:sz="8" w:color="DEEAEB"/>
            </w:tcBorders>
            <w:shd w:val="clear" w:color="auto" w:fill="DEEAEB"/>
          </w:tcPr>
          <w:p>
            <w:pPr>
              <w:spacing w:after="0"/>
              <w:rPr>
                <w:sz w:val="17"/>
                <w:szCs w:val="17"/>
                <w:color w:val="auto"/>
              </w:rPr>
            </w:pPr>
          </w:p>
        </w:tc>
        <w:tc>
          <w:tcPr>
            <w:tcW w:w="220" w:type="dxa"/>
            <w:vAlign w:val="bottom"/>
            <w:tcBorders>
              <w:bottom w:val="single" w:sz="8" w:color="DEEAEB"/>
            </w:tcBorders>
            <w:shd w:val="clear" w:color="auto" w:fill="DEEAEB"/>
          </w:tcPr>
          <w:p>
            <w:pPr>
              <w:spacing w:after="0"/>
              <w:rPr>
                <w:sz w:val="17"/>
                <w:szCs w:val="17"/>
                <w:color w:val="auto"/>
              </w:rPr>
            </w:pPr>
          </w:p>
        </w:tc>
        <w:tc>
          <w:tcPr>
            <w:tcW w:w="680" w:type="dxa"/>
            <w:vAlign w:val="bottom"/>
            <w:tcBorders>
              <w:bottom w:val="single" w:sz="8" w:color="DEEAEB"/>
            </w:tcBorders>
            <w:shd w:val="clear" w:color="auto" w:fill="DEEAEB"/>
          </w:tcPr>
          <w:p>
            <w:pPr>
              <w:jc w:val="right"/>
              <w:spacing w:after="0" w:line="169" w:lineRule="exact"/>
              <w:rPr>
                <w:sz w:val="20"/>
                <w:szCs w:val="20"/>
                <w:color w:val="auto"/>
              </w:rPr>
            </w:pPr>
            <w:r>
              <w:rPr>
                <w:rFonts w:ascii="Calibri" w:cs="Calibri" w:eastAsia="Calibri" w:hAnsi="Calibri"/>
                <w:sz w:val="14"/>
                <w:szCs w:val="14"/>
                <w:color w:val="auto"/>
              </w:rPr>
              <w:t>30.0</w:t>
            </w:r>
          </w:p>
        </w:tc>
        <w:tc>
          <w:tcPr>
            <w:tcW w:w="120" w:type="dxa"/>
            <w:vAlign w:val="bottom"/>
            <w:tcBorders>
              <w:bottom w:val="single" w:sz="8" w:color="DEEAEB"/>
              <w:right w:val="single" w:sz="8" w:color="DEEAEB"/>
            </w:tcBorders>
            <w:shd w:val="clear" w:color="auto" w:fill="DEEAEB"/>
          </w:tcPr>
          <w:p>
            <w:pPr>
              <w:spacing w:after="0"/>
              <w:rPr>
                <w:sz w:val="17"/>
                <w:szCs w:val="17"/>
                <w:color w:val="auto"/>
              </w:rPr>
            </w:pPr>
          </w:p>
        </w:tc>
        <w:tc>
          <w:tcPr>
            <w:tcW w:w="200" w:type="dxa"/>
            <w:vAlign w:val="bottom"/>
            <w:tcBorders>
              <w:bottom w:val="single" w:sz="8" w:color="DEEAEB"/>
            </w:tcBorders>
            <w:shd w:val="clear" w:color="auto" w:fill="DEEAEB"/>
          </w:tcPr>
          <w:p>
            <w:pPr>
              <w:spacing w:after="0"/>
              <w:rPr>
                <w:sz w:val="17"/>
                <w:szCs w:val="17"/>
                <w:color w:val="auto"/>
              </w:rPr>
            </w:pPr>
          </w:p>
        </w:tc>
        <w:tc>
          <w:tcPr>
            <w:tcW w:w="700" w:type="dxa"/>
            <w:vAlign w:val="bottom"/>
            <w:tcBorders>
              <w:bottom w:val="single" w:sz="8" w:color="DEEAEB"/>
            </w:tcBorders>
            <w:shd w:val="clear" w:color="auto" w:fill="DEEAEB"/>
          </w:tcPr>
          <w:p>
            <w:pPr>
              <w:jc w:val="right"/>
              <w:spacing w:after="0" w:line="169" w:lineRule="exact"/>
              <w:rPr>
                <w:sz w:val="20"/>
                <w:szCs w:val="20"/>
                <w:color w:val="auto"/>
              </w:rPr>
            </w:pPr>
            <w:r>
              <w:rPr>
                <w:rFonts w:ascii="Calibri" w:cs="Calibri" w:eastAsia="Calibri" w:hAnsi="Calibri"/>
                <w:sz w:val="14"/>
                <w:szCs w:val="14"/>
                <w:color w:val="auto"/>
              </w:rPr>
              <w:t>—</w:t>
            </w:r>
          </w:p>
        </w:tc>
        <w:tc>
          <w:tcPr>
            <w:tcW w:w="100" w:type="dxa"/>
            <w:vAlign w:val="bottom"/>
            <w:tcBorders>
              <w:bottom w:val="single" w:sz="8" w:color="DEEAEB"/>
              <w:right w:val="single" w:sz="8" w:color="DEEAEB"/>
            </w:tcBorders>
            <w:shd w:val="clear" w:color="auto" w:fill="DEEAEB"/>
          </w:tcPr>
          <w:p>
            <w:pPr>
              <w:spacing w:after="0"/>
              <w:rPr>
                <w:sz w:val="17"/>
                <w:szCs w:val="17"/>
                <w:color w:val="auto"/>
              </w:rPr>
            </w:pPr>
          </w:p>
        </w:tc>
        <w:tc>
          <w:tcPr>
            <w:tcW w:w="220" w:type="dxa"/>
            <w:vAlign w:val="bottom"/>
            <w:tcBorders>
              <w:bottom w:val="single" w:sz="8" w:color="DEEAEB"/>
            </w:tcBorders>
            <w:shd w:val="clear" w:color="auto" w:fill="DEEAEB"/>
          </w:tcPr>
          <w:p>
            <w:pPr>
              <w:spacing w:after="0"/>
              <w:rPr>
                <w:sz w:val="17"/>
                <w:szCs w:val="17"/>
                <w:color w:val="auto"/>
              </w:rPr>
            </w:pPr>
          </w:p>
        </w:tc>
        <w:tc>
          <w:tcPr>
            <w:tcW w:w="720" w:type="dxa"/>
            <w:vAlign w:val="bottom"/>
            <w:tcBorders>
              <w:bottom w:val="single" w:sz="8" w:color="DEEAEB"/>
            </w:tcBorders>
            <w:shd w:val="clear" w:color="auto" w:fill="DEEAEB"/>
          </w:tcPr>
          <w:p>
            <w:pPr>
              <w:jc w:val="right"/>
              <w:spacing w:after="0" w:line="169" w:lineRule="exact"/>
              <w:rPr>
                <w:sz w:val="20"/>
                <w:szCs w:val="20"/>
                <w:color w:val="auto"/>
              </w:rPr>
            </w:pPr>
            <w:r>
              <w:rPr>
                <w:rFonts w:ascii="Calibri" w:cs="Calibri" w:eastAsia="Calibri" w:hAnsi="Calibri"/>
                <w:sz w:val="14"/>
                <w:szCs w:val="14"/>
                <w:color w:val="auto"/>
              </w:rPr>
              <w:t>30.0</w:t>
            </w:r>
          </w:p>
        </w:tc>
        <w:tc>
          <w:tcPr>
            <w:tcW w:w="100" w:type="dxa"/>
            <w:vAlign w:val="bottom"/>
            <w:tcBorders>
              <w:bottom w:val="single" w:sz="8" w:color="DEEAEB"/>
              <w:right w:val="single" w:sz="8" w:color="DEEAEB"/>
            </w:tcBorders>
            <w:shd w:val="clear" w:color="auto" w:fill="DEEAEB"/>
          </w:tcPr>
          <w:p>
            <w:pPr>
              <w:spacing w:after="0"/>
              <w:rPr>
                <w:sz w:val="17"/>
                <w:szCs w:val="17"/>
                <w:color w:val="auto"/>
              </w:rPr>
            </w:pPr>
          </w:p>
        </w:tc>
      </w:tr>
      <w:tr>
        <w:trPr>
          <w:trHeight w:val="163"/>
        </w:trPr>
        <w:tc>
          <w:tcPr>
            <w:tcW w:w="3060" w:type="dxa"/>
            <w:vAlign w:val="bottom"/>
            <w:tcBorders>
              <w:top w:val="single" w:sz="8" w:color="auto"/>
              <w:right w:val="single" w:sz="8" w:color="007CBA"/>
            </w:tcBorders>
          </w:tcPr>
          <w:p>
            <w:pPr>
              <w:ind w:left="20"/>
              <w:spacing w:after="0" w:line="164" w:lineRule="exact"/>
              <w:rPr>
                <w:sz w:val="20"/>
                <w:szCs w:val="20"/>
                <w:color w:val="auto"/>
              </w:rPr>
            </w:pPr>
            <w:r>
              <w:rPr>
                <w:rFonts w:ascii="Calibri" w:cs="Calibri" w:eastAsia="Calibri" w:hAnsi="Calibri"/>
                <w:sz w:val="14"/>
                <w:szCs w:val="14"/>
                <w:color w:val="auto"/>
              </w:rPr>
              <w:t>Balance at December 31, 2020</w:t>
            </w:r>
          </w:p>
        </w:tc>
        <w:tc>
          <w:tcPr>
            <w:tcW w:w="120" w:type="dxa"/>
            <w:vAlign w:val="bottom"/>
            <w:tcBorders>
              <w:top w:val="single" w:sz="8" w:color="auto"/>
            </w:tcBorders>
            <w:shd w:val="clear" w:color="auto" w:fill="DEEAEB"/>
          </w:tcPr>
          <w:p>
            <w:pPr>
              <w:spacing w:after="0"/>
              <w:rPr>
                <w:sz w:val="14"/>
                <w:szCs w:val="14"/>
                <w:color w:val="auto"/>
              </w:rPr>
            </w:pPr>
          </w:p>
        </w:tc>
        <w:tc>
          <w:tcPr>
            <w:tcW w:w="560" w:type="dxa"/>
            <w:vAlign w:val="bottom"/>
            <w:tcBorders>
              <w:top w:val="single" w:sz="8" w:color="auto"/>
            </w:tcBorders>
            <w:shd w:val="clear" w:color="auto" w:fill="DEEAEB"/>
          </w:tcPr>
          <w:p>
            <w:pPr>
              <w:jc w:val="right"/>
              <w:spacing w:after="0" w:line="164" w:lineRule="exact"/>
              <w:rPr>
                <w:sz w:val="20"/>
                <w:szCs w:val="20"/>
                <w:color w:val="auto"/>
              </w:rPr>
            </w:pPr>
            <w:r>
              <w:rPr>
                <w:rFonts w:ascii="Calibri" w:cs="Calibri" w:eastAsia="Calibri" w:hAnsi="Calibri"/>
                <w:sz w:val="14"/>
                <w:szCs w:val="14"/>
                <w:color w:val="auto"/>
              </w:rPr>
              <w:t>62.3</w:t>
            </w:r>
          </w:p>
        </w:tc>
        <w:tc>
          <w:tcPr>
            <w:tcW w:w="120" w:type="dxa"/>
            <w:vAlign w:val="bottom"/>
            <w:tcBorders>
              <w:top w:val="single" w:sz="8" w:color="auto"/>
              <w:right w:val="single" w:sz="8" w:color="007CBA"/>
            </w:tcBorders>
            <w:shd w:val="clear" w:color="auto" w:fill="DEEAEB"/>
          </w:tcPr>
          <w:p>
            <w:pPr>
              <w:spacing w:after="0"/>
              <w:rPr>
                <w:sz w:val="14"/>
                <w:szCs w:val="14"/>
                <w:color w:val="auto"/>
              </w:rPr>
            </w:pPr>
          </w:p>
        </w:tc>
        <w:tc>
          <w:tcPr>
            <w:tcW w:w="220" w:type="dxa"/>
            <w:vAlign w:val="bottom"/>
            <w:tcBorders>
              <w:top w:val="single" w:sz="8" w:color="auto"/>
            </w:tcBorders>
            <w:shd w:val="clear" w:color="auto" w:fill="DEEAEB"/>
          </w:tcPr>
          <w:p>
            <w:pPr>
              <w:spacing w:after="0"/>
              <w:rPr>
                <w:sz w:val="14"/>
                <w:szCs w:val="14"/>
                <w:color w:val="auto"/>
              </w:rPr>
            </w:pPr>
          </w:p>
        </w:tc>
        <w:tc>
          <w:tcPr>
            <w:tcW w:w="700" w:type="dxa"/>
            <w:vAlign w:val="bottom"/>
            <w:tcBorders>
              <w:top w:val="single" w:sz="8" w:color="auto"/>
            </w:tcBorders>
            <w:shd w:val="clear" w:color="auto" w:fill="DEEAEB"/>
          </w:tcPr>
          <w:p>
            <w:pPr>
              <w:jc w:val="right"/>
              <w:spacing w:after="0" w:line="164" w:lineRule="exact"/>
              <w:rPr>
                <w:sz w:val="20"/>
                <w:szCs w:val="20"/>
                <w:color w:val="auto"/>
              </w:rPr>
            </w:pPr>
            <w:r>
              <w:rPr>
                <w:rFonts w:ascii="Calibri" w:cs="Calibri" w:eastAsia="Calibri" w:hAnsi="Calibri"/>
                <w:sz w:val="14"/>
                <w:szCs w:val="14"/>
                <w:color w:val="auto"/>
              </w:rPr>
              <w:t>0.6</w:t>
            </w:r>
          </w:p>
        </w:tc>
        <w:tc>
          <w:tcPr>
            <w:tcW w:w="140" w:type="dxa"/>
            <w:vAlign w:val="bottom"/>
            <w:tcBorders>
              <w:top w:val="single" w:sz="8" w:color="auto"/>
              <w:right w:val="single" w:sz="8" w:color="007CBA"/>
            </w:tcBorders>
            <w:shd w:val="clear" w:color="auto" w:fill="DEEAEB"/>
          </w:tcPr>
          <w:p>
            <w:pPr>
              <w:spacing w:after="0"/>
              <w:rPr>
                <w:sz w:val="14"/>
                <w:szCs w:val="14"/>
                <w:color w:val="auto"/>
              </w:rPr>
            </w:pPr>
          </w:p>
        </w:tc>
        <w:tc>
          <w:tcPr>
            <w:tcW w:w="200" w:type="dxa"/>
            <w:vAlign w:val="bottom"/>
            <w:tcBorders>
              <w:top w:val="single" w:sz="8" w:color="auto"/>
            </w:tcBorders>
            <w:shd w:val="clear" w:color="auto" w:fill="DEEAEB"/>
          </w:tcPr>
          <w:p>
            <w:pPr>
              <w:spacing w:after="0"/>
              <w:rPr>
                <w:sz w:val="14"/>
                <w:szCs w:val="14"/>
                <w:color w:val="auto"/>
              </w:rPr>
            </w:pPr>
          </w:p>
        </w:tc>
        <w:tc>
          <w:tcPr>
            <w:tcW w:w="40" w:type="dxa"/>
            <w:vAlign w:val="bottom"/>
            <w:tcBorders>
              <w:top w:val="single" w:sz="8" w:color="auto"/>
            </w:tcBorders>
            <w:shd w:val="clear" w:color="auto" w:fill="DEEAEB"/>
          </w:tcPr>
          <w:p>
            <w:pPr>
              <w:spacing w:after="0"/>
              <w:rPr>
                <w:sz w:val="14"/>
                <w:szCs w:val="14"/>
                <w:color w:val="auto"/>
              </w:rPr>
            </w:pPr>
          </w:p>
        </w:tc>
        <w:tc>
          <w:tcPr>
            <w:tcW w:w="700" w:type="dxa"/>
            <w:vAlign w:val="bottom"/>
            <w:tcBorders>
              <w:top w:val="single" w:sz="8" w:color="auto"/>
            </w:tcBorders>
            <w:shd w:val="clear" w:color="auto" w:fill="DEEAEB"/>
          </w:tcPr>
          <w:p>
            <w:pPr>
              <w:jc w:val="right"/>
              <w:spacing w:after="0" w:line="164" w:lineRule="exact"/>
              <w:rPr>
                <w:sz w:val="20"/>
                <w:szCs w:val="20"/>
                <w:color w:val="auto"/>
              </w:rPr>
            </w:pPr>
            <w:r>
              <w:rPr>
                <w:rFonts w:ascii="Calibri" w:cs="Calibri" w:eastAsia="Calibri" w:hAnsi="Calibri"/>
                <w:sz w:val="14"/>
                <w:szCs w:val="14"/>
                <w:color w:val="auto"/>
              </w:rPr>
              <w:t>3,440.8</w:t>
            </w:r>
          </w:p>
        </w:tc>
        <w:tc>
          <w:tcPr>
            <w:tcW w:w="120" w:type="dxa"/>
            <w:vAlign w:val="bottom"/>
            <w:tcBorders>
              <w:top w:val="single" w:sz="8" w:color="auto"/>
              <w:right w:val="single" w:sz="8" w:color="007CBA"/>
            </w:tcBorders>
            <w:shd w:val="clear" w:color="auto" w:fill="DEEAEB"/>
          </w:tcPr>
          <w:p>
            <w:pPr>
              <w:spacing w:after="0"/>
              <w:rPr>
                <w:sz w:val="14"/>
                <w:szCs w:val="14"/>
                <w:color w:val="auto"/>
              </w:rPr>
            </w:pPr>
          </w:p>
        </w:tc>
        <w:tc>
          <w:tcPr>
            <w:tcW w:w="240" w:type="dxa"/>
            <w:vAlign w:val="bottom"/>
            <w:tcBorders>
              <w:top w:val="single" w:sz="8" w:color="auto"/>
            </w:tcBorders>
            <w:shd w:val="clear" w:color="auto" w:fill="DEEAEB"/>
          </w:tcPr>
          <w:p>
            <w:pPr>
              <w:spacing w:after="0"/>
              <w:rPr>
                <w:sz w:val="14"/>
                <w:szCs w:val="14"/>
                <w:color w:val="auto"/>
              </w:rPr>
            </w:pPr>
          </w:p>
        </w:tc>
        <w:tc>
          <w:tcPr>
            <w:tcW w:w="840" w:type="dxa"/>
            <w:vAlign w:val="bottom"/>
            <w:tcBorders>
              <w:top w:val="single" w:sz="8" w:color="auto"/>
            </w:tcBorders>
            <w:shd w:val="clear" w:color="auto" w:fill="DEEAEB"/>
          </w:tcPr>
          <w:p>
            <w:pPr>
              <w:jc w:val="right"/>
              <w:spacing w:after="0" w:line="164" w:lineRule="exact"/>
              <w:rPr>
                <w:sz w:val="20"/>
                <w:szCs w:val="20"/>
                <w:color w:val="auto"/>
              </w:rPr>
            </w:pPr>
            <w:r>
              <w:rPr>
                <w:rFonts w:ascii="Calibri" w:cs="Calibri" w:eastAsia="Calibri" w:hAnsi="Calibri"/>
                <w:sz w:val="14"/>
                <w:szCs w:val="14"/>
                <w:color w:val="auto"/>
              </w:rPr>
              <w:t>(158.4</w:t>
            </w:r>
          </w:p>
        </w:tc>
        <w:tc>
          <w:tcPr>
            <w:tcW w:w="100" w:type="dxa"/>
            <w:vAlign w:val="bottom"/>
            <w:tcBorders>
              <w:top w:val="single" w:sz="8" w:color="auto"/>
              <w:right w:val="single" w:sz="8" w:color="007CBA"/>
            </w:tcBorders>
            <w:shd w:val="clear" w:color="auto" w:fill="DEEAEB"/>
          </w:tcPr>
          <w:p>
            <w:pPr>
              <w:jc w:val="right"/>
              <w:spacing w:after="0" w:line="164" w:lineRule="exact"/>
              <w:rPr>
                <w:sz w:val="20"/>
                <w:szCs w:val="20"/>
                <w:color w:val="auto"/>
              </w:rPr>
            </w:pPr>
            <w:r>
              <w:rPr>
                <w:rFonts w:ascii="Calibri" w:cs="Calibri" w:eastAsia="Calibri" w:hAnsi="Calibri"/>
                <w:sz w:val="14"/>
                <w:szCs w:val="14"/>
                <w:color w:val="auto"/>
                <w:w w:val="93"/>
              </w:rPr>
              <w:t>)</w:t>
            </w:r>
          </w:p>
        </w:tc>
        <w:tc>
          <w:tcPr>
            <w:tcW w:w="220" w:type="dxa"/>
            <w:vAlign w:val="bottom"/>
            <w:tcBorders>
              <w:top w:val="single" w:sz="8" w:color="auto"/>
            </w:tcBorders>
            <w:shd w:val="clear" w:color="auto" w:fill="DEEAEB"/>
          </w:tcPr>
          <w:p>
            <w:pPr>
              <w:spacing w:after="0"/>
              <w:rPr>
                <w:sz w:val="14"/>
                <w:szCs w:val="14"/>
                <w:color w:val="auto"/>
              </w:rPr>
            </w:pPr>
          </w:p>
        </w:tc>
        <w:tc>
          <w:tcPr>
            <w:tcW w:w="680" w:type="dxa"/>
            <w:vAlign w:val="bottom"/>
            <w:tcBorders>
              <w:top w:val="single" w:sz="8" w:color="auto"/>
            </w:tcBorders>
            <w:shd w:val="clear" w:color="auto" w:fill="DEEAEB"/>
          </w:tcPr>
          <w:p>
            <w:pPr>
              <w:jc w:val="right"/>
              <w:spacing w:after="0" w:line="164" w:lineRule="exact"/>
              <w:rPr>
                <w:sz w:val="20"/>
                <w:szCs w:val="20"/>
                <w:color w:val="auto"/>
              </w:rPr>
            </w:pPr>
            <w:r>
              <w:rPr>
                <w:rFonts w:ascii="Calibri" w:cs="Calibri" w:eastAsia="Calibri" w:hAnsi="Calibri"/>
                <w:sz w:val="14"/>
                <w:szCs w:val="14"/>
                <w:color w:val="auto"/>
              </w:rPr>
              <w:t>2,607.7</w:t>
            </w:r>
          </w:p>
        </w:tc>
        <w:tc>
          <w:tcPr>
            <w:tcW w:w="120" w:type="dxa"/>
            <w:vAlign w:val="bottom"/>
            <w:tcBorders>
              <w:top w:val="single" w:sz="8" w:color="auto"/>
              <w:right w:val="single" w:sz="8" w:color="007CBA"/>
            </w:tcBorders>
            <w:shd w:val="clear" w:color="auto" w:fill="DEEAEB"/>
          </w:tcPr>
          <w:p>
            <w:pPr>
              <w:spacing w:after="0"/>
              <w:rPr>
                <w:sz w:val="14"/>
                <w:szCs w:val="14"/>
                <w:color w:val="auto"/>
              </w:rPr>
            </w:pPr>
          </w:p>
        </w:tc>
        <w:tc>
          <w:tcPr>
            <w:tcW w:w="220" w:type="dxa"/>
            <w:vAlign w:val="bottom"/>
            <w:tcBorders>
              <w:top w:val="single" w:sz="8" w:color="auto"/>
            </w:tcBorders>
            <w:shd w:val="clear" w:color="auto" w:fill="DEEAEB"/>
          </w:tcPr>
          <w:p>
            <w:pPr>
              <w:spacing w:after="0"/>
              <w:rPr>
                <w:sz w:val="14"/>
                <w:szCs w:val="14"/>
                <w:color w:val="auto"/>
              </w:rPr>
            </w:pPr>
          </w:p>
        </w:tc>
        <w:tc>
          <w:tcPr>
            <w:tcW w:w="680" w:type="dxa"/>
            <w:vAlign w:val="bottom"/>
            <w:tcBorders>
              <w:top w:val="single" w:sz="8" w:color="auto"/>
            </w:tcBorders>
            <w:shd w:val="clear" w:color="auto" w:fill="DEEAEB"/>
          </w:tcPr>
          <w:p>
            <w:pPr>
              <w:jc w:val="right"/>
              <w:spacing w:after="0" w:line="164" w:lineRule="exact"/>
              <w:rPr>
                <w:sz w:val="20"/>
                <w:szCs w:val="20"/>
                <w:color w:val="auto"/>
              </w:rPr>
            </w:pPr>
            <w:r>
              <w:rPr>
                <w:rFonts w:ascii="Calibri" w:cs="Calibri" w:eastAsia="Calibri" w:hAnsi="Calibri"/>
                <w:sz w:val="14"/>
                <w:szCs w:val="14"/>
                <w:color w:val="auto"/>
              </w:rPr>
              <w:t>5,890.7</w:t>
            </w:r>
          </w:p>
        </w:tc>
        <w:tc>
          <w:tcPr>
            <w:tcW w:w="120" w:type="dxa"/>
            <w:vAlign w:val="bottom"/>
            <w:tcBorders>
              <w:top w:val="single" w:sz="8" w:color="auto"/>
              <w:right w:val="single" w:sz="8" w:color="007CBA"/>
            </w:tcBorders>
            <w:shd w:val="clear" w:color="auto" w:fill="DEEAEB"/>
          </w:tcPr>
          <w:p>
            <w:pPr>
              <w:spacing w:after="0"/>
              <w:rPr>
                <w:sz w:val="14"/>
                <w:szCs w:val="14"/>
                <w:color w:val="auto"/>
              </w:rPr>
            </w:pPr>
          </w:p>
        </w:tc>
        <w:tc>
          <w:tcPr>
            <w:tcW w:w="200" w:type="dxa"/>
            <w:vAlign w:val="bottom"/>
            <w:tcBorders>
              <w:top w:val="single" w:sz="8" w:color="auto"/>
            </w:tcBorders>
            <w:shd w:val="clear" w:color="auto" w:fill="DEEAEB"/>
          </w:tcPr>
          <w:p>
            <w:pPr>
              <w:spacing w:after="0"/>
              <w:rPr>
                <w:sz w:val="14"/>
                <w:szCs w:val="14"/>
                <w:color w:val="auto"/>
              </w:rPr>
            </w:pPr>
          </w:p>
        </w:tc>
        <w:tc>
          <w:tcPr>
            <w:tcW w:w="700" w:type="dxa"/>
            <w:vAlign w:val="bottom"/>
            <w:tcBorders>
              <w:top w:val="single" w:sz="8" w:color="auto"/>
            </w:tcBorders>
            <w:shd w:val="clear" w:color="auto" w:fill="DEEAEB"/>
          </w:tcPr>
          <w:p>
            <w:pPr>
              <w:jc w:val="right"/>
              <w:spacing w:after="0" w:line="164" w:lineRule="exact"/>
              <w:rPr>
                <w:sz w:val="20"/>
                <w:szCs w:val="20"/>
                <w:color w:val="auto"/>
              </w:rPr>
            </w:pPr>
            <w:r>
              <w:rPr>
                <w:rFonts w:ascii="Calibri" w:cs="Calibri" w:eastAsia="Calibri" w:hAnsi="Calibri"/>
                <w:sz w:val="14"/>
                <w:szCs w:val="14"/>
                <w:color w:val="auto"/>
              </w:rPr>
              <w:t>2.6</w:t>
            </w:r>
          </w:p>
        </w:tc>
        <w:tc>
          <w:tcPr>
            <w:tcW w:w="100" w:type="dxa"/>
            <w:vAlign w:val="bottom"/>
            <w:tcBorders>
              <w:top w:val="single" w:sz="8" w:color="auto"/>
              <w:right w:val="single" w:sz="8" w:color="007CBA"/>
            </w:tcBorders>
            <w:shd w:val="clear" w:color="auto" w:fill="DEEAEB"/>
          </w:tcPr>
          <w:p>
            <w:pPr>
              <w:spacing w:after="0"/>
              <w:rPr>
                <w:sz w:val="14"/>
                <w:szCs w:val="14"/>
                <w:color w:val="auto"/>
              </w:rPr>
            </w:pPr>
          </w:p>
        </w:tc>
        <w:tc>
          <w:tcPr>
            <w:tcW w:w="220" w:type="dxa"/>
            <w:vAlign w:val="bottom"/>
            <w:tcBorders>
              <w:top w:val="single" w:sz="8" w:color="auto"/>
            </w:tcBorders>
            <w:shd w:val="clear" w:color="auto" w:fill="DEEAEB"/>
          </w:tcPr>
          <w:p>
            <w:pPr>
              <w:spacing w:after="0"/>
              <w:rPr>
                <w:sz w:val="14"/>
                <w:szCs w:val="14"/>
                <w:color w:val="auto"/>
              </w:rPr>
            </w:pPr>
          </w:p>
        </w:tc>
        <w:tc>
          <w:tcPr>
            <w:tcW w:w="720" w:type="dxa"/>
            <w:vAlign w:val="bottom"/>
            <w:tcBorders>
              <w:top w:val="single" w:sz="8" w:color="auto"/>
            </w:tcBorders>
            <w:shd w:val="clear" w:color="auto" w:fill="DEEAEB"/>
          </w:tcPr>
          <w:p>
            <w:pPr>
              <w:jc w:val="right"/>
              <w:spacing w:after="0" w:line="164" w:lineRule="exact"/>
              <w:rPr>
                <w:sz w:val="20"/>
                <w:szCs w:val="20"/>
                <w:color w:val="auto"/>
              </w:rPr>
            </w:pPr>
            <w:r>
              <w:rPr>
                <w:rFonts w:ascii="Calibri" w:cs="Calibri" w:eastAsia="Calibri" w:hAnsi="Calibri"/>
                <w:sz w:val="14"/>
                <w:szCs w:val="14"/>
                <w:color w:val="auto"/>
              </w:rPr>
              <w:t>5,893.3</w:t>
            </w:r>
          </w:p>
        </w:tc>
        <w:tc>
          <w:tcPr>
            <w:tcW w:w="100" w:type="dxa"/>
            <w:vAlign w:val="bottom"/>
            <w:tcBorders>
              <w:top w:val="single" w:sz="8" w:color="auto"/>
              <w:right w:val="single" w:sz="8" w:color="DEEAEB"/>
            </w:tcBorders>
            <w:shd w:val="clear" w:color="auto" w:fill="DEEAEB"/>
          </w:tcPr>
          <w:p>
            <w:pPr>
              <w:spacing w:after="0"/>
              <w:rPr>
                <w:sz w:val="14"/>
                <w:szCs w:val="14"/>
                <w:color w:val="auto"/>
              </w:rPr>
            </w:pPr>
          </w:p>
        </w:tc>
      </w:tr>
      <w:tr>
        <w:trPr>
          <w:trHeight w:val="202"/>
        </w:trPr>
        <w:tc>
          <w:tcPr>
            <w:tcW w:w="306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color w:val="auto"/>
              </w:rPr>
              <w:t>Consolidated net earnings</w:t>
            </w:r>
          </w:p>
        </w:tc>
        <w:tc>
          <w:tcPr>
            <w:tcW w:w="120" w:type="dxa"/>
            <w:vAlign w:val="bottom"/>
            <w:shd w:val="clear" w:color="auto" w:fill="DEEAEB"/>
          </w:tcPr>
          <w:p>
            <w:pPr>
              <w:spacing w:after="0"/>
              <w:rPr>
                <w:sz w:val="17"/>
                <w:szCs w:val="17"/>
                <w:color w:val="auto"/>
              </w:rPr>
            </w:pPr>
          </w:p>
        </w:tc>
        <w:tc>
          <w:tcPr>
            <w:tcW w:w="56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7"/>
                <w:szCs w:val="17"/>
                <w:color w:val="auto"/>
              </w:rPr>
            </w:pPr>
          </w:p>
        </w:tc>
        <w:tc>
          <w:tcPr>
            <w:tcW w:w="220" w:type="dxa"/>
            <w:vAlign w:val="bottom"/>
            <w:shd w:val="clear" w:color="auto" w:fill="DEEAEB"/>
          </w:tcPr>
          <w:p>
            <w:pPr>
              <w:spacing w:after="0"/>
              <w:rPr>
                <w:sz w:val="17"/>
                <w:szCs w:val="17"/>
                <w:color w:val="auto"/>
              </w:rPr>
            </w:pPr>
          </w:p>
        </w:tc>
        <w:tc>
          <w:tcPr>
            <w:tcW w:w="840" w:type="dxa"/>
            <w:vAlign w:val="bottom"/>
            <w:tcBorders>
              <w:right w:val="single" w:sz="8" w:color="007CBA"/>
            </w:tcBorders>
            <w:gridSpan w:val="2"/>
            <w:shd w:val="clear" w:color="auto" w:fill="DEEAEB"/>
          </w:tcPr>
          <w:p>
            <w:pPr>
              <w:jc w:val="right"/>
              <w:ind w:right="140"/>
              <w:spacing w:after="0"/>
              <w:rPr>
                <w:sz w:val="20"/>
                <w:szCs w:val="20"/>
                <w:color w:val="auto"/>
              </w:rPr>
            </w:pPr>
            <w:r>
              <w:rPr>
                <w:rFonts w:ascii="Calibri" w:cs="Calibri" w:eastAsia="Calibri" w:hAnsi="Calibri"/>
                <w:sz w:val="14"/>
                <w:szCs w:val="14"/>
                <w:color w:val="auto"/>
              </w:rPr>
              <w:t>—</w:t>
            </w:r>
          </w:p>
        </w:tc>
        <w:tc>
          <w:tcPr>
            <w:tcW w:w="200" w:type="dxa"/>
            <w:vAlign w:val="bottom"/>
            <w:shd w:val="clear" w:color="auto" w:fill="DEEAEB"/>
          </w:tcPr>
          <w:p>
            <w:pPr>
              <w:spacing w:after="0"/>
              <w:rPr>
                <w:sz w:val="17"/>
                <w:szCs w:val="17"/>
                <w:color w:val="auto"/>
              </w:rPr>
            </w:pPr>
          </w:p>
        </w:tc>
        <w:tc>
          <w:tcPr>
            <w:tcW w:w="40" w:type="dxa"/>
            <w:vAlign w:val="bottom"/>
            <w:shd w:val="clear" w:color="auto" w:fill="DEEAEB"/>
          </w:tcPr>
          <w:p>
            <w:pPr>
              <w:spacing w:after="0"/>
              <w:rPr>
                <w:sz w:val="17"/>
                <w:szCs w:val="17"/>
                <w:color w:val="auto"/>
              </w:rPr>
            </w:pPr>
          </w:p>
        </w:tc>
        <w:tc>
          <w:tcPr>
            <w:tcW w:w="820" w:type="dxa"/>
            <w:vAlign w:val="bottom"/>
            <w:tcBorders>
              <w:right w:val="single" w:sz="8" w:color="007CBA"/>
            </w:tcBorders>
            <w:gridSpan w:val="2"/>
            <w:shd w:val="clear" w:color="auto" w:fill="DEEAEB"/>
          </w:tcPr>
          <w:p>
            <w:pPr>
              <w:jc w:val="right"/>
              <w:ind w:right="68"/>
              <w:spacing w:after="0"/>
              <w:rPr>
                <w:sz w:val="20"/>
                <w:szCs w:val="20"/>
                <w:color w:val="auto"/>
              </w:rPr>
            </w:pPr>
            <w:r>
              <w:rPr>
                <w:rFonts w:ascii="Calibri" w:cs="Calibri" w:eastAsia="Calibri" w:hAnsi="Calibri"/>
                <w:sz w:val="14"/>
                <w:szCs w:val="14"/>
                <w:color w:val="auto"/>
              </w:rPr>
              <w:t>—</w:t>
            </w:r>
          </w:p>
        </w:tc>
        <w:tc>
          <w:tcPr>
            <w:tcW w:w="240" w:type="dxa"/>
            <w:vAlign w:val="bottom"/>
            <w:shd w:val="clear" w:color="auto" w:fill="DEEAEB"/>
          </w:tcPr>
          <w:p>
            <w:pPr>
              <w:spacing w:after="0"/>
              <w:rPr>
                <w:sz w:val="17"/>
                <w:szCs w:val="17"/>
                <w:color w:val="auto"/>
              </w:rPr>
            </w:pPr>
          </w:p>
        </w:tc>
        <w:tc>
          <w:tcPr>
            <w:tcW w:w="940" w:type="dxa"/>
            <w:vAlign w:val="bottom"/>
            <w:tcBorders>
              <w:right w:val="single" w:sz="8" w:color="007CBA"/>
            </w:tcBorders>
            <w:gridSpan w:val="2"/>
            <w:shd w:val="clear" w:color="auto" w:fill="DEEAEB"/>
          </w:tcPr>
          <w:p>
            <w:pPr>
              <w:jc w:val="right"/>
              <w:ind w:right="48"/>
              <w:spacing w:after="0"/>
              <w:rPr>
                <w:sz w:val="20"/>
                <w:szCs w:val="20"/>
                <w:color w:val="auto"/>
              </w:rPr>
            </w:pPr>
            <w:r>
              <w:rPr>
                <w:rFonts w:ascii="Calibri" w:cs="Calibri" w:eastAsia="Calibri" w:hAnsi="Calibri"/>
                <w:sz w:val="14"/>
                <w:szCs w:val="14"/>
                <w:color w:val="auto"/>
              </w:rPr>
              <w:t>—</w:t>
            </w:r>
          </w:p>
        </w:tc>
        <w:tc>
          <w:tcPr>
            <w:tcW w:w="220" w:type="dxa"/>
            <w:vAlign w:val="bottom"/>
            <w:shd w:val="clear" w:color="auto" w:fill="DEEAEB"/>
          </w:tcPr>
          <w:p>
            <w:pPr>
              <w:spacing w:after="0"/>
              <w:rPr>
                <w:sz w:val="17"/>
                <w:szCs w:val="17"/>
                <w:color w:val="auto"/>
              </w:rPr>
            </w:pPr>
          </w:p>
        </w:tc>
        <w:tc>
          <w:tcPr>
            <w:tcW w:w="6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702.5</w:t>
            </w:r>
          </w:p>
        </w:tc>
        <w:tc>
          <w:tcPr>
            <w:tcW w:w="120" w:type="dxa"/>
            <w:vAlign w:val="bottom"/>
            <w:tcBorders>
              <w:right w:val="single" w:sz="8" w:color="007CBA"/>
            </w:tcBorders>
            <w:shd w:val="clear" w:color="auto" w:fill="DEEAEB"/>
          </w:tcPr>
          <w:p>
            <w:pPr>
              <w:spacing w:after="0"/>
              <w:rPr>
                <w:sz w:val="17"/>
                <w:szCs w:val="17"/>
                <w:color w:val="auto"/>
              </w:rPr>
            </w:pPr>
          </w:p>
        </w:tc>
        <w:tc>
          <w:tcPr>
            <w:tcW w:w="220" w:type="dxa"/>
            <w:vAlign w:val="bottom"/>
            <w:shd w:val="clear" w:color="auto" w:fill="DEEAEB"/>
          </w:tcPr>
          <w:p>
            <w:pPr>
              <w:spacing w:after="0"/>
              <w:rPr>
                <w:sz w:val="17"/>
                <w:szCs w:val="17"/>
                <w:color w:val="auto"/>
              </w:rPr>
            </w:pPr>
          </w:p>
        </w:tc>
        <w:tc>
          <w:tcPr>
            <w:tcW w:w="6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702.5</w:t>
            </w:r>
          </w:p>
        </w:tc>
        <w:tc>
          <w:tcPr>
            <w:tcW w:w="120" w:type="dxa"/>
            <w:vAlign w:val="bottom"/>
            <w:tcBorders>
              <w:right w:val="single" w:sz="8" w:color="007CBA"/>
            </w:tcBorders>
            <w:shd w:val="clear" w:color="auto" w:fill="DEEAEB"/>
          </w:tcPr>
          <w:p>
            <w:pPr>
              <w:spacing w:after="0"/>
              <w:rPr>
                <w:sz w:val="17"/>
                <w:szCs w:val="17"/>
                <w:color w:val="auto"/>
              </w:rPr>
            </w:pPr>
          </w:p>
        </w:tc>
        <w:tc>
          <w:tcPr>
            <w:tcW w:w="200" w:type="dxa"/>
            <w:vAlign w:val="bottom"/>
            <w:shd w:val="clear" w:color="auto" w:fill="DEEAEB"/>
          </w:tcPr>
          <w:p>
            <w:pPr>
              <w:spacing w:after="0"/>
              <w:rPr>
                <w:sz w:val="17"/>
                <w:szCs w:val="17"/>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0.3</w:t>
            </w:r>
          </w:p>
        </w:tc>
        <w:tc>
          <w:tcPr>
            <w:tcW w:w="100" w:type="dxa"/>
            <w:vAlign w:val="bottom"/>
            <w:tcBorders>
              <w:right w:val="single" w:sz="8" w:color="007CBA"/>
            </w:tcBorders>
            <w:shd w:val="clear" w:color="auto" w:fill="DEEAEB"/>
          </w:tcPr>
          <w:p>
            <w:pPr>
              <w:spacing w:after="0"/>
              <w:rPr>
                <w:sz w:val="17"/>
                <w:szCs w:val="17"/>
                <w:color w:val="auto"/>
              </w:rPr>
            </w:pPr>
          </w:p>
        </w:tc>
        <w:tc>
          <w:tcPr>
            <w:tcW w:w="220" w:type="dxa"/>
            <w:vAlign w:val="bottom"/>
            <w:shd w:val="clear" w:color="auto" w:fill="DEEAEB"/>
          </w:tcPr>
          <w:p>
            <w:pPr>
              <w:spacing w:after="0"/>
              <w:rPr>
                <w:sz w:val="17"/>
                <w:szCs w:val="17"/>
                <w:color w:val="auto"/>
              </w:rPr>
            </w:pPr>
          </w:p>
        </w:tc>
        <w:tc>
          <w:tcPr>
            <w:tcW w:w="72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702.8</w:t>
            </w:r>
          </w:p>
        </w:tc>
        <w:tc>
          <w:tcPr>
            <w:tcW w:w="100" w:type="dxa"/>
            <w:vAlign w:val="bottom"/>
            <w:tcBorders>
              <w:right w:val="single" w:sz="8" w:color="DEEAEB"/>
            </w:tcBorders>
            <w:shd w:val="clear" w:color="auto" w:fill="DEEAEB"/>
          </w:tcPr>
          <w:p>
            <w:pPr>
              <w:spacing w:after="0"/>
              <w:rPr>
                <w:sz w:val="17"/>
                <w:szCs w:val="17"/>
                <w:color w:val="auto"/>
              </w:rPr>
            </w:pPr>
          </w:p>
        </w:tc>
      </w:tr>
      <w:tr>
        <w:trPr>
          <w:trHeight w:val="203"/>
        </w:trPr>
        <w:tc>
          <w:tcPr>
            <w:tcW w:w="306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color w:val="auto"/>
              </w:rPr>
              <w:t>Other comprehensive earnings</w:t>
            </w:r>
          </w:p>
        </w:tc>
        <w:tc>
          <w:tcPr>
            <w:tcW w:w="120" w:type="dxa"/>
            <w:vAlign w:val="bottom"/>
            <w:shd w:val="clear" w:color="auto" w:fill="DEEAEB"/>
          </w:tcPr>
          <w:p>
            <w:pPr>
              <w:spacing w:after="0"/>
              <w:rPr>
                <w:sz w:val="17"/>
                <w:szCs w:val="17"/>
                <w:color w:val="auto"/>
              </w:rPr>
            </w:pPr>
          </w:p>
        </w:tc>
        <w:tc>
          <w:tcPr>
            <w:tcW w:w="56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7"/>
                <w:szCs w:val="17"/>
                <w:color w:val="auto"/>
              </w:rPr>
            </w:pPr>
          </w:p>
        </w:tc>
        <w:tc>
          <w:tcPr>
            <w:tcW w:w="220" w:type="dxa"/>
            <w:vAlign w:val="bottom"/>
            <w:shd w:val="clear" w:color="auto" w:fill="DEEAEB"/>
          </w:tcPr>
          <w:p>
            <w:pPr>
              <w:spacing w:after="0"/>
              <w:rPr>
                <w:sz w:val="17"/>
                <w:szCs w:val="17"/>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40" w:type="dxa"/>
            <w:vAlign w:val="bottom"/>
            <w:tcBorders>
              <w:right w:val="single" w:sz="8" w:color="007CBA"/>
            </w:tcBorders>
            <w:shd w:val="clear" w:color="auto" w:fill="DEEAEB"/>
          </w:tcPr>
          <w:p>
            <w:pPr>
              <w:spacing w:after="0"/>
              <w:rPr>
                <w:sz w:val="17"/>
                <w:szCs w:val="17"/>
                <w:color w:val="auto"/>
              </w:rPr>
            </w:pPr>
          </w:p>
        </w:tc>
        <w:tc>
          <w:tcPr>
            <w:tcW w:w="200" w:type="dxa"/>
            <w:vAlign w:val="bottom"/>
            <w:shd w:val="clear" w:color="auto" w:fill="DEEAEB"/>
          </w:tcPr>
          <w:p>
            <w:pPr>
              <w:spacing w:after="0"/>
              <w:rPr>
                <w:sz w:val="17"/>
                <w:szCs w:val="17"/>
                <w:color w:val="auto"/>
              </w:rPr>
            </w:pPr>
          </w:p>
        </w:tc>
        <w:tc>
          <w:tcPr>
            <w:tcW w:w="40" w:type="dxa"/>
            <w:vAlign w:val="bottom"/>
            <w:shd w:val="clear" w:color="auto" w:fill="DEEAEB"/>
          </w:tcPr>
          <w:p>
            <w:pPr>
              <w:spacing w:after="0"/>
              <w:rPr>
                <w:sz w:val="17"/>
                <w:szCs w:val="17"/>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7"/>
                <w:szCs w:val="17"/>
                <w:color w:val="auto"/>
              </w:rPr>
            </w:pPr>
          </w:p>
        </w:tc>
        <w:tc>
          <w:tcPr>
            <w:tcW w:w="240" w:type="dxa"/>
            <w:vAlign w:val="bottom"/>
            <w:shd w:val="clear" w:color="auto" w:fill="DEEAEB"/>
          </w:tcPr>
          <w:p>
            <w:pPr>
              <w:spacing w:after="0"/>
              <w:rPr>
                <w:sz w:val="17"/>
                <w:szCs w:val="17"/>
                <w:color w:val="auto"/>
              </w:rPr>
            </w:pPr>
          </w:p>
        </w:tc>
        <w:tc>
          <w:tcPr>
            <w:tcW w:w="84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60.8</w:t>
            </w:r>
          </w:p>
        </w:tc>
        <w:tc>
          <w:tcPr>
            <w:tcW w:w="100" w:type="dxa"/>
            <w:vAlign w:val="bottom"/>
            <w:tcBorders>
              <w:right w:val="single" w:sz="8" w:color="007CBA"/>
            </w:tcBorders>
            <w:shd w:val="clear" w:color="auto" w:fill="DEEAEB"/>
          </w:tcPr>
          <w:p>
            <w:pPr>
              <w:spacing w:after="0"/>
              <w:rPr>
                <w:sz w:val="17"/>
                <w:szCs w:val="17"/>
                <w:color w:val="auto"/>
              </w:rPr>
            </w:pPr>
          </w:p>
        </w:tc>
        <w:tc>
          <w:tcPr>
            <w:tcW w:w="220" w:type="dxa"/>
            <w:vAlign w:val="bottom"/>
            <w:shd w:val="clear" w:color="auto" w:fill="DEEAEB"/>
          </w:tcPr>
          <w:p>
            <w:pPr>
              <w:spacing w:after="0"/>
              <w:rPr>
                <w:sz w:val="17"/>
                <w:szCs w:val="17"/>
                <w:color w:val="auto"/>
              </w:rPr>
            </w:pPr>
          </w:p>
        </w:tc>
        <w:tc>
          <w:tcPr>
            <w:tcW w:w="6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7"/>
                <w:szCs w:val="17"/>
                <w:color w:val="auto"/>
              </w:rPr>
            </w:pPr>
          </w:p>
        </w:tc>
        <w:tc>
          <w:tcPr>
            <w:tcW w:w="220" w:type="dxa"/>
            <w:vAlign w:val="bottom"/>
            <w:shd w:val="clear" w:color="auto" w:fill="DEEAEB"/>
          </w:tcPr>
          <w:p>
            <w:pPr>
              <w:spacing w:after="0"/>
              <w:rPr>
                <w:sz w:val="17"/>
                <w:szCs w:val="17"/>
                <w:color w:val="auto"/>
              </w:rPr>
            </w:pPr>
          </w:p>
        </w:tc>
        <w:tc>
          <w:tcPr>
            <w:tcW w:w="6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60.8</w:t>
            </w:r>
          </w:p>
        </w:tc>
        <w:tc>
          <w:tcPr>
            <w:tcW w:w="120" w:type="dxa"/>
            <w:vAlign w:val="bottom"/>
            <w:tcBorders>
              <w:right w:val="single" w:sz="8" w:color="007CBA"/>
            </w:tcBorders>
            <w:shd w:val="clear" w:color="auto" w:fill="DEEAEB"/>
          </w:tcPr>
          <w:p>
            <w:pPr>
              <w:spacing w:after="0"/>
              <w:rPr>
                <w:sz w:val="17"/>
                <w:szCs w:val="17"/>
                <w:color w:val="auto"/>
              </w:rPr>
            </w:pPr>
          </w:p>
        </w:tc>
        <w:tc>
          <w:tcPr>
            <w:tcW w:w="200" w:type="dxa"/>
            <w:vAlign w:val="bottom"/>
            <w:shd w:val="clear" w:color="auto" w:fill="DEEAEB"/>
          </w:tcPr>
          <w:p>
            <w:pPr>
              <w:spacing w:after="0"/>
              <w:rPr>
                <w:sz w:val="17"/>
                <w:szCs w:val="17"/>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right w:val="single" w:sz="8" w:color="007CBA"/>
            </w:tcBorders>
            <w:shd w:val="clear" w:color="auto" w:fill="DEEAEB"/>
          </w:tcPr>
          <w:p>
            <w:pPr>
              <w:spacing w:after="0"/>
              <w:rPr>
                <w:sz w:val="17"/>
                <w:szCs w:val="17"/>
                <w:color w:val="auto"/>
              </w:rPr>
            </w:pPr>
          </w:p>
        </w:tc>
        <w:tc>
          <w:tcPr>
            <w:tcW w:w="220" w:type="dxa"/>
            <w:vAlign w:val="bottom"/>
            <w:shd w:val="clear" w:color="auto" w:fill="DEEAEB"/>
          </w:tcPr>
          <w:p>
            <w:pPr>
              <w:spacing w:after="0"/>
              <w:rPr>
                <w:sz w:val="17"/>
                <w:szCs w:val="17"/>
                <w:color w:val="auto"/>
              </w:rPr>
            </w:pPr>
          </w:p>
        </w:tc>
        <w:tc>
          <w:tcPr>
            <w:tcW w:w="72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60.8</w:t>
            </w:r>
          </w:p>
        </w:tc>
        <w:tc>
          <w:tcPr>
            <w:tcW w:w="100" w:type="dxa"/>
            <w:vAlign w:val="bottom"/>
            <w:tcBorders>
              <w:right w:val="single" w:sz="8" w:color="DEEAEB"/>
            </w:tcBorders>
            <w:shd w:val="clear" w:color="auto" w:fill="DEEAEB"/>
          </w:tcPr>
          <w:p>
            <w:pPr>
              <w:spacing w:after="0"/>
              <w:rPr>
                <w:sz w:val="17"/>
                <w:szCs w:val="17"/>
                <w:color w:val="auto"/>
              </w:rPr>
            </w:pPr>
          </w:p>
        </w:tc>
      </w:tr>
      <w:tr>
        <w:trPr>
          <w:trHeight w:val="203"/>
        </w:trPr>
        <w:tc>
          <w:tcPr>
            <w:tcW w:w="306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color w:val="auto"/>
              </w:rPr>
              <w:t>Dividends declared ($2.36 per common share)</w:t>
            </w:r>
          </w:p>
        </w:tc>
        <w:tc>
          <w:tcPr>
            <w:tcW w:w="120" w:type="dxa"/>
            <w:vAlign w:val="bottom"/>
            <w:shd w:val="clear" w:color="auto" w:fill="DEEAEB"/>
          </w:tcPr>
          <w:p>
            <w:pPr>
              <w:spacing w:after="0"/>
              <w:rPr>
                <w:sz w:val="17"/>
                <w:szCs w:val="17"/>
                <w:color w:val="auto"/>
              </w:rPr>
            </w:pPr>
          </w:p>
        </w:tc>
        <w:tc>
          <w:tcPr>
            <w:tcW w:w="56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7"/>
                <w:szCs w:val="17"/>
                <w:color w:val="auto"/>
              </w:rPr>
            </w:pPr>
          </w:p>
        </w:tc>
        <w:tc>
          <w:tcPr>
            <w:tcW w:w="220" w:type="dxa"/>
            <w:vAlign w:val="bottom"/>
            <w:shd w:val="clear" w:color="auto" w:fill="DEEAEB"/>
          </w:tcPr>
          <w:p>
            <w:pPr>
              <w:spacing w:after="0"/>
              <w:rPr>
                <w:sz w:val="17"/>
                <w:szCs w:val="17"/>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40" w:type="dxa"/>
            <w:vAlign w:val="bottom"/>
            <w:tcBorders>
              <w:right w:val="single" w:sz="8" w:color="007CBA"/>
            </w:tcBorders>
            <w:shd w:val="clear" w:color="auto" w:fill="DEEAEB"/>
          </w:tcPr>
          <w:p>
            <w:pPr>
              <w:spacing w:after="0"/>
              <w:rPr>
                <w:sz w:val="17"/>
                <w:szCs w:val="17"/>
                <w:color w:val="auto"/>
              </w:rPr>
            </w:pPr>
          </w:p>
        </w:tc>
        <w:tc>
          <w:tcPr>
            <w:tcW w:w="200" w:type="dxa"/>
            <w:vAlign w:val="bottom"/>
            <w:shd w:val="clear" w:color="auto" w:fill="DEEAEB"/>
          </w:tcPr>
          <w:p>
            <w:pPr>
              <w:spacing w:after="0"/>
              <w:rPr>
                <w:sz w:val="17"/>
                <w:szCs w:val="17"/>
                <w:color w:val="auto"/>
              </w:rPr>
            </w:pPr>
          </w:p>
        </w:tc>
        <w:tc>
          <w:tcPr>
            <w:tcW w:w="40" w:type="dxa"/>
            <w:vAlign w:val="bottom"/>
            <w:shd w:val="clear" w:color="auto" w:fill="DEEAEB"/>
          </w:tcPr>
          <w:p>
            <w:pPr>
              <w:spacing w:after="0"/>
              <w:rPr>
                <w:sz w:val="17"/>
                <w:szCs w:val="17"/>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7"/>
                <w:szCs w:val="17"/>
                <w:color w:val="auto"/>
              </w:rPr>
            </w:pPr>
          </w:p>
        </w:tc>
        <w:tc>
          <w:tcPr>
            <w:tcW w:w="240" w:type="dxa"/>
            <w:vAlign w:val="bottom"/>
            <w:shd w:val="clear" w:color="auto" w:fill="DEEAEB"/>
          </w:tcPr>
          <w:p>
            <w:pPr>
              <w:spacing w:after="0"/>
              <w:rPr>
                <w:sz w:val="17"/>
                <w:szCs w:val="17"/>
                <w:color w:val="auto"/>
              </w:rPr>
            </w:pPr>
          </w:p>
        </w:tc>
        <w:tc>
          <w:tcPr>
            <w:tcW w:w="84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right w:val="single" w:sz="8" w:color="007CBA"/>
            </w:tcBorders>
            <w:shd w:val="clear" w:color="auto" w:fill="DEEAEB"/>
          </w:tcPr>
          <w:p>
            <w:pPr>
              <w:spacing w:after="0"/>
              <w:rPr>
                <w:sz w:val="17"/>
                <w:szCs w:val="17"/>
                <w:color w:val="auto"/>
              </w:rPr>
            </w:pPr>
          </w:p>
        </w:tc>
        <w:tc>
          <w:tcPr>
            <w:tcW w:w="220" w:type="dxa"/>
            <w:vAlign w:val="bottom"/>
            <w:shd w:val="clear" w:color="auto" w:fill="DEEAEB"/>
          </w:tcPr>
          <w:p>
            <w:pPr>
              <w:spacing w:after="0"/>
              <w:rPr>
                <w:sz w:val="17"/>
                <w:szCs w:val="17"/>
                <w:color w:val="auto"/>
              </w:rPr>
            </w:pPr>
          </w:p>
        </w:tc>
        <w:tc>
          <w:tcPr>
            <w:tcW w:w="6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(148.3</w:t>
            </w:r>
          </w:p>
        </w:tc>
        <w:tc>
          <w:tcPr>
            <w:tcW w:w="120" w:type="dxa"/>
            <w:vAlign w:val="bottom"/>
            <w:tcBorders>
              <w:right w:val="single" w:sz="8" w:color="007CBA"/>
            </w:tcBorders>
            <w:shd w:val="clear" w:color="auto" w:fill="DEEAEB"/>
          </w:tcPr>
          <w:p>
            <w:pPr>
              <w:jc w:val="right"/>
              <w:spacing w:after="0"/>
              <w:rPr>
                <w:sz w:val="20"/>
                <w:szCs w:val="20"/>
                <w:color w:val="auto"/>
              </w:rPr>
            </w:pPr>
            <w:r>
              <w:rPr>
                <w:rFonts w:ascii="Calibri" w:cs="Calibri" w:eastAsia="Calibri" w:hAnsi="Calibri"/>
                <w:sz w:val="14"/>
                <w:szCs w:val="14"/>
                <w:color w:val="auto"/>
                <w:w w:val="93"/>
              </w:rPr>
              <w:t>)</w:t>
            </w:r>
          </w:p>
        </w:tc>
        <w:tc>
          <w:tcPr>
            <w:tcW w:w="220" w:type="dxa"/>
            <w:vAlign w:val="bottom"/>
            <w:shd w:val="clear" w:color="auto" w:fill="DEEAEB"/>
          </w:tcPr>
          <w:p>
            <w:pPr>
              <w:spacing w:after="0"/>
              <w:rPr>
                <w:sz w:val="17"/>
                <w:szCs w:val="17"/>
                <w:color w:val="auto"/>
              </w:rPr>
            </w:pPr>
          </w:p>
        </w:tc>
        <w:tc>
          <w:tcPr>
            <w:tcW w:w="6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(148.3</w:t>
            </w:r>
          </w:p>
        </w:tc>
        <w:tc>
          <w:tcPr>
            <w:tcW w:w="120" w:type="dxa"/>
            <w:vAlign w:val="bottom"/>
            <w:tcBorders>
              <w:right w:val="single" w:sz="8" w:color="007CBA"/>
            </w:tcBorders>
            <w:shd w:val="clear" w:color="auto" w:fill="DEEAEB"/>
          </w:tcPr>
          <w:p>
            <w:pPr>
              <w:jc w:val="right"/>
              <w:spacing w:after="0"/>
              <w:rPr>
                <w:sz w:val="20"/>
                <w:szCs w:val="20"/>
                <w:color w:val="auto"/>
              </w:rPr>
            </w:pPr>
            <w:r>
              <w:rPr>
                <w:rFonts w:ascii="Calibri" w:cs="Calibri" w:eastAsia="Calibri" w:hAnsi="Calibri"/>
                <w:sz w:val="14"/>
                <w:szCs w:val="14"/>
                <w:color w:val="auto"/>
                <w:w w:val="93"/>
              </w:rPr>
              <w:t>)</w:t>
            </w:r>
          </w:p>
        </w:tc>
        <w:tc>
          <w:tcPr>
            <w:tcW w:w="200" w:type="dxa"/>
            <w:vAlign w:val="bottom"/>
            <w:shd w:val="clear" w:color="auto" w:fill="DEEAEB"/>
          </w:tcPr>
          <w:p>
            <w:pPr>
              <w:spacing w:after="0"/>
              <w:rPr>
                <w:sz w:val="17"/>
                <w:szCs w:val="17"/>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right w:val="single" w:sz="8" w:color="007CBA"/>
            </w:tcBorders>
            <w:shd w:val="clear" w:color="auto" w:fill="DEEAEB"/>
          </w:tcPr>
          <w:p>
            <w:pPr>
              <w:spacing w:after="0"/>
              <w:rPr>
                <w:sz w:val="17"/>
                <w:szCs w:val="17"/>
                <w:color w:val="auto"/>
              </w:rPr>
            </w:pPr>
          </w:p>
        </w:tc>
        <w:tc>
          <w:tcPr>
            <w:tcW w:w="220" w:type="dxa"/>
            <w:vAlign w:val="bottom"/>
            <w:shd w:val="clear" w:color="auto" w:fill="DEEAEB"/>
          </w:tcPr>
          <w:p>
            <w:pPr>
              <w:spacing w:after="0"/>
              <w:rPr>
                <w:sz w:val="17"/>
                <w:szCs w:val="17"/>
                <w:color w:val="auto"/>
              </w:rPr>
            </w:pPr>
          </w:p>
        </w:tc>
        <w:tc>
          <w:tcPr>
            <w:tcW w:w="72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(148.3</w:t>
            </w:r>
          </w:p>
        </w:tc>
        <w:tc>
          <w:tcPr>
            <w:tcW w:w="100" w:type="dxa"/>
            <w:vAlign w:val="bottom"/>
            <w:tcBorders>
              <w:right w:val="single" w:sz="8" w:color="DEEAEB"/>
            </w:tcBorders>
            <w:shd w:val="clear" w:color="auto" w:fill="DEEAEB"/>
          </w:tcPr>
          <w:p>
            <w:pPr>
              <w:jc w:val="right"/>
              <w:ind w:right="6"/>
              <w:spacing w:after="0"/>
              <w:rPr>
                <w:sz w:val="20"/>
                <w:szCs w:val="20"/>
                <w:color w:val="auto"/>
              </w:rPr>
            </w:pPr>
            <w:r>
              <w:rPr>
                <w:rFonts w:ascii="Calibri" w:cs="Calibri" w:eastAsia="Calibri" w:hAnsi="Calibri"/>
                <w:sz w:val="9"/>
                <w:szCs w:val="9"/>
                <w:color w:val="auto"/>
                <w:w w:val="71"/>
              </w:rPr>
              <w:t>)</w:t>
            </w:r>
          </w:p>
        </w:tc>
      </w:tr>
      <w:tr>
        <w:trPr>
          <w:trHeight w:val="203"/>
        </w:trPr>
        <w:tc>
          <w:tcPr>
            <w:tcW w:w="306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color w:val="auto"/>
              </w:rPr>
              <w:t>Issuances of common stock for stock award</w:t>
            </w:r>
          </w:p>
        </w:tc>
        <w:tc>
          <w:tcPr>
            <w:tcW w:w="120" w:type="dxa"/>
            <w:vAlign w:val="bottom"/>
            <w:shd w:val="clear" w:color="auto" w:fill="DEEAEB"/>
          </w:tcPr>
          <w:p>
            <w:pPr>
              <w:spacing w:after="0"/>
              <w:rPr>
                <w:sz w:val="17"/>
                <w:szCs w:val="17"/>
                <w:color w:val="auto"/>
              </w:rPr>
            </w:pPr>
          </w:p>
        </w:tc>
        <w:tc>
          <w:tcPr>
            <w:tcW w:w="560" w:type="dxa"/>
            <w:vAlign w:val="bottom"/>
            <w:shd w:val="clear" w:color="auto" w:fill="DEEAEB"/>
          </w:tcPr>
          <w:p>
            <w:pPr>
              <w:spacing w:after="0"/>
              <w:rPr>
                <w:sz w:val="17"/>
                <w:szCs w:val="17"/>
                <w:color w:val="auto"/>
              </w:rPr>
            </w:pPr>
          </w:p>
        </w:tc>
        <w:tc>
          <w:tcPr>
            <w:tcW w:w="120" w:type="dxa"/>
            <w:vAlign w:val="bottom"/>
            <w:tcBorders>
              <w:right w:val="single" w:sz="8" w:color="007CBA"/>
            </w:tcBorders>
            <w:shd w:val="clear" w:color="auto" w:fill="DEEAEB"/>
          </w:tcPr>
          <w:p>
            <w:pPr>
              <w:spacing w:after="0"/>
              <w:rPr>
                <w:sz w:val="17"/>
                <w:szCs w:val="17"/>
                <w:color w:val="auto"/>
              </w:rPr>
            </w:pPr>
          </w:p>
        </w:tc>
        <w:tc>
          <w:tcPr>
            <w:tcW w:w="220" w:type="dxa"/>
            <w:vAlign w:val="bottom"/>
            <w:shd w:val="clear" w:color="auto" w:fill="DEEAEB"/>
          </w:tcPr>
          <w:p>
            <w:pPr>
              <w:spacing w:after="0"/>
              <w:rPr>
                <w:sz w:val="17"/>
                <w:szCs w:val="17"/>
                <w:color w:val="auto"/>
              </w:rPr>
            </w:pPr>
          </w:p>
        </w:tc>
        <w:tc>
          <w:tcPr>
            <w:tcW w:w="700" w:type="dxa"/>
            <w:vAlign w:val="bottom"/>
            <w:shd w:val="clear" w:color="auto" w:fill="DEEAEB"/>
          </w:tcPr>
          <w:p>
            <w:pPr>
              <w:spacing w:after="0"/>
              <w:rPr>
                <w:sz w:val="17"/>
                <w:szCs w:val="17"/>
                <w:color w:val="auto"/>
              </w:rPr>
            </w:pPr>
          </w:p>
        </w:tc>
        <w:tc>
          <w:tcPr>
            <w:tcW w:w="140" w:type="dxa"/>
            <w:vAlign w:val="bottom"/>
            <w:tcBorders>
              <w:right w:val="single" w:sz="8" w:color="007CBA"/>
            </w:tcBorders>
            <w:shd w:val="clear" w:color="auto" w:fill="DEEAEB"/>
          </w:tcPr>
          <w:p>
            <w:pPr>
              <w:spacing w:after="0"/>
              <w:rPr>
                <w:sz w:val="17"/>
                <w:szCs w:val="17"/>
                <w:color w:val="auto"/>
              </w:rPr>
            </w:pPr>
          </w:p>
        </w:tc>
        <w:tc>
          <w:tcPr>
            <w:tcW w:w="200" w:type="dxa"/>
            <w:vAlign w:val="bottom"/>
            <w:shd w:val="clear" w:color="auto" w:fill="DEEAEB"/>
          </w:tcPr>
          <w:p>
            <w:pPr>
              <w:spacing w:after="0"/>
              <w:rPr>
                <w:sz w:val="17"/>
                <w:szCs w:val="17"/>
                <w:color w:val="auto"/>
              </w:rPr>
            </w:pPr>
          </w:p>
        </w:tc>
        <w:tc>
          <w:tcPr>
            <w:tcW w:w="40" w:type="dxa"/>
            <w:vAlign w:val="bottom"/>
            <w:shd w:val="clear" w:color="auto" w:fill="DEEAEB"/>
          </w:tcPr>
          <w:p>
            <w:pPr>
              <w:spacing w:after="0"/>
              <w:rPr>
                <w:sz w:val="17"/>
                <w:szCs w:val="17"/>
                <w:color w:val="auto"/>
              </w:rPr>
            </w:pPr>
          </w:p>
        </w:tc>
        <w:tc>
          <w:tcPr>
            <w:tcW w:w="700" w:type="dxa"/>
            <w:vAlign w:val="bottom"/>
            <w:shd w:val="clear" w:color="auto" w:fill="DEEAEB"/>
          </w:tcPr>
          <w:p>
            <w:pPr>
              <w:spacing w:after="0"/>
              <w:rPr>
                <w:sz w:val="17"/>
                <w:szCs w:val="17"/>
                <w:color w:val="auto"/>
              </w:rPr>
            </w:pPr>
          </w:p>
        </w:tc>
        <w:tc>
          <w:tcPr>
            <w:tcW w:w="120" w:type="dxa"/>
            <w:vAlign w:val="bottom"/>
            <w:tcBorders>
              <w:right w:val="single" w:sz="8" w:color="007CBA"/>
            </w:tcBorders>
            <w:shd w:val="clear" w:color="auto" w:fill="DEEAEB"/>
          </w:tcPr>
          <w:p>
            <w:pPr>
              <w:spacing w:after="0"/>
              <w:rPr>
                <w:sz w:val="17"/>
                <w:szCs w:val="17"/>
                <w:color w:val="auto"/>
              </w:rPr>
            </w:pPr>
          </w:p>
        </w:tc>
        <w:tc>
          <w:tcPr>
            <w:tcW w:w="240" w:type="dxa"/>
            <w:vAlign w:val="bottom"/>
            <w:shd w:val="clear" w:color="auto" w:fill="DEEAEB"/>
          </w:tcPr>
          <w:p>
            <w:pPr>
              <w:spacing w:after="0"/>
              <w:rPr>
                <w:sz w:val="17"/>
                <w:szCs w:val="17"/>
                <w:color w:val="auto"/>
              </w:rPr>
            </w:pPr>
          </w:p>
        </w:tc>
        <w:tc>
          <w:tcPr>
            <w:tcW w:w="840" w:type="dxa"/>
            <w:vAlign w:val="bottom"/>
            <w:shd w:val="clear" w:color="auto" w:fill="DEEAEB"/>
          </w:tcPr>
          <w:p>
            <w:pPr>
              <w:spacing w:after="0"/>
              <w:rPr>
                <w:sz w:val="17"/>
                <w:szCs w:val="17"/>
                <w:color w:val="auto"/>
              </w:rPr>
            </w:pPr>
          </w:p>
        </w:tc>
        <w:tc>
          <w:tcPr>
            <w:tcW w:w="100" w:type="dxa"/>
            <w:vAlign w:val="bottom"/>
            <w:tcBorders>
              <w:right w:val="single" w:sz="8" w:color="007CBA"/>
            </w:tcBorders>
            <w:shd w:val="clear" w:color="auto" w:fill="DEEAEB"/>
          </w:tcPr>
          <w:p>
            <w:pPr>
              <w:spacing w:after="0"/>
              <w:rPr>
                <w:sz w:val="17"/>
                <w:szCs w:val="17"/>
                <w:color w:val="auto"/>
              </w:rPr>
            </w:pPr>
          </w:p>
        </w:tc>
        <w:tc>
          <w:tcPr>
            <w:tcW w:w="220" w:type="dxa"/>
            <w:vAlign w:val="bottom"/>
            <w:shd w:val="clear" w:color="auto" w:fill="DEEAEB"/>
          </w:tcPr>
          <w:p>
            <w:pPr>
              <w:spacing w:after="0"/>
              <w:rPr>
                <w:sz w:val="17"/>
                <w:szCs w:val="17"/>
                <w:color w:val="auto"/>
              </w:rPr>
            </w:pPr>
          </w:p>
        </w:tc>
        <w:tc>
          <w:tcPr>
            <w:tcW w:w="680" w:type="dxa"/>
            <w:vAlign w:val="bottom"/>
            <w:shd w:val="clear" w:color="auto" w:fill="DEEAEB"/>
          </w:tcPr>
          <w:p>
            <w:pPr>
              <w:spacing w:after="0"/>
              <w:rPr>
                <w:sz w:val="17"/>
                <w:szCs w:val="17"/>
                <w:color w:val="auto"/>
              </w:rPr>
            </w:pPr>
          </w:p>
        </w:tc>
        <w:tc>
          <w:tcPr>
            <w:tcW w:w="120" w:type="dxa"/>
            <w:vAlign w:val="bottom"/>
            <w:tcBorders>
              <w:right w:val="single" w:sz="8" w:color="007CBA"/>
            </w:tcBorders>
            <w:shd w:val="clear" w:color="auto" w:fill="DEEAEB"/>
          </w:tcPr>
          <w:p>
            <w:pPr>
              <w:spacing w:after="0"/>
              <w:rPr>
                <w:sz w:val="17"/>
                <w:szCs w:val="17"/>
                <w:color w:val="auto"/>
              </w:rPr>
            </w:pPr>
          </w:p>
        </w:tc>
        <w:tc>
          <w:tcPr>
            <w:tcW w:w="220" w:type="dxa"/>
            <w:vAlign w:val="bottom"/>
            <w:shd w:val="clear" w:color="auto" w:fill="DEEAEB"/>
          </w:tcPr>
          <w:p>
            <w:pPr>
              <w:spacing w:after="0"/>
              <w:rPr>
                <w:sz w:val="17"/>
                <w:szCs w:val="17"/>
                <w:color w:val="auto"/>
              </w:rPr>
            </w:pPr>
          </w:p>
        </w:tc>
        <w:tc>
          <w:tcPr>
            <w:tcW w:w="680" w:type="dxa"/>
            <w:vAlign w:val="bottom"/>
            <w:shd w:val="clear" w:color="auto" w:fill="DEEAEB"/>
          </w:tcPr>
          <w:p>
            <w:pPr>
              <w:spacing w:after="0"/>
              <w:rPr>
                <w:sz w:val="17"/>
                <w:szCs w:val="17"/>
                <w:color w:val="auto"/>
              </w:rPr>
            </w:pPr>
          </w:p>
        </w:tc>
        <w:tc>
          <w:tcPr>
            <w:tcW w:w="120" w:type="dxa"/>
            <w:vAlign w:val="bottom"/>
            <w:tcBorders>
              <w:right w:val="single" w:sz="8" w:color="007CBA"/>
            </w:tcBorders>
            <w:shd w:val="clear" w:color="auto" w:fill="DEEAEB"/>
          </w:tcPr>
          <w:p>
            <w:pPr>
              <w:spacing w:after="0"/>
              <w:rPr>
                <w:sz w:val="17"/>
                <w:szCs w:val="17"/>
                <w:color w:val="auto"/>
              </w:rPr>
            </w:pPr>
          </w:p>
        </w:tc>
        <w:tc>
          <w:tcPr>
            <w:tcW w:w="200" w:type="dxa"/>
            <w:vAlign w:val="bottom"/>
            <w:shd w:val="clear" w:color="auto" w:fill="DEEAEB"/>
          </w:tcPr>
          <w:p>
            <w:pPr>
              <w:spacing w:after="0"/>
              <w:rPr>
                <w:sz w:val="17"/>
                <w:szCs w:val="17"/>
                <w:color w:val="auto"/>
              </w:rPr>
            </w:pPr>
          </w:p>
        </w:tc>
        <w:tc>
          <w:tcPr>
            <w:tcW w:w="700" w:type="dxa"/>
            <w:vAlign w:val="bottom"/>
            <w:shd w:val="clear" w:color="auto" w:fill="DEEAEB"/>
          </w:tcPr>
          <w:p>
            <w:pPr>
              <w:spacing w:after="0"/>
              <w:rPr>
                <w:sz w:val="17"/>
                <w:szCs w:val="17"/>
                <w:color w:val="auto"/>
              </w:rPr>
            </w:pPr>
          </w:p>
        </w:tc>
        <w:tc>
          <w:tcPr>
            <w:tcW w:w="100" w:type="dxa"/>
            <w:vAlign w:val="bottom"/>
            <w:tcBorders>
              <w:right w:val="single" w:sz="8" w:color="007CBA"/>
            </w:tcBorders>
            <w:shd w:val="clear" w:color="auto" w:fill="DEEAEB"/>
          </w:tcPr>
          <w:p>
            <w:pPr>
              <w:spacing w:after="0"/>
              <w:rPr>
                <w:sz w:val="17"/>
                <w:szCs w:val="17"/>
                <w:color w:val="auto"/>
              </w:rPr>
            </w:pPr>
          </w:p>
        </w:tc>
        <w:tc>
          <w:tcPr>
            <w:tcW w:w="220" w:type="dxa"/>
            <w:vAlign w:val="bottom"/>
            <w:shd w:val="clear" w:color="auto" w:fill="DEEAEB"/>
          </w:tcPr>
          <w:p>
            <w:pPr>
              <w:spacing w:after="0"/>
              <w:rPr>
                <w:sz w:val="17"/>
                <w:szCs w:val="17"/>
                <w:color w:val="auto"/>
              </w:rPr>
            </w:pPr>
          </w:p>
        </w:tc>
        <w:tc>
          <w:tcPr>
            <w:tcW w:w="720" w:type="dxa"/>
            <w:vAlign w:val="bottom"/>
            <w:shd w:val="clear" w:color="auto" w:fill="DEEAEB"/>
          </w:tcPr>
          <w:p>
            <w:pPr>
              <w:spacing w:after="0"/>
              <w:rPr>
                <w:sz w:val="17"/>
                <w:szCs w:val="17"/>
                <w:color w:val="auto"/>
              </w:rPr>
            </w:pPr>
          </w:p>
        </w:tc>
        <w:tc>
          <w:tcPr>
            <w:tcW w:w="100" w:type="dxa"/>
            <w:vAlign w:val="bottom"/>
            <w:tcBorders>
              <w:right w:val="single" w:sz="8" w:color="DEEAEB"/>
            </w:tcBorders>
            <w:shd w:val="clear" w:color="auto" w:fill="DEEAEB"/>
          </w:tcPr>
          <w:p>
            <w:pPr>
              <w:spacing w:after="0"/>
              <w:rPr>
                <w:sz w:val="17"/>
                <w:szCs w:val="17"/>
                <w:color w:val="auto"/>
              </w:rPr>
            </w:pPr>
          </w:p>
        </w:tc>
      </w:tr>
      <w:tr>
        <w:trPr>
          <w:trHeight w:val="176"/>
        </w:trPr>
        <w:tc>
          <w:tcPr>
            <w:tcW w:w="306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color w:val="auto"/>
              </w:rPr>
              <w:t>plans</w:t>
            </w:r>
          </w:p>
        </w:tc>
        <w:tc>
          <w:tcPr>
            <w:tcW w:w="120" w:type="dxa"/>
            <w:vAlign w:val="bottom"/>
            <w:shd w:val="clear" w:color="auto" w:fill="DEEAEB"/>
          </w:tcPr>
          <w:p>
            <w:pPr>
              <w:spacing w:after="0"/>
              <w:rPr>
                <w:sz w:val="15"/>
                <w:szCs w:val="15"/>
                <w:color w:val="auto"/>
              </w:rPr>
            </w:pPr>
          </w:p>
        </w:tc>
        <w:tc>
          <w:tcPr>
            <w:tcW w:w="56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0.1</w:t>
            </w:r>
          </w:p>
        </w:tc>
        <w:tc>
          <w:tcPr>
            <w:tcW w:w="120" w:type="dxa"/>
            <w:vAlign w:val="bottom"/>
            <w:tcBorders>
              <w:right w:val="single" w:sz="8" w:color="007CBA"/>
            </w:tcBorders>
            <w:shd w:val="clear" w:color="auto" w:fill="DEEAEB"/>
          </w:tcPr>
          <w:p>
            <w:pPr>
              <w:spacing w:after="0"/>
              <w:rPr>
                <w:sz w:val="15"/>
                <w:szCs w:val="15"/>
                <w:color w:val="auto"/>
              </w:rPr>
            </w:pPr>
          </w:p>
        </w:tc>
        <w:tc>
          <w:tcPr>
            <w:tcW w:w="22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40" w:type="dxa"/>
            <w:vAlign w:val="bottom"/>
            <w:tcBorders>
              <w:right w:val="single" w:sz="8" w:color="007CBA"/>
            </w:tcBorders>
            <w:shd w:val="clear" w:color="auto" w:fill="DEEAEB"/>
          </w:tcPr>
          <w:p>
            <w:pPr>
              <w:spacing w:after="0"/>
              <w:rPr>
                <w:sz w:val="15"/>
                <w:szCs w:val="15"/>
                <w:color w:val="auto"/>
              </w:rPr>
            </w:pPr>
          </w:p>
        </w:tc>
        <w:tc>
          <w:tcPr>
            <w:tcW w:w="200" w:type="dxa"/>
            <w:vAlign w:val="bottom"/>
            <w:shd w:val="clear" w:color="auto" w:fill="DEEAEB"/>
          </w:tcPr>
          <w:p>
            <w:pPr>
              <w:spacing w:after="0"/>
              <w:rPr>
                <w:sz w:val="15"/>
                <w:szCs w:val="15"/>
                <w:color w:val="auto"/>
              </w:rPr>
            </w:pPr>
          </w:p>
        </w:tc>
        <w:tc>
          <w:tcPr>
            <w:tcW w:w="4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6.1</w:t>
            </w:r>
          </w:p>
        </w:tc>
        <w:tc>
          <w:tcPr>
            <w:tcW w:w="120" w:type="dxa"/>
            <w:vAlign w:val="bottom"/>
            <w:tcBorders>
              <w:right w:val="single" w:sz="8" w:color="007CBA"/>
            </w:tcBorders>
            <w:shd w:val="clear" w:color="auto" w:fill="DEEAEB"/>
          </w:tcPr>
          <w:p>
            <w:pPr>
              <w:spacing w:after="0"/>
              <w:rPr>
                <w:sz w:val="15"/>
                <w:szCs w:val="15"/>
                <w:color w:val="auto"/>
              </w:rPr>
            </w:pPr>
          </w:p>
        </w:tc>
        <w:tc>
          <w:tcPr>
            <w:tcW w:w="240" w:type="dxa"/>
            <w:vAlign w:val="bottom"/>
            <w:shd w:val="clear" w:color="auto" w:fill="DEEAEB"/>
          </w:tcPr>
          <w:p>
            <w:pPr>
              <w:spacing w:after="0"/>
              <w:rPr>
                <w:sz w:val="15"/>
                <w:szCs w:val="15"/>
                <w:color w:val="auto"/>
              </w:rPr>
            </w:pPr>
          </w:p>
        </w:tc>
        <w:tc>
          <w:tcPr>
            <w:tcW w:w="84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right w:val="single" w:sz="8" w:color="007CBA"/>
            </w:tcBorders>
            <w:shd w:val="clear" w:color="auto" w:fill="DEEAEB"/>
          </w:tcPr>
          <w:p>
            <w:pPr>
              <w:spacing w:after="0"/>
              <w:rPr>
                <w:sz w:val="15"/>
                <w:szCs w:val="15"/>
                <w:color w:val="auto"/>
              </w:rPr>
            </w:pPr>
          </w:p>
        </w:tc>
        <w:tc>
          <w:tcPr>
            <w:tcW w:w="220" w:type="dxa"/>
            <w:vAlign w:val="bottom"/>
            <w:shd w:val="clear" w:color="auto" w:fill="DEEAEB"/>
          </w:tcPr>
          <w:p>
            <w:pPr>
              <w:spacing w:after="0"/>
              <w:rPr>
                <w:sz w:val="15"/>
                <w:szCs w:val="15"/>
                <w:color w:val="auto"/>
              </w:rPr>
            </w:pPr>
          </w:p>
        </w:tc>
        <w:tc>
          <w:tcPr>
            <w:tcW w:w="6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220" w:type="dxa"/>
            <w:vAlign w:val="bottom"/>
            <w:shd w:val="clear" w:color="auto" w:fill="DEEAEB"/>
          </w:tcPr>
          <w:p>
            <w:pPr>
              <w:spacing w:after="0"/>
              <w:rPr>
                <w:sz w:val="15"/>
                <w:szCs w:val="15"/>
                <w:color w:val="auto"/>
              </w:rPr>
            </w:pPr>
          </w:p>
        </w:tc>
        <w:tc>
          <w:tcPr>
            <w:tcW w:w="6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6.1</w:t>
            </w:r>
          </w:p>
        </w:tc>
        <w:tc>
          <w:tcPr>
            <w:tcW w:w="120" w:type="dxa"/>
            <w:vAlign w:val="bottom"/>
            <w:tcBorders>
              <w:right w:val="single" w:sz="8" w:color="007CBA"/>
            </w:tcBorders>
            <w:shd w:val="clear" w:color="auto" w:fill="DEEAEB"/>
          </w:tcPr>
          <w:p>
            <w:pPr>
              <w:spacing w:after="0"/>
              <w:rPr>
                <w:sz w:val="15"/>
                <w:szCs w:val="15"/>
                <w:color w:val="auto"/>
              </w:rPr>
            </w:pPr>
          </w:p>
        </w:tc>
        <w:tc>
          <w:tcPr>
            <w:tcW w:w="2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right w:val="single" w:sz="8" w:color="007CBA"/>
            </w:tcBorders>
            <w:shd w:val="clear" w:color="auto" w:fill="DEEAEB"/>
          </w:tcPr>
          <w:p>
            <w:pPr>
              <w:spacing w:after="0"/>
              <w:rPr>
                <w:sz w:val="15"/>
                <w:szCs w:val="15"/>
                <w:color w:val="auto"/>
              </w:rPr>
            </w:pPr>
          </w:p>
        </w:tc>
        <w:tc>
          <w:tcPr>
            <w:tcW w:w="220" w:type="dxa"/>
            <w:vAlign w:val="bottom"/>
            <w:shd w:val="clear" w:color="auto" w:fill="DEEAEB"/>
          </w:tcPr>
          <w:p>
            <w:pPr>
              <w:spacing w:after="0"/>
              <w:rPr>
                <w:sz w:val="15"/>
                <w:szCs w:val="15"/>
                <w:color w:val="auto"/>
              </w:rPr>
            </w:pPr>
          </w:p>
        </w:tc>
        <w:tc>
          <w:tcPr>
            <w:tcW w:w="72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6.1</w:t>
            </w:r>
          </w:p>
        </w:tc>
        <w:tc>
          <w:tcPr>
            <w:tcW w:w="100" w:type="dxa"/>
            <w:vAlign w:val="bottom"/>
            <w:tcBorders>
              <w:right w:val="single" w:sz="8" w:color="DEEAEB"/>
            </w:tcBorders>
            <w:shd w:val="clear" w:color="auto" w:fill="DEEAEB"/>
          </w:tcPr>
          <w:p>
            <w:pPr>
              <w:spacing w:after="0"/>
              <w:rPr>
                <w:sz w:val="15"/>
                <w:szCs w:val="15"/>
                <w:color w:val="auto"/>
              </w:rPr>
            </w:pPr>
          </w:p>
        </w:tc>
      </w:tr>
      <w:tr>
        <w:trPr>
          <w:trHeight w:val="203"/>
        </w:trPr>
        <w:tc>
          <w:tcPr>
            <w:tcW w:w="306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color w:val="auto"/>
              </w:rPr>
              <w:t>Shares withheld for employees’ income tax</w:t>
            </w:r>
          </w:p>
        </w:tc>
        <w:tc>
          <w:tcPr>
            <w:tcW w:w="120" w:type="dxa"/>
            <w:vAlign w:val="bottom"/>
            <w:shd w:val="clear" w:color="auto" w:fill="DEEAEB"/>
          </w:tcPr>
          <w:p>
            <w:pPr>
              <w:spacing w:after="0"/>
              <w:rPr>
                <w:sz w:val="17"/>
                <w:szCs w:val="17"/>
                <w:color w:val="auto"/>
              </w:rPr>
            </w:pPr>
          </w:p>
        </w:tc>
        <w:tc>
          <w:tcPr>
            <w:tcW w:w="560" w:type="dxa"/>
            <w:vAlign w:val="bottom"/>
            <w:shd w:val="clear" w:color="auto" w:fill="DEEAEB"/>
          </w:tcPr>
          <w:p>
            <w:pPr>
              <w:spacing w:after="0"/>
              <w:rPr>
                <w:sz w:val="17"/>
                <w:szCs w:val="17"/>
                <w:color w:val="auto"/>
              </w:rPr>
            </w:pPr>
          </w:p>
        </w:tc>
        <w:tc>
          <w:tcPr>
            <w:tcW w:w="120" w:type="dxa"/>
            <w:vAlign w:val="bottom"/>
            <w:tcBorders>
              <w:right w:val="single" w:sz="8" w:color="007CBA"/>
            </w:tcBorders>
            <w:shd w:val="clear" w:color="auto" w:fill="DEEAEB"/>
          </w:tcPr>
          <w:p>
            <w:pPr>
              <w:spacing w:after="0"/>
              <w:rPr>
                <w:sz w:val="17"/>
                <w:szCs w:val="17"/>
                <w:color w:val="auto"/>
              </w:rPr>
            </w:pPr>
          </w:p>
        </w:tc>
        <w:tc>
          <w:tcPr>
            <w:tcW w:w="220" w:type="dxa"/>
            <w:vAlign w:val="bottom"/>
            <w:shd w:val="clear" w:color="auto" w:fill="DEEAEB"/>
          </w:tcPr>
          <w:p>
            <w:pPr>
              <w:spacing w:after="0"/>
              <w:rPr>
                <w:sz w:val="17"/>
                <w:szCs w:val="17"/>
                <w:color w:val="auto"/>
              </w:rPr>
            </w:pPr>
          </w:p>
        </w:tc>
        <w:tc>
          <w:tcPr>
            <w:tcW w:w="700" w:type="dxa"/>
            <w:vAlign w:val="bottom"/>
            <w:shd w:val="clear" w:color="auto" w:fill="DEEAEB"/>
          </w:tcPr>
          <w:p>
            <w:pPr>
              <w:spacing w:after="0"/>
              <w:rPr>
                <w:sz w:val="17"/>
                <w:szCs w:val="17"/>
                <w:color w:val="auto"/>
              </w:rPr>
            </w:pPr>
          </w:p>
        </w:tc>
        <w:tc>
          <w:tcPr>
            <w:tcW w:w="140" w:type="dxa"/>
            <w:vAlign w:val="bottom"/>
            <w:tcBorders>
              <w:right w:val="single" w:sz="8" w:color="007CBA"/>
            </w:tcBorders>
            <w:shd w:val="clear" w:color="auto" w:fill="DEEAEB"/>
          </w:tcPr>
          <w:p>
            <w:pPr>
              <w:spacing w:after="0"/>
              <w:rPr>
                <w:sz w:val="17"/>
                <w:szCs w:val="17"/>
                <w:color w:val="auto"/>
              </w:rPr>
            </w:pPr>
          </w:p>
        </w:tc>
        <w:tc>
          <w:tcPr>
            <w:tcW w:w="200" w:type="dxa"/>
            <w:vAlign w:val="bottom"/>
            <w:shd w:val="clear" w:color="auto" w:fill="DEEAEB"/>
          </w:tcPr>
          <w:p>
            <w:pPr>
              <w:spacing w:after="0"/>
              <w:rPr>
                <w:sz w:val="17"/>
                <w:szCs w:val="17"/>
                <w:color w:val="auto"/>
              </w:rPr>
            </w:pPr>
          </w:p>
        </w:tc>
        <w:tc>
          <w:tcPr>
            <w:tcW w:w="40" w:type="dxa"/>
            <w:vAlign w:val="bottom"/>
            <w:shd w:val="clear" w:color="auto" w:fill="DEEAEB"/>
          </w:tcPr>
          <w:p>
            <w:pPr>
              <w:spacing w:after="0"/>
              <w:rPr>
                <w:sz w:val="17"/>
                <w:szCs w:val="17"/>
                <w:color w:val="auto"/>
              </w:rPr>
            </w:pPr>
          </w:p>
        </w:tc>
        <w:tc>
          <w:tcPr>
            <w:tcW w:w="700" w:type="dxa"/>
            <w:vAlign w:val="bottom"/>
            <w:shd w:val="clear" w:color="auto" w:fill="DEEAEB"/>
          </w:tcPr>
          <w:p>
            <w:pPr>
              <w:spacing w:after="0"/>
              <w:rPr>
                <w:sz w:val="17"/>
                <w:szCs w:val="17"/>
                <w:color w:val="auto"/>
              </w:rPr>
            </w:pPr>
          </w:p>
        </w:tc>
        <w:tc>
          <w:tcPr>
            <w:tcW w:w="120" w:type="dxa"/>
            <w:vAlign w:val="bottom"/>
            <w:tcBorders>
              <w:right w:val="single" w:sz="8" w:color="007CBA"/>
            </w:tcBorders>
            <w:shd w:val="clear" w:color="auto" w:fill="DEEAEB"/>
          </w:tcPr>
          <w:p>
            <w:pPr>
              <w:spacing w:after="0"/>
              <w:rPr>
                <w:sz w:val="17"/>
                <w:szCs w:val="17"/>
                <w:color w:val="auto"/>
              </w:rPr>
            </w:pPr>
          </w:p>
        </w:tc>
        <w:tc>
          <w:tcPr>
            <w:tcW w:w="240" w:type="dxa"/>
            <w:vAlign w:val="bottom"/>
            <w:shd w:val="clear" w:color="auto" w:fill="DEEAEB"/>
          </w:tcPr>
          <w:p>
            <w:pPr>
              <w:spacing w:after="0"/>
              <w:rPr>
                <w:sz w:val="17"/>
                <w:szCs w:val="17"/>
                <w:color w:val="auto"/>
              </w:rPr>
            </w:pPr>
          </w:p>
        </w:tc>
        <w:tc>
          <w:tcPr>
            <w:tcW w:w="840" w:type="dxa"/>
            <w:vAlign w:val="bottom"/>
            <w:shd w:val="clear" w:color="auto" w:fill="DEEAEB"/>
          </w:tcPr>
          <w:p>
            <w:pPr>
              <w:spacing w:after="0"/>
              <w:rPr>
                <w:sz w:val="17"/>
                <w:szCs w:val="17"/>
                <w:color w:val="auto"/>
              </w:rPr>
            </w:pPr>
          </w:p>
        </w:tc>
        <w:tc>
          <w:tcPr>
            <w:tcW w:w="100" w:type="dxa"/>
            <w:vAlign w:val="bottom"/>
            <w:tcBorders>
              <w:right w:val="single" w:sz="8" w:color="007CBA"/>
            </w:tcBorders>
            <w:shd w:val="clear" w:color="auto" w:fill="DEEAEB"/>
          </w:tcPr>
          <w:p>
            <w:pPr>
              <w:spacing w:after="0"/>
              <w:rPr>
                <w:sz w:val="17"/>
                <w:szCs w:val="17"/>
                <w:color w:val="auto"/>
              </w:rPr>
            </w:pPr>
          </w:p>
        </w:tc>
        <w:tc>
          <w:tcPr>
            <w:tcW w:w="220" w:type="dxa"/>
            <w:vAlign w:val="bottom"/>
            <w:shd w:val="clear" w:color="auto" w:fill="DEEAEB"/>
          </w:tcPr>
          <w:p>
            <w:pPr>
              <w:spacing w:after="0"/>
              <w:rPr>
                <w:sz w:val="17"/>
                <w:szCs w:val="17"/>
                <w:color w:val="auto"/>
              </w:rPr>
            </w:pPr>
          </w:p>
        </w:tc>
        <w:tc>
          <w:tcPr>
            <w:tcW w:w="680" w:type="dxa"/>
            <w:vAlign w:val="bottom"/>
            <w:shd w:val="clear" w:color="auto" w:fill="DEEAEB"/>
          </w:tcPr>
          <w:p>
            <w:pPr>
              <w:spacing w:after="0"/>
              <w:rPr>
                <w:sz w:val="17"/>
                <w:szCs w:val="17"/>
                <w:color w:val="auto"/>
              </w:rPr>
            </w:pPr>
          </w:p>
        </w:tc>
        <w:tc>
          <w:tcPr>
            <w:tcW w:w="120" w:type="dxa"/>
            <w:vAlign w:val="bottom"/>
            <w:tcBorders>
              <w:right w:val="single" w:sz="8" w:color="007CBA"/>
            </w:tcBorders>
            <w:shd w:val="clear" w:color="auto" w:fill="DEEAEB"/>
          </w:tcPr>
          <w:p>
            <w:pPr>
              <w:spacing w:after="0"/>
              <w:rPr>
                <w:sz w:val="17"/>
                <w:szCs w:val="17"/>
                <w:color w:val="auto"/>
              </w:rPr>
            </w:pPr>
          </w:p>
        </w:tc>
        <w:tc>
          <w:tcPr>
            <w:tcW w:w="220" w:type="dxa"/>
            <w:vAlign w:val="bottom"/>
            <w:shd w:val="clear" w:color="auto" w:fill="DEEAEB"/>
          </w:tcPr>
          <w:p>
            <w:pPr>
              <w:spacing w:after="0"/>
              <w:rPr>
                <w:sz w:val="17"/>
                <w:szCs w:val="17"/>
                <w:color w:val="auto"/>
              </w:rPr>
            </w:pPr>
          </w:p>
        </w:tc>
        <w:tc>
          <w:tcPr>
            <w:tcW w:w="680" w:type="dxa"/>
            <w:vAlign w:val="bottom"/>
            <w:shd w:val="clear" w:color="auto" w:fill="DEEAEB"/>
          </w:tcPr>
          <w:p>
            <w:pPr>
              <w:spacing w:after="0"/>
              <w:rPr>
                <w:sz w:val="17"/>
                <w:szCs w:val="17"/>
                <w:color w:val="auto"/>
              </w:rPr>
            </w:pPr>
          </w:p>
        </w:tc>
        <w:tc>
          <w:tcPr>
            <w:tcW w:w="120" w:type="dxa"/>
            <w:vAlign w:val="bottom"/>
            <w:tcBorders>
              <w:right w:val="single" w:sz="8" w:color="007CBA"/>
            </w:tcBorders>
            <w:shd w:val="clear" w:color="auto" w:fill="DEEAEB"/>
          </w:tcPr>
          <w:p>
            <w:pPr>
              <w:spacing w:after="0"/>
              <w:rPr>
                <w:sz w:val="17"/>
                <w:szCs w:val="17"/>
                <w:color w:val="auto"/>
              </w:rPr>
            </w:pPr>
          </w:p>
        </w:tc>
        <w:tc>
          <w:tcPr>
            <w:tcW w:w="200" w:type="dxa"/>
            <w:vAlign w:val="bottom"/>
            <w:shd w:val="clear" w:color="auto" w:fill="DEEAEB"/>
          </w:tcPr>
          <w:p>
            <w:pPr>
              <w:spacing w:after="0"/>
              <w:rPr>
                <w:sz w:val="17"/>
                <w:szCs w:val="17"/>
                <w:color w:val="auto"/>
              </w:rPr>
            </w:pPr>
          </w:p>
        </w:tc>
        <w:tc>
          <w:tcPr>
            <w:tcW w:w="700" w:type="dxa"/>
            <w:vAlign w:val="bottom"/>
            <w:shd w:val="clear" w:color="auto" w:fill="DEEAEB"/>
          </w:tcPr>
          <w:p>
            <w:pPr>
              <w:spacing w:after="0"/>
              <w:rPr>
                <w:sz w:val="17"/>
                <w:szCs w:val="17"/>
                <w:color w:val="auto"/>
              </w:rPr>
            </w:pPr>
          </w:p>
        </w:tc>
        <w:tc>
          <w:tcPr>
            <w:tcW w:w="100" w:type="dxa"/>
            <w:vAlign w:val="bottom"/>
            <w:tcBorders>
              <w:right w:val="single" w:sz="8" w:color="007CBA"/>
            </w:tcBorders>
            <w:shd w:val="clear" w:color="auto" w:fill="DEEAEB"/>
          </w:tcPr>
          <w:p>
            <w:pPr>
              <w:spacing w:after="0"/>
              <w:rPr>
                <w:sz w:val="17"/>
                <w:szCs w:val="17"/>
                <w:color w:val="auto"/>
              </w:rPr>
            </w:pPr>
          </w:p>
        </w:tc>
        <w:tc>
          <w:tcPr>
            <w:tcW w:w="220" w:type="dxa"/>
            <w:vAlign w:val="bottom"/>
            <w:shd w:val="clear" w:color="auto" w:fill="DEEAEB"/>
          </w:tcPr>
          <w:p>
            <w:pPr>
              <w:spacing w:after="0"/>
              <w:rPr>
                <w:sz w:val="17"/>
                <w:szCs w:val="17"/>
                <w:color w:val="auto"/>
              </w:rPr>
            </w:pPr>
          </w:p>
        </w:tc>
        <w:tc>
          <w:tcPr>
            <w:tcW w:w="720" w:type="dxa"/>
            <w:vAlign w:val="bottom"/>
            <w:shd w:val="clear" w:color="auto" w:fill="DEEAEB"/>
          </w:tcPr>
          <w:p>
            <w:pPr>
              <w:spacing w:after="0"/>
              <w:rPr>
                <w:sz w:val="17"/>
                <w:szCs w:val="17"/>
                <w:color w:val="auto"/>
              </w:rPr>
            </w:pPr>
          </w:p>
        </w:tc>
        <w:tc>
          <w:tcPr>
            <w:tcW w:w="100" w:type="dxa"/>
            <w:vAlign w:val="bottom"/>
            <w:tcBorders>
              <w:right w:val="single" w:sz="8" w:color="DEEAEB"/>
            </w:tcBorders>
            <w:shd w:val="clear" w:color="auto" w:fill="DEEAEB"/>
          </w:tcPr>
          <w:p>
            <w:pPr>
              <w:spacing w:after="0"/>
              <w:rPr>
                <w:sz w:val="17"/>
                <w:szCs w:val="17"/>
                <w:color w:val="auto"/>
              </w:rPr>
            </w:pPr>
          </w:p>
        </w:tc>
      </w:tr>
      <w:tr>
        <w:trPr>
          <w:trHeight w:val="175"/>
        </w:trPr>
        <w:tc>
          <w:tcPr>
            <w:tcW w:w="3060" w:type="dxa"/>
            <w:vAlign w:val="bottom"/>
            <w:tcBorders>
              <w:right w:val="single" w:sz="8" w:color="007CBA"/>
            </w:tcBorders>
          </w:tcPr>
          <w:p>
            <w:pPr>
              <w:ind w:left="260"/>
              <w:spacing w:after="0"/>
              <w:rPr>
                <w:sz w:val="20"/>
                <w:szCs w:val="20"/>
                <w:color w:val="auto"/>
              </w:rPr>
            </w:pPr>
            <w:r>
              <w:rPr>
                <w:rFonts w:ascii="Calibri" w:cs="Calibri" w:eastAsia="Calibri" w:hAnsi="Calibri"/>
                <w:sz w:val="14"/>
                <w:szCs w:val="14"/>
                <w:color w:val="auto"/>
              </w:rPr>
              <w:t>obligatons</w:t>
            </w:r>
          </w:p>
        </w:tc>
        <w:tc>
          <w:tcPr>
            <w:tcW w:w="120" w:type="dxa"/>
            <w:vAlign w:val="bottom"/>
            <w:shd w:val="clear" w:color="auto" w:fill="DEEAEB"/>
          </w:tcPr>
          <w:p>
            <w:pPr>
              <w:spacing w:after="0"/>
              <w:rPr>
                <w:sz w:val="15"/>
                <w:szCs w:val="15"/>
                <w:color w:val="auto"/>
              </w:rPr>
            </w:pPr>
          </w:p>
        </w:tc>
        <w:tc>
          <w:tcPr>
            <w:tcW w:w="56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22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40" w:type="dxa"/>
            <w:vAlign w:val="bottom"/>
            <w:tcBorders>
              <w:right w:val="single" w:sz="8" w:color="007CBA"/>
            </w:tcBorders>
            <w:shd w:val="clear" w:color="auto" w:fill="DEEAEB"/>
          </w:tcPr>
          <w:p>
            <w:pPr>
              <w:spacing w:after="0"/>
              <w:rPr>
                <w:sz w:val="15"/>
                <w:szCs w:val="15"/>
                <w:color w:val="auto"/>
              </w:rPr>
            </w:pPr>
          </w:p>
        </w:tc>
        <w:tc>
          <w:tcPr>
            <w:tcW w:w="200" w:type="dxa"/>
            <w:vAlign w:val="bottom"/>
            <w:shd w:val="clear" w:color="auto" w:fill="DEEAEB"/>
          </w:tcPr>
          <w:p>
            <w:pPr>
              <w:spacing w:after="0"/>
              <w:rPr>
                <w:sz w:val="15"/>
                <w:szCs w:val="15"/>
                <w:color w:val="auto"/>
              </w:rPr>
            </w:pPr>
          </w:p>
        </w:tc>
        <w:tc>
          <w:tcPr>
            <w:tcW w:w="4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(19.5</w:t>
            </w:r>
          </w:p>
        </w:tc>
        <w:tc>
          <w:tcPr>
            <w:tcW w:w="120" w:type="dxa"/>
            <w:vAlign w:val="bottom"/>
            <w:tcBorders>
              <w:right w:val="single" w:sz="8" w:color="007CBA"/>
            </w:tcBorders>
            <w:shd w:val="clear" w:color="auto" w:fill="DEEAEB"/>
          </w:tcPr>
          <w:p>
            <w:pPr>
              <w:jc w:val="right"/>
              <w:spacing w:after="0"/>
              <w:rPr>
                <w:sz w:val="20"/>
                <w:szCs w:val="20"/>
                <w:color w:val="auto"/>
              </w:rPr>
            </w:pPr>
            <w:r>
              <w:rPr>
                <w:rFonts w:ascii="Calibri" w:cs="Calibri" w:eastAsia="Calibri" w:hAnsi="Calibri"/>
                <w:sz w:val="14"/>
                <w:szCs w:val="14"/>
                <w:color w:val="auto"/>
                <w:w w:val="93"/>
              </w:rPr>
              <w:t>)</w:t>
            </w:r>
          </w:p>
        </w:tc>
        <w:tc>
          <w:tcPr>
            <w:tcW w:w="240" w:type="dxa"/>
            <w:vAlign w:val="bottom"/>
            <w:shd w:val="clear" w:color="auto" w:fill="DEEAEB"/>
          </w:tcPr>
          <w:p>
            <w:pPr>
              <w:spacing w:after="0"/>
              <w:rPr>
                <w:sz w:val="15"/>
                <w:szCs w:val="15"/>
                <w:color w:val="auto"/>
              </w:rPr>
            </w:pPr>
          </w:p>
        </w:tc>
        <w:tc>
          <w:tcPr>
            <w:tcW w:w="84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right w:val="single" w:sz="8" w:color="007CBA"/>
            </w:tcBorders>
            <w:shd w:val="clear" w:color="auto" w:fill="DEEAEB"/>
          </w:tcPr>
          <w:p>
            <w:pPr>
              <w:spacing w:after="0"/>
              <w:rPr>
                <w:sz w:val="15"/>
                <w:szCs w:val="15"/>
                <w:color w:val="auto"/>
              </w:rPr>
            </w:pPr>
          </w:p>
        </w:tc>
        <w:tc>
          <w:tcPr>
            <w:tcW w:w="220" w:type="dxa"/>
            <w:vAlign w:val="bottom"/>
            <w:shd w:val="clear" w:color="auto" w:fill="DEEAEB"/>
          </w:tcPr>
          <w:p>
            <w:pPr>
              <w:spacing w:after="0"/>
              <w:rPr>
                <w:sz w:val="15"/>
                <w:szCs w:val="15"/>
                <w:color w:val="auto"/>
              </w:rPr>
            </w:pPr>
          </w:p>
        </w:tc>
        <w:tc>
          <w:tcPr>
            <w:tcW w:w="6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220" w:type="dxa"/>
            <w:vAlign w:val="bottom"/>
            <w:shd w:val="clear" w:color="auto" w:fill="DEEAEB"/>
          </w:tcPr>
          <w:p>
            <w:pPr>
              <w:spacing w:after="0"/>
              <w:rPr>
                <w:sz w:val="15"/>
                <w:szCs w:val="15"/>
                <w:color w:val="auto"/>
              </w:rPr>
            </w:pPr>
          </w:p>
        </w:tc>
        <w:tc>
          <w:tcPr>
            <w:tcW w:w="6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(19.5</w:t>
            </w:r>
          </w:p>
        </w:tc>
        <w:tc>
          <w:tcPr>
            <w:tcW w:w="120" w:type="dxa"/>
            <w:vAlign w:val="bottom"/>
            <w:tcBorders>
              <w:right w:val="single" w:sz="8" w:color="007CBA"/>
            </w:tcBorders>
            <w:shd w:val="clear" w:color="auto" w:fill="DEEAEB"/>
          </w:tcPr>
          <w:p>
            <w:pPr>
              <w:jc w:val="right"/>
              <w:spacing w:after="0"/>
              <w:rPr>
                <w:sz w:val="20"/>
                <w:szCs w:val="20"/>
                <w:color w:val="auto"/>
              </w:rPr>
            </w:pPr>
            <w:r>
              <w:rPr>
                <w:rFonts w:ascii="Calibri" w:cs="Calibri" w:eastAsia="Calibri" w:hAnsi="Calibri"/>
                <w:sz w:val="14"/>
                <w:szCs w:val="14"/>
                <w:color w:val="auto"/>
                <w:w w:val="93"/>
              </w:rPr>
              <w:t>)</w:t>
            </w:r>
          </w:p>
        </w:tc>
        <w:tc>
          <w:tcPr>
            <w:tcW w:w="2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right w:val="single" w:sz="8" w:color="007CBA"/>
            </w:tcBorders>
            <w:shd w:val="clear" w:color="auto" w:fill="DEEAEB"/>
          </w:tcPr>
          <w:p>
            <w:pPr>
              <w:spacing w:after="0"/>
              <w:rPr>
                <w:sz w:val="15"/>
                <w:szCs w:val="15"/>
                <w:color w:val="auto"/>
              </w:rPr>
            </w:pPr>
          </w:p>
        </w:tc>
        <w:tc>
          <w:tcPr>
            <w:tcW w:w="220" w:type="dxa"/>
            <w:vAlign w:val="bottom"/>
            <w:shd w:val="clear" w:color="auto" w:fill="DEEAEB"/>
          </w:tcPr>
          <w:p>
            <w:pPr>
              <w:spacing w:after="0"/>
              <w:rPr>
                <w:sz w:val="15"/>
                <w:szCs w:val="15"/>
                <w:color w:val="auto"/>
              </w:rPr>
            </w:pPr>
          </w:p>
        </w:tc>
        <w:tc>
          <w:tcPr>
            <w:tcW w:w="72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(19.5</w:t>
            </w:r>
          </w:p>
        </w:tc>
        <w:tc>
          <w:tcPr>
            <w:tcW w:w="100" w:type="dxa"/>
            <w:vAlign w:val="bottom"/>
            <w:tcBorders>
              <w:right w:val="single" w:sz="8" w:color="DEEAEB"/>
            </w:tcBorders>
            <w:shd w:val="clear" w:color="auto" w:fill="DEEAEB"/>
          </w:tcPr>
          <w:p>
            <w:pPr>
              <w:jc w:val="right"/>
              <w:ind w:right="6"/>
              <w:spacing w:after="0"/>
              <w:rPr>
                <w:sz w:val="20"/>
                <w:szCs w:val="20"/>
                <w:color w:val="auto"/>
              </w:rPr>
            </w:pPr>
            <w:r>
              <w:rPr>
                <w:rFonts w:ascii="Calibri" w:cs="Calibri" w:eastAsia="Calibri" w:hAnsi="Calibri"/>
                <w:sz w:val="9"/>
                <w:szCs w:val="9"/>
                <w:color w:val="auto"/>
                <w:w w:val="71"/>
              </w:rPr>
              <w:t>)</w:t>
            </w:r>
          </w:p>
        </w:tc>
      </w:tr>
      <w:tr>
        <w:trPr>
          <w:trHeight w:val="216"/>
        </w:trPr>
        <w:tc>
          <w:tcPr>
            <w:tcW w:w="306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color w:val="auto"/>
              </w:rPr>
              <w:t>Stock-based compensaton expense</w:t>
            </w:r>
          </w:p>
        </w:tc>
        <w:tc>
          <w:tcPr>
            <w:tcW w:w="120" w:type="dxa"/>
            <w:vAlign w:val="bottom"/>
            <w:tcBorders>
              <w:bottom w:val="single" w:sz="8" w:color="DEEAEB"/>
            </w:tcBorders>
            <w:shd w:val="clear" w:color="auto" w:fill="DEEAEB"/>
          </w:tcPr>
          <w:p>
            <w:pPr>
              <w:spacing w:after="0"/>
              <w:rPr>
                <w:sz w:val="18"/>
                <w:szCs w:val="18"/>
                <w:color w:val="auto"/>
              </w:rPr>
            </w:pPr>
          </w:p>
        </w:tc>
        <w:tc>
          <w:tcPr>
            <w:tcW w:w="56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DEEAEB"/>
              <w:right w:val="single" w:sz="8" w:color="007CBA"/>
            </w:tcBorders>
            <w:shd w:val="clear" w:color="auto" w:fill="DEEAEB"/>
          </w:tcPr>
          <w:p>
            <w:pPr>
              <w:spacing w:after="0"/>
              <w:rPr>
                <w:sz w:val="18"/>
                <w:szCs w:val="18"/>
                <w:color w:val="auto"/>
              </w:rPr>
            </w:pPr>
          </w:p>
        </w:tc>
        <w:tc>
          <w:tcPr>
            <w:tcW w:w="220" w:type="dxa"/>
            <w:vAlign w:val="bottom"/>
            <w:tcBorders>
              <w:bottom w:val="single" w:sz="8" w:color="DEEAEB"/>
            </w:tcBorders>
            <w:shd w:val="clear" w:color="auto" w:fill="DEEAEB"/>
          </w:tcPr>
          <w:p>
            <w:pPr>
              <w:spacing w:after="0"/>
              <w:rPr>
                <w:sz w:val="18"/>
                <w:szCs w:val="18"/>
                <w:color w:val="auto"/>
              </w:rPr>
            </w:pPr>
          </w:p>
        </w:tc>
        <w:tc>
          <w:tcPr>
            <w:tcW w:w="7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40" w:type="dxa"/>
            <w:vAlign w:val="bottom"/>
            <w:tcBorders>
              <w:bottom w:val="single" w:sz="8" w:color="DEEAEB"/>
              <w:right w:val="single" w:sz="8" w:color="007CBA"/>
            </w:tcBorders>
            <w:shd w:val="clear" w:color="auto" w:fill="DEEAEB"/>
          </w:tcPr>
          <w:p>
            <w:pPr>
              <w:spacing w:after="0"/>
              <w:rPr>
                <w:sz w:val="18"/>
                <w:szCs w:val="18"/>
                <w:color w:val="auto"/>
              </w:rPr>
            </w:pPr>
          </w:p>
        </w:tc>
        <w:tc>
          <w:tcPr>
            <w:tcW w:w="200" w:type="dxa"/>
            <w:vAlign w:val="bottom"/>
            <w:tcBorders>
              <w:bottom w:val="single" w:sz="8" w:color="DEEAEB"/>
            </w:tcBorders>
            <w:shd w:val="clear" w:color="auto" w:fill="DEEAEB"/>
          </w:tcPr>
          <w:p>
            <w:pPr>
              <w:spacing w:after="0"/>
              <w:rPr>
                <w:sz w:val="18"/>
                <w:szCs w:val="18"/>
                <w:color w:val="auto"/>
              </w:rPr>
            </w:pPr>
          </w:p>
        </w:tc>
        <w:tc>
          <w:tcPr>
            <w:tcW w:w="40" w:type="dxa"/>
            <w:vAlign w:val="bottom"/>
            <w:tcBorders>
              <w:bottom w:val="single" w:sz="8" w:color="DEEAEB"/>
            </w:tcBorders>
            <w:shd w:val="clear" w:color="auto" w:fill="DEEAEB"/>
          </w:tcPr>
          <w:p>
            <w:pPr>
              <w:spacing w:after="0"/>
              <w:rPr>
                <w:sz w:val="18"/>
                <w:szCs w:val="18"/>
                <w:color w:val="auto"/>
              </w:rPr>
            </w:pPr>
          </w:p>
        </w:tc>
        <w:tc>
          <w:tcPr>
            <w:tcW w:w="7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43.0</w:t>
            </w:r>
          </w:p>
        </w:tc>
        <w:tc>
          <w:tcPr>
            <w:tcW w:w="120" w:type="dxa"/>
            <w:vAlign w:val="bottom"/>
            <w:tcBorders>
              <w:bottom w:val="single" w:sz="8" w:color="DEEAEB"/>
              <w:right w:val="single" w:sz="8" w:color="007CBA"/>
            </w:tcBorders>
            <w:shd w:val="clear" w:color="auto" w:fill="DEEAEB"/>
          </w:tcPr>
          <w:p>
            <w:pPr>
              <w:spacing w:after="0"/>
              <w:rPr>
                <w:sz w:val="18"/>
                <w:szCs w:val="18"/>
                <w:color w:val="auto"/>
              </w:rPr>
            </w:pPr>
          </w:p>
        </w:tc>
        <w:tc>
          <w:tcPr>
            <w:tcW w:w="240" w:type="dxa"/>
            <w:vAlign w:val="bottom"/>
            <w:tcBorders>
              <w:bottom w:val="single" w:sz="8" w:color="DEEAEB"/>
            </w:tcBorders>
            <w:shd w:val="clear" w:color="auto" w:fill="DEEAEB"/>
          </w:tcPr>
          <w:p>
            <w:pPr>
              <w:spacing w:after="0"/>
              <w:rPr>
                <w:sz w:val="18"/>
                <w:szCs w:val="18"/>
                <w:color w:val="auto"/>
              </w:rPr>
            </w:pPr>
          </w:p>
        </w:tc>
        <w:tc>
          <w:tcPr>
            <w:tcW w:w="84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bottom w:val="single" w:sz="8" w:color="DEEAEB"/>
              <w:right w:val="single" w:sz="8" w:color="007CBA"/>
            </w:tcBorders>
            <w:shd w:val="clear" w:color="auto" w:fill="DEEAEB"/>
          </w:tcPr>
          <w:p>
            <w:pPr>
              <w:spacing w:after="0"/>
              <w:rPr>
                <w:sz w:val="18"/>
                <w:szCs w:val="18"/>
                <w:color w:val="auto"/>
              </w:rPr>
            </w:pPr>
          </w:p>
        </w:tc>
        <w:tc>
          <w:tcPr>
            <w:tcW w:w="220" w:type="dxa"/>
            <w:vAlign w:val="bottom"/>
            <w:tcBorders>
              <w:bottom w:val="single" w:sz="8" w:color="DEEAEB"/>
            </w:tcBorders>
            <w:shd w:val="clear" w:color="auto" w:fill="DEEAEB"/>
          </w:tcPr>
          <w:p>
            <w:pPr>
              <w:spacing w:after="0"/>
              <w:rPr>
                <w:sz w:val="18"/>
                <w:szCs w:val="18"/>
                <w:color w:val="auto"/>
              </w:rPr>
            </w:pPr>
          </w:p>
        </w:tc>
        <w:tc>
          <w:tcPr>
            <w:tcW w:w="68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DEEAEB"/>
              <w:right w:val="single" w:sz="8" w:color="007CBA"/>
            </w:tcBorders>
            <w:shd w:val="clear" w:color="auto" w:fill="DEEAEB"/>
          </w:tcPr>
          <w:p>
            <w:pPr>
              <w:spacing w:after="0"/>
              <w:rPr>
                <w:sz w:val="18"/>
                <w:szCs w:val="18"/>
                <w:color w:val="auto"/>
              </w:rPr>
            </w:pPr>
          </w:p>
        </w:tc>
        <w:tc>
          <w:tcPr>
            <w:tcW w:w="220" w:type="dxa"/>
            <w:vAlign w:val="bottom"/>
            <w:tcBorders>
              <w:bottom w:val="single" w:sz="8" w:color="DEEAEB"/>
            </w:tcBorders>
            <w:shd w:val="clear" w:color="auto" w:fill="DEEAEB"/>
          </w:tcPr>
          <w:p>
            <w:pPr>
              <w:spacing w:after="0"/>
              <w:rPr>
                <w:sz w:val="18"/>
                <w:szCs w:val="18"/>
                <w:color w:val="auto"/>
              </w:rPr>
            </w:pPr>
          </w:p>
        </w:tc>
        <w:tc>
          <w:tcPr>
            <w:tcW w:w="68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43.0</w:t>
            </w:r>
          </w:p>
        </w:tc>
        <w:tc>
          <w:tcPr>
            <w:tcW w:w="120" w:type="dxa"/>
            <w:vAlign w:val="bottom"/>
            <w:tcBorders>
              <w:bottom w:val="single" w:sz="8" w:color="DEEAEB"/>
              <w:right w:val="single" w:sz="8" w:color="007CBA"/>
            </w:tcBorders>
            <w:shd w:val="clear" w:color="auto" w:fill="DEEAEB"/>
          </w:tcPr>
          <w:p>
            <w:pPr>
              <w:spacing w:after="0"/>
              <w:rPr>
                <w:sz w:val="18"/>
                <w:szCs w:val="18"/>
                <w:color w:val="auto"/>
              </w:rPr>
            </w:pPr>
          </w:p>
        </w:tc>
        <w:tc>
          <w:tcPr>
            <w:tcW w:w="200" w:type="dxa"/>
            <w:vAlign w:val="bottom"/>
            <w:tcBorders>
              <w:bottom w:val="single" w:sz="8" w:color="DEEAEB"/>
            </w:tcBorders>
            <w:shd w:val="clear" w:color="auto" w:fill="DEEAEB"/>
          </w:tcPr>
          <w:p>
            <w:pPr>
              <w:spacing w:after="0"/>
              <w:rPr>
                <w:sz w:val="18"/>
                <w:szCs w:val="18"/>
                <w:color w:val="auto"/>
              </w:rPr>
            </w:pPr>
          </w:p>
        </w:tc>
        <w:tc>
          <w:tcPr>
            <w:tcW w:w="7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bottom w:val="single" w:sz="8" w:color="DEEAEB"/>
              <w:right w:val="single" w:sz="8" w:color="007CBA"/>
            </w:tcBorders>
            <w:shd w:val="clear" w:color="auto" w:fill="DEEAEB"/>
          </w:tcPr>
          <w:p>
            <w:pPr>
              <w:spacing w:after="0"/>
              <w:rPr>
                <w:sz w:val="18"/>
                <w:szCs w:val="18"/>
                <w:color w:val="auto"/>
              </w:rPr>
            </w:pPr>
          </w:p>
        </w:tc>
        <w:tc>
          <w:tcPr>
            <w:tcW w:w="220" w:type="dxa"/>
            <w:vAlign w:val="bottom"/>
            <w:tcBorders>
              <w:bottom w:val="single" w:sz="8" w:color="DEEAEB"/>
            </w:tcBorders>
            <w:shd w:val="clear" w:color="auto" w:fill="DEEAEB"/>
          </w:tcPr>
          <w:p>
            <w:pPr>
              <w:spacing w:after="0"/>
              <w:rPr>
                <w:sz w:val="18"/>
                <w:szCs w:val="18"/>
                <w:color w:val="auto"/>
              </w:rPr>
            </w:pPr>
          </w:p>
        </w:tc>
        <w:tc>
          <w:tcPr>
            <w:tcW w:w="72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43.0</w:t>
            </w:r>
          </w:p>
        </w:tc>
        <w:tc>
          <w:tcPr>
            <w:tcW w:w="100" w:type="dxa"/>
            <w:vAlign w:val="bottom"/>
            <w:tcBorders>
              <w:bottom w:val="single" w:sz="8" w:color="DEEAEB"/>
              <w:right w:val="single" w:sz="8" w:color="DEEAEB"/>
            </w:tcBorders>
            <w:shd w:val="clear" w:color="auto" w:fill="DEEAEB"/>
          </w:tcPr>
          <w:p>
            <w:pPr>
              <w:spacing w:after="0"/>
              <w:rPr>
                <w:sz w:val="18"/>
                <w:szCs w:val="18"/>
                <w:color w:val="auto"/>
              </w:rPr>
            </w:pPr>
          </w:p>
        </w:tc>
      </w:tr>
      <w:tr>
        <w:trPr>
          <w:trHeight w:val="169"/>
        </w:trPr>
        <w:tc>
          <w:tcPr>
            <w:tcW w:w="3060" w:type="dxa"/>
            <w:vAlign w:val="bottom"/>
          </w:tcPr>
          <w:p>
            <w:pPr>
              <w:ind w:left="160"/>
              <w:spacing w:after="0" w:line="169" w:lineRule="exact"/>
              <w:rPr>
                <w:sz w:val="20"/>
                <w:szCs w:val="20"/>
                <w:color w:val="auto"/>
              </w:rPr>
            </w:pPr>
            <w:r>
              <w:rPr>
                <w:rFonts w:ascii="Calibri" w:cs="Calibri" w:eastAsia="Calibri" w:hAnsi="Calibri"/>
                <w:sz w:val="14"/>
                <w:szCs w:val="14"/>
                <w:color w:val="auto"/>
              </w:rPr>
              <w:t>Distributon to owners of noncontrolling</w:t>
            </w:r>
          </w:p>
        </w:tc>
        <w:tc>
          <w:tcPr>
            <w:tcW w:w="120" w:type="dxa"/>
            <w:vAlign w:val="bottom"/>
            <w:shd w:val="clear" w:color="auto" w:fill="DEEAEB"/>
          </w:tcPr>
          <w:p>
            <w:pPr>
              <w:spacing w:after="0"/>
              <w:rPr>
                <w:sz w:val="14"/>
                <w:szCs w:val="14"/>
                <w:color w:val="auto"/>
              </w:rPr>
            </w:pPr>
          </w:p>
        </w:tc>
        <w:tc>
          <w:tcPr>
            <w:tcW w:w="560" w:type="dxa"/>
            <w:vAlign w:val="bottom"/>
            <w:shd w:val="clear" w:color="auto" w:fill="DEEAEB"/>
          </w:tcPr>
          <w:p>
            <w:pPr>
              <w:spacing w:after="0"/>
              <w:rPr>
                <w:sz w:val="14"/>
                <w:szCs w:val="14"/>
                <w:color w:val="auto"/>
              </w:rPr>
            </w:pPr>
          </w:p>
        </w:tc>
        <w:tc>
          <w:tcPr>
            <w:tcW w:w="120" w:type="dxa"/>
            <w:vAlign w:val="bottom"/>
            <w:tcBorders>
              <w:right w:val="single" w:sz="8" w:color="DEEAEB"/>
            </w:tcBorders>
            <w:shd w:val="clear" w:color="auto" w:fill="DEEAEB"/>
          </w:tcPr>
          <w:p>
            <w:pPr>
              <w:spacing w:after="0"/>
              <w:rPr>
                <w:sz w:val="14"/>
                <w:szCs w:val="14"/>
                <w:color w:val="auto"/>
              </w:rPr>
            </w:pPr>
          </w:p>
        </w:tc>
        <w:tc>
          <w:tcPr>
            <w:tcW w:w="220" w:type="dxa"/>
            <w:vAlign w:val="bottom"/>
            <w:shd w:val="clear" w:color="auto" w:fill="DEEAEB"/>
          </w:tcPr>
          <w:p>
            <w:pPr>
              <w:spacing w:after="0"/>
              <w:rPr>
                <w:sz w:val="14"/>
                <w:szCs w:val="14"/>
                <w:color w:val="auto"/>
              </w:rPr>
            </w:pPr>
          </w:p>
        </w:tc>
        <w:tc>
          <w:tcPr>
            <w:tcW w:w="700" w:type="dxa"/>
            <w:vAlign w:val="bottom"/>
            <w:shd w:val="clear" w:color="auto" w:fill="DEEAEB"/>
          </w:tcPr>
          <w:p>
            <w:pPr>
              <w:spacing w:after="0"/>
              <w:rPr>
                <w:sz w:val="14"/>
                <w:szCs w:val="14"/>
                <w:color w:val="auto"/>
              </w:rPr>
            </w:pPr>
          </w:p>
        </w:tc>
        <w:tc>
          <w:tcPr>
            <w:tcW w:w="140" w:type="dxa"/>
            <w:vAlign w:val="bottom"/>
            <w:tcBorders>
              <w:right w:val="single" w:sz="8" w:color="DEEAEB"/>
            </w:tcBorders>
            <w:shd w:val="clear" w:color="auto" w:fill="DEEAEB"/>
          </w:tcPr>
          <w:p>
            <w:pPr>
              <w:spacing w:after="0"/>
              <w:rPr>
                <w:sz w:val="14"/>
                <w:szCs w:val="14"/>
                <w:color w:val="auto"/>
              </w:rPr>
            </w:pPr>
          </w:p>
        </w:tc>
        <w:tc>
          <w:tcPr>
            <w:tcW w:w="200" w:type="dxa"/>
            <w:vAlign w:val="bottom"/>
            <w:shd w:val="clear" w:color="auto" w:fill="DEEAEB"/>
          </w:tcPr>
          <w:p>
            <w:pPr>
              <w:spacing w:after="0"/>
              <w:rPr>
                <w:sz w:val="14"/>
                <w:szCs w:val="14"/>
                <w:color w:val="auto"/>
              </w:rPr>
            </w:pPr>
          </w:p>
        </w:tc>
        <w:tc>
          <w:tcPr>
            <w:tcW w:w="40" w:type="dxa"/>
            <w:vAlign w:val="bottom"/>
            <w:shd w:val="clear" w:color="auto" w:fill="DEEAEB"/>
          </w:tcPr>
          <w:p>
            <w:pPr>
              <w:spacing w:after="0"/>
              <w:rPr>
                <w:sz w:val="14"/>
                <w:szCs w:val="14"/>
                <w:color w:val="auto"/>
              </w:rPr>
            </w:pPr>
          </w:p>
        </w:tc>
        <w:tc>
          <w:tcPr>
            <w:tcW w:w="700" w:type="dxa"/>
            <w:vAlign w:val="bottom"/>
            <w:shd w:val="clear" w:color="auto" w:fill="DEEAEB"/>
          </w:tcPr>
          <w:p>
            <w:pPr>
              <w:spacing w:after="0"/>
              <w:rPr>
                <w:sz w:val="14"/>
                <w:szCs w:val="14"/>
                <w:color w:val="auto"/>
              </w:rPr>
            </w:pPr>
          </w:p>
        </w:tc>
        <w:tc>
          <w:tcPr>
            <w:tcW w:w="120" w:type="dxa"/>
            <w:vAlign w:val="bottom"/>
            <w:tcBorders>
              <w:right w:val="single" w:sz="8" w:color="DEEAEB"/>
            </w:tcBorders>
            <w:shd w:val="clear" w:color="auto" w:fill="DEEAEB"/>
          </w:tcPr>
          <w:p>
            <w:pPr>
              <w:spacing w:after="0"/>
              <w:rPr>
                <w:sz w:val="14"/>
                <w:szCs w:val="14"/>
                <w:color w:val="auto"/>
              </w:rPr>
            </w:pPr>
          </w:p>
        </w:tc>
        <w:tc>
          <w:tcPr>
            <w:tcW w:w="240" w:type="dxa"/>
            <w:vAlign w:val="bottom"/>
            <w:shd w:val="clear" w:color="auto" w:fill="DEEAEB"/>
          </w:tcPr>
          <w:p>
            <w:pPr>
              <w:spacing w:after="0"/>
              <w:rPr>
                <w:sz w:val="14"/>
                <w:szCs w:val="14"/>
                <w:color w:val="auto"/>
              </w:rPr>
            </w:pPr>
          </w:p>
        </w:tc>
        <w:tc>
          <w:tcPr>
            <w:tcW w:w="840" w:type="dxa"/>
            <w:vAlign w:val="bottom"/>
            <w:shd w:val="clear" w:color="auto" w:fill="DEEAEB"/>
          </w:tcPr>
          <w:p>
            <w:pPr>
              <w:spacing w:after="0"/>
              <w:rPr>
                <w:sz w:val="14"/>
                <w:szCs w:val="14"/>
                <w:color w:val="auto"/>
              </w:rPr>
            </w:pPr>
          </w:p>
        </w:tc>
        <w:tc>
          <w:tcPr>
            <w:tcW w:w="100" w:type="dxa"/>
            <w:vAlign w:val="bottom"/>
            <w:tcBorders>
              <w:right w:val="single" w:sz="8" w:color="DEEAEB"/>
            </w:tcBorders>
            <w:shd w:val="clear" w:color="auto" w:fill="DEEAEB"/>
          </w:tcPr>
          <w:p>
            <w:pPr>
              <w:spacing w:after="0"/>
              <w:rPr>
                <w:sz w:val="14"/>
                <w:szCs w:val="14"/>
                <w:color w:val="auto"/>
              </w:rPr>
            </w:pPr>
          </w:p>
        </w:tc>
        <w:tc>
          <w:tcPr>
            <w:tcW w:w="220" w:type="dxa"/>
            <w:vAlign w:val="bottom"/>
            <w:shd w:val="clear" w:color="auto" w:fill="DEEAEB"/>
          </w:tcPr>
          <w:p>
            <w:pPr>
              <w:spacing w:after="0"/>
              <w:rPr>
                <w:sz w:val="14"/>
                <w:szCs w:val="14"/>
                <w:color w:val="auto"/>
              </w:rPr>
            </w:pPr>
          </w:p>
        </w:tc>
        <w:tc>
          <w:tcPr>
            <w:tcW w:w="680" w:type="dxa"/>
            <w:vAlign w:val="bottom"/>
            <w:shd w:val="clear" w:color="auto" w:fill="DEEAEB"/>
          </w:tcPr>
          <w:p>
            <w:pPr>
              <w:spacing w:after="0"/>
              <w:rPr>
                <w:sz w:val="14"/>
                <w:szCs w:val="14"/>
                <w:color w:val="auto"/>
              </w:rPr>
            </w:pPr>
          </w:p>
        </w:tc>
        <w:tc>
          <w:tcPr>
            <w:tcW w:w="120" w:type="dxa"/>
            <w:vAlign w:val="bottom"/>
            <w:tcBorders>
              <w:right w:val="single" w:sz="8" w:color="DEEAEB"/>
            </w:tcBorders>
            <w:shd w:val="clear" w:color="auto" w:fill="DEEAEB"/>
          </w:tcPr>
          <w:p>
            <w:pPr>
              <w:spacing w:after="0"/>
              <w:rPr>
                <w:sz w:val="14"/>
                <w:szCs w:val="14"/>
                <w:color w:val="auto"/>
              </w:rPr>
            </w:pPr>
          </w:p>
        </w:tc>
        <w:tc>
          <w:tcPr>
            <w:tcW w:w="220" w:type="dxa"/>
            <w:vAlign w:val="bottom"/>
            <w:shd w:val="clear" w:color="auto" w:fill="DEEAEB"/>
          </w:tcPr>
          <w:p>
            <w:pPr>
              <w:spacing w:after="0"/>
              <w:rPr>
                <w:sz w:val="14"/>
                <w:szCs w:val="14"/>
                <w:color w:val="auto"/>
              </w:rPr>
            </w:pPr>
          </w:p>
        </w:tc>
        <w:tc>
          <w:tcPr>
            <w:tcW w:w="680" w:type="dxa"/>
            <w:vAlign w:val="bottom"/>
            <w:shd w:val="clear" w:color="auto" w:fill="DEEAEB"/>
          </w:tcPr>
          <w:p>
            <w:pPr>
              <w:spacing w:after="0"/>
              <w:rPr>
                <w:sz w:val="14"/>
                <w:szCs w:val="14"/>
                <w:color w:val="auto"/>
              </w:rPr>
            </w:pPr>
          </w:p>
        </w:tc>
        <w:tc>
          <w:tcPr>
            <w:tcW w:w="120" w:type="dxa"/>
            <w:vAlign w:val="bottom"/>
            <w:tcBorders>
              <w:right w:val="single" w:sz="8" w:color="DEEAEB"/>
            </w:tcBorders>
            <w:shd w:val="clear" w:color="auto" w:fill="DEEAEB"/>
          </w:tcPr>
          <w:p>
            <w:pPr>
              <w:spacing w:after="0"/>
              <w:rPr>
                <w:sz w:val="14"/>
                <w:szCs w:val="14"/>
                <w:color w:val="auto"/>
              </w:rPr>
            </w:pPr>
          </w:p>
        </w:tc>
        <w:tc>
          <w:tcPr>
            <w:tcW w:w="200" w:type="dxa"/>
            <w:vAlign w:val="bottom"/>
            <w:shd w:val="clear" w:color="auto" w:fill="DEEAEB"/>
          </w:tcPr>
          <w:p>
            <w:pPr>
              <w:spacing w:after="0"/>
              <w:rPr>
                <w:sz w:val="14"/>
                <w:szCs w:val="14"/>
                <w:color w:val="auto"/>
              </w:rPr>
            </w:pPr>
          </w:p>
        </w:tc>
        <w:tc>
          <w:tcPr>
            <w:tcW w:w="700" w:type="dxa"/>
            <w:vAlign w:val="bottom"/>
            <w:shd w:val="clear" w:color="auto" w:fill="DEEAEB"/>
          </w:tcPr>
          <w:p>
            <w:pPr>
              <w:spacing w:after="0"/>
              <w:rPr>
                <w:sz w:val="14"/>
                <w:szCs w:val="14"/>
                <w:color w:val="auto"/>
              </w:rPr>
            </w:pPr>
          </w:p>
        </w:tc>
        <w:tc>
          <w:tcPr>
            <w:tcW w:w="100" w:type="dxa"/>
            <w:vAlign w:val="bottom"/>
            <w:tcBorders>
              <w:right w:val="single" w:sz="8" w:color="DEEAEB"/>
            </w:tcBorders>
            <w:shd w:val="clear" w:color="auto" w:fill="DEEAEB"/>
          </w:tcPr>
          <w:p>
            <w:pPr>
              <w:spacing w:after="0"/>
              <w:rPr>
                <w:sz w:val="14"/>
                <w:szCs w:val="14"/>
                <w:color w:val="auto"/>
              </w:rPr>
            </w:pPr>
          </w:p>
        </w:tc>
        <w:tc>
          <w:tcPr>
            <w:tcW w:w="220" w:type="dxa"/>
            <w:vAlign w:val="bottom"/>
            <w:shd w:val="clear" w:color="auto" w:fill="DEEAEB"/>
          </w:tcPr>
          <w:p>
            <w:pPr>
              <w:spacing w:after="0"/>
              <w:rPr>
                <w:sz w:val="14"/>
                <w:szCs w:val="14"/>
                <w:color w:val="auto"/>
              </w:rPr>
            </w:pPr>
          </w:p>
        </w:tc>
        <w:tc>
          <w:tcPr>
            <w:tcW w:w="720" w:type="dxa"/>
            <w:vAlign w:val="bottom"/>
            <w:shd w:val="clear" w:color="auto" w:fill="DEEAEB"/>
          </w:tcPr>
          <w:p>
            <w:pPr>
              <w:spacing w:after="0"/>
              <w:rPr>
                <w:sz w:val="14"/>
                <w:szCs w:val="14"/>
                <w:color w:val="auto"/>
              </w:rPr>
            </w:pPr>
          </w:p>
        </w:tc>
        <w:tc>
          <w:tcPr>
            <w:tcW w:w="100" w:type="dxa"/>
            <w:vAlign w:val="bottom"/>
            <w:tcBorders>
              <w:right w:val="single" w:sz="8" w:color="DEEAEB"/>
            </w:tcBorders>
            <w:shd w:val="clear" w:color="auto" w:fill="DEEAEB"/>
          </w:tcPr>
          <w:p>
            <w:pPr>
              <w:spacing w:after="0"/>
              <w:rPr>
                <w:sz w:val="14"/>
                <w:szCs w:val="14"/>
                <w:color w:val="auto"/>
              </w:rPr>
            </w:pPr>
          </w:p>
        </w:tc>
      </w:tr>
      <w:tr>
        <w:trPr>
          <w:trHeight w:val="209"/>
        </w:trPr>
        <w:tc>
          <w:tcPr>
            <w:tcW w:w="3060" w:type="dxa"/>
            <w:vAlign w:val="bottom"/>
          </w:tcPr>
          <w:p>
            <w:pPr>
              <w:ind w:left="160"/>
              <w:spacing w:after="0"/>
              <w:rPr>
                <w:sz w:val="20"/>
                <w:szCs w:val="20"/>
                <w:color w:val="auto"/>
              </w:rPr>
            </w:pPr>
            <w:r>
              <w:rPr>
                <w:rFonts w:ascii="Calibri" w:cs="Calibri" w:eastAsia="Calibri" w:hAnsi="Calibri"/>
                <w:sz w:val="14"/>
                <w:szCs w:val="14"/>
                <w:color w:val="auto"/>
              </w:rPr>
              <w:t>interest</w:t>
            </w:r>
          </w:p>
        </w:tc>
        <w:tc>
          <w:tcPr>
            <w:tcW w:w="120" w:type="dxa"/>
            <w:vAlign w:val="bottom"/>
            <w:tcBorders>
              <w:bottom w:val="single" w:sz="8" w:color="DEEAEB"/>
            </w:tcBorders>
            <w:shd w:val="clear" w:color="auto" w:fill="DEEAEB"/>
          </w:tcPr>
          <w:p>
            <w:pPr>
              <w:spacing w:after="0"/>
              <w:rPr>
                <w:sz w:val="18"/>
                <w:szCs w:val="18"/>
                <w:color w:val="auto"/>
              </w:rPr>
            </w:pPr>
          </w:p>
        </w:tc>
        <w:tc>
          <w:tcPr>
            <w:tcW w:w="56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DEEAEB"/>
              <w:right w:val="single" w:sz="8" w:color="DEEAEB"/>
            </w:tcBorders>
            <w:shd w:val="clear" w:color="auto" w:fill="DEEAEB"/>
          </w:tcPr>
          <w:p>
            <w:pPr>
              <w:spacing w:after="0"/>
              <w:rPr>
                <w:sz w:val="18"/>
                <w:szCs w:val="18"/>
                <w:color w:val="auto"/>
              </w:rPr>
            </w:pPr>
          </w:p>
        </w:tc>
        <w:tc>
          <w:tcPr>
            <w:tcW w:w="220" w:type="dxa"/>
            <w:vAlign w:val="bottom"/>
            <w:tcBorders>
              <w:bottom w:val="single" w:sz="8" w:color="DEEAEB"/>
            </w:tcBorders>
            <w:shd w:val="clear" w:color="auto" w:fill="DEEAEB"/>
          </w:tcPr>
          <w:p>
            <w:pPr>
              <w:spacing w:after="0"/>
              <w:rPr>
                <w:sz w:val="18"/>
                <w:szCs w:val="18"/>
                <w:color w:val="auto"/>
              </w:rPr>
            </w:pPr>
          </w:p>
        </w:tc>
        <w:tc>
          <w:tcPr>
            <w:tcW w:w="7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40" w:type="dxa"/>
            <w:vAlign w:val="bottom"/>
            <w:tcBorders>
              <w:bottom w:val="single" w:sz="8" w:color="DEEAEB"/>
              <w:right w:val="single" w:sz="8" w:color="DEEAEB"/>
            </w:tcBorders>
            <w:shd w:val="clear" w:color="auto" w:fill="DEEAEB"/>
          </w:tcPr>
          <w:p>
            <w:pPr>
              <w:spacing w:after="0"/>
              <w:rPr>
                <w:sz w:val="18"/>
                <w:szCs w:val="18"/>
                <w:color w:val="auto"/>
              </w:rPr>
            </w:pPr>
          </w:p>
        </w:tc>
        <w:tc>
          <w:tcPr>
            <w:tcW w:w="200" w:type="dxa"/>
            <w:vAlign w:val="bottom"/>
            <w:tcBorders>
              <w:bottom w:val="single" w:sz="8" w:color="DEEAEB"/>
            </w:tcBorders>
            <w:shd w:val="clear" w:color="auto" w:fill="DEEAEB"/>
          </w:tcPr>
          <w:p>
            <w:pPr>
              <w:spacing w:after="0"/>
              <w:rPr>
                <w:sz w:val="18"/>
                <w:szCs w:val="18"/>
                <w:color w:val="auto"/>
              </w:rPr>
            </w:pPr>
          </w:p>
        </w:tc>
        <w:tc>
          <w:tcPr>
            <w:tcW w:w="40" w:type="dxa"/>
            <w:vAlign w:val="bottom"/>
            <w:tcBorders>
              <w:bottom w:val="single" w:sz="8" w:color="DEEAEB"/>
            </w:tcBorders>
            <w:shd w:val="clear" w:color="auto" w:fill="DEEAEB"/>
          </w:tcPr>
          <w:p>
            <w:pPr>
              <w:spacing w:after="0"/>
              <w:rPr>
                <w:sz w:val="18"/>
                <w:szCs w:val="18"/>
                <w:color w:val="auto"/>
              </w:rPr>
            </w:pPr>
          </w:p>
        </w:tc>
        <w:tc>
          <w:tcPr>
            <w:tcW w:w="7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DEEAEB"/>
              <w:right w:val="single" w:sz="8" w:color="DEEAEB"/>
            </w:tcBorders>
            <w:shd w:val="clear" w:color="auto" w:fill="DEEAEB"/>
          </w:tcPr>
          <w:p>
            <w:pPr>
              <w:spacing w:after="0"/>
              <w:rPr>
                <w:sz w:val="18"/>
                <w:szCs w:val="18"/>
                <w:color w:val="auto"/>
              </w:rPr>
            </w:pPr>
          </w:p>
        </w:tc>
        <w:tc>
          <w:tcPr>
            <w:tcW w:w="240" w:type="dxa"/>
            <w:vAlign w:val="bottom"/>
            <w:tcBorders>
              <w:bottom w:val="single" w:sz="8" w:color="DEEAEB"/>
            </w:tcBorders>
            <w:shd w:val="clear" w:color="auto" w:fill="DEEAEB"/>
          </w:tcPr>
          <w:p>
            <w:pPr>
              <w:spacing w:after="0"/>
              <w:rPr>
                <w:sz w:val="18"/>
                <w:szCs w:val="18"/>
                <w:color w:val="auto"/>
              </w:rPr>
            </w:pPr>
          </w:p>
        </w:tc>
        <w:tc>
          <w:tcPr>
            <w:tcW w:w="84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bottom w:val="single" w:sz="8" w:color="DEEAEB"/>
              <w:right w:val="single" w:sz="8" w:color="DEEAEB"/>
            </w:tcBorders>
            <w:shd w:val="clear" w:color="auto" w:fill="DEEAEB"/>
          </w:tcPr>
          <w:p>
            <w:pPr>
              <w:spacing w:after="0"/>
              <w:rPr>
                <w:sz w:val="18"/>
                <w:szCs w:val="18"/>
                <w:color w:val="auto"/>
              </w:rPr>
            </w:pPr>
          </w:p>
        </w:tc>
        <w:tc>
          <w:tcPr>
            <w:tcW w:w="220" w:type="dxa"/>
            <w:vAlign w:val="bottom"/>
            <w:tcBorders>
              <w:bottom w:val="single" w:sz="8" w:color="DEEAEB"/>
            </w:tcBorders>
            <w:shd w:val="clear" w:color="auto" w:fill="DEEAEB"/>
          </w:tcPr>
          <w:p>
            <w:pPr>
              <w:spacing w:after="0"/>
              <w:rPr>
                <w:sz w:val="18"/>
                <w:szCs w:val="18"/>
                <w:color w:val="auto"/>
              </w:rPr>
            </w:pPr>
          </w:p>
        </w:tc>
        <w:tc>
          <w:tcPr>
            <w:tcW w:w="68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DEEAEB"/>
              <w:right w:val="single" w:sz="8" w:color="DEEAEB"/>
            </w:tcBorders>
            <w:shd w:val="clear" w:color="auto" w:fill="DEEAEB"/>
          </w:tcPr>
          <w:p>
            <w:pPr>
              <w:spacing w:after="0"/>
              <w:rPr>
                <w:sz w:val="18"/>
                <w:szCs w:val="18"/>
                <w:color w:val="auto"/>
              </w:rPr>
            </w:pPr>
          </w:p>
        </w:tc>
        <w:tc>
          <w:tcPr>
            <w:tcW w:w="220" w:type="dxa"/>
            <w:vAlign w:val="bottom"/>
            <w:tcBorders>
              <w:bottom w:val="single" w:sz="8" w:color="DEEAEB"/>
            </w:tcBorders>
            <w:shd w:val="clear" w:color="auto" w:fill="DEEAEB"/>
          </w:tcPr>
          <w:p>
            <w:pPr>
              <w:spacing w:after="0"/>
              <w:rPr>
                <w:sz w:val="18"/>
                <w:szCs w:val="18"/>
                <w:color w:val="auto"/>
              </w:rPr>
            </w:pPr>
          </w:p>
        </w:tc>
        <w:tc>
          <w:tcPr>
            <w:tcW w:w="68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DEEAEB"/>
              <w:right w:val="single" w:sz="8" w:color="DEEAEB"/>
            </w:tcBorders>
            <w:shd w:val="clear" w:color="auto" w:fill="DEEAEB"/>
          </w:tcPr>
          <w:p>
            <w:pPr>
              <w:spacing w:after="0"/>
              <w:rPr>
                <w:sz w:val="18"/>
                <w:szCs w:val="18"/>
                <w:color w:val="auto"/>
              </w:rPr>
            </w:pPr>
          </w:p>
        </w:tc>
        <w:tc>
          <w:tcPr>
            <w:tcW w:w="200" w:type="dxa"/>
            <w:vAlign w:val="bottom"/>
            <w:tcBorders>
              <w:bottom w:val="single" w:sz="8" w:color="DEEAEB"/>
            </w:tcBorders>
            <w:shd w:val="clear" w:color="auto" w:fill="DEEAEB"/>
          </w:tcPr>
          <w:p>
            <w:pPr>
              <w:spacing w:after="0"/>
              <w:rPr>
                <w:sz w:val="18"/>
                <w:szCs w:val="18"/>
                <w:color w:val="auto"/>
              </w:rPr>
            </w:pPr>
          </w:p>
        </w:tc>
        <w:tc>
          <w:tcPr>
            <w:tcW w:w="7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(0.6</w:t>
            </w:r>
          </w:p>
        </w:tc>
        <w:tc>
          <w:tcPr>
            <w:tcW w:w="100" w:type="dxa"/>
            <w:vAlign w:val="bottom"/>
            <w:tcBorders>
              <w:bottom w:val="single" w:sz="8" w:color="DEEAEB"/>
              <w:right w:val="single" w:sz="8" w:color="DEEAEB"/>
            </w:tcBorders>
            <w:shd w:val="clear" w:color="auto" w:fill="DEEAEB"/>
          </w:tcPr>
          <w:p>
            <w:pPr>
              <w:jc w:val="right"/>
              <w:ind w:right="14"/>
              <w:spacing w:after="0"/>
              <w:rPr>
                <w:sz w:val="20"/>
                <w:szCs w:val="20"/>
                <w:color w:val="auto"/>
              </w:rPr>
            </w:pPr>
            <w:r>
              <w:rPr>
                <w:rFonts w:ascii="Calibri" w:cs="Calibri" w:eastAsia="Calibri" w:hAnsi="Calibri"/>
                <w:sz w:val="9"/>
                <w:szCs w:val="9"/>
                <w:color w:val="auto"/>
                <w:w w:val="71"/>
              </w:rPr>
              <w:t>)</w:t>
            </w:r>
          </w:p>
        </w:tc>
        <w:tc>
          <w:tcPr>
            <w:tcW w:w="220" w:type="dxa"/>
            <w:vAlign w:val="bottom"/>
            <w:tcBorders>
              <w:bottom w:val="single" w:sz="8" w:color="DEEAEB"/>
            </w:tcBorders>
            <w:shd w:val="clear" w:color="auto" w:fill="DEEAEB"/>
          </w:tcPr>
          <w:p>
            <w:pPr>
              <w:spacing w:after="0"/>
              <w:rPr>
                <w:sz w:val="18"/>
                <w:szCs w:val="18"/>
                <w:color w:val="auto"/>
              </w:rPr>
            </w:pPr>
          </w:p>
        </w:tc>
        <w:tc>
          <w:tcPr>
            <w:tcW w:w="72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(0.6</w:t>
            </w:r>
          </w:p>
        </w:tc>
        <w:tc>
          <w:tcPr>
            <w:tcW w:w="100" w:type="dxa"/>
            <w:vAlign w:val="bottom"/>
            <w:tcBorders>
              <w:bottom w:val="single" w:sz="8" w:color="DEEAEB"/>
              <w:right w:val="single" w:sz="8" w:color="DEEAEB"/>
            </w:tcBorders>
            <w:shd w:val="clear" w:color="auto" w:fill="DEEAEB"/>
          </w:tcPr>
          <w:p>
            <w:pPr>
              <w:jc w:val="right"/>
              <w:ind w:right="6"/>
              <w:spacing w:after="0"/>
              <w:rPr>
                <w:sz w:val="20"/>
                <w:szCs w:val="20"/>
                <w:color w:val="auto"/>
              </w:rPr>
            </w:pPr>
            <w:r>
              <w:rPr>
                <w:rFonts w:ascii="Calibri" w:cs="Calibri" w:eastAsia="Calibri" w:hAnsi="Calibri"/>
                <w:sz w:val="9"/>
                <w:szCs w:val="9"/>
                <w:color w:val="auto"/>
                <w:w w:val="71"/>
              </w:rPr>
              <w:t>)</w:t>
            </w:r>
          </w:p>
        </w:tc>
      </w:tr>
      <w:tr>
        <w:trPr>
          <w:trHeight w:val="176"/>
        </w:trPr>
        <w:tc>
          <w:tcPr>
            <w:tcW w:w="3060" w:type="dxa"/>
            <w:vAlign w:val="bottom"/>
            <w:tcBorders>
              <w:top w:val="single" w:sz="8" w:color="auto"/>
              <w:right w:val="single" w:sz="8" w:color="007CBA"/>
            </w:tcBorders>
          </w:tcPr>
          <w:p>
            <w:pPr>
              <w:ind w:left="20"/>
              <w:spacing w:after="0" w:line="164" w:lineRule="exact"/>
              <w:rPr>
                <w:sz w:val="20"/>
                <w:szCs w:val="20"/>
                <w:color w:val="auto"/>
              </w:rPr>
            </w:pPr>
            <w:r>
              <w:rPr>
                <w:rFonts w:ascii="Calibri" w:cs="Calibri" w:eastAsia="Calibri" w:hAnsi="Calibri"/>
                <w:sz w:val="14"/>
                <w:szCs w:val="14"/>
                <w:color w:val="auto"/>
              </w:rPr>
              <w:t>Balance at December 31, 2021</w:t>
            </w:r>
          </w:p>
        </w:tc>
        <w:tc>
          <w:tcPr>
            <w:tcW w:w="120" w:type="dxa"/>
            <w:vAlign w:val="bottom"/>
            <w:tcBorders>
              <w:top w:val="single" w:sz="8" w:color="auto"/>
              <w:bottom w:val="single" w:sz="8" w:color="B6D2E2"/>
            </w:tcBorders>
            <w:shd w:val="clear" w:color="auto" w:fill="B6D2E2"/>
          </w:tcPr>
          <w:p>
            <w:pPr>
              <w:spacing w:after="0"/>
              <w:rPr>
                <w:sz w:val="15"/>
                <w:szCs w:val="15"/>
                <w:color w:val="auto"/>
              </w:rPr>
            </w:pPr>
          </w:p>
        </w:tc>
        <w:tc>
          <w:tcPr>
            <w:tcW w:w="560" w:type="dxa"/>
            <w:vAlign w:val="bottom"/>
            <w:tcBorders>
              <w:top w:val="single" w:sz="8" w:color="auto"/>
              <w:bottom w:val="single" w:sz="8" w:color="B6D2E2"/>
            </w:tcBorders>
            <w:shd w:val="clear" w:color="auto" w:fill="B6D2E2"/>
          </w:tcPr>
          <w:p>
            <w:pPr>
              <w:jc w:val="right"/>
              <w:spacing w:after="0" w:line="164" w:lineRule="exact"/>
              <w:rPr>
                <w:sz w:val="20"/>
                <w:szCs w:val="20"/>
                <w:color w:val="auto"/>
              </w:rPr>
            </w:pPr>
            <w:r>
              <w:rPr>
                <w:rFonts w:ascii="Calibri" w:cs="Calibri" w:eastAsia="Calibri" w:hAnsi="Calibri"/>
                <w:sz w:val="14"/>
                <w:szCs w:val="14"/>
                <w:color w:val="auto"/>
              </w:rPr>
              <w:t>62.4</w:t>
            </w:r>
          </w:p>
        </w:tc>
        <w:tc>
          <w:tcPr>
            <w:tcW w:w="120" w:type="dxa"/>
            <w:vAlign w:val="bottom"/>
            <w:tcBorders>
              <w:top w:val="single" w:sz="8" w:color="auto"/>
              <w:bottom w:val="single" w:sz="8" w:color="B6D2E2"/>
              <w:right w:val="single" w:sz="8" w:color="007CBA"/>
            </w:tcBorders>
            <w:shd w:val="clear" w:color="auto" w:fill="B6D2E2"/>
          </w:tcPr>
          <w:p>
            <w:pPr>
              <w:spacing w:after="0"/>
              <w:rPr>
                <w:sz w:val="15"/>
                <w:szCs w:val="15"/>
                <w:color w:val="auto"/>
              </w:rPr>
            </w:pPr>
          </w:p>
        </w:tc>
        <w:tc>
          <w:tcPr>
            <w:tcW w:w="220" w:type="dxa"/>
            <w:vAlign w:val="bottom"/>
            <w:tcBorders>
              <w:top w:val="single" w:sz="8" w:color="auto"/>
              <w:bottom w:val="single" w:sz="8" w:color="B6D2E2"/>
            </w:tcBorders>
            <w:shd w:val="clear" w:color="auto" w:fill="B6D2E2"/>
          </w:tcPr>
          <w:p>
            <w:pPr>
              <w:spacing w:after="0"/>
              <w:rPr>
                <w:sz w:val="15"/>
                <w:szCs w:val="15"/>
                <w:color w:val="auto"/>
              </w:rPr>
            </w:pPr>
          </w:p>
        </w:tc>
        <w:tc>
          <w:tcPr>
            <w:tcW w:w="700" w:type="dxa"/>
            <w:vAlign w:val="bottom"/>
            <w:tcBorders>
              <w:top w:val="single" w:sz="8" w:color="auto"/>
              <w:bottom w:val="single" w:sz="8" w:color="B6D2E2"/>
            </w:tcBorders>
            <w:shd w:val="clear" w:color="auto" w:fill="B6D2E2"/>
          </w:tcPr>
          <w:p>
            <w:pPr>
              <w:jc w:val="right"/>
              <w:spacing w:after="0" w:line="164" w:lineRule="exact"/>
              <w:rPr>
                <w:sz w:val="20"/>
                <w:szCs w:val="20"/>
                <w:color w:val="auto"/>
              </w:rPr>
            </w:pPr>
            <w:r>
              <w:rPr>
                <w:rFonts w:ascii="Calibri" w:cs="Calibri" w:eastAsia="Calibri" w:hAnsi="Calibri"/>
                <w:sz w:val="14"/>
                <w:szCs w:val="14"/>
                <w:color w:val="auto"/>
              </w:rPr>
              <w:t>0.6</w:t>
            </w:r>
          </w:p>
        </w:tc>
        <w:tc>
          <w:tcPr>
            <w:tcW w:w="140" w:type="dxa"/>
            <w:vAlign w:val="bottom"/>
            <w:tcBorders>
              <w:top w:val="single" w:sz="8" w:color="auto"/>
              <w:bottom w:val="single" w:sz="8" w:color="B6D2E2"/>
              <w:right w:val="single" w:sz="8" w:color="007CBA"/>
            </w:tcBorders>
            <w:shd w:val="clear" w:color="auto" w:fill="B6D2E2"/>
          </w:tcPr>
          <w:p>
            <w:pPr>
              <w:spacing w:after="0"/>
              <w:rPr>
                <w:sz w:val="15"/>
                <w:szCs w:val="15"/>
                <w:color w:val="auto"/>
              </w:rPr>
            </w:pPr>
          </w:p>
        </w:tc>
        <w:tc>
          <w:tcPr>
            <w:tcW w:w="200" w:type="dxa"/>
            <w:vAlign w:val="bottom"/>
            <w:tcBorders>
              <w:top w:val="single" w:sz="8" w:color="auto"/>
              <w:bottom w:val="single" w:sz="8" w:color="B6D2E2"/>
            </w:tcBorders>
            <w:shd w:val="clear" w:color="auto" w:fill="B6D2E2"/>
          </w:tcPr>
          <w:p>
            <w:pPr>
              <w:spacing w:after="0"/>
              <w:rPr>
                <w:sz w:val="15"/>
                <w:szCs w:val="15"/>
                <w:color w:val="auto"/>
              </w:rPr>
            </w:pPr>
          </w:p>
        </w:tc>
        <w:tc>
          <w:tcPr>
            <w:tcW w:w="40" w:type="dxa"/>
            <w:vAlign w:val="bottom"/>
            <w:tcBorders>
              <w:top w:val="single" w:sz="8" w:color="auto"/>
              <w:bottom w:val="single" w:sz="8" w:color="B6D2E2"/>
            </w:tcBorders>
            <w:shd w:val="clear" w:color="auto" w:fill="B6D2E2"/>
          </w:tcPr>
          <w:p>
            <w:pPr>
              <w:spacing w:after="0"/>
              <w:rPr>
                <w:sz w:val="15"/>
                <w:szCs w:val="15"/>
                <w:color w:val="auto"/>
              </w:rPr>
            </w:pPr>
          </w:p>
        </w:tc>
        <w:tc>
          <w:tcPr>
            <w:tcW w:w="700" w:type="dxa"/>
            <w:vAlign w:val="bottom"/>
            <w:tcBorders>
              <w:top w:val="single" w:sz="8" w:color="auto"/>
              <w:bottom w:val="single" w:sz="8" w:color="B6D2E2"/>
            </w:tcBorders>
            <w:shd w:val="clear" w:color="auto" w:fill="B6D2E2"/>
          </w:tcPr>
          <w:p>
            <w:pPr>
              <w:jc w:val="right"/>
              <w:spacing w:after="0" w:line="164" w:lineRule="exact"/>
              <w:rPr>
                <w:sz w:val="20"/>
                <w:szCs w:val="20"/>
                <w:color w:val="auto"/>
              </w:rPr>
            </w:pPr>
            <w:r>
              <w:rPr>
                <w:rFonts w:ascii="Calibri" w:cs="Calibri" w:eastAsia="Calibri" w:hAnsi="Calibri"/>
                <w:sz w:val="14"/>
                <w:szCs w:val="14"/>
                <w:color w:val="auto"/>
              </w:rPr>
              <w:t>3,470.4</w:t>
            </w:r>
          </w:p>
        </w:tc>
        <w:tc>
          <w:tcPr>
            <w:tcW w:w="120" w:type="dxa"/>
            <w:vAlign w:val="bottom"/>
            <w:tcBorders>
              <w:top w:val="single" w:sz="8" w:color="auto"/>
              <w:bottom w:val="single" w:sz="8" w:color="B6D2E2"/>
              <w:right w:val="single" w:sz="8" w:color="007CBA"/>
            </w:tcBorders>
            <w:shd w:val="clear" w:color="auto" w:fill="B6D2E2"/>
          </w:tcPr>
          <w:p>
            <w:pPr>
              <w:spacing w:after="0"/>
              <w:rPr>
                <w:sz w:val="15"/>
                <w:szCs w:val="15"/>
                <w:color w:val="auto"/>
              </w:rPr>
            </w:pPr>
          </w:p>
        </w:tc>
        <w:tc>
          <w:tcPr>
            <w:tcW w:w="240" w:type="dxa"/>
            <w:vAlign w:val="bottom"/>
            <w:tcBorders>
              <w:top w:val="single" w:sz="8" w:color="auto"/>
              <w:bottom w:val="single" w:sz="8" w:color="B6D2E2"/>
            </w:tcBorders>
            <w:shd w:val="clear" w:color="auto" w:fill="B6D2E2"/>
          </w:tcPr>
          <w:p>
            <w:pPr>
              <w:spacing w:after="0"/>
              <w:rPr>
                <w:sz w:val="15"/>
                <w:szCs w:val="15"/>
                <w:color w:val="auto"/>
              </w:rPr>
            </w:pPr>
          </w:p>
        </w:tc>
        <w:tc>
          <w:tcPr>
            <w:tcW w:w="840" w:type="dxa"/>
            <w:vAlign w:val="bottom"/>
            <w:tcBorders>
              <w:top w:val="single" w:sz="8" w:color="auto"/>
              <w:bottom w:val="single" w:sz="8" w:color="B6D2E2"/>
            </w:tcBorders>
            <w:shd w:val="clear" w:color="auto" w:fill="B6D2E2"/>
          </w:tcPr>
          <w:p>
            <w:pPr>
              <w:jc w:val="right"/>
              <w:spacing w:after="0" w:line="164" w:lineRule="exact"/>
              <w:rPr>
                <w:sz w:val="20"/>
                <w:szCs w:val="20"/>
                <w:color w:val="auto"/>
              </w:rPr>
            </w:pPr>
            <w:r>
              <w:rPr>
                <w:rFonts w:ascii="Calibri" w:cs="Calibri" w:eastAsia="Calibri" w:hAnsi="Calibri"/>
                <w:sz w:val="14"/>
                <w:szCs w:val="14"/>
                <w:color w:val="auto"/>
              </w:rPr>
              <w:t>(97.6</w:t>
            </w:r>
          </w:p>
        </w:tc>
        <w:tc>
          <w:tcPr>
            <w:tcW w:w="100" w:type="dxa"/>
            <w:vAlign w:val="bottom"/>
            <w:tcBorders>
              <w:top w:val="single" w:sz="8" w:color="auto"/>
              <w:bottom w:val="single" w:sz="8" w:color="B6D2E2"/>
              <w:right w:val="single" w:sz="8" w:color="007CBA"/>
            </w:tcBorders>
            <w:shd w:val="clear" w:color="auto" w:fill="B6D2E2"/>
          </w:tcPr>
          <w:p>
            <w:pPr>
              <w:jc w:val="right"/>
              <w:spacing w:after="0" w:line="164" w:lineRule="exact"/>
              <w:rPr>
                <w:sz w:val="20"/>
                <w:szCs w:val="20"/>
                <w:color w:val="auto"/>
              </w:rPr>
            </w:pPr>
            <w:r>
              <w:rPr>
                <w:rFonts w:ascii="Calibri" w:cs="Calibri" w:eastAsia="Calibri" w:hAnsi="Calibri"/>
                <w:sz w:val="14"/>
                <w:szCs w:val="14"/>
                <w:color w:val="auto"/>
                <w:w w:val="93"/>
              </w:rPr>
              <w:t>)</w:t>
            </w:r>
          </w:p>
        </w:tc>
        <w:tc>
          <w:tcPr>
            <w:tcW w:w="220" w:type="dxa"/>
            <w:vAlign w:val="bottom"/>
            <w:tcBorders>
              <w:top w:val="single" w:sz="8" w:color="auto"/>
              <w:bottom w:val="single" w:sz="8" w:color="B6D2E2"/>
            </w:tcBorders>
            <w:shd w:val="clear" w:color="auto" w:fill="B6D2E2"/>
          </w:tcPr>
          <w:p>
            <w:pPr>
              <w:spacing w:after="0"/>
              <w:rPr>
                <w:sz w:val="15"/>
                <w:szCs w:val="15"/>
                <w:color w:val="auto"/>
              </w:rPr>
            </w:pPr>
          </w:p>
        </w:tc>
        <w:tc>
          <w:tcPr>
            <w:tcW w:w="680" w:type="dxa"/>
            <w:vAlign w:val="bottom"/>
            <w:tcBorders>
              <w:top w:val="single" w:sz="8" w:color="auto"/>
              <w:bottom w:val="single" w:sz="8" w:color="B6D2E2"/>
            </w:tcBorders>
            <w:shd w:val="clear" w:color="auto" w:fill="B6D2E2"/>
          </w:tcPr>
          <w:p>
            <w:pPr>
              <w:jc w:val="right"/>
              <w:spacing w:after="0" w:line="164" w:lineRule="exact"/>
              <w:rPr>
                <w:sz w:val="20"/>
                <w:szCs w:val="20"/>
                <w:color w:val="auto"/>
              </w:rPr>
            </w:pPr>
            <w:r>
              <w:rPr>
                <w:rFonts w:ascii="Calibri" w:cs="Calibri" w:eastAsia="Calibri" w:hAnsi="Calibri"/>
                <w:sz w:val="14"/>
                <w:szCs w:val="14"/>
                <w:color w:val="auto"/>
              </w:rPr>
              <w:t>3,161.9</w:t>
            </w:r>
          </w:p>
        </w:tc>
        <w:tc>
          <w:tcPr>
            <w:tcW w:w="120" w:type="dxa"/>
            <w:vAlign w:val="bottom"/>
            <w:tcBorders>
              <w:top w:val="single" w:sz="8" w:color="auto"/>
              <w:bottom w:val="single" w:sz="8" w:color="B6D2E2"/>
              <w:right w:val="single" w:sz="8" w:color="007CBA"/>
            </w:tcBorders>
            <w:shd w:val="clear" w:color="auto" w:fill="B6D2E2"/>
          </w:tcPr>
          <w:p>
            <w:pPr>
              <w:spacing w:after="0"/>
              <w:rPr>
                <w:sz w:val="15"/>
                <w:szCs w:val="15"/>
                <w:color w:val="auto"/>
              </w:rPr>
            </w:pPr>
          </w:p>
        </w:tc>
        <w:tc>
          <w:tcPr>
            <w:tcW w:w="220" w:type="dxa"/>
            <w:vAlign w:val="bottom"/>
            <w:tcBorders>
              <w:top w:val="single" w:sz="8" w:color="auto"/>
              <w:bottom w:val="single" w:sz="8" w:color="B6D2E2"/>
            </w:tcBorders>
            <w:shd w:val="clear" w:color="auto" w:fill="B6D2E2"/>
          </w:tcPr>
          <w:p>
            <w:pPr>
              <w:spacing w:after="0"/>
              <w:rPr>
                <w:sz w:val="15"/>
                <w:szCs w:val="15"/>
                <w:color w:val="auto"/>
              </w:rPr>
            </w:pPr>
          </w:p>
        </w:tc>
        <w:tc>
          <w:tcPr>
            <w:tcW w:w="680" w:type="dxa"/>
            <w:vAlign w:val="bottom"/>
            <w:tcBorders>
              <w:top w:val="single" w:sz="8" w:color="auto"/>
              <w:bottom w:val="single" w:sz="8" w:color="B6D2E2"/>
            </w:tcBorders>
            <w:shd w:val="clear" w:color="auto" w:fill="B6D2E2"/>
          </w:tcPr>
          <w:p>
            <w:pPr>
              <w:jc w:val="right"/>
              <w:spacing w:after="0" w:line="164" w:lineRule="exact"/>
              <w:rPr>
                <w:sz w:val="20"/>
                <w:szCs w:val="20"/>
                <w:color w:val="auto"/>
              </w:rPr>
            </w:pPr>
            <w:r>
              <w:rPr>
                <w:rFonts w:ascii="Calibri" w:cs="Calibri" w:eastAsia="Calibri" w:hAnsi="Calibri"/>
                <w:sz w:val="14"/>
                <w:szCs w:val="14"/>
                <w:color w:val="auto"/>
              </w:rPr>
              <w:t>6,535.3</w:t>
            </w:r>
          </w:p>
        </w:tc>
        <w:tc>
          <w:tcPr>
            <w:tcW w:w="120" w:type="dxa"/>
            <w:vAlign w:val="bottom"/>
            <w:tcBorders>
              <w:top w:val="single" w:sz="8" w:color="auto"/>
              <w:bottom w:val="single" w:sz="8" w:color="B6D2E2"/>
              <w:right w:val="single" w:sz="8" w:color="007CBA"/>
            </w:tcBorders>
            <w:shd w:val="clear" w:color="auto" w:fill="B6D2E2"/>
          </w:tcPr>
          <w:p>
            <w:pPr>
              <w:spacing w:after="0"/>
              <w:rPr>
                <w:sz w:val="15"/>
                <w:szCs w:val="15"/>
                <w:color w:val="auto"/>
              </w:rPr>
            </w:pPr>
          </w:p>
        </w:tc>
        <w:tc>
          <w:tcPr>
            <w:tcW w:w="200" w:type="dxa"/>
            <w:vAlign w:val="bottom"/>
            <w:tcBorders>
              <w:top w:val="single" w:sz="8" w:color="auto"/>
              <w:bottom w:val="single" w:sz="8" w:color="B6D2E2"/>
            </w:tcBorders>
            <w:shd w:val="clear" w:color="auto" w:fill="B6D2E2"/>
          </w:tcPr>
          <w:p>
            <w:pPr>
              <w:spacing w:after="0"/>
              <w:rPr>
                <w:sz w:val="15"/>
                <w:szCs w:val="15"/>
                <w:color w:val="auto"/>
              </w:rPr>
            </w:pPr>
          </w:p>
        </w:tc>
        <w:tc>
          <w:tcPr>
            <w:tcW w:w="700" w:type="dxa"/>
            <w:vAlign w:val="bottom"/>
            <w:tcBorders>
              <w:top w:val="single" w:sz="8" w:color="auto"/>
              <w:bottom w:val="single" w:sz="8" w:color="B6D2E2"/>
            </w:tcBorders>
            <w:shd w:val="clear" w:color="auto" w:fill="B6D2E2"/>
          </w:tcPr>
          <w:p>
            <w:pPr>
              <w:jc w:val="right"/>
              <w:spacing w:after="0" w:line="164" w:lineRule="exact"/>
              <w:rPr>
                <w:sz w:val="20"/>
                <w:szCs w:val="20"/>
                <w:color w:val="auto"/>
              </w:rPr>
            </w:pPr>
            <w:r>
              <w:rPr>
                <w:rFonts w:ascii="Calibri" w:cs="Calibri" w:eastAsia="Calibri" w:hAnsi="Calibri"/>
                <w:sz w:val="14"/>
                <w:szCs w:val="14"/>
                <w:color w:val="auto"/>
              </w:rPr>
              <w:t>2.3</w:t>
            </w:r>
          </w:p>
        </w:tc>
        <w:tc>
          <w:tcPr>
            <w:tcW w:w="100" w:type="dxa"/>
            <w:vAlign w:val="bottom"/>
            <w:tcBorders>
              <w:top w:val="single" w:sz="8" w:color="auto"/>
              <w:bottom w:val="single" w:sz="8" w:color="B6D2E2"/>
              <w:right w:val="single" w:sz="8" w:color="007CBA"/>
            </w:tcBorders>
            <w:shd w:val="clear" w:color="auto" w:fill="B6D2E2"/>
          </w:tcPr>
          <w:p>
            <w:pPr>
              <w:spacing w:after="0"/>
              <w:rPr>
                <w:sz w:val="15"/>
                <w:szCs w:val="15"/>
                <w:color w:val="auto"/>
              </w:rPr>
            </w:pPr>
          </w:p>
        </w:tc>
        <w:tc>
          <w:tcPr>
            <w:tcW w:w="220" w:type="dxa"/>
            <w:vAlign w:val="bottom"/>
            <w:tcBorders>
              <w:top w:val="single" w:sz="8" w:color="auto"/>
              <w:bottom w:val="single" w:sz="8" w:color="B6D2E2"/>
            </w:tcBorders>
            <w:shd w:val="clear" w:color="auto" w:fill="B6D2E2"/>
          </w:tcPr>
          <w:p>
            <w:pPr>
              <w:spacing w:after="0"/>
              <w:rPr>
                <w:sz w:val="15"/>
                <w:szCs w:val="15"/>
                <w:color w:val="auto"/>
              </w:rPr>
            </w:pPr>
          </w:p>
        </w:tc>
        <w:tc>
          <w:tcPr>
            <w:tcW w:w="720" w:type="dxa"/>
            <w:vAlign w:val="bottom"/>
            <w:tcBorders>
              <w:top w:val="single" w:sz="8" w:color="auto"/>
              <w:bottom w:val="single" w:sz="8" w:color="B6D2E2"/>
            </w:tcBorders>
            <w:shd w:val="clear" w:color="auto" w:fill="B6D2E2"/>
          </w:tcPr>
          <w:p>
            <w:pPr>
              <w:jc w:val="right"/>
              <w:spacing w:after="0" w:line="164" w:lineRule="exact"/>
              <w:rPr>
                <w:sz w:val="20"/>
                <w:szCs w:val="20"/>
                <w:color w:val="auto"/>
              </w:rPr>
            </w:pPr>
            <w:r>
              <w:rPr>
                <w:rFonts w:ascii="Calibri" w:cs="Calibri" w:eastAsia="Calibri" w:hAnsi="Calibri"/>
                <w:sz w:val="14"/>
                <w:szCs w:val="14"/>
                <w:color w:val="auto"/>
              </w:rPr>
              <w:t>6,537.6</w:t>
            </w:r>
          </w:p>
        </w:tc>
        <w:tc>
          <w:tcPr>
            <w:tcW w:w="100" w:type="dxa"/>
            <w:vAlign w:val="bottom"/>
            <w:tcBorders>
              <w:top w:val="single" w:sz="8" w:color="auto"/>
              <w:bottom w:val="single" w:sz="8" w:color="B6D2E2"/>
              <w:right w:val="single" w:sz="8" w:color="007CBA"/>
            </w:tcBorders>
            <w:shd w:val="clear" w:color="auto" w:fill="B6D2E2"/>
          </w:tcPr>
          <w:p>
            <w:pPr>
              <w:spacing w:after="0"/>
              <w:rPr>
                <w:sz w:val="15"/>
                <w:szCs w:val="15"/>
                <w:color w:val="auto"/>
              </w:rPr>
            </w:pPr>
          </w:p>
        </w:tc>
      </w:tr>
      <w:tr>
        <w:trPr>
          <w:trHeight w:val="170"/>
        </w:trPr>
        <w:tc>
          <w:tcPr>
            <w:tcW w:w="3060" w:type="dxa"/>
            <w:vAlign w:val="bottom"/>
            <w:tcBorders>
              <w:right w:val="single" w:sz="8" w:color="007CBA"/>
            </w:tcBorders>
          </w:tcPr>
          <w:p>
            <w:pPr>
              <w:ind w:left="160"/>
              <w:spacing w:after="0" w:line="169" w:lineRule="exact"/>
              <w:rPr>
                <w:sz w:val="20"/>
                <w:szCs w:val="20"/>
                <w:color w:val="auto"/>
              </w:rPr>
            </w:pPr>
            <w:r>
              <w:rPr>
                <w:rFonts w:ascii="Calibri" w:cs="Calibri" w:eastAsia="Calibri" w:hAnsi="Calibri"/>
                <w:sz w:val="14"/>
                <w:szCs w:val="14"/>
                <w:b w:val="1"/>
                <w:bCs w:val="1"/>
                <w:color w:val="auto"/>
              </w:rPr>
              <w:t>Consolidated net earnings</w:t>
            </w:r>
          </w:p>
        </w:tc>
        <w:tc>
          <w:tcPr>
            <w:tcW w:w="120" w:type="dxa"/>
            <w:vAlign w:val="bottom"/>
            <w:shd w:val="clear" w:color="auto" w:fill="B6D2E2"/>
          </w:tcPr>
          <w:p>
            <w:pPr>
              <w:spacing w:after="0"/>
              <w:rPr>
                <w:sz w:val="14"/>
                <w:szCs w:val="14"/>
                <w:color w:val="auto"/>
              </w:rPr>
            </w:pPr>
          </w:p>
        </w:tc>
        <w:tc>
          <w:tcPr>
            <w:tcW w:w="56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right w:val="single" w:sz="8" w:color="007CBA"/>
            </w:tcBorders>
            <w:shd w:val="clear" w:color="auto" w:fill="B6D2E2"/>
          </w:tcPr>
          <w:p>
            <w:pPr>
              <w:spacing w:after="0"/>
              <w:rPr>
                <w:sz w:val="14"/>
                <w:szCs w:val="14"/>
                <w:color w:val="auto"/>
              </w:rPr>
            </w:pPr>
          </w:p>
        </w:tc>
        <w:tc>
          <w:tcPr>
            <w:tcW w:w="220" w:type="dxa"/>
            <w:vAlign w:val="bottom"/>
            <w:shd w:val="clear" w:color="auto" w:fill="B6D2E2"/>
          </w:tcPr>
          <w:p>
            <w:pPr>
              <w:spacing w:after="0"/>
              <w:rPr>
                <w:sz w:val="14"/>
                <w:szCs w:val="14"/>
                <w:color w:val="auto"/>
              </w:rPr>
            </w:pPr>
          </w:p>
        </w:tc>
        <w:tc>
          <w:tcPr>
            <w:tcW w:w="840" w:type="dxa"/>
            <w:vAlign w:val="bottom"/>
            <w:tcBorders>
              <w:right w:val="single" w:sz="8" w:color="007CBA"/>
            </w:tcBorders>
            <w:gridSpan w:val="2"/>
            <w:shd w:val="clear" w:color="auto" w:fill="B6D2E2"/>
          </w:tcPr>
          <w:p>
            <w:pPr>
              <w:jc w:val="right"/>
              <w:ind w:right="140"/>
              <w:spacing w:after="0" w:line="169" w:lineRule="exact"/>
              <w:rPr>
                <w:sz w:val="20"/>
                <w:szCs w:val="20"/>
                <w:color w:val="auto"/>
              </w:rPr>
            </w:pPr>
            <w:r>
              <w:rPr>
                <w:rFonts w:ascii="Calibri" w:cs="Calibri" w:eastAsia="Calibri" w:hAnsi="Calibri"/>
                <w:sz w:val="14"/>
                <w:szCs w:val="14"/>
                <w:b w:val="1"/>
                <w:bCs w:val="1"/>
                <w:color w:val="auto"/>
              </w:rPr>
              <w:t>—</w:t>
            </w:r>
          </w:p>
        </w:tc>
        <w:tc>
          <w:tcPr>
            <w:tcW w:w="200" w:type="dxa"/>
            <w:vAlign w:val="bottom"/>
            <w:shd w:val="clear" w:color="auto" w:fill="B6D2E2"/>
          </w:tcPr>
          <w:p>
            <w:pPr>
              <w:spacing w:after="0"/>
              <w:rPr>
                <w:sz w:val="14"/>
                <w:szCs w:val="14"/>
                <w:color w:val="auto"/>
              </w:rPr>
            </w:pPr>
          </w:p>
        </w:tc>
        <w:tc>
          <w:tcPr>
            <w:tcW w:w="40" w:type="dxa"/>
            <w:vAlign w:val="bottom"/>
            <w:shd w:val="clear" w:color="auto" w:fill="B6D2E2"/>
          </w:tcPr>
          <w:p>
            <w:pPr>
              <w:spacing w:after="0"/>
              <w:rPr>
                <w:sz w:val="14"/>
                <w:szCs w:val="14"/>
                <w:color w:val="auto"/>
              </w:rPr>
            </w:pPr>
          </w:p>
        </w:tc>
        <w:tc>
          <w:tcPr>
            <w:tcW w:w="820" w:type="dxa"/>
            <w:vAlign w:val="bottom"/>
            <w:tcBorders>
              <w:right w:val="single" w:sz="8" w:color="007CBA"/>
            </w:tcBorders>
            <w:gridSpan w:val="2"/>
            <w:shd w:val="clear" w:color="auto" w:fill="B6D2E2"/>
          </w:tcPr>
          <w:p>
            <w:pPr>
              <w:jc w:val="right"/>
              <w:ind w:right="68"/>
              <w:spacing w:after="0" w:line="169" w:lineRule="exact"/>
              <w:rPr>
                <w:sz w:val="20"/>
                <w:szCs w:val="20"/>
                <w:color w:val="auto"/>
              </w:rPr>
            </w:pPr>
            <w:r>
              <w:rPr>
                <w:rFonts w:ascii="Calibri" w:cs="Calibri" w:eastAsia="Calibri" w:hAnsi="Calibri"/>
                <w:sz w:val="14"/>
                <w:szCs w:val="14"/>
                <w:b w:val="1"/>
                <w:bCs w:val="1"/>
                <w:color w:val="auto"/>
              </w:rPr>
              <w:t>—</w:t>
            </w:r>
          </w:p>
        </w:tc>
        <w:tc>
          <w:tcPr>
            <w:tcW w:w="240" w:type="dxa"/>
            <w:vAlign w:val="bottom"/>
            <w:shd w:val="clear" w:color="auto" w:fill="B6D2E2"/>
          </w:tcPr>
          <w:p>
            <w:pPr>
              <w:spacing w:after="0"/>
              <w:rPr>
                <w:sz w:val="14"/>
                <w:szCs w:val="14"/>
                <w:color w:val="auto"/>
              </w:rPr>
            </w:pPr>
          </w:p>
        </w:tc>
        <w:tc>
          <w:tcPr>
            <w:tcW w:w="940" w:type="dxa"/>
            <w:vAlign w:val="bottom"/>
            <w:tcBorders>
              <w:right w:val="single" w:sz="8" w:color="007CBA"/>
            </w:tcBorders>
            <w:gridSpan w:val="2"/>
            <w:shd w:val="clear" w:color="auto" w:fill="B6D2E2"/>
          </w:tcPr>
          <w:p>
            <w:pPr>
              <w:jc w:val="right"/>
              <w:ind w:right="48"/>
              <w:spacing w:after="0" w:line="169" w:lineRule="exact"/>
              <w:rPr>
                <w:sz w:val="20"/>
                <w:szCs w:val="20"/>
                <w:color w:val="auto"/>
              </w:rPr>
            </w:pPr>
            <w:r>
              <w:rPr>
                <w:rFonts w:ascii="Calibri" w:cs="Calibri" w:eastAsia="Calibri" w:hAnsi="Calibri"/>
                <w:sz w:val="14"/>
                <w:szCs w:val="14"/>
                <w:b w:val="1"/>
                <w:bCs w:val="1"/>
                <w:color w:val="auto"/>
              </w:rPr>
              <w:t>—</w:t>
            </w:r>
          </w:p>
        </w:tc>
        <w:tc>
          <w:tcPr>
            <w:tcW w:w="220" w:type="dxa"/>
            <w:vAlign w:val="bottom"/>
            <w:shd w:val="clear" w:color="auto" w:fill="B6D2E2"/>
          </w:tcPr>
          <w:p>
            <w:pPr>
              <w:spacing w:after="0"/>
              <w:rPr>
                <w:sz w:val="14"/>
                <w:szCs w:val="14"/>
                <w:color w:val="auto"/>
              </w:rPr>
            </w:pPr>
          </w:p>
        </w:tc>
        <w:tc>
          <w:tcPr>
            <w:tcW w:w="680" w:type="dxa"/>
            <w:vAlign w:val="bottom"/>
            <w:shd w:val="clear" w:color="auto" w:fill="B6D2E2"/>
          </w:tcPr>
          <w:p>
            <w:pPr>
              <w:jc w:val="right"/>
              <w:spacing w:after="0" w:line="169" w:lineRule="exact"/>
              <w:rPr>
                <w:sz w:val="20"/>
                <w:szCs w:val="20"/>
                <w:color w:val="auto"/>
              </w:rPr>
            </w:pPr>
            <w:r>
              <w:rPr>
                <w:rFonts w:ascii="Calibri" w:cs="Calibri" w:eastAsia="Calibri" w:hAnsi="Calibri"/>
                <w:sz w:val="14"/>
                <w:szCs w:val="14"/>
                <w:b w:val="1"/>
                <w:bCs w:val="1"/>
                <w:color w:val="auto"/>
              </w:rPr>
              <w:t>866.8</w:t>
            </w:r>
          </w:p>
        </w:tc>
        <w:tc>
          <w:tcPr>
            <w:tcW w:w="120" w:type="dxa"/>
            <w:vAlign w:val="bottom"/>
            <w:tcBorders>
              <w:right w:val="single" w:sz="8" w:color="007CBA"/>
            </w:tcBorders>
            <w:shd w:val="clear" w:color="auto" w:fill="B6D2E2"/>
          </w:tcPr>
          <w:p>
            <w:pPr>
              <w:spacing w:after="0"/>
              <w:rPr>
                <w:sz w:val="14"/>
                <w:szCs w:val="14"/>
                <w:color w:val="auto"/>
              </w:rPr>
            </w:pPr>
          </w:p>
        </w:tc>
        <w:tc>
          <w:tcPr>
            <w:tcW w:w="220" w:type="dxa"/>
            <w:vAlign w:val="bottom"/>
            <w:shd w:val="clear" w:color="auto" w:fill="B6D2E2"/>
          </w:tcPr>
          <w:p>
            <w:pPr>
              <w:spacing w:after="0"/>
              <w:rPr>
                <w:sz w:val="14"/>
                <w:szCs w:val="14"/>
                <w:color w:val="auto"/>
              </w:rPr>
            </w:pPr>
          </w:p>
        </w:tc>
        <w:tc>
          <w:tcPr>
            <w:tcW w:w="680" w:type="dxa"/>
            <w:vAlign w:val="bottom"/>
            <w:shd w:val="clear" w:color="auto" w:fill="B6D2E2"/>
          </w:tcPr>
          <w:p>
            <w:pPr>
              <w:jc w:val="right"/>
              <w:spacing w:after="0" w:line="169" w:lineRule="exact"/>
              <w:rPr>
                <w:sz w:val="20"/>
                <w:szCs w:val="20"/>
                <w:color w:val="auto"/>
              </w:rPr>
            </w:pPr>
            <w:r>
              <w:rPr>
                <w:rFonts w:ascii="Calibri" w:cs="Calibri" w:eastAsia="Calibri" w:hAnsi="Calibri"/>
                <w:sz w:val="14"/>
                <w:szCs w:val="14"/>
                <w:b w:val="1"/>
                <w:bCs w:val="1"/>
                <w:color w:val="auto"/>
              </w:rPr>
              <w:t>866.8</w:t>
            </w:r>
          </w:p>
        </w:tc>
        <w:tc>
          <w:tcPr>
            <w:tcW w:w="120" w:type="dxa"/>
            <w:vAlign w:val="bottom"/>
            <w:tcBorders>
              <w:right w:val="single" w:sz="8" w:color="007CBA"/>
            </w:tcBorders>
            <w:shd w:val="clear" w:color="auto" w:fill="B6D2E2"/>
          </w:tcPr>
          <w:p>
            <w:pPr>
              <w:spacing w:after="0"/>
              <w:rPr>
                <w:sz w:val="14"/>
                <w:szCs w:val="14"/>
                <w:color w:val="auto"/>
              </w:rPr>
            </w:pPr>
          </w:p>
        </w:tc>
        <w:tc>
          <w:tcPr>
            <w:tcW w:w="200" w:type="dxa"/>
            <w:vAlign w:val="bottom"/>
            <w:shd w:val="clear" w:color="auto" w:fill="B6D2E2"/>
          </w:tcPr>
          <w:p>
            <w:pPr>
              <w:spacing w:after="0"/>
              <w:rPr>
                <w:sz w:val="14"/>
                <w:szCs w:val="14"/>
                <w:color w:val="auto"/>
              </w:rPr>
            </w:pPr>
          </w:p>
        </w:tc>
        <w:tc>
          <w:tcPr>
            <w:tcW w:w="800" w:type="dxa"/>
            <w:vAlign w:val="bottom"/>
            <w:tcBorders>
              <w:right w:val="single" w:sz="8" w:color="007CBA"/>
            </w:tcBorders>
            <w:gridSpan w:val="2"/>
            <w:shd w:val="clear" w:color="auto" w:fill="B6D2E2"/>
          </w:tcPr>
          <w:p>
            <w:pPr>
              <w:jc w:val="right"/>
              <w:ind w:right="74"/>
              <w:spacing w:after="0" w:line="169" w:lineRule="exact"/>
              <w:rPr>
                <w:sz w:val="20"/>
                <w:szCs w:val="20"/>
                <w:color w:val="auto"/>
              </w:rPr>
            </w:pPr>
            <w:r>
              <w:rPr>
                <w:rFonts w:ascii="Calibri" w:cs="Calibri" w:eastAsia="Calibri" w:hAnsi="Calibri"/>
                <w:sz w:val="14"/>
                <w:szCs w:val="14"/>
                <w:b w:val="1"/>
                <w:bCs w:val="1"/>
                <w:color w:val="auto"/>
              </w:rPr>
              <w:t>—</w:t>
            </w:r>
          </w:p>
        </w:tc>
        <w:tc>
          <w:tcPr>
            <w:tcW w:w="220" w:type="dxa"/>
            <w:vAlign w:val="bottom"/>
            <w:shd w:val="clear" w:color="auto" w:fill="B6D2E2"/>
          </w:tcPr>
          <w:p>
            <w:pPr>
              <w:spacing w:after="0"/>
              <w:rPr>
                <w:sz w:val="14"/>
                <w:szCs w:val="14"/>
                <w:color w:val="auto"/>
              </w:rPr>
            </w:pPr>
          </w:p>
        </w:tc>
        <w:tc>
          <w:tcPr>
            <w:tcW w:w="720" w:type="dxa"/>
            <w:vAlign w:val="bottom"/>
            <w:shd w:val="clear" w:color="auto" w:fill="B6D2E2"/>
          </w:tcPr>
          <w:p>
            <w:pPr>
              <w:jc w:val="right"/>
              <w:spacing w:after="0" w:line="169" w:lineRule="exact"/>
              <w:rPr>
                <w:sz w:val="20"/>
                <w:szCs w:val="20"/>
                <w:color w:val="auto"/>
              </w:rPr>
            </w:pPr>
            <w:r>
              <w:rPr>
                <w:rFonts w:ascii="Calibri" w:cs="Calibri" w:eastAsia="Calibri" w:hAnsi="Calibri"/>
                <w:sz w:val="14"/>
                <w:szCs w:val="14"/>
                <w:b w:val="1"/>
                <w:bCs w:val="1"/>
                <w:color w:val="auto"/>
              </w:rPr>
              <w:t>866.8</w:t>
            </w:r>
          </w:p>
        </w:tc>
        <w:tc>
          <w:tcPr>
            <w:tcW w:w="100" w:type="dxa"/>
            <w:vAlign w:val="bottom"/>
            <w:tcBorders>
              <w:right w:val="single" w:sz="8" w:color="B6D2E2"/>
            </w:tcBorders>
            <w:shd w:val="clear" w:color="auto" w:fill="B6D2E2"/>
          </w:tcPr>
          <w:p>
            <w:pPr>
              <w:spacing w:after="0"/>
              <w:rPr>
                <w:sz w:val="14"/>
                <w:szCs w:val="14"/>
                <w:color w:val="auto"/>
              </w:rPr>
            </w:pPr>
          </w:p>
        </w:tc>
      </w:tr>
      <w:tr>
        <w:trPr>
          <w:trHeight w:val="202"/>
        </w:trPr>
        <w:tc>
          <w:tcPr>
            <w:tcW w:w="306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b w:val="1"/>
                <w:bCs w:val="1"/>
                <w:color w:val="auto"/>
              </w:rPr>
              <w:t>Other comprehensive earnings</w:t>
            </w:r>
          </w:p>
        </w:tc>
        <w:tc>
          <w:tcPr>
            <w:tcW w:w="120" w:type="dxa"/>
            <w:vAlign w:val="bottom"/>
            <w:shd w:val="clear" w:color="auto" w:fill="B6D2E2"/>
          </w:tcPr>
          <w:p>
            <w:pPr>
              <w:spacing w:after="0"/>
              <w:rPr>
                <w:sz w:val="17"/>
                <w:szCs w:val="17"/>
                <w:color w:val="auto"/>
              </w:rPr>
            </w:pPr>
          </w:p>
        </w:tc>
        <w:tc>
          <w:tcPr>
            <w:tcW w:w="56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right w:val="single" w:sz="8" w:color="007CBA"/>
            </w:tcBorders>
            <w:shd w:val="clear" w:color="auto" w:fill="B6D2E2"/>
          </w:tcPr>
          <w:p>
            <w:pPr>
              <w:spacing w:after="0"/>
              <w:rPr>
                <w:sz w:val="17"/>
                <w:szCs w:val="17"/>
                <w:color w:val="auto"/>
              </w:rPr>
            </w:pPr>
          </w:p>
        </w:tc>
        <w:tc>
          <w:tcPr>
            <w:tcW w:w="220" w:type="dxa"/>
            <w:vAlign w:val="bottom"/>
            <w:shd w:val="clear" w:color="auto" w:fill="B6D2E2"/>
          </w:tcPr>
          <w:p>
            <w:pPr>
              <w:spacing w:after="0"/>
              <w:rPr>
                <w:sz w:val="17"/>
                <w:szCs w:val="17"/>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40" w:type="dxa"/>
            <w:vAlign w:val="bottom"/>
            <w:tcBorders>
              <w:right w:val="single" w:sz="8" w:color="007CBA"/>
            </w:tcBorders>
            <w:shd w:val="clear" w:color="auto" w:fill="B6D2E2"/>
          </w:tcPr>
          <w:p>
            <w:pPr>
              <w:spacing w:after="0"/>
              <w:rPr>
                <w:sz w:val="17"/>
                <w:szCs w:val="17"/>
                <w:color w:val="auto"/>
              </w:rPr>
            </w:pPr>
          </w:p>
        </w:tc>
        <w:tc>
          <w:tcPr>
            <w:tcW w:w="200" w:type="dxa"/>
            <w:vAlign w:val="bottom"/>
            <w:shd w:val="clear" w:color="auto" w:fill="B6D2E2"/>
          </w:tcPr>
          <w:p>
            <w:pPr>
              <w:spacing w:after="0"/>
              <w:rPr>
                <w:sz w:val="17"/>
                <w:szCs w:val="17"/>
                <w:color w:val="auto"/>
              </w:rPr>
            </w:pPr>
          </w:p>
        </w:tc>
        <w:tc>
          <w:tcPr>
            <w:tcW w:w="40" w:type="dxa"/>
            <w:vAlign w:val="bottom"/>
            <w:shd w:val="clear" w:color="auto" w:fill="B6D2E2"/>
          </w:tcPr>
          <w:p>
            <w:pPr>
              <w:spacing w:after="0"/>
              <w:rPr>
                <w:sz w:val="17"/>
                <w:szCs w:val="17"/>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right w:val="single" w:sz="8" w:color="007CBA"/>
            </w:tcBorders>
            <w:shd w:val="clear" w:color="auto" w:fill="B6D2E2"/>
          </w:tcPr>
          <w:p>
            <w:pPr>
              <w:spacing w:after="0"/>
              <w:rPr>
                <w:sz w:val="17"/>
                <w:szCs w:val="17"/>
                <w:color w:val="auto"/>
              </w:rPr>
            </w:pPr>
          </w:p>
        </w:tc>
        <w:tc>
          <w:tcPr>
            <w:tcW w:w="240" w:type="dxa"/>
            <w:vAlign w:val="bottom"/>
            <w:shd w:val="clear" w:color="auto" w:fill="B6D2E2"/>
          </w:tcPr>
          <w:p>
            <w:pPr>
              <w:spacing w:after="0"/>
              <w:rPr>
                <w:sz w:val="17"/>
                <w:szCs w:val="17"/>
                <w:color w:val="auto"/>
              </w:rPr>
            </w:pPr>
          </w:p>
        </w:tc>
        <w:tc>
          <w:tcPr>
            <w:tcW w:w="84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59.1</w:t>
            </w:r>
          </w:p>
        </w:tc>
        <w:tc>
          <w:tcPr>
            <w:tcW w:w="100" w:type="dxa"/>
            <w:vAlign w:val="bottom"/>
            <w:tcBorders>
              <w:right w:val="single" w:sz="8" w:color="007CBA"/>
            </w:tcBorders>
            <w:shd w:val="clear" w:color="auto" w:fill="B6D2E2"/>
          </w:tcPr>
          <w:p>
            <w:pPr>
              <w:spacing w:after="0"/>
              <w:rPr>
                <w:sz w:val="17"/>
                <w:szCs w:val="17"/>
                <w:color w:val="auto"/>
              </w:rPr>
            </w:pPr>
          </w:p>
        </w:tc>
        <w:tc>
          <w:tcPr>
            <w:tcW w:w="220" w:type="dxa"/>
            <w:vAlign w:val="bottom"/>
            <w:shd w:val="clear" w:color="auto" w:fill="B6D2E2"/>
          </w:tcPr>
          <w:p>
            <w:pPr>
              <w:spacing w:after="0"/>
              <w:rPr>
                <w:sz w:val="17"/>
                <w:szCs w:val="17"/>
                <w:color w:val="auto"/>
              </w:rPr>
            </w:pPr>
          </w:p>
        </w:tc>
        <w:tc>
          <w:tcPr>
            <w:tcW w:w="68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right w:val="single" w:sz="8" w:color="007CBA"/>
            </w:tcBorders>
            <w:shd w:val="clear" w:color="auto" w:fill="B6D2E2"/>
          </w:tcPr>
          <w:p>
            <w:pPr>
              <w:spacing w:after="0"/>
              <w:rPr>
                <w:sz w:val="17"/>
                <w:szCs w:val="17"/>
                <w:color w:val="auto"/>
              </w:rPr>
            </w:pPr>
          </w:p>
        </w:tc>
        <w:tc>
          <w:tcPr>
            <w:tcW w:w="220" w:type="dxa"/>
            <w:vAlign w:val="bottom"/>
            <w:shd w:val="clear" w:color="auto" w:fill="B6D2E2"/>
          </w:tcPr>
          <w:p>
            <w:pPr>
              <w:spacing w:after="0"/>
              <w:rPr>
                <w:sz w:val="17"/>
                <w:szCs w:val="17"/>
                <w:color w:val="auto"/>
              </w:rPr>
            </w:pPr>
          </w:p>
        </w:tc>
        <w:tc>
          <w:tcPr>
            <w:tcW w:w="68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59.1</w:t>
            </w:r>
          </w:p>
        </w:tc>
        <w:tc>
          <w:tcPr>
            <w:tcW w:w="120" w:type="dxa"/>
            <w:vAlign w:val="bottom"/>
            <w:tcBorders>
              <w:right w:val="single" w:sz="8" w:color="007CBA"/>
            </w:tcBorders>
            <w:shd w:val="clear" w:color="auto" w:fill="B6D2E2"/>
          </w:tcPr>
          <w:p>
            <w:pPr>
              <w:spacing w:after="0"/>
              <w:rPr>
                <w:sz w:val="17"/>
                <w:szCs w:val="17"/>
                <w:color w:val="auto"/>
              </w:rPr>
            </w:pPr>
          </w:p>
        </w:tc>
        <w:tc>
          <w:tcPr>
            <w:tcW w:w="200" w:type="dxa"/>
            <w:vAlign w:val="bottom"/>
            <w:shd w:val="clear" w:color="auto" w:fill="B6D2E2"/>
          </w:tcPr>
          <w:p>
            <w:pPr>
              <w:spacing w:after="0"/>
              <w:rPr>
                <w:sz w:val="17"/>
                <w:szCs w:val="17"/>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00" w:type="dxa"/>
            <w:vAlign w:val="bottom"/>
            <w:tcBorders>
              <w:right w:val="single" w:sz="8" w:color="007CBA"/>
            </w:tcBorders>
            <w:shd w:val="clear" w:color="auto" w:fill="B6D2E2"/>
          </w:tcPr>
          <w:p>
            <w:pPr>
              <w:spacing w:after="0"/>
              <w:rPr>
                <w:sz w:val="17"/>
                <w:szCs w:val="17"/>
                <w:color w:val="auto"/>
              </w:rPr>
            </w:pPr>
          </w:p>
        </w:tc>
        <w:tc>
          <w:tcPr>
            <w:tcW w:w="220" w:type="dxa"/>
            <w:vAlign w:val="bottom"/>
            <w:shd w:val="clear" w:color="auto" w:fill="B6D2E2"/>
          </w:tcPr>
          <w:p>
            <w:pPr>
              <w:spacing w:after="0"/>
              <w:rPr>
                <w:sz w:val="17"/>
                <w:szCs w:val="17"/>
                <w:color w:val="auto"/>
              </w:rPr>
            </w:pPr>
          </w:p>
        </w:tc>
        <w:tc>
          <w:tcPr>
            <w:tcW w:w="72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59.1</w:t>
            </w:r>
          </w:p>
        </w:tc>
        <w:tc>
          <w:tcPr>
            <w:tcW w:w="100" w:type="dxa"/>
            <w:vAlign w:val="bottom"/>
            <w:tcBorders>
              <w:right w:val="single" w:sz="8" w:color="B6D2E2"/>
            </w:tcBorders>
            <w:shd w:val="clear" w:color="auto" w:fill="B6D2E2"/>
          </w:tcPr>
          <w:p>
            <w:pPr>
              <w:spacing w:after="0"/>
              <w:rPr>
                <w:sz w:val="17"/>
                <w:szCs w:val="17"/>
                <w:color w:val="auto"/>
              </w:rPr>
            </w:pPr>
          </w:p>
        </w:tc>
      </w:tr>
      <w:tr>
        <w:trPr>
          <w:trHeight w:val="203"/>
        </w:trPr>
        <w:tc>
          <w:tcPr>
            <w:tcW w:w="306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b w:val="1"/>
                <w:bCs w:val="1"/>
                <w:color w:val="auto"/>
              </w:rPr>
              <w:t>Dividends declared ($2.54 per common share)</w:t>
            </w:r>
          </w:p>
        </w:tc>
        <w:tc>
          <w:tcPr>
            <w:tcW w:w="120" w:type="dxa"/>
            <w:vAlign w:val="bottom"/>
            <w:shd w:val="clear" w:color="auto" w:fill="B6D2E2"/>
          </w:tcPr>
          <w:p>
            <w:pPr>
              <w:spacing w:after="0"/>
              <w:rPr>
                <w:sz w:val="17"/>
                <w:szCs w:val="17"/>
                <w:color w:val="auto"/>
              </w:rPr>
            </w:pPr>
          </w:p>
        </w:tc>
        <w:tc>
          <w:tcPr>
            <w:tcW w:w="56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right w:val="single" w:sz="8" w:color="007CBA"/>
            </w:tcBorders>
            <w:shd w:val="clear" w:color="auto" w:fill="B6D2E2"/>
          </w:tcPr>
          <w:p>
            <w:pPr>
              <w:spacing w:after="0"/>
              <w:rPr>
                <w:sz w:val="17"/>
                <w:szCs w:val="17"/>
                <w:color w:val="auto"/>
              </w:rPr>
            </w:pPr>
          </w:p>
        </w:tc>
        <w:tc>
          <w:tcPr>
            <w:tcW w:w="220" w:type="dxa"/>
            <w:vAlign w:val="bottom"/>
            <w:shd w:val="clear" w:color="auto" w:fill="B6D2E2"/>
          </w:tcPr>
          <w:p>
            <w:pPr>
              <w:spacing w:after="0"/>
              <w:rPr>
                <w:sz w:val="17"/>
                <w:szCs w:val="17"/>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40" w:type="dxa"/>
            <w:vAlign w:val="bottom"/>
            <w:tcBorders>
              <w:right w:val="single" w:sz="8" w:color="007CBA"/>
            </w:tcBorders>
            <w:shd w:val="clear" w:color="auto" w:fill="B6D2E2"/>
          </w:tcPr>
          <w:p>
            <w:pPr>
              <w:spacing w:after="0"/>
              <w:rPr>
                <w:sz w:val="17"/>
                <w:szCs w:val="17"/>
                <w:color w:val="auto"/>
              </w:rPr>
            </w:pPr>
          </w:p>
        </w:tc>
        <w:tc>
          <w:tcPr>
            <w:tcW w:w="200" w:type="dxa"/>
            <w:vAlign w:val="bottom"/>
            <w:shd w:val="clear" w:color="auto" w:fill="B6D2E2"/>
          </w:tcPr>
          <w:p>
            <w:pPr>
              <w:spacing w:after="0"/>
              <w:rPr>
                <w:sz w:val="17"/>
                <w:szCs w:val="17"/>
                <w:color w:val="auto"/>
              </w:rPr>
            </w:pPr>
          </w:p>
        </w:tc>
        <w:tc>
          <w:tcPr>
            <w:tcW w:w="40" w:type="dxa"/>
            <w:vAlign w:val="bottom"/>
            <w:shd w:val="clear" w:color="auto" w:fill="B6D2E2"/>
          </w:tcPr>
          <w:p>
            <w:pPr>
              <w:spacing w:after="0"/>
              <w:rPr>
                <w:sz w:val="17"/>
                <w:szCs w:val="17"/>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right w:val="single" w:sz="8" w:color="007CBA"/>
            </w:tcBorders>
            <w:shd w:val="clear" w:color="auto" w:fill="B6D2E2"/>
          </w:tcPr>
          <w:p>
            <w:pPr>
              <w:spacing w:after="0"/>
              <w:rPr>
                <w:sz w:val="17"/>
                <w:szCs w:val="17"/>
                <w:color w:val="auto"/>
              </w:rPr>
            </w:pPr>
          </w:p>
        </w:tc>
        <w:tc>
          <w:tcPr>
            <w:tcW w:w="240" w:type="dxa"/>
            <w:vAlign w:val="bottom"/>
            <w:shd w:val="clear" w:color="auto" w:fill="B6D2E2"/>
          </w:tcPr>
          <w:p>
            <w:pPr>
              <w:spacing w:after="0"/>
              <w:rPr>
                <w:sz w:val="17"/>
                <w:szCs w:val="17"/>
                <w:color w:val="auto"/>
              </w:rPr>
            </w:pPr>
          </w:p>
        </w:tc>
        <w:tc>
          <w:tcPr>
            <w:tcW w:w="84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00" w:type="dxa"/>
            <w:vAlign w:val="bottom"/>
            <w:tcBorders>
              <w:right w:val="single" w:sz="8" w:color="007CBA"/>
            </w:tcBorders>
            <w:shd w:val="clear" w:color="auto" w:fill="B6D2E2"/>
          </w:tcPr>
          <w:p>
            <w:pPr>
              <w:spacing w:after="0"/>
              <w:rPr>
                <w:sz w:val="17"/>
                <w:szCs w:val="17"/>
                <w:color w:val="auto"/>
              </w:rPr>
            </w:pPr>
          </w:p>
        </w:tc>
        <w:tc>
          <w:tcPr>
            <w:tcW w:w="220" w:type="dxa"/>
            <w:vAlign w:val="bottom"/>
            <w:shd w:val="clear" w:color="auto" w:fill="B6D2E2"/>
          </w:tcPr>
          <w:p>
            <w:pPr>
              <w:spacing w:after="0"/>
              <w:rPr>
                <w:sz w:val="17"/>
                <w:szCs w:val="17"/>
                <w:color w:val="auto"/>
              </w:rPr>
            </w:pPr>
          </w:p>
        </w:tc>
        <w:tc>
          <w:tcPr>
            <w:tcW w:w="68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(159.3</w:t>
            </w:r>
          </w:p>
        </w:tc>
        <w:tc>
          <w:tcPr>
            <w:tcW w:w="120" w:type="dxa"/>
            <w:vAlign w:val="bottom"/>
            <w:tcBorders>
              <w:right w:val="single" w:sz="8" w:color="007CBA"/>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w w:val="90"/>
              </w:rPr>
              <w:t>)</w:t>
            </w:r>
          </w:p>
        </w:tc>
        <w:tc>
          <w:tcPr>
            <w:tcW w:w="220" w:type="dxa"/>
            <w:vAlign w:val="bottom"/>
            <w:shd w:val="clear" w:color="auto" w:fill="B6D2E2"/>
          </w:tcPr>
          <w:p>
            <w:pPr>
              <w:spacing w:after="0"/>
              <w:rPr>
                <w:sz w:val="17"/>
                <w:szCs w:val="17"/>
                <w:color w:val="auto"/>
              </w:rPr>
            </w:pPr>
          </w:p>
        </w:tc>
        <w:tc>
          <w:tcPr>
            <w:tcW w:w="68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(159.3</w:t>
            </w:r>
          </w:p>
        </w:tc>
        <w:tc>
          <w:tcPr>
            <w:tcW w:w="120" w:type="dxa"/>
            <w:vAlign w:val="bottom"/>
            <w:tcBorders>
              <w:right w:val="single" w:sz="8" w:color="007CBA"/>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w w:val="90"/>
              </w:rPr>
              <w:t>)</w:t>
            </w:r>
          </w:p>
        </w:tc>
        <w:tc>
          <w:tcPr>
            <w:tcW w:w="200" w:type="dxa"/>
            <w:vAlign w:val="bottom"/>
            <w:shd w:val="clear" w:color="auto" w:fill="B6D2E2"/>
          </w:tcPr>
          <w:p>
            <w:pPr>
              <w:spacing w:after="0"/>
              <w:rPr>
                <w:sz w:val="17"/>
                <w:szCs w:val="17"/>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00" w:type="dxa"/>
            <w:vAlign w:val="bottom"/>
            <w:tcBorders>
              <w:right w:val="single" w:sz="8" w:color="007CBA"/>
            </w:tcBorders>
            <w:shd w:val="clear" w:color="auto" w:fill="B6D2E2"/>
          </w:tcPr>
          <w:p>
            <w:pPr>
              <w:spacing w:after="0"/>
              <w:rPr>
                <w:sz w:val="17"/>
                <w:szCs w:val="17"/>
                <w:color w:val="auto"/>
              </w:rPr>
            </w:pPr>
          </w:p>
        </w:tc>
        <w:tc>
          <w:tcPr>
            <w:tcW w:w="220" w:type="dxa"/>
            <w:vAlign w:val="bottom"/>
            <w:shd w:val="clear" w:color="auto" w:fill="B6D2E2"/>
          </w:tcPr>
          <w:p>
            <w:pPr>
              <w:spacing w:after="0"/>
              <w:rPr>
                <w:sz w:val="17"/>
                <w:szCs w:val="17"/>
                <w:color w:val="auto"/>
              </w:rPr>
            </w:pPr>
          </w:p>
        </w:tc>
        <w:tc>
          <w:tcPr>
            <w:tcW w:w="72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(159.3</w:t>
            </w:r>
          </w:p>
        </w:tc>
        <w:tc>
          <w:tcPr>
            <w:tcW w:w="100" w:type="dxa"/>
            <w:vAlign w:val="bottom"/>
            <w:tcBorders>
              <w:right w:val="single" w:sz="8" w:color="B6D2E2"/>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w w:val="90"/>
              </w:rPr>
              <w:t>)</w:t>
            </w:r>
          </w:p>
        </w:tc>
      </w:tr>
      <w:tr>
        <w:trPr>
          <w:trHeight w:val="203"/>
        </w:trPr>
        <w:tc>
          <w:tcPr>
            <w:tcW w:w="306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b w:val="1"/>
                <w:bCs w:val="1"/>
                <w:color w:val="auto"/>
              </w:rPr>
              <w:t>Issuances of common stock for stock award</w:t>
            </w:r>
          </w:p>
        </w:tc>
        <w:tc>
          <w:tcPr>
            <w:tcW w:w="120" w:type="dxa"/>
            <w:vAlign w:val="bottom"/>
            <w:shd w:val="clear" w:color="auto" w:fill="B6D2E2"/>
          </w:tcPr>
          <w:p>
            <w:pPr>
              <w:spacing w:after="0"/>
              <w:rPr>
                <w:sz w:val="17"/>
                <w:szCs w:val="17"/>
                <w:color w:val="auto"/>
              </w:rPr>
            </w:pPr>
          </w:p>
        </w:tc>
        <w:tc>
          <w:tcPr>
            <w:tcW w:w="560" w:type="dxa"/>
            <w:vAlign w:val="bottom"/>
            <w:shd w:val="clear" w:color="auto" w:fill="B6D2E2"/>
          </w:tcPr>
          <w:p>
            <w:pPr>
              <w:spacing w:after="0"/>
              <w:rPr>
                <w:sz w:val="17"/>
                <w:szCs w:val="17"/>
                <w:color w:val="auto"/>
              </w:rPr>
            </w:pPr>
          </w:p>
        </w:tc>
        <w:tc>
          <w:tcPr>
            <w:tcW w:w="120" w:type="dxa"/>
            <w:vAlign w:val="bottom"/>
            <w:tcBorders>
              <w:right w:val="single" w:sz="8" w:color="007CBA"/>
            </w:tcBorders>
            <w:shd w:val="clear" w:color="auto" w:fill="B6D2E2"/>
          </w:tcPr>
          <w:p>
            <w:pPr>
              <w:spacing w:after="0"/>
              <w:rPr>
                <w:sz w:val="17"/>
                <w:szCs w:val="17"/>
                <w:color w:val="auto"/>
              </w:rPr>
            </w:pPr>
          </w:p>
        </w:tc>
        <w:tc>
          <w:tcPr>
            <w:tcW w:w="220" w:type="dxa"/>
            <w:vAlign w:val="bottom"/>
            <w:shd w:val="clear" w:color="auto" w:fill="B6D2E2"/>
          </w:tcPr>
          <w:p>
            <w:pPr>
              <w:spacing w:after="0"/>
              <w:rPr>
                <w:sz w:val="17"/>
                <w:szCs w:val="17"/>
                <w:color w:val="auto"/>
              </w:rPr>
            </w:pPr>
          </w:p>
        </w:tc>
        <w:tc>
          <w:tcPr>
            <w:tcW w:w="700" w:type="dxa"/>
            <w:vAlign w:val="bottom"/>
            <w:shd w:val="clear" w:color="auto" w:fill="B6D2E2"/>
          </w:tcPr>
          <w:p>
            <w:pPr>
              <w:spacing w:after="0"/>
              <w:rPr>
                <w:sz w:val="17"/>
                <w:szCs w:val="17"/>
                <w:color w:val="auto"/>
              </w:rPr>
            </w:pPr>
          </w:p>
        </w:tc>
        <w:tc>
          <w:tcPr>
            <w:tcW w:w="140" w:type="dxa"/>
            <w:vAlign w:val="bottom"/>
            <w:tcBorders>
              <w:right w:val="single" w:sz="8" w:color="007CBA"/>
            </w:tcBorders>
            <w:shd w:val="clear" w:color="auto" w:fill="B6D2E2"/>
          </w:tcPr>
          <w:p>
            <w:pPr>
              <w:spacing w:after="0"/>
              <w:rPr>
                <w:sz w:val="17"/>
                <w:szCs w:val="17"/>
                <w:color w:val="auto"/>
              </w:rPr>
            </w:pPr>
          </w:p>
        </w:tc>
        <w:tc>
          <w:tcPr>
            <w:tcW w:w="200" w:type="dxa"/>
            <w:vAlign w:val="bottom"/>
            <w:shd w:val="clear" w:color="auto" w:fill="B6D2E2"/>
          </w:tcPr>
          <w:p>
            <w:pPr>
              <w:spacing w:after="0"/>
              <w:rPr>
                <w:sz w:val="17"/>
                <w:szCs w:val="17"/>
                <w:color w:val="auto"/>
              </w:rPr>
            </w:pPr>
          </w:p>
        </w:tc>
        <w:tc>
          <w:tcPr>
            <w:tcW w:w="40" w:type="dxa"/>
            <w:vAlign w:val="bottom"/>
            <w:shd w:val="clear" w:color="auto" w:fill="B6D2E2"/>
          </w:tcPr>
          <w:p>
            <w:pPr>
              <w:spacing w:after="0"/>
              <w:rPr>
                <w:sz w:val="17"/>
                <w:szCs w:val="17"/>
                <w:color w:val="auto"/>
              </w:rPr>
            </w:pPr>
          </w:p>
        </w:tc>
        <w:tc>
          <w:tcPr>
            <w:tcW w:w="700" w:type="dxa"/>
            <w:vAlign w:val="bottom"/>
            <w:shd w:val="clear" w:color="auto" w:fill="B6D2E2"/>
          </w:tcPr>
          <w:p>
            <w:pPr>
              <w:spacing w:after="0"/>
              <w:rPr>
                <w:sz w:val="17"/>
                <w:szCs w:val="17"/>
                <w:color w:val="auto"/>
              </w:rPr>
            </w:pPr>
          </w:p>
        </w:tc>
        <w:tc>
          <w:tcPr>
            <w:tcW w:w="120" w:type="dxa"/>
            <w:vAlign w:val="bottom"/>
            <w:tcBorders>
              <w:right w:val="single" w:sz="8" w:color="007CBA"/>
            </w:tcBorders>
            <w:shd w:val="clear" w:color="auto" w:fill="B6D2E2"/>
          </w:tcPr>
          <w:p>
            <w:pPr>
              <w:spacing w:after="0"/>
              <w:rPr>
                <w:sz w:val="17"/>
                <w:szCs w:val="17"/>
                <w:color w:val="auto"/>
              </w:rPr>
            </w:pPr>
          </w:p>
        </w:tc>
        <w:tc>
          <w:tcPr>
            <w:tcW w:w="240" w:type="dxa"/>
            <w:vAlign w:val="bottom"/>
            <w:shd w:val="clear" w:color="auto" w:fill="B6D2E2"/>
          </w:tcPr>
          <w:p>
            <w:pPr>
              <w:spacing w:after="0"/>
              <w:rPr>
                <w:sz w:val="17"/>
                <w:szCs w:val="17"/>
                <w:color w:val="auto"/>
              </w:rPr>
            </w:pPr>
          </w:p>
        </w:tc>
        <w:tc>
          <w:tcPr>
            <w:tcW w:w="840" w:type="dxa"/>
            <w:vAlign w:val="bottom"/>
            <w:shd w:val="clear" w:color="auto" w:fill="B6D2E2"/>
          </w:tcPr>
          <w:p>
            <w:pPr>
              <w:spacing w:after="0"/>
              <w:rPr>
                <w:sz w:val="17"/>
                <w:szCs w:val="17"/>
                <w:color w:val="auto"/>
              </w:rPr>
            </w:pPr>
          </w:p>
        </w:tc>
        <w:tc>
          <w:tcPr>
            <w:tcW w:w="100" w:type="dxa"/>
            <w:vAlign w:val="bottom"/>
            <w:tcBorders>
              <w:right w:val="single" w:sz="8" w:color="007CBA"/>
            </w:tcBorders>
            <w:shd w:val="clear" w:color="auto" w:fill="B6D2E2"/>
          </w:tcPr>
          <w:p>
            <w:pPr>
              <w:spacing w:after="0"/>
              <w:rPr>
                <w:sz w:val="17"/>
                <w:szCs w:val="17"/>
                <w:color w:val="auto"/>
              </w:rPr>
            </w:pPr>
          </w:p>
        </w:tc>
        <w:tc>
          <w:tcPr>
            <w:tcW w:w="220" w:type="dxa"/>
            <w:vAlign w:val="bottom"/>
            <w:shd w:val="clear" w:color="auto" w:fill="B6D2E2"/>
          </w:tcPr>
          <w:p>
            <w:pPr>
              <w:spacing w:after="0"/>
              <w:rPr>
                <w:sz w:val="17"/>
                <w:szCs w:val="17"/>
                <w:color w:val="auto"/>
              </w:rPr>
            </w:pPr>
          </w:p>
        </w:tc>
        <w:tc>
          <w:tcPr>
            <w:tcW w:w="680" w:type="dxa"/>
            <w:vAlign w:val="bottom"/>
            <w:shd w:val="clear" w:color="auto" w:fill="B6D2E2"/>
          </w:tcPr>
          <w:p>
            <w:pPr>
              <w:spacing w:after="0"/>
              <w:rPr>
                <w:sz w:val="17"/>
                <w:szCs w:val="17"/>
                <w:color w:val="auto"/>
              </w:rPr>
            </w:pPr>
          </w:p>
        </w:tc>
        <w:tc>
          <w:tcPr>
            <w:tcW w:w="120" w:type="dxa"/>
            <w:vAlign w:val="bottom"/>
            <w:tcBorders>
              <w:right w:val="single" w:sz="8" w:color="007CBA"/>
            </w:tcBorders>
            <w:shd w:val="clear" w:color="auto" w:fill="B6D2E2"/>
          </w:tcPr>
          <w:p>
            <w:pPr>
              <w:spacing w:after="0"/>
              <w:rPr>
                <w:sz w:val="17"/>
                <w:szCs w:val="17"/>
                <w:color w:val="auto"/>
              </w:rPr>
            </w:pPr>
          </w:p>
        </w:tc>
        <w:tc>
          <w:tcPr>
            <w:tcW w:w="220" w:type="dxa"/>
            <w:vAlign w:val="bottom"/>
            <w:shd w:val="clear" w:color="auto" w:fill="B6D2E2"/>
          </w:tcPr>
          <w:p>
            <w:pPr>
              <w:spacing w:after="0"/>
              <w:rPr>
                <w:sz w:val="17"/>
                <w:szCs w:val="17"/>
                <w:color w:val="auto"/>
              </w:rPr>
            </w:pPr>
          </w:p>
        </w:tc>
        <w:tc>
          <w:tcPr>
            <w:tcW w:w="680" w:type="dxa"/>
            <w:vAlign w:val="bottom"/>
            <w:shd w:val="clear" w:color="auto" w:fill="B6D2E2"/>
          </w:tcPr>
          <w:p>
            <w:pPr>
              <w:spacing w:after="0"/>
              <w:rPr>
                <w:sz w:val="17"/>
                <w:szCs w:val="17"/>
                <w:color w:val="auto"/>
              </w:rPr>
            </w:pPr>
          </w:p>
        </w:tc>
        <w:tc>
          <w:tcPr>
            <w:tcW w:w="120" w:type="dxa"/>
            <w:vAlign w:val="bottom"/>
            <w:tcBorders>
              <w:right w:val="single" w:sz="8" w:color="007CBA"/>
            </w:tcBorders>
            <w:shd w:val="clear" w:color="auto" w:fill="B6D2E2"/>
          </w:tcPr>
          <w:p>
            <w:pPr>
              <w:spacing w:after="0"/>
              <w:rPr>
                <w:sz w:val="17"/>
                <w:szCs w:val="17"/>
                <w:color w:val="auto"/>
              </w:rPr>
            </w:pPr>
          </w:p>
        </w:tc>
        <w:tc>
          <w:tcPr>
            <w:tcW w:w="200" w:type="dxa"/>
            <w:vAlign w:val="bottom"/>
            <w:shd w:val="clear" w:color="auto" w:fill="B6D2E2"/>
          </w:tcPr>
          <w:p>
            <w:pPr>
              <w:spacing w:after="0"/>
              <w:rPr>
                <w:sz w:val="17"/>
                <w:szCs w:val="17"/>
                <w:color w:val="auto"/>
              </w:rPr>
            </w:pPr>
          </w:p>
        </w:tc>
        <w:tc>
          <w:tcPr>
            <w:tcW w:w="700" w:type="dxa"/>
            <w:vAlign w:val="bottom"/>
            <w:shd w:val="clear" w:color="auto" w:fill="B6D2E2"/>
          </w:tcPr>
          <w:p>
            <w:pPr>
              <w:spacing w:after="0"/>
              <w:rPr>
                <w:sz w:val="17"/>
                <w:szCs w:val="17"/>
                <w:color w:val="auto"/>
              </w:rPr>
            </w:pPr>
          </w:p>
        </w:tc>
        <w:tc>
          <w:tcPr>
            <w:tcW w:w="100" w:type="dxa"/>
            <w:vAlign w:val="bottom"/>
            <w:tcBorders>
              <w:right w:val="single" w:sz="8" w:color="007CBA"/>
            </w:tcBorders>
            <w:shd w:val="clear" w:color="auto" w:fill="B6D2E2"/>
          </w:tcPr>
          <w:p>
            <w:pPr>
              <w:spacing w:after="0"/>
              <w:rPr>
                <w:sz w:val="17"/>
                <w:szCs w:val="17"/>
                <w:color w:val="auto"/>
              </w:rPr>
            </w:pPr>
          </w:p>
        </w:tc>
        <w:tc>
          <w:tcPr>
            <w:tcW w:w="220" w:type="dxa"/>
            <w:vAlign w:val="bottom"/>
            <w:shd w:val="clear" w:color="auto" w:fill="B6D2E2"/>
          </w:tcPr>
          <w:p>
            <w:pPr>
              <w:spacing w:after="0"/>
              <w:rPr>
                <w:sz w:val="17"/>
                <w:szCs w:val="17"/>
                <w:color w:val="auto"/>
              </w:rPr>
            </w:pPr>
          </w:p>
        </w:tc>
        <w:tc>
          <w:tcPr>
            <w:tcW w:w="720" w:type="dxa"/>
            <w:vAlign w:val="bottom"/>
            <w:shd w:val="clear" w:color="auto" w:fill="B6D2E2"/>
          </w:tcPr>
          <w:p>
            <w:pPr>
              <w:spacing w:after="0"/>
              <w:rPr>
                <w:sz w:val="17"/>
                <w:szCs w:val="17"/>
                <w:color w:val="auto"/>
              </w:rPr>
            </w:pPr>
          </w:p>
        </w:tc>
        <w:tc>
          <w:tcPr>
            <w:tcW w:w="100" w:type="dxa"/>
            <w:vAlign w:val="bottom"/>
            <w:tcBorders>
              <w:right w:val="single" w:sz="8" w:color="B6D2E2"/>
            </w:tcBorders>
            <w:shd w:val="clear" w:color="auto" w:fill="B6D2E2"/>
          </w:tcPr>
          <w:p>
            <w:pPr>
              <w:spacing w:after="0"/>
              <w:rPr>
                <w:sz w:val="17"/>
                <w:szCs w:val="17"/>
                <w:color w:val="auto"/>
              </w:rPr>
            </w:pPr>
          </w:p>
        </w:tc>
      </w:tr>
      <w:tr>
        <w:trPr>
          <w:trHeight w:val="175"/>
        </w:trPr>
        <w:tc>
          <w:tcPr>
            <w:tcW w:w="306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b w:val="1"/>
                <w:bCs w:val="1"/>
                <w:color w:val="auto"/>
              </w:rPr>
              <w:t>plans</w:t>
            </w:r>
          </w:p>
        </w:tc>
        <w:tc>
          <w:tcPr>
            <w:tcW w:w="120" w:type="dxa"/>
            <w:vAlign w:val="bottom"/>
            <w:shd w:val="clear" w:color="auto" w:fill="B6D2E2"/>
          </w:tcPr>
          <w:p>
            <w:pPr>
              <w:spacing w:after="0"/>
              <w:rPr>
                <w:sz w:val="15"/>
                <w:szCs w:val="15"/>
                <w:color w:val="auto"/>
              </w:rPr>
            </w:pPr>
          </w:p>
        </w:tc>
        <w:tc>
          <w:tcPr>
            <w:tcW w:w="56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0.1</w:t>
            </w:r>
          </w:p>
        </w:tc>
        <w:tc>
          <w:tcPr>
            <w:tcW w:w="120" w:type="dxa"/>
            <w:vAlign w:val="bottom"/>
            <w:tcBorders>
              <w:right w:val="single" w:sz="8" w:color="007CBA"/>
            </w:tcBorders>
            <w:shd w:val="clear" w:color="auto" w:fill="B6D2E2"/>
          </w:tcPr>
          <w:p>
            <w:pPr>
              <w:spacing w:after="0"/>
              <w:rPr>
                <w:sz w:val="15"/>
                <w:szCs w:val="15"/>
                <w:color w:val="auto"/>
              </w:rPr>
            </w:pPr>
          </w:p>
        </w:tc>
        <w:tc>
          <w:tcPr>
            <w:tcW w:w="220" w:type="dxa"/>
            <w:vAlign w:val="bottom"/>
            <w:shd w:val="clear" w:color="auto" w:fill="B6D2E2"/>
          </w:tcPr>
          <w:p>
            <w:pPr>
              <w:spacing w:after="0"/>
              <w:rPr>
                <w:sz w:val="15"/>
                <w:szCs w:val="15"/>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40" w:type="dxa"/>
            <w:vAlign w:val="bottom"/>
            <w:tcBorders>
              <w:right w:val="single" w:sz="8" w:color="007CBA"/>
            </w:tcBorders>
            <w:shd w:val="clear" w:color="auto" w:fill="B6D2E2"/>
          </w:tcPr>
          <w:p>
            <w:pPr>
              <w:spacing w:after="0"/>
              <w:rPr>
                <w:sz w:val="15"/>
                <w:szCs w:val="15"/>
                <w:color w:val="auto"/>
              </w:rPr>
            </w:pPr>
          </w:p>
        </w:tc>
        <w:tc>
          <w:tcPr>
            <w:tcW w:w="200" w:type="dxa"/>
            <w:vAlign w:val="bottom"/>
            <w:shd w:val="clear" w:color="auto" w:fill="B6D2E2"/>
          </w:tcPr>
          <w:p>
            <w:pPr>
              <w:spacing w:after="0"/>
              <w:rPr>
                <w:sz w:val="15"/>
                <w:szCs w:val="15"/>
                <w:color w:val="auto"/>
              </w:rPr>
            </w:pPr>
          </w:p>
        </w:tc>
        <w:tc>
          <w:tcPr>
            <w:tcW w:w="40" w:type="dxa"/>
            <w:vAlign w:val="bottom"/>
            <w:shd w:val="clear" w:color="auto" w:fill="B6D2E2"/>
          </w:tcPr>
          <w:p>
            <w:pPr>
              <w:spacing w:after="0"/>
              <w:rPr>
                <w:sz w:val="15"/>
                <w:szCs w:val="15"/>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4.7</w:t>
            </w:r>
          </w:p>
        </w:tc>
        <w:tc>
          <w:tcPr>
            <w:tcW w:w="120" w:type="dxa"/>
            <w:vAlign w:val="bottom"/>
            <w:tcBorders>
              <w:right w:val="single" w:sz="8" w:color="007CBA"/>
            </w:tcBorders>
            <w:shd w:val="clear" w:color="auto" w:fill="B6D2E2"/>
          </w:tcPr>
          <w:p>
            <w:pPr>
              <w:spacing w:after="0"/>
              <w:rPr>
                <w:sz w:val="15"/>
                <w:szCs w:val="15"/>
                <w:color w:val="auto"/>
              </w:rPr>
            </w:pPr>
          </w:p>
        </w:tc>
        <w:tc>
          <w:tcPr>
            <w:tcW w:w="240" w:type="dxa"/>
            <w:vAlign w:val="bottom"/>
            <w:shd w:val="clear" w:color="auto" w:fill="B6D2E2"/>
          </w:tcPr>
          <w:p>
            <w:pPr>
              <w:spacing w:after="0"/>
              <w:rPr>
                <w:sz w:val="15"/>
                <w:szCs w:val="15"/>
                <w:color w:val="auto"/>
              </w:rPr>
            </w:pPr>
          </w:p>
        </w:tc>
        <w:tc>
          <w:tcPr>
            <w:tcW w:w="84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00" w:type="dxa"/>
            <w:vAlign w:val="bottom"/>
            <w:tcBorders>
              <w:right w:val="single" w:sz="8" w:color="007CBA"/>
            </w:tcBorders>
            <w:shd w:val="clear" w:color="auto" w:fill="B6D2E2"/>
          </w:tcPr>
          <w:p>
            <w:pPr>
              <w:spacing w:after="0"/>
              <w:rPr>
                <w:sz w:val="15"/>
                <w:szCs w:val="15"/>
                <w:color w:val="auto"/>
              </w:rPr>
            </w:pPr>
          </w:p>
        </w:tc>
        <w:tc>
          <w:tcPr>
            <w:tcW w:w="220" w:type="dxa"/>
            <w:vAlign w:val="bottom"/>
            <w:shd w:val="clear" w:color="auto" w:fill="B6D2E2"/>
          </w:tcPr>
          <w:p>
            <w:pPr>
              <w:spacing w:after="0"/>
              <w:rPr>
                <w:sz w:val="15"/>
                <w:szCs w:val="15"/>
                <w:color w:val="auto"/>
              </w:rPr>
            </w:pPr>
          </w:p>
        </w:tc>
        <w:tc>
          <w:tcPr>
            <w:tcW w:w="68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right w:val="single" w:sz="8" w:color="007CBA"/>
            </w:tcBorders>
            <w:shd w:val="clear" w:color="auto" w:fill="B6D2E2"/>
          </w:tcPr>
          <w:p>
            <w:pPr>
              <w:spacing w:after="0"/>
              <w:rPr>
                <w:sz w:val="15"/>
                <w:szCs w:val="15"/>
                <w:color w:val="auto"/>
              </w:rPr>
            </w:pPr>
          </w:p>
        </w:tc>
        <w:tc>
          <w:tcPr>
            <w:tcW w:w="220" w:type="dxa"/>
            <w:vAlign w:val="bottom"/>
            <w:shd w:val="clear" w:color="auto" w:fill="B6D2E2"/>
          </w:tcPr>
          <w:p>
            <w:pPr>
              <w:spacing w:after="0"/>
              <w:rPr>
                <w:sz w:val="15"/>
                <w:szCs w:val="15"/>
                <w:color w:val="auto"/>
              </w:rPr>
            </w:pPr>
          </w:p>
        </w:tc>
        <w:tc>
          <w:tcPr>
            <w:tcW w:w="68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4.7</w:t>
            </w:r>
          </w:p>
        </w:tc>
        <w:tc>
          <w:tcPr>
            <w:tcW w:w="120" w:type="dxa"/>
            <w:vAlign w:val="bottom"/>
            <w:tcBorders>
              <w:right w:val="single" w:sz="8" w:color="007CBA"/>
            </w:tcBorders>
            <w:shd w:val="clear" w:color="auto" w:fill="B6D2E2"/>
          </w:tcPr>
          <w:p>
            <w:pPr>
              <w:spacing w:after="0"/>
              <w:rPr>
                <w:sz w:val="15"/>
                <w:szCs w:val="15"/>
                <w:color w:val="auto"/>
              </w:rPr>
            </w:pPr>
          </w:p>
        </w:tc>
        <w:tc>
          <w:tcPr>
            <w:tcW w:w="200" w:type="dxa"/>
            <w:vAlign w:val="bottom"/>
            <w:shd w:val="clear" w:color="auto" w:fill="B6D2E2"/>
          </w:tcPr>
          <w:p>
            <w:pPr>
              <w:spacing w:after="0"/>
              <w:rPr>
                <w:sz w:val="15"/>
                <w:szCs w:val="15"/>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00" w:type="dxa"/>
            <w:vAlign w:val="bottom"/>
            <w:tcBorders>
              <w:right w:val="single" w:sz="8" w:color="007CBA"/>
            </w:tcBorders>
            <w:shd w:val="clear" w:color="auto" w:fill="B6D2E2"/>
          </w:tcPr>
          <w:p>
            <w:pPr>
              <w:spacing w:after="0"/>
              <w:rPr>
                <w:sz w:val="15"/>
                <w:szCs w:val="15"/>
                <w:color w:val="auto"/>
              </w:rPr>
            </w:pPr>
          </w:p>
        </w:tc>
        <w:tc>
          <w:tcPr>
            <w:tcW w:w="220" w:type="dxa"/>
            <w:vAlign w:val="bottom"/>
            <w:shd w:val="clear" w:color="auto" w:fill="B6D2E2"/>
          </w:tcPr>
          <w:p>
            <w:pPr>
              <w:spacing w:after="0"/>
              <w:rPr>
                <w:sz w:val="15"/>
                <w:szCs w:val="15"/>
                <w:color w:val="auto"/>
              </w:rPr>
            </w:pPr>
          </w:p>
        </w:tc>
        <w:tc>
          <w:tcPr>
            <w:tcW w:w="72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4.7</w:t>
            </w:r>
          </w:p>
        </w:tc>
        <w:tc>
          <w:tcPr>
            <w:tcW w:w="100" w:type="dxa"/>
            <w:vAlign w:val="bottom"/>
            <w:tcBorders>
              <w:right w:val="single" w:sz="8" w:color="B6D2E2"/>
            </w:tcBorders>
            <w:shd w:val="clear" w:color="auto" w:fill="B6D2E2"/>
          </w:tcPr>
          <w:p>
            <w:pPr>
              <w:spacing w:after="0"/>
              <w:rPr>
                <w:sz w:val="15"/>
                <w:szCs w:val="15"/>
                <w:color w:val="auto"/>
              </w:rPr>
            </w:pPr>
          </w:p>
        </w:tc>
      </w:tr>
      <w:tr>
        <w:trPr>
          <w:trHeight w:val="203"/>
        </w:trPr>
        <w:tc>
          <w:tcPr>
            <w:tcW w:w="306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b w:val="1"/>
                <w:bCs w:val="1"/>
                <w:color w:val="auto"/>
              </w:rPr>
              <w:t>Shares withheld for employees’ income tax</w:t>
            </w:r>
          </w:p>
        </w:tc>
        <w:tc>
          <w:tcPr>
            <w:tcW w:w="120" w:type="dxa"/>
            <w:vAlign w:val="bottom"/>
            <w:shd w:val="clear" w:color="auto" w:fill="B6D2E2"/>
          </w:tcPr>
          <w:p>
            <w:pPr>
              <w:spacing w:after="0"/>
              <w:rPr>
                <w:sz w:val="17"/>
                <w:szCs w:val="17"/>
                <w:color w:val="auto"/>
              </w:rPr>
            </w:pPr>
          </w:p>
        </w:tc>
        <w:tc>
          <w:tcPr>
            <w:tcW w:w="560" w:type="dxa"/>
            <w:vAlign w:val="bottom"/>
            <w:shd w:val="clear" w:color="auto" w:fill="B6D2E2"/>
          </w:tcPr>
          <w:p>
            <w:pPr>
              <w:spacing w:after="0"/>
              <w:rPr>
                <w:sz w:val="17"/>
                <w:szCs w:val="17"/>
                <w:color w:val="auto"/>
              </w:rPr>
            </w:pPr>
          </w:p>
        </w:tc>
        <w:tc>
          <w:tcPr>
            <w:tcW w:w="120" w:type="dxa"/>
            <w:vAlign w:val="bottom"/>
            <w:tcBorders>
              <w:right w:val="single" w:sz="8" w:color="007CBA"/>
            </w:tcBorders>
            <w:shd w:val="clear" w:color="auto" w:fill="B6D2E2"/>
          </w:tcPr>
          <w:p>
            <w:pPr>
              <w:spacing w:after="0"/>
              <w:rPr>
                <w:sz w:val="17"/>
                <w:szCs w:val="17"/>
                <w:color w:val="auto"/>
              </w:rPr>
            </w:pPr>
          </w:p>
        </w:tc>
        <w:tc>
          <w:tcPr>
            <w:tcW w:w="220" w:type="dxa"/>
            <w:vAlign w:val="bottom"/>
            <w:shd w:val="clear" w:color="auto" w:fill="B6D2E2"/>
          </w:tcPr>
          <w:p>
            <w:pPr>
              <w:spacing w:after="0"/>
              <w:rPr>
                <w:sz w:val="17"/>
                <w:szCs w:val="17"/>
                <w:color w:val="auto"/>
              </w:rPr>
            </w:pPr>
          </w:p>
        </w:tc>
        <w:tc>
          <w:tcPr>
            <w:tcW w:w="700" w:type="dxa"/>
            <w:vAlign w:val="bottom"/>
            <w:shd w:val="clear" w:color="auto" w:fill="B6D2E2"/>
          </w:tcPr>
          <w:p>
            <w:pPr>
              <w:spacing w:after="0"/>
              <w:rPr>
                <w:sz w:val="17"/>
                <w:szCs w:val="17"/>
                <w:color w:val="auto"/>
              </w:rPr>
            </w:pPr>
          </w:p>
        </w:tc>
        <w:tc>
          <w:tcPr>
            <w:tcW w:w="140" w:type="dxa"/>
            <w:vAlign w:val="bottom"/>
            <w:tcBorders>
              <w:right w:val="single" w:sz="8" w:color="007CBA"/>
            </w:tcBorders>
            <w:shd w:val="clear" w:color="auto" w:fill="B6D2E2"/>
          </w:tcPr>
          <w:p>
            <w:pPr>
              <w:spacing w:after="0"/>
              <w:rPr>
                <w:sz w:val="17"/>
                <w:szCs w:val="17"/>
                <w:color w:val="auto"/>
              </w:rPr>
            </w:pPr>
          </w:p>
        </w:tc>
        <w:tc>
          <w:tcPr>
            <w:tcW w:w="200" w:type="dxa"/>
            <w:vAlign w:val="bottom"/>
            <w:shd w:val="clear" w:color="auto" w:fill="B6D2E2"/>
          </w:tcPr>
          <w:p>
            <w:pPr>
              <w:spacing w:after="0"/>
              <w:rPr>
                <w:sz w:val="17"/>
                <w:szCs w:val="17"/>
                <w:color w:val="auto"/>
              </w:rPr>
            </w:pPr>
          </w:p>
        </w:tc>
        <w:tc>
          <w:tcPr>
            <w:tcW w:w="40" w:type="dxa"/>
            <w:vAlign w:val="bottom"/>
            <w:shd w:val="clear" w:color="auto" w:fill="B6D2E2"/>
          </w:tcPr>
          <w:p>
            <w:pPr>
              <w:spacing w:after="0"/>
              <w:rPr>
                <w:sz w:val="17"/>
                <w:szCs w:val="17"/>
                <w:color w:val="auto"/>
              </w:rPr>
            </w:pPr>
          </w:p>
        </w:tc>
        <w:tc>
          <w:tcPr>
            <w:tcW w:w="700" w:type="dxa"/>
            <w:vAlign w:val="bottom"/>
            <w:shd w:val="clear" w:color="auto" w:fill="B6D2E2"/>
          </w:tcPr>
          <w:p>
            <w:pPr>
              <w:spacing w:after="0"/>
              <w:rPr>
                <w:sz w:val="17"/>
                <w:szCs w:val="17"/>
                <w:color w:val="auto"/>
              </w:rPr>
            </w:pPr>
          </w:p>
        </w:tc>
        <w:tc>
          <w:tcPr>
            <w:tcW w:w="120" w:type="dxa"/>
            <w:vAlign w:val="bottom"/>
            <w:tcBorders>
              <w:right w:val="single" w:sz="8" w:color="007CBA"/>
            </w:tcBorders>
            <w:shd w:val="clear" w:color="auto" w:fill="B6D2E2"/>
          </w:tcPr>
          <w:p>
            <w:pPr>
              <w:spacing w:after="0"/>
              <w:rPr>
                <w:sz w:val="17"/>
                <w:szCs w:val="17"/>
                <w:color w:val="auto"/>
              </w:rPr>
            </w:pPr>
          </w:p>
        </w:tc>
        <w:tc>
          <w:tcPr>
            <w:tcW w:w="240" w:type="dxa"/>
            <w:vAlign w:val="bottom"/>
            <w:shd w:val="clear" w:color="auto" w:fill="B6D2E2"/>
          </w:tcPr>
          <w:p>
            <w:pPr>
              <w:spacing w:after="0"/>
              <w:rPr>
                <w:sz w:val="17"/>
                <w:szCs w:val="17"/>
                <w:color w:val="auto"/>
              </w:rPr>
            </w:pPr>
          </w:p>
        </w:tc>
        <w:tc>
          <w:tcPr>
            <w:tcW w:w="840" w:type="dxa"/>
            <w:vAlign w:val="bottom"/>
            <w:shd w:val="clear" w:color="auto" w:fill="B6D2E2"/>
          </w:tcPr>
          <w:p>
            <w:pPr>
              <w:spacing w:after="0"/>
              <w:rPr>
                <w:sz w:val="17"/>
                <w:szCs w:val="17"/>
                <w:color w:val="auto"/>
              </w:rPr>
            </w:pPr>
          </w:p>
        </w:tc>
        <w:tc>
          <w:tcPr>
            <w:tcW w:w="100" w:type="dxa"/>
            <w:vAlign w:val="bottom"/>
            <w:tcBorders>
              <w:right w:val="single" w:sz="8" w:color="007CBA"/>
            </w:tcBorders>
            <w:shd w:val="clear" w:color="auto" w:fill="B6D2E2"/>
          </w:tcPr>
          <w:p>
            <w:pPr>
              <w:spacing w:after="0"/>
              <w:rPr>
                <w:sz w:val="17"/>
                <w:szCs w:val="17"/>
                <w:color w:val="auto"/>
              </w:rPr>
            </w:pPr>
          </w:p>
        </w:tc>
        <w:tc>
          <w:tcPr>
            <w:tcW w:w="220" w:type="dxa"/>
            <w:vAlign w:val="bottom"/>
            <w:shd w:val="clear" w:color="auto" w:fill="B6D2E2"/>
          </w:tcPr>
          <w:p>
            <w:pPr>
              <w:spacing w:after="0"/>
              <w:rPr>
                <w:sz w:val="17"/>
                <w:szCs w:val="17"/>
                <w:color w:val="auto"/>
              </w:rPr>
            </w:pPr>
          </w:p>
        </w:tc>
        <w:tc>
          <w:tcPr>
            <w:tcW w:w="680" w:type="dxa"/>
            <w:vAlign w:val="bottom"/>
            <w:shd w:val="clear" w:color="auto" w:fill="B6D2E2"/>
          </w:tcPr>
          <w:p>
            <w:pPr>
              <w:spacing w:after="0"/>
              <w:rPr>
                <w:sz w:val="17"/>
                <w:szCs w:val="17"/>
                <w:color w:val="auto"/>
              </w:rPr>
            </w:pPr>
          </w:p>
        </w:tc>
        <w:tc>
          <w:tcPr>
            <w:tcW w:w="120" w:type="dxa"/>
            <w:vAlign w:val="bottom"/>
            <w:tcBorders>
              <w:right w:val="single" w:sz="8" w:color="007CBA"/>
            </w:tcBorders>
            <w:shd w:val="clear" w:color="auto" w:fill="B6D2E2"/>
          </w:tcPr>
          <w:p>
            <w:pPr>
              <w:spacing w:after="0"/>
              <w:rPr>
                <w:sz w:val="17"/>
                <w:szCs w:val="17"/>
                <w:color w:val="auto"/>
              </w:rPr>
            </w:pPr>
          </w:p>
        </w:tc>
        <w:tc>
          <w:tcPr>
            <w:tcW w:w="220" w:type="dxa"/>
            <w:vAlign w:val="bottom"/>
            <w:shd w:val="clear" w:color="auto" w:fill="B6D2E2"/>
          </w:tcPr>
          <w:p>
            <w:pPr>
              <w:spacing w:after="0"/>
              <w:rPr>
                <w:sz w:val="17"/>
                <w:szCs w:val="17"/>
                <w:color w:val="auto"/>
              </w:rPr>
            </w:pPr>
          </w:p>
        </w:tc>
        <w:tc>
          <w:tcPr>
            <w:tcW w:w="680" w:type="dxa"/>
            <w:vAlign w:val="bottom"/>
            <w:shd w:val="clear" w:color="auto" w:fill="B6D2E2"/>
          </w:tcPr>
          <w:p>
            <w:pPr>
              <w:spacing w:after="0"/>
              <w:rPr>
                <w:sz w:val="17"/>
                <w:szCs w:val="17"/>
                <w:color w:val="auto"/>
              </w:rPr>
            </w:pPr>
          </w:p>
        </w:tc>
        <w:tc>
          <w:tcPr>
            <w:tcW w:w="120" w:type="dxa"/>
            <w:vAlign w:val="bottom"/>
            <w:tcBorders>
              <w:right w:val="single" w:sz="8" w:color="007CBA"/>
            </w:tcBorders>
            <w:shd w:val="clear" w:color="auto" w:fill="B6D2E2"/>
          </w:tcPr>
          <w:p>
            <w:pPr>
              <w:spacing w:after="0"/>
              <w:rPr>
                <w:sz w:val="17"/>
                <w:szCs w:val="17"/>
                <w:color w:val="auto"/>
              </w:rPr>
            </w:pPr>
          </w:p>
        </w:tc>
        <w:tc>
          <w:tcPr>
            <w:tcW w:w="200" w:type="dxa"/>
            <w:vAlign w:val="bottom"/>
            <w:shd w:val="clear" w:color="auto" w:fill="B6D2E2"/>
          </w:tcPr>
          <w:p>
            <w:pPr>
              <w:spacing w:after="0"/>
              <w:rPr>
                <w:sz w:val="17"/>
                <w:szCs w:val="17"/>
                <w:color w:val="auto"/>
              </w:rPr>
            </w:pPr>
          </w:p>
        </w:tc>
        <w:tc>
          <w:tcPr>
            <w:tcW w:w="700" w:type="dxa"/>
            <w:vAlign w:val="bottom"/>
            <w:shd w:val="clear" w:color="auto" w:fill="B6D2E2"/>
          </w:tcPr>
          <w:p>
            <w:pPr>
              <w:spacing w:after="0"/>
              <w:rPr>
                <w:sz w:val="17"/>
                <w:szCs w:val="17"/>
                <w:color w:val="auto"/>
              </w:rPr>
            </w:pPr>
          </w:p>
        </w:tc>
        <w:tc>
          <w:tcPr>
            <w:tcW w:w="100" w:type="dxa"/>
            <w:vAlign w:val="bottom"/>
            <w:tcBorders>
              <w:right w:val="single" w:sz="8" w:color="007CBA"/>
            </w:tcBorders>
            <w:shd w:val="clear" w:color="auto" w:fill="B6D2E2"/>
          </w:tcPr>
          <w:p>
            <w:pPr>
              <w:spacing w:after="0"/>
              <w:rPr>
                <w:sz w:val="17"/>
                <w:szCs w:val="17"/>
                <w:color w:val="auto"/>
              </w:rPr>
            </w:pPr>
          </w:p>
        </w:tc>
        <w:tc>
          <w:tcPr>
            <w:tcW w:w="220" w:type="dxa"/>
            <w:vAlign w:val="bottom"/>
            <w:shd w:val="clear" w:color="auto" w:fill="B6D2E2"/>
          </w:tcPr>
          <w:p>
            <w:pPr>
              <w:spacing w:after="0"/>
              <w:rPr>
                <w:sz w:val="17"/>
                <w:szCs w:val="17"/>
                <w:color w:val="auto"/>
              </w:rPr>
            </w:pPr>
          </w:p>
        </w:tc>
        <w:tc>
          <w:tcPr>
            <w:tcW w:w="720" w:type="dxa"/>
            <w:vAlign w:val="bottom"/>
            <w:shd w:val="clear" w:color="auto" w:fill="B6D2E2"/>
          </w:tcPr>
          <w:p>
            <w:pPr>
              <w:spacing w:after="0"/>
              <w:rPr>
                <w:sz w:val="17"/>
                <w:szCs w:val="17"/>
                <w:color w:val="auto"/>
              </w:rPr>
            </w:pPr>
          </w:p>
        </w:tc>
        <w:tc>
          <w:tcPr>
            <w:tcW w:w="100" w:type="dxa"/>
            <w:vAlign w:val="bottom"/>
            <w:tcBorders>
              <w:right w:val="single" w:sz="8" w:color="B6D2E2"/>
            </w:tcBorders>
            <w:shd w:val="clear" w:color="auto" w:fill="B6D2E2"/>
          </w:tcPr>
          <w:p>
            <w:pPr>
              <w:spacing w:after="0"/>
              <w:rPr>
                <w:sz w:val="17"/>
                <w:szCs w:val="17"/>
                <w:color w:val="auto"/>
              </w:rPr>
            </w:pPr>
          </w:p>
        </w:tc>
      </w:tr>
      <w:tr>
        <w:trPr>
          <w:trHeight w:val="175"/>
        </w:trPr>
        <w:tc>
          <w:tcPr>
            <w:tcW w:w="3060" w:type="dxa"/>
            <w:vAlign w:val="bottom"/>
            <w:tcBorders>
              <w:right w:val="single" w:sz="8" w:color="007CBA"/>
            </w:tcBorders>
          </w:tcPr>
          <w:p>
            <w:pPr>
              <w:ind w:left="260"/>
              <w:spacing w:after="0"/>
              <w:rPr>
                <w:sz w:val="20"/>
                <w:szCs w:val="20"/>
                <w:color w:val="auto"/>
              </w:rPr>
            </w:pPr>
            <w:r>
              <w:rPr>
                <w:rFonts w:ascii="Calibri" w:cs="Calibri" w:eastAsia="Calibri" w:hAnsi="Calibri"/>
                <w:sz w:val="14"/>
                <w:szCs w:val="14"/>
                <w:b w:val="1"/>
                <w:bCs w:val="1"/>
                <w:color w:val="auto"/>
              </w:rPr>
              <w:t>obligatons</w:t>
            </w:r>
          </w:p>
        </w:tc>
        <w:tc>
          <w:tcPr>
            <w:tcW w:w="120" w:type="dxa"/>
            <w:vAlign w:val="bottom"/>
            <w:shd w:val="clear" w:color="auto" w:fill="B6D2E2"/>
          </w:tcPr>
          <w:p>
            <w:pPr>
              <w:spacing w:after="0"/>
              <w:rPr>
                <w:sz w:val="15"/>
                <w:szCs w:val="15"/>
                <w:color w:val="auto"/>
              </w:rPr>
            </w:pPr>
          </w:p>
        </w:tc>
        <w:tc>
          <w:tcPr>
            <w:tcW w:w="56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right w:val="single" w:sz="8" w:color="007CBA"/>
            </w:tcBorders>
            <w:shd w:val="clear" w:color="auto" w:fill="B6D2E2"/>
          </w:tcPr>
          <w:p>
            <w:pPr>
              <w:spacing w:after="0"/>
              <w:rPr>
                <w:sz w:val="15"/>
                <w:szCs w:val="15"/>
                <w:color w:val="auto"/>
              </w:rPr>
            </w:pPr>
          </w:p>
        </w:tc>
        <w:tc>
          <w:tcPr>
            <w:tcW w:w="220" w:type="dxa"/>
            <w:vAlign w:val="bottom"/>
            <w:shd w:val="clear" w:color="auto" w:fill="B6D2E2"/>
          </w:tcPr>
          <w:p>
            <w:pPr>
              <w:spacing w:after="0"/>
              <w:rPr>
                <w:sz w:val="15"/>
                <w:szCs w:val="15"/>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40" w:type="dxa"/>
            <w:vAlign w:val="bottom"/>
            <w:tcBorders>
              <w:right w:val="single" w:sz="8" w:color="007CBA"/>
            </w:tcBorders>
            <w:shd w:val="clear" w:color="auto" w:fill="B6D2E2"/>
          </w:tcPr>
          <w:p>
            <w:pPr>
              <w:spacing w:after="0"/>
              <w:rPr>
                <w:sz w:val="15"/>
                <w:szCs w:val="15"/>
                <w:color w:val="auto"/>
              </w:rPr>
            </w:pPr>
          </w:p>
        </w:tc>
        <w:tc>
          <w:tcPr>
            <w:tcW w:w="200" w:type="dxa"/>
            <w:vAlign w:val="bottom"/>
            <w:shd w:val="clear" w:color="auto" w:fill="B6D2E2"/>
          </w:tcPr>
          <w:p>
            <w:pPr>
              <w:spacing w:after="0"/>
              <w:rPr>
                <w:sz w:val="15"/>
                <w:szCs w:val="15"/>
                <w:color w:val="auto"/>
              </w:rPr>
            </w:pPr>
          </w:p>
        </w:tc>
        <w:tc>
          <w:tcPr>
            <w:tcW w:w="40" w:type="dxa"/>
            <w:vAlign w:val="bottom"/>
            <w:shd w:val="clear" w:color="auto" w:fill="B6D2E2"/>
          </w:tcPr>
          <w:p>
            <w:pPr>
              <w:spacing w:after="0"/>
              <w:rPr>
                <w:sz w:val="15"/>
                <w:szCs w:val="15"/>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(28.8</w:t>
            </w:r>
          </w:p>
        </w:tc>
        <w:tc>
          <w:tcPr>
            <w:tcW w:w="120" w:type="dxa"/>
            <w:vAlign w:val="bottom"/>
            <w:tcBorders>
              <w:right w:val="single" w:sz="8" w:color="007CBA"/>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w w:val="90"/>
              </w:rPr>
              <w:t>)</w:t>
            </w:r>
          </w:p>
        </w:tc>
        <w:tc>
          <w:tcPr>
            <w:tcW w:w="240" w:type="dxa"/>
            <w:vAlign w:val="bottom"/>
            <w:shd w:val="clear" w:color="auto" w:fill="B6D2E2"/>
          </w:tcPr>
          <w:p>
            <w:pPr>
              <w:spacing w:after="0"/>
              <w:rPr>
                <w:sz w:val="15"/>
                <w:szCs w:val="15"/>
                <w:color w:val="auto"/>
              </w:rPr>
            </w:pPr>
          </w:p>
        </w:tc>
        <w:tc>
          <w:tcPr>
            <w:tcW w:w="84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00" w:type="dxa"/>
            <w:vAlign w:val="bottom"/>
            <w:tcBorders>
              <w:right w:val="single" w:sz="8" w:color="007CBA"/>
            </w:tcBorders>
            <w:shd w:val="clear" w:color="auto" w:fill="B6D2E2"/>
          </w:tcPr>
          <w:p>
            <w:pPr>
              <w:spacing w:after="0"/>
              <w:rPr>
                <w:sz w:val="15"/>
                <w:szCs w:val="15"/>
                <w:color w:val="auto"/>
              </w:rPr>
            </w:pPr>
          </w:p>
        </w:tc>
        <w:tc>
          <w:tcPr>
            <w:tcW w:w="220" w:type="dxa"/>
            <w:vAlign w:val="bottom"/>
            <w:shd w:val="clear" w:color="auto" w:fill="B6D2E2"/>
          </w:tcPr>
          <w:p>
            <w:pPr>
              <w:spacing w:after="0"/>
              <w:rPr>
                <w:sz w:val="15"/>
                <w:szCs w:val="15"/>
                <w:color w:val="auto"/>
              </w:rPr>
            </w:pPr>
          </w:p>
        </w:tc>
        <w:tc>
          <w:tcPr>
            <w:tcW w:w="68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right w:val="single" w:sz="8" w:color="007CBA"/>
            </w:tcBorders>
            <w:shd w:val="clear" w:color="auto" w:fill="B6D2E2"/>
          </w:tcPr>
          <w:p>
            <w:pPr>
              <w:spacing w:after="0"/>
              <w:rPr>
                <w:sz w:val="15"/>
                <w:szCs w:val="15"/>
                <w:color w:val="auto"/>
              </w:rPr>
            </w:pPr>
          </w:p>
        </w:tc>
        <w:tc>
          <w:tcPr>
            <w:tcW w:w="220" w:type="dxa"/>
            <w:vAlign w:val="bottom"/>
            <w:shd w:val="clear" w:color="auto" w:fill="B6D2E2"/>
          </w:tcPr>
          <w:p>
            <w:pPr>
              <w:spacing w:after="0"/>
              <w:rPr>
                <w:sz w:val="15"/>
                <w:szCs w:val="15"/>
                <w:color w:val="auto"/>
              </w:rPr>
            </w:pPr>
          </w:p>
        </w:tc>
        <w:tc>
          <w:tcPr>
            <w:tcW w:w="68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(28.8</w:t>
            </w:r>
          </w:p>
        </w:tc>
        <w:tc>
          <w:tcPr>
            <w:tcW w:w="120" w:type="dxa"/>
            <w:vAlign w:val="bottom"/>
            <w:tcBorders>
              <w:right w:val="single" w:sz="8" w:color="007CBA"/>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w w:val="90"/>
              </w:rPr>
              <w:t>)</w:t>
            </w:r>
          </w:p>
        </w:tc>
        <w:tc>
          <w:tcPr>
            <w:tcW w:w="200" w:type="dxa"/>
            <w:vAlign w:val="bottom"/>
            <w:shd w:val="clear" w:color="auto" w:fill="B6D2E2"/>
          </w:tcPr>
          <w:p>
            <w:pPr>
              <w:spacing w:after="0"/>
              <w:rPr>
                <w:sz w:val="15"/>
                <w:szCs w:val="15"/>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00" w:type="dxa"/>
            <w:vAlign w:val="bottom"/>
            <w:tcBorders>
              <w:right w:val="single" w:sz="8" w:color="007CBA"/>
            </w:tcBorders>
            <w:shd w:val="clear" w:color="auto" w:fill="B6D2E2"/>
          </w:tcPr>
          <w:p>
            <w:pPr>
              <w:spacing w:after="0"/>
              <w:rPr>
                <w:sz w:val="15"/>
                <w:szCs w:val="15"/>
                <w:color w:val="auto"/>
              </w:rPr>
            </w:pPr>
          </w:p>
        </w:tc>
        <w:tc>
          <w:tcPr>
            <w:tcW w:w="220" w:type="dxa"/>
            <w:vAlign w:val="bottom"/>
            <w:shd w:val="clear" w:color="auto" w:fill="B6D2E2"/>
          </w:tcPr>
          <w:p>
            <w:pPr>
              <w:spacing w:after="0"/>
              <w:rPr>
                <w:sz w:val="15"/>
                <w:szCs w:val="15"/>
                <w:color w:val="auto"/>
              </w:rPr>
            </w:pPr>
          </w:p>
        </w:tc>
        <w:tc>
          <w:tcPr>
            <w:tcW w:w="72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(28.8</w:t>
            </w:r>
          </w:p>
        </w:tc>
        <w:tc>
          <w:tcPr>
            <w:tcW w:w="100" w:type="dxa"/>
            <w:vAlign w:val="bottom"/>
            <w:tcBorders>
              <w:right w:val="single" w:sz="8" w:color="B6D2E2"/>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w w:val="90"/>
              </w:rPr>
              <w:t>)</w:t>
            </w:r>
          </w:p>
        </w:tc>
      </w:tr>
      <w:tr>
        <w:trPr>
          <w:trHeight w:val="216"/>
        </w:trPr>
        <w:tc>
          <w:tcPr>
            <w:tcW w:w="306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b w:val="1"/>
                <w:bCs w:val="1"/>
                <w:color w:val="auto"/>
              </w:rPr>
              <w:t>Repurchases of common stock</w:t>
            </w:r>
          </w:p>
        </w:tc>
        <w:tc>
          <w:tcPr>
            <w:tcW w:w="120" w:type="dxa"/>
            <w:vAlign w:val="bottom"/>
            <w:tcBorders>
              <w:bottom w:val="single" w:sz="8" w:color="B6D2E2"/>
            </w:tcBorders>
            <w:shd w:val="clear" w:color="auto" w:fill="B6D2E2"/>
          </w:tcPr>
          <w:p>
            <w:pPr>
              <w:spacing w:after="0"/>
              <w:rPr>
                <w:sz w:val="18"/>
                <w:szCs w:val="18"/>
                <w:color w:val="auto"/>
              </w:rPr>
            </w:pPr>
          </w:p>
        </w:tc>
        <w:tc>
          <w:tcPr>
            <w:tcW w:w="56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rPr>
              <w:t>(0.4</w:t>
            </w:r>
          </w:p>
        </w:tc>
        <w:tc>
          <w:tcPr>
            <w:tcW w:w="120" w:type="dxa"/>
            <w:vAlign w:val="bottom"/>
            <w:tcBorders>
              <w:bottom w:val="single" w:sz="8" w:color="B6D2E2"/>
              <w:right w:val="single" w:sz="8" w:color="007CBA"/>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w w:val="90"/>
              </w:rPr>
              <w:t>)</w:t>
            </w:r>
          </w:p>
        </w:tc>
        <w:tc>
          <w:tcPr>
            <w:tcW w:w="220" w:type="dxa"/>
            <w:vAlign w:val="bottom"/>
            <w:tcBorders>
              <w:bottom w:val="single" w:sz="8" w:color="B6D2E2"/>
            </w:tcBorders>
            <w:shd w:val="clear" w:color="auto" w:fill="B6D2E2"/>
          </w:tcPr>
          <w:p>
            <w:pPr>
              <w:spacing w:after="0"/>
              <w:rPr>
                <w:sz w:val="18"/>
                <w:szCs w:val="18"/>
                <w:color w:val="auto"/>
              </w:rPr>
            </w:pPr>
          </w:p>
        </w:tc>
        <w:tc>
          <w:tcPr>
            <w:tcW w:w="70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40" w:type="dxa"/>
            <w:vAlign w:val="bottom"/>
            <w:tcBorders>
              <w:bottom w:val="single" w:sz="8" w:color="B6D2E2"/>
              <w:right w:val="single" w:sz="8" w:color="007CBA"/>
            </w:tcBorders>
            <w:shd w:val="clear" w:color="auto" w:fill="B6D2E2"/>
          </w:tcPr>
          <w:p>
            <w:pPr>
              <w:spacing w:after="0"/>
              <w:rPr>
                <w:sz w:val="18"/>
                <w:szCs w:val="18"/>
                <w:color w:val="auto"/>
              </w:rPr>
            </w:pPr>
          </w:p>
        </w:tc>
        <w:tc>
          <w:tcPr>
            <w:tcW w:w="200" w:type="dxa"/>
            <w:vAlign w:val="bottom"/>
            <w:tcBorders>
              <w:bottom w:val="single" w:sz="8" w:color="B6D2E2"/>
            </w:tcBorders>
            <w:shd w:val="clear" w:color="auto" w:fill="B6D2E2"/>
          </w:tcPr>
          <w:p>
            <w:pPr>
              <w:spacing w:after="0"/>
              <w:rPr>
                <w:sz w:val="18"/>
                <w:szCs w:val="18"/>
                <w:color w:val="auto"/>
              </w:rPr>
            </w:pPr>
          </w:p>
        </w:tc>
        <w:tc>
          <w:tcPr>
            <w:tcW w:w="40" w:type="dxa"/>
            <w:vAlign w:val="bottom"/>
            <w:tcBorders>
              <w:bottom w:val="single" w:sz="8" w:color="B6D2E2"/>
            </w:tcBorders>
            <w:shd w:val="clear" w:color="auto" w:fill="B6D2E2"/>
          </w:tcPr>
          <w:p>
            <w:pPr>
              <w:spacing w:after="0"/>
              <w:rPr>
                <w:sz w:val="18"/>
                <w:szCs w:val="18"/>
                <w:color w:val="auto"/>
              </w:rPr>
            </w:pPr>
          </w:p>
        </w:tc>
        <w:tc>
          <w:tcPr>
            <w:tcW w:w="70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bottom w:val="single" w:sz="8" w:color="B6D2E2"/>
              <w:right w:val="single" w:sz="8" w:color="007CBA"/>
            </w:tcBorders>
            <w:shd w:val="clear" w:color="auto" w:fill="B6D2E2"/>
          </w:tcPr>
          <w:p>
            <w:pPr>
              <w:spacing w:after="0"/>
              <w:rPr>
                <w:sz w:val="18"/>
                <w:szCs w:val="18"/>
                <w:color w:val="auto"/>
              </w:rPr>
            </w:pPr>
          </w:p>
        </w:tc>
        <w:tc>
          <w:tcPr>
            <w:tcW w:w="240" w:type="dxa"/>
            <w:vAlign w:val="bottom"/>
            <w:tcBorders>
              <w:bottom w:val="single" w:sz="8" w:color="B6D2E2"/>
            </w:tcBorders>
            <w:shd w:val="clear" w:color="auto" w:fill="B6D2E2"/>
          </w:tcPr>
          <w:p>
            <w:pPr>
              <w:spacing w:after="0"/>
              <w:rPr>
                <w:sz w:val="18"/>
                <w:szCs w:val="18"/>
                <w:color w:val="auto"/>
              </w:rPr>
            </w:pPr>
          </w:p>
        </w:tc>
        <w:tc>
          <w:tcPr>
            <w:tcW w:w="84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00" w:type="dxa"/>
            <w:vAlign w:val="bottom"/>
            <w:tcBorders>
              <w:bottom w:val="single" w:sz="8" w:color="B6D2E2"/>
              <w:right w:val="single" w:sz="8" w:color="007CBA"/>
            </w:tcBorders>
            <w:shd w:val="clear" w:color="auto" w:fill="B6D2E2"/>
          </w:tcPr>
          <w:p>
            <w:pPr>
              <w:spacing w:after="0"/>
              <w:rPr>
                <w:sz w:val="18"/>
                <w:szCs w:val="18"/>
                <w:color w:val="auto"/>
              </w:rPr>
            </w:pPr>
          </w:p>
        </w:tc>
        <w:tc>
          <w:tcPr>
            <w:tcW w:w="220" w:type="dxa"/>
            <w:vAlign w:val="bottom"/>
            <w:tcBorders>
              <w:bottom w:val="single" w:sz="8" w:color="B6D2E2"/>
            </w:tcBorders>
            <w:shd w:val="clear" w:color="auto" w:fill="B6D2E2"/>
          </w:tcPr>
          <w:p>
            <w:pPr>
              <w:spacing w:after="0"/>
              <w:rPr>
                <w:sz w:val="18"/>
                <w:szCs w:val="18"/>
                <w:color w:val="auto"/>
              </w:rPr>
            </w:pPr>
          </w:p>
        </w:tc>
        <w:tc>
          <w:tcPr>
            <w:tcW w:w="68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rPr>
              <w:t>(150.0</w:t>
            </w:r>
          </w:p>
        </w:tc>
        <w:tc>
          <w:tcPr>
            <w:tcW w:w="120" w:type="dxa"/>
            <w:vAlign w:val="bottom"/>
            <w:tcBorders>
              <w:bottom w:val="single" w:sz="8" w:color="B6D2E2"/>
              <w:right w:val="single" w:sz="8" w:color="007CBA"/>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w w:val="90"/>
              </w:rPr>
              <w:t>)</w:t>
            </w:r>
          </w:p>
        </w:tc>
        <w:tc>
          <w:tcPr>
            <w:tcW w:w="220" w:type="dxa"/>
            <w:vAlign w:val="bottom"/>
            <w:tcBorders>
              <w:bottom w:val="single" w:sz="8" w:color="B6D2E2"/>
            </w:tcBorders>
            <w:shd w:val="clear" w:color="auto" w:fill="B6D2E2"/>
          </w:tcPr>
          <w:p>
            <w:pPr>
              <w:spacing w:after="0"/>
              <w:rPr>
                <w:sz w:val="18"/>
                <w:szCs w:val="18"/>
                <w:color w:val="auto"/>
              </w:rPr>
            </w:pPr>
          </w:p>
        </w:tc>
        <w:tc>
          <w:tcPr>
            <w:tcW w:w="68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rPr>
              <w:t>(150.0</w:t>
            </w:r>
          </w:p>
        </w:tc>
        <w:tc>
          <w:tcPr>
            <w:tcW w:w="120" w:type="dxa"/>
            <w:vAlign w:val="bottom"/>
            <w:tcBorders>
              <w:bottom w:val="single" w:sz="8" w:color="B6D2E2"/>
              <w:right w:val="single" w:sz="8" w:color="007CBA"/>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w w:val="90"/>
              </w:rPr>
              <w:t>)</w:t>
            </w:r>
          </w:p>
        </w:tc>
        <w:tc>
          <w:tcPr>
            <w:tcW w:w="200" w:type="dxa"/>
            <w:vAlign w:val="bottom"/>
            <w:tcBorders>
              <w:bottom w:val="single" w:sz="8" w:color="B6D2E2"/>
            </w:tcBorders>
            <w:shd w:val="clear" w:color="auto" w:fill="B6D2E2"/>
          </w:tcPr>
          <w:p>
            <w:pPr>
              <w:spacing w:after="0"/>
              <w:rPr>
                <w:sz w:val="18"/>
                <w:szCs w:val="18"/>
                <w:color w:val="auto"/>
              </w:rPr>
            </w:pPr>
          </w:p>
        </w:tc>
        <w:tc>
          <w:tcPr>
            <w:tcW w:w="70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00" w:type="dxa"/>
            <w:vAlign w:val="bottom"/>
            <w:tcBorders>
              <w:bottom w:val="single" w:sz="8" w:color="B6D2E2"/>
              <w:right w:val="single" w:sz="8" w:color="007CBA"/>
            </w:tcBorders>
            <w:shd w:val="clear" w:color="auto" w:fill="B6D2E2"/>
          </w:tcPr>
          <w:p>
            <w:pPr>
              <w:spacing w:after="0"/>
              <w:rPr>
                <w:sz w:val="18"/>
                <w:szCs w:val="18"/>
                <w:color w:val="auto"/>
              </w:rPr>
            </w:pPr>
          </w:p>
        </w:tc>
        <w:tc>
          <w:tcPr>
            <w:tcW w:w="220" w:type="dxa"/>
            <w:vAlign w:val="bottom"/>
            <w:tcBorders>
              <w:bottom w:val="single" w:sz="8" w:color="B6D2E2"/>
            </w:tcBorders>
            <w:shd w:val="clear" w:color="auto" w:fill="B6D2E2"/>
          </w:tcPr>
          <w:p>
            <w:pPr>
              <w:spacing w:after="0"/>
              <w:rPr>
                <w:sz w:val="18"/>
                <w:szCs w:val="18"/>
                <w:color w:val="auto"/>
              </w:rPr>
            </w:pPr>
          </w:p>
        </w:tc>
        <w:tc>
          <w:tcPr>
            <w:tcW w:w="72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rPr>
              <w:t>(150.0</w:t>
            </w:r>
          </w:p>
        </w:tc>
        <w:tc>
          <w:tcPr>
            <w:tcW w:w="100" w:type="dxa"/>
            <w:vAlign w:val="bottom"/>
            <w:tcBorders>
              <w:bottom w:val="single" w:sz="8" w:color="B6D2E2"/>
              <w:right w:val="single" w:sz="8" w:color="B6D2E2"/>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w w:val="90"/>
              </w:rPr>
              <w:t>)</w:t>
            </w:r>
          </w:p>
        </w:tc>
      </w:tr>
      <w:tr>
        <w:trPr>
          <w:trHeight w:val="203"/>
        </w:trPr>
        <w:tc>
          <w:tcPr>
            <w:tcW w:w="3060" w:type="dxa"/>
            <w:vAlign w:val="bottom"/>
          </w:tcPr>
          <w:p>
            <w:pPr>
              <w:ind w:left="160"/>
              <w:spacing w:after="0" w:line="169" w:lineRule="exact"/>
              <w:rPr>
                <w:sz w:val="20"/>
                <w:szCs w:val="20"/>
                <w:color w:val="auto"/>
              </w:rPr>
            </w:pPr>
            <w:r>
              <w:rPr>
                <w:rFonts w:ascii="Calibri" w:cs="Calibri" w:eastAsia="Calibri" w:hAnsi="Calibri"/>
                <w:sz w:val="14"/>
                <w:szCs w:val="14"/>
                <w:b w:val="1"/>
                <w:bCs w:val="1"/>
                <w:color w:val="auto"/>
              </w:rPr>
              <w:t>Stock-based compensaton expense</w:t>
            </w:r>
          </w:p>
        </w:tc>
        <w:tc>
          <w:tcPr>
            <w:tcW w:w="120" w:type="dxa"/>
            <w:vAlign w:val="bottom"/>
            <w:tcBorders>
              <w:bottom w:val="single" w:sz="8" w:color="B6D2E2"/>
            </w:tcBorders>
            <w:shd w:val="clear" w:color="auto" w:fill="B6D2E2"/>
          </w:tcPr>
          <w:p>
            <w:pPr>
              <w:spacing w:after="0"/>
              <w:rPr>
                <w:sz w:val="17"/>
                <w:szCs w:val="17"/>
                <w:color w:val="auto"/>
              </w:rPr>
            </w:pPr>
          </w:p>
        </w:tc>
        <w:tc>
          <w:tcPr>
            <w:tcW w:w="560" w:type="dxa"/>
            <w:vAlign w:val="bottom"/>
            <w:tcBorders>
              <w:bottom w:val="single" w:sz="8" w:color="B6D2E2"/>
            </w:tcBorders>
            <w:shd w:val="clear" w:color="auto" w:fill="B6D2E2"/>
          </w:tcPr>
          <w:p>
            <w:pPr>
              <w:jc w:val="right"/>
              <w:spacing w:after="0" w:line="169" w:lineRule="exact"/>
              <w:rPr>
                <w:sz w:val="20"/>
                <w:szCs w:val="20"/>
                <w:color w:val="auto"/>
              </w:rPr>
            </w:pPr>
            <w:r>
              <w:rPr>
                <w:rFonts w:ascii="Calibri" w:cs="Calibri" w:eastAsia="Calibri" w:hAnsi="Calibri"/>
                <w:sz w:val="14"/>
                <w:szCs w:val="14"/>
                <w:b w:val="1"/>
                <w:bCs w:val="1"/>
                <w:color w:val="auto"/>
              </w:rPr>
              <w:t>—</w:t>
            </w:r>
          </w:p>
        </w:tc>
        <w:tc>
          <w:tcPr>
            <w:tcW w:w="120" w:type="dxa"/>
            <w:vAlign w:val="bottom"/>
            <w:tcBorders>
              <w:bottom w:val="single" w:sz="8" w:color="B6D2E2"/>
              <w:right w:val="single" w:sz="8" w:color="B6D2E2"/>
            </w:tcBorders>
            <w:shd w:val="clear" w:color="auto" w:fill="B6D2E2"/>
          </w:tcPr>
          <w:p>
            <w:pPr>
              <w:spacing w:after="0"/>
              <w:rPr>
                <w:sz w:val="17"/>
                <w:szCs w:val="17"/>
                <w:color w:val="auto"/>
              </w:rPr>
            </w:pPr>
          </w:p>
        </w:tc>
        <w:tc>
          <w:tcPr>
            <w:tcW w:w="220" w:type="dxa"/>
            <w:vAlign w:val="bottom"/>
            <w:tcBorders>
              <w:bottom w:val="single" w:sz="8" w:color="B6D2E2"/>
            </w:tcBorders>
            <w:shd w:val="clear" w:color="auto" w:fill="B6D2E2"/>
          </w:tcPr>
          <w:p>
            <w:pPr>
              <w:spacing w:after="0"/>
              <w:rPr>
                <w:sz w:val="17"/>
                <w:szCs w:val="17"/>
                <w:color w:val="auto"/>
              </w:rPr>
            </w:pPr>
          </w:p>
        </w:tc>
        <w:tc>
          <w:tcPr>
            <w:tcW w:w="700" w:type="dxa"/>
            <w:vAlign w:val="bottom"/>
            <w:tcBorders>
              <w:bottom w:val="single" w:sz="8" w:color="B6D2E2"/>
            </w:tcBorders>
            <w:shd w:val="clear" w:color="auto" w:fill="B6D2E2"/>
          </w:tcPr>
          <w:p>
            <w:pPr>
              <w:jc w:val="right"/>
              <w:spacing w:after="0" w:line="169" w:lineRule="exact"/>
              <w:rPr>
                <w:sz w:val="20"/>
                <w:szCs w:val="20"/>
                <w:color w:val="auto"/>
              </w:rPr>
            </w:pPr>
            <w:r>
              <w:rPr>
                <w:rFonts w:ascii="Calibri" w:cs="Calibri" w:eastAsia="Calibri" w:hAnsi="Calibri"/>
                <w:sz w:val="14"/>
                <w:szCs w:val="14"/>
                <w:b w:val="1"/>
                <w:bCs w:val="1"/>
                <w:color w:val="auto"/>
              </w:rPr>
              <w:t>—</w:t>
            </w:r>
          </w:p>
        </w:tc>
        <w:tc>
          <w:tcPr>
            <w:tcW w:w="140" w:type="dxa"/>
            <w:vAlign w:val="bottom"/>
            <w:tcBorders>
              <w:bottom w:val="single" w:sz="8" w:color="B6D2E2"/>
              <w:right w:val="single" w:sz="8" w:color="B6D2E2"/>
            </w:tcBorders>
            <w:shd w:val="clear" w:color="auto" w:fill="B6D2E2"/>
          </w:tcPr>
          <w:p>
            <w:pPr>
              <w:spacing w:after="0"/>
              <w:rPr>
                <w:sz w:val="17"/>
                <w:szCs w:val="17"/>
                <w:color w:val="auto"/>
              </w:rPr>
            </w:pPr>
          </w:p>
        </w:tc>
        <w:tc>
          <w:tcPr>
            <w:tcW w:w="200" w:type="dxa"/>
            <w:vAlign w:val="bottom"/>
            <w:tcBorders>
              <w:bottom w:val="single" w:sz="8" w:color="B6D2E2"/>
            </w:tcBorders>
            <w:shd w:val="clear" w:color="auto" w:fill="B6D2E2"/>
          </w:tcPr>
          <w:p>
            <w:pPr>
              <w:spacing w:after="0"/>
              <w:rPr>
                <w:sz w:val="17"/>
                <w:szCs w:val="17"/>
                <w:color w:val="auto"/>
              </w:rPr>
            </w:pPr>
          </w:p>
        </w:tc>
        <w:tc>
          <w:tcPr>
            <w:tcW w:w="40" w:type="dxa"/>
            <w:vAlign w:val="bottom"/>
            <w:tcBorders>
              <w:bottom w:val="single" w:sz="8" w:color="B6D2E2"/>
            </w:tcBorders>
            <w:shd w:val="clear" w:color="auto" w:fill="B6D2E2"/>
          </w:tcPr>
          <w:p>
            <w:pPr>
              <w:spacing w:after="0"/>
              <w:rPr>
                <w:sz w:val="17"/>
                <w:szCs w:val="17"/>
                <w:color w:val="auto"/>
              </w:rPr>
            </w:pPr>
          </w:p>
        </w:tc>
        <w:tc>
          <w:tcPr>
            <w:tcW w:w="700" w:type="dxa"/>
            <w:vAlign w:val="bottom"/>
            <w:tcBorders>
              <w:bottom w:val="single" w:sz="8" w:color="B6D2E2"/>
            </w:tcBorders>
            <w:shd w:val="clear" w:color="auto" w:fill="B6D2E2"/>
          </w:tcPr>
          <w:p>
            <w:pPr>
              <w:jc w:val="right"/>
              <w:spacing w:after="0" w:line="169" w:lineRule="exact"/>
              <w:rPr>
                <w:sz w:val="20"/>
                <w:szCs w:val="20"/>
                <w:color w:val="auto"/>
              </w:rPr>
            </w:pPr>
            <w:r>
              <w:rPr>
                <w:rFonts w:ascii="Calibri" w:cs="Calibri" w:eastAsia="Calibri" w:hAnsi="Calibri"/>
                <w:sz w:val="14"/>
                <w:szCs w:val="14"/>
                <w:b w:val="1"/>
                <w:bCs w:val="1"/>
                <w:color w:val="auto"/>
              </w:rPr>
              <w:t>42.7</w:t>
            </w:r>
          </w:p>
        </w:tc>
        <w:tc>
          <w:tcPr>
            <w:tcW w:w="120" w:type="dxa"/>
            <w:vAlign w:val="bottom"/>
            <w:tcBorders>
              <w:bottom w:val="single" w:sz="8" w:color="B6D2E2"/>
              <w:right w:val="single" w:sz="8" w:color="B6D2E2"/>
            </w:tcBorders>
            <w:shd w:val="clear" w:color="auto" w:fill="B6D2E2"/>
          </w:tcPr>
          <w:p>
            <w:pPr>
              <w:spacing w:after="0"/>
              <w:rPr>
                <w:sz w:val="17"/>
                <w:szCs w:val="17"/>
                <w:color w:val="auto"/>
              </w:rPr>
            </w:pPr>
          </w:p>
        </w:tc>
        <w:tc>
          <w:tcPr>
            <w:tcW w:w="240" w:type="dxa"/>
            <w:vAlign w:val="bottom"/>
            <w:tcBorders>
              <w:bottom w:val="single" w:sz="8" w:color="B6D2E2"/>
            </w:tcBorders>
            <w:shd w:val="clear" w:color="auto" w:fill="B6D2E2"/>
          </w:tcPr>
          <w:p>
            <w:pPr>
              <w:spacing w:after="0"/>
              <w:rPr>
                <w:sz w:val="17"/>
                <w:szCs w:val="17"/>
                <w:color w:val="auto"/>
              </w:rPr>
            </w:pPr>
          </w:p>
        </w:tc>
        <w:tc>
          <w:tcPr>
            <w:tcW w:w="840" w:type="dxa"/>
            <w:vAlign w:val="bottom"/>
            <w:tcBorders>
              <w:bottom w:val="single" w:sz="8" w:color="B6D2E2"/>
            </w:tcBorders>
            <w:shd w:val="clear" w:color="auto" w:fill="B6D2E2"/>
          </w:tcPr>
          <w:p>
            <w:pPr>
              <w:jc w:val="right"/>
              <w:spacing w:after="0" w:line="169" w:lineRule="exact"/>
              <w:rPr>
                <w:sz w:val="20"/>
                <w:szCs w:val="20"/>
                <w:color w:val="auto"/>
              </w:rPr>
            </w:pPr>
            <w:r>
              <w:rPr>
                <w:rFonts w:ascii="Calibri" w:cs="Calibri" w:eastAsia="Calibri" w:hAnsi="Calibri"/>
                <w:sz w:val="14"/>
                <w:szCs w:val="14"/>
                <w:b w:val="1"/>
                <w:bCs w:val="1"/>
                <w:color w:val="auto"/>
              </w:rPr>
              <w:t>—</w:t>
            </w:r>
          </w:p>
        </w:tc>
        <w:tc>
          <w:tcPr>
            <w:tcW w:w="100" w:type="dxa"/>
            <w:vAlign w:val="bottom"/>
            <w:tcBorders>
              <w:bottom w:val="single" w:sz="8" w:color="B6D2E2"/>
              <w:right w:val="single" w:sz="8" w:color="B6D2E2"/>
            </w:tcBorders>
            <w:shd w:val="clear" w:color="auto" w:fill="B6D2E2"/>
          </w:tcPr>
          <w:p>
            <w:pPr>
              <w:spacing w:after="0"/>
              <w:rPr>
                <w:sz w:val="17"/>
                <w:szCs w:val="17"/>
                <w:color w:val="auto"/>
              </w:rPr>
            </w:pPr>
          </w:p>
        </w:tc>
        <w:tc>
          <w:tcPr>
            <w:tcW w:w="220" w:type="dxa"/>
            <w:vAlign w:val="bottom"/>
            <w:tcBorders>
              <w:bottom w:val="single" w:sz="8" w:color="B6D2E2"/>
            </w:tcBorders>
            <w:shd w:val="clear" w:color="auto" w:fill="B6D2E2"/>
          </w:tcPr>
          <w:p>
            <w:pPr>
              <w:spacing w:after="0"/>
              <w:rPr>
                <w:sz w:val="17"/>
                <w:szCs w:val="17"/>
                <w:color w:val="auto"/>
              </w:rPr>
            </w:pPr>
          </w:p>
        </w:tc>
        <w:tc>
          <w:tcPr>
            <w:tcW w:w="680" w:type="dxa"/>
            <w:vAlign w:val="bottom"/>
            <w:tcBorders>
              <w:bottom w:val="single" w:sz="8" w:color="B6D2E2"/>
            </w:tcBorders>
            <w:shd w:val="clear" w:color="auto" w:fill="B6D2E2"/>
          </w:tcPr>
          <w:p>
            <w:pPr>
              <w:jc w:val="right"/>
              <w:spacing w:after="0" w:line="169" w:lineRule="exact"/>
              <w:rPr>
                <w:sz w:val="20"/>
                <w:szCs w:val="20"/>
                <w:color w:val="auto"/>
              </w:rPr>
            </w:pPr>
            <w:r>
              <w:rPr>
                <w:rFonts w:ascii="Calibri" w:cs="Calibri" w:eastAsia="Calibri" w:hAnsi="Calibri"/>
                <w:sz w:val="14"/>
                <w:szCs w:val="14"/>
                <w:b w:val="1"/>
                <w:bCs w:val="1"/>
                <w:color w:val="auto"/>
              </w:rPr>
              <w:t>—</w:t>
            </w:r>
          </w:p>
        </w:tc>
        <w:tc>
          <w:tcPr>
            <w:tcW w:w="120" w:type="dxa"/>
            <w:vAlign w:val="bottom"/>
            <w:tcBorders>
              <w:bottom w:val="single" w:sz="8" w:color="B6D2E2"/>
              <w:right w:val="single" w:sz="8" w:color="B6D2E2"/>
            </w:tcBorders>
            <w:shd w:val="clear" w:color="auto" w:fill="B6D2E2"/>
          </w:tcPr>
          <w:p>
            <w:pPr>
              <w:spacing w:after="0"/>
              <w:rPr>
                <w:sz w:val="17"/>
                <w:szCs w:val="17"/>
                <w:color w:val="auto"/>
              </w:rPr>
            </w:pPr>
          </w:p>
        </w:tc>
        <w:tc>
          <w:tcPr>
            <w:tcW w:w="220" w:type="dxa"/>
            <w:vAlign w:val="bottom"/>
            <w:tcBorders>
              <w:bottom w:val="single" w:sz="8" w:color="B6D2E2"/>
            </w:tcBorders>
            <w:shd w:val="clear" w:color="auto" w:fill="B6D2E2"/>
          </w:tcPr>
          <w:p>
            <w:pPr>
              <w:spacing w:after="0"/>
              <w:rPr>
                <w:sz w:val="17"/>
                <w:szCs w:val="17"/>
                <w:color w:val="auto"/>
              </w:rPr>
            </w:pPr>
          </w:p>
        </w:tc>
        <w:tc>
          <w:tcPr>
            <w:tcW w:w="680" w:type="dxa"/>
            <w:vAlign w:val="bottom"/>
            <w:tcBorders>
              <w:bottom w:val="single" w:sz="8" w:color="B6D2E2"/>
            </w:tcBorders>
            <w:shd w:val="clear" w:color="auto" w:fill="B6D2E2"/>
          </w:tcPr>
          <w:p>
            <w:pPr>
              <w:jc w:val="right"/>
              <w:spacing w:after="0" w:line="169" w:lineRule="exact"/>
              <w:rPr>
                <w:sz w:val="20"/>
                <w:szCs w:val="20"/>
                <w:color w:val="auto"/>
              </w:rPr>
            </w:pPr>
            <w:r>
              <w:rPr>
                <w:rFonts w:ascii="Calibri" w:cs="Calibri" w:eastAsia="Calibri" w:hAnsi="Calibri"/>
                <w:sz w:val="14"/>
                <w:szCs w:val="14"/>
                <w:b w:val="1"/>
                <w:bCs w:val="1"/>
                <w:color w:val="auto"/>
              </w:rPr>
              <w:t>42.7</w:t>
            </w:r>
          </w:p>
        </w:tc>
        <w:tc>
          <w:tcPr>
            <w:tcW w:w="120" w:type="dxa"/>
            <w:vAlign w:val="bottom"/>
            <w:tcBorders>
              <w:bottom w:val="single" w:sz="8" w:color="B6D2E2"/>
              <w:right w:val="single" w:sz="8" w:color="B6D2E2"/>
            </w:tcBorders>
            <w:shd w:val="clear" w:color="auto" w:fill="B6D2E2"/>
          </w:tcPr>
          <w:p>
            <w:pPr>
              <w:spacing w:after="0"/>
              <w:rPr>
                <w:sz w:val="17"/>
                <w:szCs w:val="17"/>
                <w:color w:val="auto"/>
              </w:rPr>
            </w:pPr>
          </w:p>
        </w:tc>
        <w:tc>
          <w:tcPr>
            <w:tcW w:w="200" w:type="dxa"/>
            <w:vAlign w:val="bottom"/>
            <w:tcBorders>
              <w:bottom w:val="single" w:sz="8" w:color="B6D2E2"/>
            </w:tcBorders>
            <w:shd w:val="clear" w:color="auto" w:fill="B6D2E2"/>
          </w:tcPr>
          <w:p>
            <w:pPr>
              <w:spacing w:after="0"/>
              <w:rPr>
                <w:sz w:val="17"/>
                <w:szCs w:val="17"/>
                <w:color w:val="auto"/>
              </w:rPr>
            </w:pPr>
          </w:p>
        </w:tc>
        <w:tc>
          <w:tcPr>
            <w:tcW w:w="700" w:type="dxa"/>
            <w:vAlign w:val="bottom"/>
            <w:tcBorders>
              <w:bottom w:val="single" w:sz="8" w:color="B6D2E2"/>
            </w:tcBorders>
            <w:shd w:val="clear" w:color="auto" w:fill="B6D2E2"/>
          </w:tcPr>
          <w:p>
            <w:pPr>
              <w:jc w:val="right"/>
              <w:spacing w:after="0" w:line="169" w:lineRule="exact"/>
              <w:rPr>
                <w:sz w:val="20"/>
                <w:szCs w:val="20"/>
                <w:color w:val="auto"/>
              </w:rPr>
            </w:pPr>
            <w:r>
              <w:rPr>
                <w:rFonts w:ascii="Calibri" w:cs="Calibri" w:eastAsia="Calibri" w:hAnsi="Calibri"/>
                <w:sz w:val="14"/>
                <w:szCs w:val="14"/>
                <w:b w:val="1"/>
                <w:bCs w:val="1"/>
                <w:color w:val="auto"/>
              </w:rPr>
              <w:t>—</w:t>
            </w:r>
          </w:p>
        </w:tc>
        <w:tc>
          <w:tcPr>
            <w:tcW w:w="100" w:type="dxa"/>
            <w:vAlign w:val="bottom"/>
            <w:tcBorders>
              <w:bottom w:val="single" w:sz="8" w:color="B6D2E2"/>
              <w:right w:val="single" w:sz="8" w:color="B6D2E2"/>
            </w:tcBorders>
            <w:shd w:val="clear" w:color="auto" w:fill="B6D2E2"/>
          </w:tcPr>
          <w:p>
            <w:pPr>
              <w:spacing w:after="0"/>
              <w:rPr>
                <w:sz w:val="17"/>
                <w:szCs w:val="17"/>
                <w:color w:val="auto"/>
              </w:rPr>
            </w:pPr>
          </w:p>
        </w:tc>
        <w:tc>
          <w:tcPr>
            <w:tcW w:w="220" w:type="dxa"/>
            <w:vAlign w:val="bottom"/>
            <w:tcBorders>
              <w:bottom w:val="single" w:sz="8" w:color="B6D2E2"/>
            </w:tcBorders>
            <w:shd w:val="clear" w:color="auto" w:fill="B6D2E2"/>
          </w:tcPr>
          <w:p>
            <w:pPr>
              <w:spacing w:after="0"/>
              <w:rPr>
                <w:sz w:val="17"/>
                <w:szCs w:val="17"/>
                <w:color w:val="auto"/>
              </w:rPr>
            </w:pPr>
          </w:p>
        </w:tc>
        <w:tc>
          <w:tcPr>
            <w:tcW w:w="720" w:type="dxa"/>
            <w:vAlign w:val="bottom"/>
            <w:tcBorders>
              <w:bottom w:val="single" w:sz="8" w:color="B6D2E2"/>
            </w:tcBorders>
            <w:shd w:val="clear" w:color="auto" w:fill="B6D2E2"/>
          </w:tcPr>
          <w:p>
            <w:pPr>
              <w:jc w:val="right"/>
              <w:spacing w:after="0" w:line="169" w:lineRule="exact"/>
              <w:rPr>
                <w:sz w:val="20"/>
                <w:szCs w:val="20"/>
                <w:color w:val="auto"/>
              </w:rPr>
            </w:pPr>
            <w:r>
              <w:rPr>
                <w:rFonts w:ascii="Calibri" w:cs="Calibri" w:eastAsia="Calibri" w:hAnsi="Calibri"/>
                <w:sz w:val="14"/>
                <w:szCs w:val="14"/>
                <w:b w:val="1"/>
                <w:bCs w:val="1"/>
                <w:color w:val="auto"/>
              </w:rPr>
              <w:t>42.7</w:t>
            </w:r>
          </w:p>
        </w:tc>
        <w:tc>
          <w:tcPr>
            <w:tcW w:w="100" w:type="dxa"/>
            <w:vAlign w:val="bottom"/>
            <w:tcBorders>
              <w:bottom w:val="single" w:sz="8" w:color="B6D2E2"/>
              <w:right w:val="single" w:sz="8" w:color="B6D2E2"/>
            </w:tcBorders>
            <w:shd w:val="clear" w:color="auto" w:fill="B6D2E2"/>
          </w:tcPr>
          <w:p>
            <w:pPr>
              <w:spacing w:after="0"/>
              <w:rPr>
                <w:sz w:val="17"/>
                <w:szCs w:val="17"/>
                <w:color w:val="auto"/>
              </w:rPr>
            </w:pPr>
          </w:p>
        </w:tc>
      </w:tr>
      <w:tr>
        <w:trPr>
          <w:trHeight w:val="216"/>
        </w:trPr>
        <w:tc>
          <w:tcPr>
            <w:tcW w:w="3060" w:type="dxa"/>
            <w:vAlign w:val="bottom"/>
            <w:tcBorders>
              <w:top w:val="single" w:sz="8" w:color="auto"/>
            </w:tcBorders>
          </w:tcPr>
          <w:p>
            <w:pPr>
              <w:ind w:left="20"/>
              <w:spacing w:after="0" w:line="164" w:lineRule="exact"/>
              <w:rPr>
                <w:sz w:val="20"/>
                <w:szCs w:val="20"/>
                <w:color w:val="auto"/>
              </w:rPr>
            </w:pPr>
            <w:r>
              <w:rPr>
                <w:rFonts w:ascii="Calibri" w:cs="Calibri" w:eastAsia="Calibri" w:hAnsi="Calibri"/>
                <w:sz w:val="14"/>
                <w:szCs w:val="14"/>
                <w:b w:val="1"/>
                <w:bCs w:val="1"/>
                <w:color w:val="auto"/>
              </w:rPr>
              <w:t>Balance at December 31, 2022</w:t>
            </w:r>
          </w:p>
        </w:tc>
        <w:tc>
          <w:tcPr>
            <w:tcW w:w="120" w:type="dxa"/>
            <w:vAlign w:val="bottom"/>
            <w:tcBorders>
              <w:top w:val="single" w:sz="8" w:color="auto"/>
              <w:bottom w:val="single" w:sz="8" w:color="B6D2E2"/>
            </w:tcBorders>
            <w:shd w:val="clear" w:color="auto" w:fill="B6D2E2"/>
          </w:tcPr>
          <w:p>
            <w:pPr>
              <w:spacing w:after="0"/>
              <w:rPr>
                <w:sz w:val="18"/>
                <w:szCs w:val="18"/>
                <w:color w:val="auto"/>
              </w:rPr>
            </w:pPr>
          </w:p>
        </w:tc>
        <w:tc>
          <w:tcPr>
            <w:tcW w:w="560" w:type="dxa"/>
            <w:vAlign w:val="bottom"/>
            <w:tcBorders>
              <w:top w:val="single" w:sz="8" w:color="auto"/>
              <w:bottom w:val="single" w:sz="8" w:color="B6D2E2"/>
            </w:tcBorders>
            <w:shd w:val="clear" w:color="auto" w:fill="B6D2E2"/>
          </w:tcPr>
          <w:p>
            <w:pPr>
              <w:jc w:val="right"/>
              <w:spacing w:after="0" w:line="164" w:lineRule="exact"/>
              <w:rPr>
                <w:sz w:val="20"/>
                <w:szCs w:val="20"/>
                <w:color w:val="auto"/>
              </w:rPr>
            </w:pPr>
            <w:r>
              <w:rPr>
                <w:rFonts w:ascii="Calibri" w:cs="Calibri" w:eastAsia="Calibri" w:hAnsi="Calibri"/>
                <w:sz w:val="14"/>
                <w:szCs w:val="14"/>
                <w:b w:val="1"/>
                <w:bCs w:val="1"/>
                <w:color w:val="auto"/>
              </w:rPr>
              <w:t>62.1</w:t>
            </w:r>
          </w:p>
        </w:tc>
        <w:tc>
          <w:tcPr>
            <w:tcW w:w="120" w:type="dxa"/>
            <w:vAlign w:val="bottom"/>
            <w:tcBorders>
              <w:top w:val="single" w:sz="8" w:color="auto"/>
              <w:bottom w:val="single" w:sz="8" w:color="B6D2E2"/>
              <w:right w:val="single" w:sz="8" w:color="B6D2E2"/>
            </w:tcBorders>
            <w:shd w:val="clear" w:color="auto" w:fill="B6D2E2"/>
          </w:tcPr>
          <w:p>
            <w:pPr>
              <w:spacing w:after="0"/>
              <w:rPr>
                <w:sz w:val="18"/>
                <w:szCs w:val="18"/>
                <w:color w:val="auto"/>
              </w:rPr>
            </w:pPr>
          </w:p>
        </w:tc>
        <w:tc>
          <w:tcPr>
            <w:tcW w:w="220" w:type="dxa"/>
            <w:vAlign w:val="bottom"/>
            <w:tcBorders>
              <w:top w:val="single" w:sz="8" w:color="auto"/>
              <w:bottom w:val="single" w:sz="8" w:color="B6D2E2"/>
            </w:tcBorders>
            <w:shd w:val="clear" w:color="auto" w:fill="B6D2E2"/>
          </w:tcPr>
          <w:p>
            <w:pPr>
              <w:jc w:val="right"/>
              <w:spacing w:after="0" w:line="164" w:lineRule="exact"/>
              <w:rPr>
                <w:sz w:val="20"/>
                <w:szCs w:val="20"/>
                <w:color w:val="auto"/>
              </w:rPr>
            </w:pPr>
            <w:r>
              <w:rPr>
                <w:rFonts w:ascii="Calibri" w:cs="Calibri" w:eastAsia="Calibri" w:hAnsi="Calibri"/>
                <w:sz w:val="14"/>
                <w:szCs w:val="14"/>
                <w:b w:val="1"/>
                <w:bCs w:val="1"/>
                <w:color w:val="auto"/>
              </w:rPr>
              <w:t>$</w:t>
            </w:r>
          </w:p>
        </w:tc>
        <w:tc>
          <w:tcPr>
            <w:tcW w:w="700" w:type="dxa"/>
            <w:vAlign w:val="bottom"/>
            <w:tcBorders>
              <w:top w:val="single" w:sz="8" w:color="auto"/>
              <w:bottom w:val="single" w:sz="8" w:color="B6D2E2"/>
            </w:tcBorders>
            <w:shd w:val="clear" w:color="auto" w:fill="B6D2E2"/>
          </w:tcPr>
          <w:p>
            <w:pPr>
              <w:jc w:val="right"/>
              <w:spacing w:after="0" w:line="164" w:lineRule="exact"/>
              <w:rPr>
                <w:sz w:val="20"/>
                <w:szCs w:val="20"/>
                <w:color w:val="auto"/>
              </w:rPr>
            </w:pPr>
            <w:r>
              <w:rPr>
                <w:rFonts w:ascii="Calibri" w:cs="Calibri" w:eastAsia="Calibri" w:hAnsi="Calibri"/>
                <w:sz w:val="14"/>
                <w:szCs w:val="14"/>
                <w:b w:val="1"/>
                <w:bCs w:val="1"/>
                <w:color w:val="auto"/>
              </w:rPr>
              <w:t>0.6</w:t>
            </w:r>
          </w:p>
        </w:tc>
        <w:tc>
          <w:tcPr>
            <w:tcW w:w="140" w:type="dxa"/>
            <w:vAlign w:val="bottom"/>
            <w:tcBorders>
              <w:top w:val="single" w:sz="8" w:color="auto"/>
              <w:bottom w:val="single" w:sz="8" w:color="B6D2E2"/>
              <w:right w:val="single" w:sz="8" w:color="B6D2E2"/>
            </w:tcBorders>
            <w:shd w:val="clear" w:color="auto" w:fill="B6D2E2"/>
          </w:tcPr>
          <w:p>
            <w:pPr>
              <w:spacing w:after="0"/>
              <w:rPr>
                <w:sz w:val="18"/>
                <w:szCs w:val="18"/>
                <w:color w:val="auto"/>
              </w:rPr>
            </w:pPr>
          </w:p>
        </w:tc>
        <w:tc>
          <w:tcPr>
            <w:tcW w:w="200" w:type="dxa"/>
            <w:vAlign w:val="bottom"/>
            <w:tcBorders>
              <w:top w:val="single" w:sz="8" w:color="auto"/>
              <w:bottom w:val="single" w:sz="8" w:color="B6D2E2"/>
            </w:tcBorders>
            <w:shd w:val="clear" w:color="auto" w:fill="B6D2E2"/>
          </w:tcPr>
          <w:p>
            <w:pPr>
              <w:jc w:val="right"/>
              <w:spacing w:after="0" w:line="164" w:lineRule="exact"/>
              <w:rPr>
                <w:sz w:val="20"/>
                <w:szCs w:val="20"/>
                <w:color w:val="auto"/>
              </w:rPr>
            </w:pPr>
            <w:r>
              <w:rPr>
                <w:rFonts w:ascii="Calibri" w:cs="Calibri" w:eastAsia="Calibri" w:hAnsi="Calibri"/>
                <w:sz w:val="14"/>
                <w:szCs w:val="14"/>
                <w:b w:val="1"/>
                <w:bCs w:val="1"/>
                <w:color w:val="auto"/>
              </w:rPr>
              <w:t>$</w:t>
            </w:r>
          </w:p>
        </w:tc>
        <w:tc>
          <w:tcPr>
            <w:tcW w:w="40" w:type="dxa"/>
            <w:vAlign w:val="bottom"/>
            <w:tcBorders>
              <w:top w:val="single" w:sz="8" w:color="auto"/>
              <w:bottom w:val="single" w:sz="8" w:color="B6D2E2"/>
            </w:tcBorders>
            <w:shd w:val="clear" w:color="auto" w:fill="B6D2E2"/>
          </w:tcPr>
          <w:p>
            <w:pPr>
              <w:spacing w:after="0"/>
              <w:rPr>
                <w:sz w:val="18"/>
                <w:szCs w:val="18"/>
                <w:color w:val="auto"/>
              </w:rPr>
            </w:pPr>
          </w:p>
        </w:tc>
        <w:tc>
          <w:tcPr>
            <w:tcW w:w="700" w:type="dxa"/>
            <w:vAlign w:val="bottom"/>
            <w:tcBorders>
              <w:top w:val="single" w:sz="8" w:color="auto"/>
              <w:bottom w:val="single" w:sz="8" w:color="B6D2E2"/>
            </w:tcBorders>
            <w:shd w:val="clear" w:color="auto" w:fill="B6D2E2"/>
          </w:tcPr>
          <w:p>
            <w:pPr>
              <w:jc w:val="right"/>
              <w:spacing w:after="0" w:line="164" w:lineRule="exact"/>
              <w:rPr>
                <w:sz w:val="20"/>
                <w:szCs w:val="20"/>
                <w:color w:val="auto"/>
              </w:rPr>
            </w:pPr>
            <w:r>
              <w:rPr>
                <w:rFonts w:ascii="Calibri" w:cs="Calibri" w:eastAsia="Calibri" w:hAnsi="Calibri"/>
                <w:sz w:val="14"/>
                <w:szCs w:val="14"/>
                <w:b w:val="1"/>
                <w:bCs w:val="1"/>
                <w:color w:val="auto"/>
              </w:rPr>
              <w:t>3,489.0</w:t>
            </w:r>
          </w:p>
        </w:tc>
        <w:tc>
          <w:tcPr>
            <w:tcW w:w="120" w:type="dxa"/>
            <w:vAlign w:val="bottom"/>
            <w:tcBorders>
              <w:top w:val="single" w:sz="8" w:color="auto"/>
              <w:bottom w:val="single" w:sz="8" w:color="B6D2E2"/>
              <w:right w:val="single" w:sz="8" w:color="B6D2E2"/>
            </w:tcBorders>
            <w:shd w:val="clear" w:color="auto" w:fill="B6D2E2"/>
          </w:tcPr>
          <w:p>
            <w:pPr>
              <w:spacing w:after="0"/>
              <w:rPr>
                <w:sz w:val="18"/>
                <w:szCs w:val="18"/>
                <w:color w:val="auto"/>
              </w:rPr>
            </w:pPr>
          </w:p>
        </w:tc>
        <w:tc>
          <w:tcPr>
            <w:tcW w:w="240" w:type="dxa"/>
            <w:vAlign w:val="bottom"/>
            <w:tcBorders>
              <w:top w:val="single" w:sz="8" w:color="auto"/>
              <w:bottom w:val="single" w:sz="8" w:color="B6D2E2"/>
            </w:tcBorders>
            <w:shd w:val="clear" w:color="auto" w:fill="B6D2E2"/>
          </w:tcPr>
          <w:p>
            <w:pPr>
              <w:jc w:val="right"/>
              <w:spacing w:after="0" w:line="164" w:lineRule="exact"/>
              <w:rPr>
                <w:sz w:val="20"/>
                <w:szCs w:val="20"/>
                <w:color w:val="auto"/>
              </w:rPr>
            </w:pPr>
            <w:r>
              <w:rPr>
                <w:rFonts w:ascii="Calibri" w:cs="Calibri" w:eastAsia="Calibri" w:hAnsi="Calibri"/>
                <w:sz w:val="14"/>
                <w:szCs w:val="14"/>
                <w:b w:val="1"/>
                <w:bCs w:val="1"/>
                <w:color w:val="auto"/>
              </w:rPr>
              <w:t>$</w:t>
            </w:r>
          </w:p>
        </w:tc>
        <w:tc>
          <w:tcPr>
            <w:tcW w:w="840" w:type="dxa"/>
            <w:vAlign w:val="bottom"/>
            <w:tcBorders>
              <w:top w:val="single" w:sz="8" w:color="auto"/>
              <w:bottom w:val="single" w:sz="8" w:color="B6D2E2"/>
            </w:tcBorders>
            <w:shd w:val="clear" w:color="auto" w:fill="B6D2E2"/>
          </w:tcPr>
          <w:p>
            <w:pPr>
              <w:jc w:val="right"/>
              <w:spacing w:after="0" w:line="164" w:lineRule="exact"/>
              <w:rPr>
                <w:sz w:val="20"/>
                <w:szCs w:val="20"/>
                <w:color w:val="auto"/>
              </w:rPr>
            </w:pPr>
            <w:r>
              <w:rPr>
                <w:rFonts w:ascii="Calibri" w:cs="Calibri" w:eastAsia="Calibri" w:hAnsi="Calibri"/>
                <w:sz w:val="14"/>
                <w:szCs w:val="14"/>
                <w:b w:val="1"/>
                <w:bCs w:val="1"/>
                <w:color w:val="auto"/>
              </w:rPr>
              <w:t>(38.5</w:t>
            </w:r>
          </w:p>
        </w:tc>
        <w:tc>
          <w:tcPr>
            <w:tcW w:w="100" w:type="dxa"/>
            <w:vAlign w:val="bottom"/>
            <w:tcBorders>
              <w:top w:val="single" w:sz="8" w:color="auto"/>
              <w:bottom w:val="single" w:sz="8" w:color="B6D2E2"/>
              <w:right w:val="single" w:sz="8" w:color="B6D2E2"/>
            </w:tcBorders>
            <w:shd w:val="clear" w:color="auto" w:fill="B6D2E2"/>
          </w:tcPr>
          <w:p>
            <w:pPr>
              <w:jc w:val="right"/>
              <w:spacing w:after="0" w:line="164" w:lineRule="exact"/>
              <w:rPr>
                <w:sz w:val="20"/>
                <w:szCs w:val="20"/>
                <w:color w:val="auto"/>
              </w:rPr>
            </w:pPr>
            <w:r>
              <w:rPr>
                <w:rFonts w:ascii="Calibri" w:cs="Calibri" w:eastAsia="Calibri" w:hAnsi="Calibri"/>
                <w:sz w:val="14"/>
                <w:szCs w:val="14"/>
                <w:b w:val="1"/>
                <w:bCs w:val="1"/>
                <w:color w:val="auto"/>
                <w:w w:val="90"/>
              </w:rPr>
              <w:t>)</w:t>
            </w:r>
          </w:p>
        </w:tc>
        <w:tc>
          <w:tcPr>
            <w:tcW w:w="220" w:type="dxa"/>
            <w:vAlign w:val="bottom"/>
            <w:tcBorders>
              <w:top w:val="single" w:sz="8" w:color="auto"/>
              <w:bottom w:val="single" w:sz="8" w:color="B6D2E2"/>
            </w:tcBorders>
            <w:shd w:val="clear" w:color="auto" w:fill="B6D2E2"/>
          </w:tcPr>
          <w:p>
            <w:pPr>
              <w:jc w:val="right"/>
              <w:spacing w:after="0" w:line="164" w:lineRule="exact"/>
              <w:rPr>
                <w:sz w:val="20"/>
                <w:szCs w:val="20"/>
                <w:color w:val="auto"/>
              </w:rPr>
            </w:pPr>
            <w:r>
              <w:rPr>
                <w:rFonts w:ascii="Calibri" w:cs="Calibri" w:eastAsia="Calibri" w:hAnsi="Calibri"/>
                <w:sz w:val="14"/>
                <w:szCs w:val="14"/>
                <w:b w:val="1"/>
                <w:bCs w:val="1"/>
                <w:color w:val="auto"/>
              </w:rPr>
              <w:t>$</w:t>
            </w:r>
          </w:p>
        </w:tc>
        <w:tc>
          <w:tcPr>
            <w:tcW w:w="680" w:type="dxa"/>
            <w:vAlign w:val="bottom"/>
            <w:tcBorders>
              <w:top w:val="single" w:sz="8" w:color="auto"/>
              <w:bottom w:val="single" w:sz="8" w:color="B6D2E2"/>
            </w:tcBorders>
            <w:shd w:val="clear" w:color="auto" w:fill="B6D2E2"/>
          </w:tcPr>
          <w:p>
            <w:pPr>
              <w:jc w:val="right"/>
              <w:spacing w:after="0" w:line="164" w:lineRule="exact"/>
              <w:rPr>
                <w:sz w:val="20"/>
                <w:szCs w:val="20"/>
                <w:color w:val="auto"/>
              </w:rPr>
            </w:pPr>
            <w:r>
              <w:rPr>
                <w:rFonts w:ascii="Calibri" w:cs="Calibri" w:eastAsia="Calibri" w:hAnsi="Calibri"/>
                <w:sz w:val="14"/>
                <w:szCs w:val="14"/>
                <w:b w:val="1"/>
                <w:bCs w:val="1"/>
                <w:color w:val="auto"/>
              </w:rPr>
              <w:t>3,719.4</w:t>
            </w:r>
          </w:p>
        </w:tc>
        <w:tc>
          <w:tcPr>
            <w:tcW w:w="120" w:type="dxa"/>
            <w:vAlign w:val="bottom"/>
            <w:tcBorders>
              <w:top w:val="single" w:sz="8" w:color="auto"/>
              <w:bottom w:val="single" w:sz="8" w:color="B6D2E2"/>
              <w:right w:val="single" w:sz="8" w:color="B6D2E2"/>
            </w:tcBorders>
            <w:shd w:val="clear" w:color="auto" w:fill="B6D2E2"/>
          </w:tcPr>
          <w:p>
            <w:pPr>
              <w:spacing w:after="0"/>
              <w:rPr>
                <w:sz w:val="18"/>
                <w:szCs w:val="18"/>
                <w:color w:val="auto"/>
              </w:rPr>
            </w:pPr>
          </w:p>
        </w:tc>
        <w:tc>
          <w:tcPr>
            <w:tcW w:w="220" w:type="dxa"/>
            <w:vAlign w:val="bottom"/>
            <w:tcBorders>
              <w:top w:val="single" w:sz="8" w:color="auto"/>
              <w:bottom w:val="single" w:sz="8" w:color="B6D2E2"/>
            </w:tcBorders>
            <w:shd w:val="clear" w:color="auto" w:fill="B6D2E2"/>
          </w:tcPr>
          <w:p>
            <w:pPr>
              <w:jc w:val="right"/>
              <w:spacing w:after="0" w:line="164" w:lineRule="exact"/>
              <w:rPr>
                <w:sz w:val="20"/>
                <w:szCs w:val="20"/>
                <w:color w:val="auto"/>
              </w:rPr>
            </w:pPr>
            <w:r>
              <w:rPr>
                <w:rFonts w:ascii="Calibri" w:cs="Calibri" w:eastAsia="Calibri" w:hAnsi="Calibri"/>
                <w:sz w:val="14"/>
                <w:szCs w:val="14"/>
                <w:b w:val="1"/>
                <w:bCs w:val="1"/>
                <w:color w:val="auto"/>
              </w:rPr>
              <w:t>$</w:t>
            </w:r>
          </w:p>
        </w:tc>
        <w:tc>
          <w:tcPr>
            <w:tcW w:w="680" w:type="dxa"/>
            <w:vAlign w:val="bottom"/>
            <w:tcBorders>
              <w:top w:val="single" w:sz="8" w:color="auto"/>
              <w:bottom w:val="single" w:sz="8" w:color="B6D2E2"/>
            </w:tcBorders>
            <w:shd w:val="clear" w:color="auto" w:fill="B6D2E2"/>
          </w:tcPr>
          <w:p>
            <w:pPr>
              <w:jc w:val="right"/>
              <w:spacing w:after="0" w:line="164" w:lineRule="exact"/>
              <w:rPr>
                <w:sz w:val="20"/>
                <w:szCs w:val="20"/>
                <w:color w:val="auto"/>
              </w:rPr>
            </w:pPr>
            <w:r>
              <w:rPr>
                <w:rFonts w:ascii="Calibri" w:cs="Calibri" w:eastAsia="Calibri" w:hAnsi="Calibri"/>
                <w:sz w:val="14"/>
                <w:szCs w:val="14"/>
                <w:b w:val="1"/>
                <w:bCs w:val="1"/>
                <w:color w:val="auto"/>
              </w:rPr>
              <w:t>7,170.5</w:t>
            </w:r>
          </w:p>
        </w:tc>
        <w:tc>
          <w:tcPr>
            <w:tcW w:w="120" w:type="dxa"/>
            <w:vAlign w:val="bottom"/>
            <w:tcBorders>
              <w:top w:val="single" w:sz="8" w:color="auto"/>
              <w:bottom w:val="single" w:sz="8" w:color="B6D2E2"/>
              <w:right w:val="single" w:sz="8" w:color="B6D2E2"/>
            </w:tcBorders>
            <w:shd w:val="clear" w:color="auto" w:fill="B6D2E2"/>
          </w:tcPr>
          <w:p>
            <w:pPr>
              <w:spacing w:after="0"/>
              <w:rPr>
                <w:sz w:val="18"/>
                <w:szCs w:val="18"/>
                <w:color w:val="auto"/>
              </w:rPr>
            </w:pPr>
          </w:p>
        </w:tc>
        <w:tc>
          <w:tcPr>
            <w:tcW w:w="200" w:type="dxa"/>
            <w:vAlign w:val="bottom"/>
            <w:tcBorders>
              <w:top w:val="single" w:sz="8" w:color="auto"/>
              <w:bottom w:val="single" w:sz="8" w:color="B6D2E2"/>
            </w:tcBorders>
            <w:shd w:val="clear" w:color="auto" w:fill="B6D2E2"/>
          </w:tcPr>
          <w:p>
            <w:pPr>
              <w:ind w:left="100"/>
              <w:spacing w:after="0" w:line="164" w:lineRule="exact"/>
              <w:rPr>
                <w:sz w:val="20"/>
                <w:szCs w:val="20"/>
                <w:color w:val="auto"/>
              </w:rPr>
            </w:pPr>
            <w:r>
              <w:rPr>
                <w:rFonts w:ascii="Calibri" w:cs="Calibri" w:eastAsia="Calibri" w:hAnsi="Calibri"/>
                <w:sz w:val="14"/>
                <w:szCs w:val="14"/>
                <w:b w:val="1"/>
                <w:bCs w:val="1"/>
                <w:color w:val="auto"/>
              </w:rPr>
              <w:t>$</w:t>
            </w:r>
          </w:p>
        </w:tc>
        <w:tc>
          <w:tcPr>
            <w:tcW w:w="700" w:type="dxa"/>
            <w:vAlign w:val="bottom"/>
            <w:tcBorders>
              <w:top w:val="single" w:sz="8" w:color="auto"/>
              <w:bottom w:val="single" w:sz="8" w:color="B6D2E2"/>
            </w:tcBorders>
            <w:shd w:val="clear" w:color="auto" w:fill="B6D2E2"/>
          </w:tcPr>
          <w:p>
            <w:pPr>
              <w:jc w:val="right"/>
              <w:spacing w:after="0" w:line="164" w:lineRule="exact"/>
              <w:rPr>
                <w:sz w:val="20"/>
                <w:szCs w:val="20"/>
                <w:color w:val="auto"/>
              </w:rPr>
            </w:pPr>
            <w:r>
              <w:rPr>
                <w:rFonts w:ascii="Calibri" w:cs="Calibri" w:eastAsia="Calibri" w:hAnsi="Calibri"/>
                <w:sz w:val="14"/>
                <w:szCs w:val="14"/>
                <w:b w:val="1"/>
                <w:bCs w:val="1"/>
                <w:color w:val="auto"/>
              </w:rPr>
              <w:t>2.3</w:t>
            </w:r>
          </w:p>
        </w:tc>
        <w:tc>
          <w:tcPr>
            <w:tcW w:w="100" w:type="dxa"/>
            <w:vAlign w:val="bottom"/>
            <w:tcBorders>
              <w:top w:val="single" w:sz="8" w:color="auto"/>
              <w:bottom w:val="single" w:sz="8" w:color="B6D2E2"/>
              <w:right w:val="single" w:sz="8" w:color="B6D2E2"/>
            </w:tcBorders>
            <w:shd w:val="clear" w:color="auto" w:fill="B6D2E2"/>
          </w:tcPr>
          <w:p>
            <w:pPr>
              <w:spacing w:after="0"/>
              <w:rPr>
                <w:sz w:val="18"/>
                <w:szCs w:val="18"/>
                <w:color w:val="auto"/>
              </w:rPr>
            </w:pPr>
          </w:p>
        </w:tc>
        <w:tc>
          <w:tcPr>
            <w:tcW w:w="220" w:type="dxa"/>
            <w:vAlign w:val="bottom"/>
            <w:tcBorders>
              <w:top w:val="single" w:sz="8" w:color="auto"/>
              <w:bottom w:val="single" w:sz="8" w:color="B6D2E2"/>
            </w:tcBorders>
            <w:shd w:val="clear" w:color="auto" w:fill="B6D2E2"/>
          </w:tcPr>
          <w:p>
            <w:pPr>
              <w:jc w:val="right"/>
              <w:spacing w:after="0" w:line="164" w:lineRule="exact"/>
              <w:rPr>
                <w:sz w:val="20"/>
                <w:szCs w:val="20"/>
                <w:color w:val="auto"/>
              </w:rPr>
            </w:pPr>
            <w:r>
              <w:rPr>
                <w:rFonts w:ascii="Calibri" w:cs="Calibri" w:eastAsia="Calibri" w:hAnsi="Calibri"/>
                <w:sz w:val="14"/>
                <w:szCs w:val="14"/>
                <w:b w:val="1"/>
                <w:bCs w:val="1"/>
                <w:color w:val="auto"/>
              </w:rPr>
              <w:t>$</w:t>
            </w:r>
          </w:p>
        </w:tc>
        <w:tc>
          <w:tcPr>
            <w:tcW w:w="720" w:type="dxa"/>
            <w:vAlign w:val="bottom"/>
            <w:tcBorders>
              <w:top w:val="single" w:sz="8" w:color="auto"/>
              <w:bottom w:val="single" w:sz="8" w:color="B6D2E2"/>
            </w:tcBorders>
            <w:shd w:val="clear" w:color="auto" w:fill="B6D2E2"/>
          </w:tcPr>
          <w:p>
            <w:pPr>
              <w:jc w:val="right"/>
              <w:spacing w:after="0" w:line="164" w:lineRule="exact"/>
              <w:rPr>
                <w:sz w:val="20"/>
                <w:szCs w:val="20"/>
                <w:color w:val="auto"/>
              </w:rPr>
            </w:pPr>
            <w:r>
              <w:rPr>
                <w:rFonts w:ascii="Calibri" w:cs="Calibri" w:eastAsia="Calibri" w:hAnsi="Calibri"/>
                <w:sz w:val="14"/>
                <w:szCs w:val="14"/>
                <w:b w:val="1"/>
                <w:bCs w:val="1"/>
                <w:color w:val="auto"/>
              </w:rPr>
              <w:t>7,172.8</w:t>
            </w:r>
          </w:p>
        </w:tc>
        <w:tc>
          <w:tcPr>
            <w:tcW w:w="100" w:type="dxa"/>
            <w:vAlign w:val="bottom"/>
            <w:tcBorders>
              <w:top w:val="single" w:sz="8" w:color="auto"/>
              <w:bottom w:val="single" w:sz="8" w:color="B6D2E2"/>
              <w:right w:val="single" w:sz="8" w:color="B6D2E2"/>
            </w:tcBorders>
            <w:shd w:val="clear" w:color="auto" w:fill="B6D2E2"/>
          </w:tcPr>
          <w:p>
            <w:pPr>
              <w:spacing w:after="0"/>
              <w:rPr>
                <w:sz w:val="18"/>
                <w:szCs w:val="18"/>
                <w:color w:val="auto"/>
              </w:rPr>
            </w:pPr>
          </w:p>
        </w:tc>
      </w:tr>
      <w:tr>
        <w:trPr>
          <w:trHeight w:val="20"/>
        </w:trPr>
        <w:tc>
          <w:tcPr>
            <w:tcW w:w="30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-2934970</wp:posOffset>
            </wp:positionV>
            <wp:extent cx="6484620" cy="29483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6484620" cy="2948305"/>
                    </a:xfrm>
                    <a:prstGeom prst="rect">
                      <a:avLst/>
                    </a:prstGeom>
                    <a:noFill/>
                  </pic:spPr>
                </pic:pic>
              </a:graphicData>
            </a:graphic>
          </wp:anchor>
        </w:drawing>
      </w:r>
    </w:p>
    <w:p>
      <w:pPr>
        <w:spacing w:after="0" w:line="225" w:lineRule="auto"/>
        <w:rPr>
          <w:sz w:val="20"/>
          <w:szCs w:val="20"/>
          <w:color w:val="auto"/>
        </w:rPr>
      </w:pPr>
      <w:r>
        <w:rPr>
          <w:rFonts w:ascii="Calibri" w:cs="Calibri" w:eastAsia="Calibri" w:hAnsi="Calibri"/>
          <w:sz w:val="18"/>
          <w:szCs w:val="18"/>
          <w:i w:val="1"/>
          <w:iCs w:val="1"/>
          <w:color w:val="auto"/>
        </w:rPr>
        <w:t>The accompanying Notes to the Financial Statements 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92075</wp:posOffset>
            </wp:positionV>
            <wp:extent cx="325755" cy="1974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80" w:name="page81"/>
    <w:bookmarkEnd w:id="80"/>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8 – Financial Statements and Supplementary Data</w:t>
      </w:r>
    </w:p>
    <w:p>
      <w:pPr>
        <w:spacing w:after="0" w:line="209"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786970"/>
        </w:rPr>
        <w:t>Notes to Financial Statements</w:t>
      </w:r>
    </w:p>
    <w:p>
      <w:pPr>
        <w:spacing w:after="0" w:line="6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A: Accountng Policies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Organizaton. </w:t>
      </w:r>
      <w:r>
        <w:rPr>
          <w:rFonts w:ascii="Calibri" w:cs="Calibri" w:eastAsia="Calibri" w:hAnsi="Calibri"/>
          <w:sz w:val="18"/>
          <w:szCs w:val="18"/>
          <w:color w:val="000000"/>
        </w:rPr>
        <w:t>Martn Marieta is a natural resource-based building materials company. The Company supplies aggregates (crushed stone, sand and gravel)</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through its network of approximately 350 quarries, mines and distributon yards in 28 states, Canada and The Bahamas. Martn Marieta also provides cement and downstream products and services, namely, ready mixed concrete, asphalt and paving, in vertcally-integrated structured markets where the Company also has a leading aggregates positon. Specifcally, the Company has two cement plants and several cement distributon facilites in Texas; ready mixed concrete plants in Arizona and Texas; and asphalt plants in Arizona, California, Colorado and Minnesota. Paving services are located in California and Colorado. In additon, the Company also has one cement plant, related cement distributon terminals and ready mixed concrete operatons in California that are classifed as assets held for sale and reported as discontnued operatons as of and for the years ended December 31, 2022 and 2021. The Company’s heavy-side building materials are used in infrastructure, nonresidental and residental constructon projects. Aggregates are also used in agricultural, utlity and environmental applicatons and as railroad ballast. The aggregates, cement, ready mixed concrete and asphalt and paving product lines are reported collectvely as the Building Materials business.</w:t>
      </w:r>
    </w:p>
    <w:p>
      <w:pPr>
        <w:spacing w:after="0" w:line="116"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As of December 31, 2022, the Building Materials business contains the following reportable segments: East Group and West Group. The East Group consists of the East and Central divisions and operates in Alabama, Florida, Georgia, Indiana, Iowa, Kansas, Kentucky, Maryland, Minnesota, Missouri, Nebraska, North Carolina, Ohio, Pennsylvania, South Carolina, Tennessee, Virginia, West Virginia, Nova Scota and The Bahamas. The West Group is comprised of the Southwest and West divisions and operates in Arizona, Arkansas, California, Colorado, Louisiana, Oklahoma, Texas, Utah, Washington and Wyoming. The following states accounted for 64% of the Building Materials business’ 2022 total revenues: Texas, Colorado, North Carolina, Minnesota and California.</w:t>
      </w:r>
    </w:p>
    <w:p>
      <w:pPr>
        <w:spacing w:after="0" w:line="10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also operates a Magnesia Specialtes business, which produces magnesia-based chemical products used in industrial, agricultural and environmental applicatons, and dolomitc lime sold primarily to customers for steel producton and soil stabilizaton. Magnesia Specialtes’ producton facilites are located in Ohio and Michigan, and products are shipped to customers domestcally and worldwide.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Basis of Presentaton and Use of Estmates. </w:t>
      </w:r>
      <w:r>
        <w:rPr>
          <w:rFonts w:ascii="Calibri" w:cs="Calibri" w:eastAsia="Calibri" w:hAnsi="Calibri"/>
          <w:sz w:val="18"/>
          <w:szCs w:val="18"/>
          <w:color w:val="000000"/>
        </w:rPr>
        <w:t>The Company’s consolidated fnancial statements are presented in conformity with accountng principles</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generally accepted in the United States, which require management to make certain estmates and assumptons about future events. These estmates and the underlying assumptons afect the amounts of assets and liabilites reported, disclosures about contngent assets and liabilites and reported amounts of revenues and expenses. Such estmates include the valuaton of investments, accounts receivable, inventories, goodwill, other intangible assets and other long-lived assets, as well as assumptons used in the calculaton of income tax expense, retrement and postemployment benefts, stock-based compensaton, the allocaton of the purchase price to the fair values of assets acquired and liabilites assumed as part of business combinatons and revenue recogniton for service contracts. These estmates and assumptons are based on management’s judgment. Management evaluates estmates and assumptons on an ongoing basis using historical experience and other factors, including the current economic environment, and adjusts such estmates and assumptons when facts and circumstances dictate. Changes in credit, equity and energy markets and changes in constructon actvity increase the uncertainty inherent in certain estmates and assumptons. As future events and their efects cannot be determined with precision, actual results could difer signifcantly from estmates. Changes in estmates, including those resultng from changes in the economic environment, are refected in the consolidated fnancial statements for the period in which the change in estmate occurs.</w:t>
      </w:r>
    </w:p>
    <w:p>
      <w:pPr>
        <w:spacing w:after="0" w:line="1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Basis of Consolidaton</w:t>
      </w:r>
      <w:r>
        <w:rPr>
          <w:rFonts w:ascii="Calibri" w:cs="Calibri" w:eastAsia="Calibri" w:hAnsi="Calibri"/>
          <w:sz w:val="18"/>
          <w:szCs w:val="18"/>
          <w:b w:val="1"/>
          <w:bCs w:val="1"/>
          <w:color w:val="4EAD8A"/>
        </w:rPr>
        <w:t>.</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The consolidated fnancial statements include the accounts of the Company and its wholly-owned and majority-owned subsidiaries.</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Partally-owned afliates are either consolidated or accounted for using the cost method or the equity method, depending on the level of ownership interest or the Company’s ability to exercise control over the afliates’ operatons. Intercompany balances and transactons between subsidiaries have been eliminated in consolidaton.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Revenue Recogniton</w:t>
      </w:r>
      <w:r>
        <w:rPr>
          <w:rFonts w:ascii="Calibri" w:cs="Calibri" w:eastAsia="Calibri" w:hAnsi="Calibri"/>
          <w:sz w:val="18"/>
          <w:szCs w:val="18"/>
          <w:b w:val="1"/>
          <w:bCs w:val="1"/>
          <w:color w:val="4EAD8A"/>
        </w:rPr>
        <w:t>.</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Total revenues include sales of products and services provided to customers, net of discounts or allowances, if any, and include freight</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and delivery costs billed to customers. Product revenues are recognized when control of the promised good is transferred to unafliated customers, typically when fnished products are shipped. Intersegment and interproduct revenues are eliminated in consolidaton. Service revenues are derived from the paving business and are recognized using the percentage-of-completon method under the cost-to-cost approach. Under the cost-to-cost approach, recognized contract revenue is determined by multplying the total estmated contract revenue by the estmated percentage of completon. Contract costs are recognized as incurred. The percentage of completon is determined on a contract-by-contract basis using project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6751320</wp:posOffset>
            </wp:positionH>
            <wp:positionV relativeFrom="paragraph">
              <wp:posOffset>94615</wp:posOffset>
            </wp:positionV>
            <wp:extent cx="325755" cy="1968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2"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81" w:name="page82"/>
    <w:bookmarkEnd w:id="81"/>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incurred to date as a percentage of total estmated project costs. The Company believes the cost-to-cost approach is appropriate, as the use of asphalt in a paving contract is relatvely consistent with the performance of the related paving services. Paving contracts, notably with governmental enttes, may contain performance bonuses based on quality specifcatons. Given the uncertainty of meetng the criteria untl the performance obligaton is completed, performance bonuses are recognized as revenues when and if achieved. Performance bonuses were not material to the Company’s consolidated results of operatons for the years ended December 31, 2022, 2021 and 2020. When the Company arranges third-party freight to deliver products to customers, the Company has elected the delivery to be a fulfllment actvity rather than a separate performance obligaton. Further, the Company acts as a principal in the delivery arrangements and, as required by Accountng Standards Codifcaton (ASC) 606, the related revenues and costs are presented gross in the consolidated statements of earnings and are recognized consistently with the tming of the product revenues.</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Freight and Delivery Costs</w:t>
      </w:r>
      <w:r>
        <w:rPr>
          <w:rFonts w:ascii="Calibri" w:cs="Calibri" w:eastAsia="Calibri" w:hAnsi="Calibri"/>
          <w:sz w:val="18"/>
          <w:szCs w:val="18"/>
          <w:b w:val="1"/>
          <w:bCs w:val="1"/>
          <w:color w:val="4EAD8A"/>
        </w:rPr>
        <w:t>.</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Freight and delivery costs represent pass-through transportaton costs incurred and paid by the Company to third-party carriers to</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deliver products to customers. These costs are then billed to the customers.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Cash, Cash Equivalents and Restricted Cash</w:t>
      </w:r>
      <w:r>
        <w:rPr>
          <w:rFonts w:ascii="Calibri" w:cs="Calibri" w:eastAsia="Calibri" w:hAnsi="Calibri"/>
          <w:sz w:val="18"/>
          <w:szCs w:val="18"/>
          <w:b w:val="1"/>
          <w:bCs w:val="1"/>
          <w:color w:val="4EAD8A"/>
        </w:rPr>
        <w:t>.</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Cash equivalents are comprised of highly-liquid instruments with original maturites of three months or less from</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the date of purchase.</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2022 and 2021, the Company had $0.8 million and $0.5 million, respectvely, of restricted cash, which was invested in an account designated for the purchase of like-kind exchange replacement assets under Secton 1031 of the Internal Revenue Code. The Company is restricted from utlizing the cash for purposes other than the purchase of qualifed assets for 180 days from receipt of the proceeds from the sale of the exchanged property. Any unused cash at the end of the 180 days is transferred to unrestricted accounts of the Company and used for general corporate purposes.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statements of cash fows refect cash fow changes and balances for cash, cash equivalents and restricted cash on an aggregated basis. The following table reconciles cash, cash equivalents and restricted cash as reported on the consolidated balance sheets to the aggregated amounts presented on the consolidated statements of cash fows: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54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December 31</w:t>
            </w:r>
          </w:p>
        </w:tc>
        <w:tc>
          <w:tcPr>
            <w:tcW w:w="460" w:type="dxa"/>
            <w:vAlign w:val="bottom"/>
            <w:shd w:val="clear" w:color="auto" w:fill="007CBA"/>
          </w:tcPr>
          <w:p>
            <w:pPr>
              <w:spacing w:after="0"/>
              <w:rPr>
                <w:sz w:val="19"/>
                <w:szCs w:val="19"/>
                <w:color w:val="auto"/>
              </w:rPr>
            </w:pPr>
          </w:p>
        </w:tc>
        <w:tc>
          <w:tcPr>
            <w:tcW w:w="1140" w:type="dxa"/>
            <w:vAlign w:val="bottom"/>
            <w:tcBorders>
              <w:right w:val="single" w:sz="8" w:color="007CBA"/>
            </w:tcBorders>
            <w:shd w:val="clear" w:color="auto" w:fill="007CBA"/>
          </w:tcPr>
          <w:p>
            <w:pPr>
              <w:spacing w:after="0"/>
              <w:rPr>
                <w:sz w:val="19"/>
                <w:szCs w:val="19"/>
                <w:color w:val="auto"/>
              </w:rPr>
            </w:pPr>
          </w:p>
        </w:tc>
        <w:tc>
          <w:tcPr>
            <w:tcW w:w="460" w:type="dxa"/>
            <w:vAlign w:val="bottom"/>
            <w:shd w:val="clear" w:color="auto" w:fill="007CBA"/>
          </w:tcPr>
          <w:p>
            <w:pPr>
              <w:spacing w:after="0"/>
              <w:rPr>
                <w:sz w:val="19"/>
                <w:szCs w:val="19"/>
                <w:color w:val="auto"/>
              </w:rPr>
            </w:pPr>
          </w:p>
        </w:tc>
        <w:tc>
          <w:tcPr>
            <w:tcW w:w="1100" w:type="dxa"/>
            <w:vAlign w:val="bottom"/>
            <w:tcBorders>
              <w:right w:val="single" w:sz="8" w:color="007CBA"/>
            </w:tcBorders>
            <w:shd w:val="clear" w:color="auto" w:fill="007CBA"/>
          </w:tcPr>
          <w:p>
            <w:pPr>
              <w:spacing w:after="0"/>
              <w:rPr>
                <w:sz w:val="19"/>
                <w:szCs w:val="19"/>
                <w:color w:val="auto"/>
              </w:rPr>
            </w:pPr>
          </w:p>
        </w:tc>
        <w:tc>
          <w:tcPr>
            <w:tcW w:w="440" w:type="dxa"/>
            <w:vAlign w:val="bottom"/>
            <w:shd w:val="clear" w:color="auto" w:fill="007CBA"/>
          </w:tcPr>
          <w:p>
            <w:pPr>
              <w:spacing w:after="0"/>
              <w:rPr>
                <w:sz w:val="19"/>
                <w:szCs w:val="19"/>
                <w:color w:val="auto"/>
              </w:rPr>
            </w:pPr>
          </w:p>
        </w:tc>
        <w:tc>
          <w:tcPr>
            <w:tcW w:w="1100" w:type="dxa"/>
            <w:vAlign w:val="bottom"/>
            <w:shd w:val="clear" w:color="auto" w:fill="007CBA"/>
          </w:tcPr>
          <w:p>
            <w:pPr>
              <w:spacing w:after="0"/>
              <w:rPr>
                <w:sz w:val="19"/>
                <w:szCs w:val="19"/>
                <w:color w:val="auto"/>
              </w:rPr>
            </w:pPr>
          </w:p>
        </w:tc>
      </w:tr>
      <w:tr>
        <w:trPr>
          <w:trHeight w:val="232"/>
        </w:trPr>
        <w:tc>
          <w:tcPr>
            <w:tcW w:w="654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46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right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b w:val="1"/>
                <w:bCs w:val="1"/>
                <w:color w:val="FFFFFF"/>
              </w:rPr>
              <w:t>2022</w:t>
            </w:r>
          </w:p>
        </w:tc>
        <w:tc>
          <w:tcPr>
            <w:tcW w:w="460" w:type="dxa"/>
            <w:vAlign w:val="bottom"/>
            <w:tcBorders>
              <w:bottom w:val="single" w:sz="8" w:color="007CBA"/>
            </w:tcBorders>
            <w:shd w:val="clear" w:color="auto" w:fill="007CBA"/>
          </w:tcPr>
          <w:p>
            <w:pPr>
              <w:spacing w:after="0"/>
              <w:rPr>
                <w:sz w:val="20"/>
                <w:szCs w:val="20"/>
                <w:color w:val="auto"/>
              </w:rPr>
            </w:pPr>
          </w:p>
        </w:tc>
        <w:tc>
          <w:tcPr>
            <w:tcW w:w="1100" w:type="dxa"/>
            <w:vAlign w:val="bottom"/>
            <w:tcBorders>
              <w:bottom w:val="single" w:sz="8" w:color="007CBA"/>
              <w:right w:val="single" w:sz="8" w:color="007CBA"/>
            </w:tcBorders>
            <w:shd w:val="clear" w:color="auto" w:fill="007CBA"/>
          </w:tcPr>
          <w:p>
            <w:pPr>
              <w:jc w:val="right"/>
              <w:ind w:right="490"/>
              <w:spacing w:after="0" w:line="215" w:lineRule="exact"/>
              <w:rPr>
                <w:sz w:val="20"/>
                <w:szCs w:val="20"/>
                <w:color w:val="auto"/>
              </w:rPr>
            </w:pPr>
            <w:r>
              <w:rPr>
                <w:rFonts w:ascii="Calibri" w:cs="Calibri" w:eastAsia="Calibri" w:hAnsi="Calibri"/>
                <w:sz w:val="18"/>
                <w:szCs w:val="18"/>
                <w:color w:val="FFFFFF"/>
              </w:rPr>
              <w:t>2021</w:t>
            </w:r>
          </w:p>
        </w:tc>
        <w:tc>
          <w:tcPr>
            <w:tcW w:w="440" w:type="dxa"/>
            <w:vAlign w:val="bottom"/>
            <w:tcBorders>
              <w:bottom w:val="single" w:sz="8" w:color="007CBA"/>
            </w:tcBorders>
            <w:shd w:val="clear" w:color="auto" w:fill="007CBA"/>
          </w:tcPr>
          <w:p>
            <w:pPr>
              <w:spacing w:after="0"/>
              <w:rPr>
                <w:sz w:val="20"/>
                <w:szCs w:val="20"/>
                <w:color w:val="auto"/>
              </w:rPr>
            </w:pPr>
          </w:p>
        </w:tc>
        <w:tc>
          <w:tcPr>
            <w:tcW w:w="1100" w:type="dxa"/>
            <w:vAlign w:val="bottom"/>
            <w:tcBorders>
              <w:bottom w:val="single" w:sz="8" w:color="007CBA"/>
            </w:tcBorders>
            <w:shd w:val="clear" w:color="auto" w:fill="007CBA"/>
          </w:tcPr>
          <w:p>
            <w:pPr>
              <w:jc w:val="right"/>
              <w:ind w:right="470"/>
              <w:spacing w:after="0" w:line="215" w:lineRule="exact"/>
              <w:rPr>
                <w:sz w:val="20"/>
                <w:szCs w:val="20"/>
                <w:color w:val="auto"/>
              </w:rPr>
            </w:pPr>
            <w:r>
              <w:rPr>
                <w:rFonts w:ascii="Calibri" w:cs="Calibri" w:eastAsia="Calibri" w:hAnsi="Calibri"/>
                <w:sz w:val="18"/>
                <w:szCs w:val="18"/>
                <w:color w:val="FFFFFF"/>
              </w:rPr>
              <w:t>2020</w:t>
            </w:r>
          </w:p>
        </w:tc>
      </w:tr>
      <w:tr>
        <w:trPr>
          <w:trHeight w:val="223"/>
        </w:trPr>
        <w:tc>
          <w:tcPr>
            <w:tcW w:w="654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Cash and cash equivalents</w:t>
            </w:r>
          </w:p>
        </w:tc>
        <w:tc>
          <w:tcPr>
            <w:tcW w:w="460" w:type="dxa"/>
            <w:vAlign w:val="bottom"/>
            <w:tcBorders>
              <w:bottom w:val="single" w:sz="8" w:color="E5F1F8"/>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b w:val="1"/>
                <w:bCs w:val="1"/>
                <w:color w:val="auto"/>
              </w:rPr>
              <w:t>$</w:t>
            </w:r>
          </w:p>
        </w:tc>
        <w:tc>
          <w:tcPr>
            <w:tcW w:w="114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358.0</w:t>
            </w:r>
          </w:p>
        </w:tc>
        <w:tc>
          <w:tcPr>
            <w:tcW w:w="460" w:type="dxa"/>
            <w:vAlign w:val="bottom"/>
            <w:tcBorders>
              <w:bottom w:val="single" w:sz="8" w:color="E5F1F8"/>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258.4</w:t>
            </w:r>
          </w:p>
        </w:tc>
        <w:tc>
          <w:tcPr>
            <w:tcW w:w="440" w:type="dxa"/>
            <w:vAlign w:val="bottom"/>
            <w:tcBorders>
              <w:bottom w:val="single" w:sz="8" w:color="E5F1F8"/>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207.3</w:t>
            </w:r>
          </w:p>
        </w:tc>
      </w:tr>
      <w:tr>
        <w:trPr>
          <w:trHeight w:val="215"/>
        </w:trPr>
        <w:tc>
          <w:tcPr>
            <w:tcW w:w="6540" w:type="dxa"/>
            <w:vAlign w:val="bottom"/>
          </w:tcPr>
          <w:p>
            <w:pPr>
              <w:ind w:left="120"/>
              <w:spacing w:after="0" w:line="215" w:lineRule="exact"/>
              <w:rPr>
                <w:sz w:val="20"/>
                <w:szCs w:val="20"/>
                <w:color w:val="auto"/>
              </w:rPr>
            </w:pPr>
            <w:r>
              <w:rPr>
                <w:rFonts w:ascii="Calibri" w:cs="Calibri" w:eastAsia="Calibri" w:hAnsi="Calibri"/>
                <w:sz w:val="18"/>
                <w:szCs w:val="18"/>
                <w:color w:val="auto"/>
              </w:rPr>
              <w:t>Restricted cash</w:t>
            </w:r>
          </w:p>
        </w:tc>
        <w:tc>
          <w:tcPr>
            <w:tcW w:w="460" w:type="dxa"/>
            <w:vAlign w:val="bottom"/>
          </w:tcPr>
          <w:p>
            <w:pPr>
              <w:spacing w:after="0"/>
              <w:rPr>
                <w:sz w:val="18"/>
                <w:szCs w:val="18"/>
                <w:color w:val="auto"/>
              </w:rPr>
            </w:pPr>
          </w:p>
        </w:tc>
        <w:tc>
          <w:tcPr>
            <w:tcW w:w="11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0.8</w:t>
            </w:r>
          </w:p>
        </w:tc>
        <w:tc>
          <w:tcPr>
            <w:tcW w:w="460" w:type="dxa"/>
            <w:vAlign w:val="bottom"/>
          </w:tcPr>
          <w:p>
            <w:pPr>
              <w:spacing w:after="0"/>
              <w:rPr>
                <w:sz w:val="18"/>
                <w:szCs w:val="18"/>
                <w:color w:val="auto"/>
              </w:rPr>
            </w:pPr>
          </w:p>
        </w:tc>
        <w:tc>
          <w:tcPr>
            <w:tcW w:w="110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0.5</w:t>
            </w:r>
          </w:p>
        </w:tc>
        <w:tc>
          <w:tcPr>
            <w:tcW w:w="440" w:type="dxa"/>
            <w:vAlign w:val="bottom"/>
          </w:tcPr>
          <w:p>
            <w:pPr>
              <w:spacing w:after="0"/>
              <w:rPr>
                <w:sz w:val="18"/>
                <w:szCs w:val="18"/>
                <w:color w:val="auto"/>
              </w:rPr>
            </w:pPr>
          </w:p>
        </w:tc>
        <w:tc>
          <w:tcPr>
            <w:tcW w:w="11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97.1</w:t>
            </w:r>
          </w:p>
        </w:tc>
      </w:tr>
      <w:tr>
        <w:trPr>
          <w:trHeight w:val="28"/>
        </w:trPr>
        <w:tc>
          <w:tcPr>
            <w:tcW w:w="6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1"/>
        </w:trPr>
        <w:tc>
          <w:tcPr>
            <w:tcW w:w="6540" w:type="dxa"/>
            <w:vAlign w:val="bottom"/>
            <w:tcBorders>
              <w:right w:val="single" w:sz="8" w:color="E5F1F8"/>
            </w:tcBorders>
            <w:shd w:val="clear" w:color="auto" w:fill="E5F1F8"/>
          </w:tcPr>
          <w:p>
            <w:pPr>
              <w:ind w:left="120"/>
              <w:spacing w:after="0" w:line="201" w:lineRule="exact"/>
              <w:rPr>
                <w:sz w:val="20"/>
                <w:szCs w:val="20"/>
                <w:color w:val="auto"/>
              </w:rPr>
            </w:pPr>
            <w:r>
              <w:rPr>
                <w:rFonts w:ascii="Calibri" w:cs="Calibri" w:eastAsia="Calibri" w:hAnsi="Calibri"/>
                <w:sz w:val="18"/>
                <w:szCs w:val="18"/>
                <w:color w:val="auto"/>
              </w:rPr>
              <w:t>Total cash, cash equivalents and restricted cash</w:t>
            </w:r>
          </w:p>
        </w:tc>
        <w:tc>
          <w:tcPr>
            <w:tcW w:w="460" w:type="dxa"/>
            <w:vAlign w:val="bottom"/>
            <w:shd w:val="clear" w:color="auto" w:fill="E5F1F8"/>
          </w:tcPr>
          <w:p>
            <w:pPr>
              <w:spacing w:after="0"/>
              <w:rPr>
                <w:sz w:val="17"/>
                <w:szCs w:val="17"/>
                <w:color w:val="auto"/>
              </w:rPr>
            </w:pPr>
          </w:p>
        </w:tc>
        <w:tc>
          <w:tcPr>
            <w:tcW w:w="1140" w:type="dxa"/>
            <w:vAlign w:val="bottom"/>
            <w:tcBorders>
              <w:right w:val="single" w:sz="8" w:color="E5F1F8"/>
            </w:tcBorders>
            <w:shd w:val="clear" w:color="auto" w:fill="E5F1F8"/>
          </w:tcPr>
          <w:p>
            <w:pPr>
              <w:spacing w:after="0"/>
              <w:rPr>
                <w:sz w:val="17"/>
                <w:szCs w:val="17"/>
                <w:color w:val="auto"/>
              </w:rPr>
            </w:pPr>
          </w:p>
        </w:tc>
        <w:tc>
          <w:tcPr>
            <w:tcW w:w="460" w:type="dxa"/>
            <w:vAlign w:val="bottom"/>
            <w:shd w:val="clear" w:color="auto" w:fill="E5F1F8"/>
          </w:tcPr>
          <w:p>
            <w:pPr>
              <w:spacing w:after="0"/>
              <w:rPr>
                <w:sz w:val="17"/>
                <w:szCs w:val="17"/>
                <w:color w:val="auto"/>
              </w:rPr>
            </w:pPr>
          </w:p>
        </w:tc>
        <w:tc>
          <w:tcPr>
            <w:tcW w:w="1100" w:type="dxa"/>
            <w:vAlign w:val="bottom"/>
            <w:tcBorders>
              <w:right w:val="single" w:sz="8" w:color="E5F1F8"/>
            </w:tcBorders>
            <w:shd w:val="clear" w:color="auto" w:fill="E5F1F8"/>
          </w:tcPr>
          <w:p>
            <w:pPr>
              <w:spacing w:after="0"/>
              <w:rPr>
                <w:sz w:val="17"/>
                <w:szCs w:val="17"/>
                <w:color w:val="auto"/>
              </w:rPr>
            </w:pPr>
          </w:p>
        </w:tc>
        <w:tc>
          <w:tcPr>
            <w:tcW w:w="440" w:type="dxa"/>
            <w:vAlign w:val="bottom"/>
            <w:shd w:val="clear" w:color="auto" w:fill="E5F1F8"/>
          </w:tcPr>
          <w:p>
            <w:pPr>
              <w:spacing w:after="0"/>
              <w:rPr>
                <w:sz w:val="17"/>
                <w:szCs w:val="17"/>
                <w:color w:val="auto"/>
              </w:rPr>
            </w:pPr>
          </w:p>
        </w:tc>
        <w:tc>
          <w:tcPr>
            <w:tcW w:w="1100" w:type="dxa"/>
            <w:vAlign w:val="bottom"/>
            <w:shd w:val="clear" w:color="auto" w:fill="E5F1F8"/>
          </w:tcPr>
          <w:p>
            <w:pPr>
              <w:spacing w:after="0"/>
              <w:rPr>
                <w:sz w:val="17"/>
                <w:szCs w:val="17"/>
                <w:color w:val="auto"/>
              </w:rPr>
            </w:pPr>
          </w:p>
        </w:tc>
      </w:tr>
      <w:tr>
        <w:trPr>
          <w:trHeight w:val="277"/>
        </w:trPr>
        <w:tc>
          <w:tcPr>
            <w:tcW w:w="6540" w:type="dxa"/>
            <w:vAlign w:val="bottom"/>
            <w:tcBorders>
              <w:bottom w:val="single" w:sz="8" w:color="E5F1F8"/>
              <w:right w:val="single" w:sz="8" w:color="E5F1F8"/>
            </w:tcBorders>
            <w:shd w:val="clear" w:color="auto" w:fill="E5F1F8"/>
          </w:tcPr>
          <w:p>
            <w:pPr>
              <w:ind w:left="240"/>
              <w:spacing w:after="0" w:line="215" w:lineRule="exact"/>
              <w:rPr>
                <w:sz w:val="20"/>
                <w:szCs w:val="20"/>
                <w:color w:val="auto"/>
              </w:rPr>
            </w:pPr>
            <w:r>
              <w:rPr>
                <w:rFonts w:ascii="Calibri" w:cs="Calibri" w:eastAsia="Calibri" w:hAnsi="Calibri"/>
                <w:sz w:val="18"/>
                <w:szCs w:val="18"/>
                <w:color w:val="auto"/>
              </w:rPr>
              <w:t>presented in the consolidated statements of cash fows</w:t>
            </w:r>
          </w:p>
        </w:tc>
        <w:tc>
          <w:tcPr>
            <w:tcW w:w="460" w:type="dxa"/>
            <w:vAlign w:val="bottom"/>
            <w:tcBorders>
              <w:bottom w:val="single" w:sz="8" w:color="E5F1F8"/>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b w:val="1"/>
                <w:bCs w:val="1"/>
                <w:color w:val="auto"/>
              </w:rPr>
              <w:t>$</w:t>
            </w:r>
          </w:p>
        </w:tc>
        <w:tc>
          <w:tcPr>
            <w:tcW w:w="114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358.8</w:t>
            </w:r>
          </w:p>
        </w:tc>
        <w:tc>
          <w:tcPr>
            <w:tcW w:w="460" w:type="dxa"/>
            <w:vAlign w:val="bottom"/>
            <w:tcBorders>
              <w:bottom w:val="single" w:sz="8" w:color="E5F1F8"/>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258.9</w:t>
            </w:r>
          </w:p>
        </w:tc>
        <w:tc>
          <w:tcPr>
            <w:tcW w:w="440" w:type="dxa"/>
            <w:vAlign w:val="bottom"/>
            <w:tcBorders>
              <w:bottom w:val="single" w:sz="8" w:color="E5F1F8"/>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304.4</w:t>
            </w:r>
          </w:p>
        </w:tc>
      </w:tr>
      <w:tr>
        <w:trPr>
          <w:trHeight w:val="20"/>
        </w:trPr>
        <w:tc>
          <w:tcPr>
            <w:tcW w:w="65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4124325</wp:posOffset>
            </wp:positionH>
            <wp:positionV relativeFrom="paragraph">
              <wp:posOffset>-492125</wp:posOffset>
            </wp:positionV>
            <wp:extent cx="3013075" cy="5054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3013075" cy="505460"/>
                    </a:xfrm>
                    <a:prstGeom prst="rect">
                      <a:avLst/>
                    </a:prstGeom>
                    <a:noFill/>
                  </pic:spPr>
                </pic:pic>
              </a:graphicData>
            </a:graphic>
          </wp:anchor>
        </w:drawing>
      </w:r>
    </w:p>
    <w:p>
      <w:pPr>
        <w:spacing w:after="0" w:line="147"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b w:val="1"/>
          <w:bCs w:val="1"/>
          <w:i w:val="1"/>
          <w:iCs w:val="1"/>
          <w:color w:val="4EAD8A"/>
        </w:rPr>
        <w:t xml:space="preserve">Restricted Investments. </w:t>
      </w:r>
      <w:r>
        <w:rPr>
          <w:rFonts w:ascii="Calibri" w:cs="Calibri" w:eastAsia="Calibri" w:hAnsi="Calibri"/>
          <w:sz w:val="17"/>
          <w:szCs w:val="17"/>
          <w:color w:val="000000"/>
        </w:rPr>
        <w:t>At December 31, 2022, the Company had $704.6 million of restricted investments, representng assets irrevocably transferred to an</w:t>
      </w:r>
      <w:r>
        <w:rPr>
          <w:rFonts w:ascii="Calibri" w:cs="Calibri" w:eastAsia="Calibri" w:hAnsi="Calibri"/>
          <w:sz w:val="17"/>
          <w:szCs w:val="17"/>
          <w:b w:val="1"/>
          <w:bCs w:val="1"/>
          <w:i w:val="1"/>
          <w:iCs w:val="1"/>
          <w:color w:val="4EAD8A"/>
        </w:rPr>
        <w:t xml:space="preserve"> </w:t>
      </w:r>
      <w:r>
        <w:rPr>
          <w:rFonts w:ascii="Calibri" w:cs="Calibri" w:eastAsia="Calibri" w:hAnsi="Calibri"/>
          <w:sz w:val="17"/>
          <w:szCs w:val="17"/>
          <w:color w:val="000000"/>
        </w:rPr>
        <w:t>escrow trust account during 2022 to satsfy and discharge the Company's $700 million of 0.650% Senior Notes due 2023 (the 0.650% Senior Notes) (see Note H). The assets in the escrow trust account may not be used for any purpose other than to satsfy the remaining interest payments and to repay the principal amount of the 0.650% Senior Notes on the maturity date of July 15, 2023. The assets transferred to the escrow trust account are invested in a U.S. Treasury securites fund (see Note I) and investment returns on those trust assets are for the account of the Company (afer satsfacton of all amounts payable in connecton with the 0.650% Senior Notes). The Company consolidated the trust account on its consolidated balance sheet at December 31, 2022.</w:t>
      </w:r>
    </w:p>
    <w:p>
      <w:pPr>
        <w:spacing w:after="0" w:line="102"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b w:val="1"/>
          <w:bCs w:val="1"/>
          <w:i w:val="1"/>
          <w:iCs w:val="1"/>
          <w:color w:val="4EAD8A"/>
        </w:rPr>
        <w:t xml:space="preserve">Accounts Receivable. </w:t>
      </w:r>
      <w:r>
        <w:rPr>
          <w:rFonts w:ascii="Calibri" w:cs="Calibri" w:eastAsia="Calibri" w:hAnsi="Calibri"/>
          <w:sz w:val="17"/>
          <w:szCs w:val="17"/>
          <w:color w:val="000000"/>
        </w:rPr>
        <w:t>Accounts receivable are stated at cost. The Company does not typically charge interest on customer accounts receivable. The Company</w:t>
      </w:r>
      <w:r>
        <w:rPr>
          <w:rFonts w:ascii="Calibri" w:cs="Calibri" w:eastAsia="Calibri" w:hAnsi="Calibri"/>
          <w:sz w:val="17"/>
          <w:szCs w:val="17"/>
          <w:b w:val="1"/>
          <w:bCs w:val="1"/>
          <w:i w:val="1"/>
          <w:iCs w:val="1"/>
          <w:color w:val="4EAD8A"/>
        </w:rPr>
        <w:t xml:space="preserve"> </w:t>
      </w:r>
      <w:r>
        <w:rPr>
          <w:rFonts w:ascii="Calibri" w:cs="Calibri" w:eastAsia="Calibri" w:hAnsi="Calibri"/>
          <w:sz w:val="17"/>
          <w:szCs w:val="17"/>
          <w:color w:val="000000"/>
        </w:rPr>
        <w:t>records an allowance for credit losses, which includes a provision for probable losses based on historical write-ofs, adjusted for current conditons as deemed necessary, and a specifc reserve for accounts deemed at risk. The allowance is the Company’s estmate for receivables as of the balance sheet date that ultmately will not be collected. Any changes in the allowance are refected in earnings in the period in which the change occurs. The Company writes-of accounts receivable when it becomes probable, based upon customer facts and circumstances, that such amounts will not be collected.</w:t>
      </w:r>
    </w:p>
    <w:p>
      <w:pPr>
        <w:spacing w:after="0" w:line="10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Inventories Valuaton</w:t>
      </w:r>
      <w:r>
        <w:rPr>
          <w:rFonts w:ascii="Calibri" w:cs="Calibri" w:eastAsia="Calibri" w:hAnsi="Calibri"/>
          <w:sz w:val="18"/>
          <w:szCs w:val="18"/>
          <w:b w:val="1"/>
          <w:bCs w:val="1"/>
          <w:color w:val="4EAD8A"/>
        </w:rPr>
        <w:t>.</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Finished products and in-process inventories are stated at the lower of cost or net realizable value using standard costs, which</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approximate the frst-in, frst-out method. Carrying value for parts and supplies are determined by the weighted-average cost method. The Company records an allowance for fnished product inventories based on an analysis of future demand and inventory on hand in excess of historical sales for a twelve-month period or an annual average for a period of up to fve years. The Company also establishes an allowance for parts over fve years old and supplies over a year old.</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Post-producton stripping costs, which represent costs of removing overburden and waste materials to access mineral deposits, are a component of inventory producton costs and recognized as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6751320</wp:posOffset>
            </wp:positionH>
            <wp:positionV relativeFrom="paragraph">
              <wp:posOffset>92710</wp:posOffset>
            </wp:positionV>
            <wp:extent cx="325755" cy="1968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308"/>
        </w:trPr>
        <w:tc>
          <w:tcPr>
            <w:tcW w:w="6220" w:type="dxa"/>
            <w:vAlign w:val="bottom"/>
          </w:tcPr>
          <w:p>
            <w:pPr>
              <w:spacing w:after="0"/>
              <w:rPr>
                <w:sz w:val="24"/>
                <w:szCs w:val="24"/>
                <w:color w:val="auto"/>
              </w:rPr>
            </w:pPr>
          </w:p>
        </w:tc>
        <w:tc>
          <w:tcPr>
            <w:tcW w:w="5040" w:type="dxa"/>
            <w:vAlign w:val="bottom"/>
            <w:gridSpan w:val="3"/>
          </w:tcPr>
          <w:p>
            <w:pPr>
              <w:ind w:left="420"/>
              <w:spacing w:after="0"/>
              <w:rPr>
                <w:sz w:val="20"/>
                <w:szCs w:val="20"/>
                <w:color w:val="auto"/>
              </w:rPr>
            </w:pPr>
            <w:r>
              <w:rPr>
                <w:rFonts w:ascii="Calibri" w:cs="Calibri" w:eastAsia="Calibri" w:hAnsi="Calibri"/>
                <w:sz w:val="18"/>
                <w:szCs w:val="18"/>
                <w:color w:val="auto"/>
                <w:w w:val="98"/>
              </w:rPr>
              <w:t xml:space="preserve">Part II </w:t>
            </w:r>
            <w:r>
              <w:rPr>
                <w:rFonts w:ascii="Arial" w:cs="Arial" w:eastAsia="Arial" w:hAnsi="Arial"/>
                <w:sz w:val="23"/>
                <w:szCs w:val="23"/>
                <w:color w:val="0070C0"/>
                <w:w w:val="98"/>
              </w:rPr>
              <w:t>♦</w:t>
            </w:r>
            <w:r>
              <w:rPr>
                <w:rFonts w:ascii="Calibri" w:cs="Calibri" w:eastAsia="Calibri" w:hAnsi="Calibri"/>
                <w:sz w:val="18"/>
                <w:szCs w:val="18"/>
                <w:color w:val="auto"/>
                <w:w w:val="98"/>
              </w:rPr>
              <w:t xml:space="preserve"> Item 8 – Financial Statements and Supplementary Data</w:t>
            </w:r>
          </w:p>
        </w:tc>
        <w:tc>
          <w:tcPr>
            <w:tcW w:w="0" w:type="dxa"/>
            <w:vAlign w:val="bottom"/>
          </w:tcPr>
          <w:p>
            <w:pPr>
              <w:spacing w:after="0"/>
              <w:rPr>
                <w:sz w:val="1"/>
                <w:szCs w:val="1"/>
                <w:color w:val="auto"/>
              </w:rPr>
            </w:pPr>
          </w:p>
        </w:tc>
      </w:tr>
      <w:tr>
        <w:trPr>
          <w:trHeight w:val="362"/>
        </w:trPr>
        <w:tc>
          <w:tcPr>
            <w:tcW w:w="6220" w:type="dxa"/>
            <w:vAlign w:val="bottom"/>
          </w:tcPr>
          <w:p>
            <w:pPr>
              <w:spacing w:after="0"/>
              <w:rPr>
                <w:sz w:val="20"/>
                <w:szCs w:val="20"/>
                <w:color w:val="auto"/>
              </w:rPr>
            </w:pPr>
            <w:r>
              <w:rPr>
                <w:rFonts w:ascii="Calibri" w:cs="Calibri" w:eastAsia="Calibri" w:hAnsi="Calibri"/>
                <w:sz w:val="18"/>
                <w:szCs w:val="18"/>
                <w:b w:val="1"/>
                <w:bCs w:val="1"/>
                <w:i w:val="1"/>
                <w:iCs w:val="1"/>
                <w:color w:val="4EAD8A"/>
              </w:rPr>
              <w:t>Property, Plant and Equipment</w:t>
            </w:r>
            <w:r>
              <w:rPr>
                <w:rFonts w:ascii="Calibri" w:cs="Calibri" w:eastAsia="Calibri" w:hAnsi="Calibri"/>
                <w:sz w:val="18"/>
                <w:szCs w:val="18"/>
                <w:b w:val="1"/>
                <w:bCs w:val="1"/>
                <w:color w:val="4EAD8A"/>
              </w:rPr>
              <w:t>.</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Property, plant and equipment are stated at cost.</w:t>
            </w:r>
          </w:p>
        </w:tc>
        <w:tc>
          <w:tcPr>
            <w:tcW w:w="14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20" w:type="dxa"/>
            <w:vAlign w:val="bottom"/>
          </w:tcPr>
          <w:p>
            <w:pPr>
              <w:spacing w:after="0"/>
              <w:rPr>
                <w:sz w:val="20"/>
                <w:szCs w:val="20"/>
                <w:color w:val="auto"/>
              </w:rPr>
            </w:pPr>
            <w:r>
              <w:rPr>
                <w:rFonts w:ascii="Calibri" w:cs="Calibri" w:eastAsia="Calibri" w:hAnsi="Calibri"/>
                <w:sz w:val="18"/>
                <w:szCs w:val="18"/>
                <w:color w:val="auto"/>
              </w:rPr>
              <w:t>The estmated service lives for property, plant and equipment are as follows:</w:t>
            </w:r>
          </w:p>
        </w:tc>
        <w:tc>
          <w:tcPr>
            <w:tcW w:w="14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2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6220" w:type="dxa"/>
            <w:vAlign w:val="bottom"/>
            <w:tcBorders>
              <w:bottom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b w:val="1"/>
                <w:bCs w:val="1"/>
                <w:color w:val="FFFFFF"/>
              </w:rPr>
              <w:t>Class of Assets</w:t>
            </w:r>
          </w:p>
        </w:tc>
        <w:tc>
          <w:tcPr>
            <w:tcW w:w="1440" w:type="dxa"/>
            <w:vAlign w:val="bottom"/>
            <w:tcBorders>
              <w:bottom w:val="single" w:sz="8" w:color="007CBA"/>
              <w:right w:val="single" w:sz="8" w:color="007CBA"/>
            </w:tcBorders>
            <w:shd w:val="clear" w:color="auto" w:fill="007CBA"/>
          </w:tcPr>
          <w:p>
            <w:pPr>
              <w:spacing w:after="0"/>
              <w:rPr>
                <w:sz w:val="19"/>
                <w:szCs w:val="19"/>
                <w:color w:val="auto"/>
              </w:rPr>
            </w:pPr>
          </w:p>
        </w:tc>
        <w:tc>
          <w:tcPr>
            <w:tcW w:w="3580" w:type="dxa"/>
            <w:vAlign w:val="bottom"/>
            <w:tcBorders>
              <w:bottom w:val="single" w:sz="8" w:color="007CBA"/>
            </w:tcBorders>
            <w:shd w:val="clear" w:color="auto" w:fill="007CBA"/>
          </w:tcPr>
          <w:p>
            <w:pPr>
              <w:jc w:val="center"/>
              <w:ind w:left="210"/>
              <w:spacing w:after="0" w:line="215" w:lineRule="exact"/>
              <w:rPr>
                <w:sz w:val="20"/>
                <w:szCs w:val="20"/>
                <w:color w:val="auto"/>
              </w:rPr>
            </w:pPr>
            <w:r>
              <w:rPr>
                <w:rFonts w:ascii="Calibri" w:cs="Calibri" w:eastAsia="Calibri" w:hAnsi="Calibri"/>
                <w:sz w:val="18"/>
                <w:szCs w:val="18"/>
                <w:b w:val="1"/>
                <w:bCs w:val="1"/>
                <w:color w:val="FFFFFF"/>
                <w:w w:val="97"/>
              </w:rPr>
              <w:t>Range of Service Lives</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20" w:type="dxa"/>
            <w:vAlign w:val="bottom"/>
          </w:tcPr>
          <w:p>
            <w:pPr>
              <w:ind w:left="120"/>
              <w:spacing w:after="0" w:line="215" w:lineRule="exact"/>
              <w:rPr>
                <w:sz w:val="20"/>
                <w:szCs w:val="20"/>
                <w:color w:val="auto"/>
              </w:rPr>
            </w:pPr>
            <w:r>
              <w:rPr>
                <w:rFonts w:ascii="Calibri" w:cs="Calibri" w:eastAsia="Calibri" w:hAnsi="Calibri"/>
                <w:sz w:val="18"/>
                <w:szCs w:val="18"/>
                <w:color w:val="auto"/>
              </w:rPr>
              <w:t>Buildings</w:t>
            </w:r>
          </w:p>
        </w:tc>
        <w:tc>
          <w:tcPr>
            <w:tcW w:w="1440" w:type="dxa"/>
            <w:vAlign w:val="bottom"/>
            <w:tcBorders>
              <w:right w:val="single" w:sz="8" w:color="007CBA"/>
            </w:tcBorders>
          </w:tcPr>
          <w:p>
            <w:pPr>
              <w:spacing w:after="0"/>
              <w:rPr>
                <w:sz w:val="18"/>
                <w:szCs w:val="18"/>
                <w:color w:val="auto"/>
              </w:rPr>
            </w:pPr>
          </w:p>
        </w:tc>
        <w:tc>
          <w:tcPr>
            <w:tcW w:w="3580" w:type="dxa"/>
            <w:vAlign w:val="bottom"/>
          </w:tcPr>
          <w:p>
            <w:pPr>
              <w:jc w:val="center"/>
              <w:ind w:left="210"/>
              <w:spacing w:after="0" w:line="215" w:lineRule="exact"/>
              <w:rPr>
                <w:sz w:val="20"/>
                <w:szCs w:val="20"/>
                <w:color w:val="auto"/>
              </w:rPr>
            </w:pPr>
            <w:r>
              <w:rPr>
                <w:rFonts w:ascii="Calibri" w:cs="Calibri" w:eastAsia="Calibri" w:hAnsi="Calibri"/>
                <w:sz w:val="18"/>
                <w:szCs w:val="18"/>
                <w:color w:val="auto"/>
                <w:w w:val="97"/>
              </w:rPr>
              <w:t>5 to 30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220" w:type="dxa"/>
            <w:vAlign w:val="bottom"/>
          </w:tcPr>
          <w:p>
            <w:pPr>
              <w:spacing w:after="0"/>
              <w:rPr>
                <w:sz w:val="2"/>
                <w:szCs w:val="2"/>
                <w:color w:val="auto"/>
              </w:rPr>
            </w:pPr>
          </w:p>
        </w:tc>
        <w:tc>
          <w:tcPr>
            <w:tcW w:w="1440" w:type="dxa"/>
            <w:vAlign w:val="bottom"/>
            <w:tcBorders>
              <w:right w:val="single" w:sz="8" w:color="007CBA"/>
            </w:tcBorders>
          </w:tcPr>
          <w:p>
            <w:pPr>
              <w:spacing w:after="0"/>
              <w:rPr>
                <w:sz w:val="2"/>
                <w:szCs w:val="2"/>
                <w:color w:val="auto"/>
              </w:rPr>
            </w:pPr>
          </w:p>
        </w:tc>
        <w:tc>
          <w:tcPr>
            <w:tcW w:w="35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220" w:type="dxa"/>
            <w:vAlign w:val="bottom"/>
            <w:tcBorders>
              <w:bottom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Machinery &amp; Equipment</w:t>
            </w:r>
          </w:p>
        </w:tc>
        <w:tc>
          <w:tcPr>
            <w:tcW w:w="1440" w:type="dxa"/>
            <w:vAlign w:val="bottom"/>
            <w:tcBorders>
              <w:bottom w:val="single" w:sz="8" w:color="E5F1F8"/>
              <w:right w:val="single" w:sz="8" w:color="007CBA"/>
            </w:tcBorders>
            <w:shd w:val="clear" w:color="auto" w:fill="E5F1F8"/>
          </w:tcPr>
          <w:p>
            <w:pPr>
              <w:spacing w:after="0"/>
              <w:rPr>
                <w:sz w:val="19"/>
                <w:szCs w:val="19"/>
                <w:color w:val="auto"/>
              </w:rPr>
            </w:pPr>
          </w:p>
        </w:tc>
        <w:tc>
          <w:tcPr>
            <w:tcW w:w="3580" w:type="dxa"/>
            <w:vAlign w:val="bottom"/>
            <w:tcBorders>
              <w:bottom w:val="single" w:sz="8" w:color="E5F1F8"/>
            </w:tcBorders>
            <w:shd w:val="clear" w:color="auto" w:fill="E5F1F8"/>
          </w:tcPr>
          <w:p>
            <w:pPr>
              <w:jc w:val="center"/>
              <w:ind w:left="210"/>
              <w:spacing w:after="0" w:line="215" w:lineRule="exact"/>
              <w:rPr>
                <w:sz w:val="20"/>
                <w:szCs w:val="20"/>
                <w:color w:val="auto"/>
              </w:rPr>
            </w:pPr>
            <w:r>
              <w:rPr>
                <w:rFonts w:ascii="Calibri" w:cs="Calibri" w:eastAsia="Calibri" w:hAnsi="Calibri"/>
                <w:sz w:val="18"/>
                <w:szCs w:val="18"/>
                <w:color w:val="auto"/>
                <w:w w:val="97"/>
              </w:rPr>
              <w:t>2 to 20 years</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20" w:type="dxa"/>
            <w:vAlign w:val="bottom"/>
          </w:tcPr>
          <w:p>
            <w:pPr>
              <w:ind w:left="120"/>
              <w:spacing w:after="0" w:line="215" w:lineRule="exact"/>
              <w:rPr>
                <w:sz w:val="20"/>
                <w:szCs w:val="20"/>
                <w:color w:val="auto"/>
              </w:rPr>
            </w:pPr>
            <w:r>
              <w:rPr>
                <w:rFonts w:ascii="Calibri" w:cs="Calibri" w:eastAsia="Calibri" w:hAnsi="Calibri"/>
                <w:sz w:val="18"/>
                <w:szCs w:val="18"/>
                <w:color w:val="auto"/>
              </w:rPr>
              <w:t>Land Improvements</w:t>
            </w:r>
          </w:p>
        </w:tc>
        <w:tc>
          <w:tcPr>
            <w:tcW w:w="1440" w:type="dxa"/>
            <w:vAlign w:val="bottom"/>
          </w:tcPr>
          <w:p>
            <w:pPr>
              <w:spacing w:after="0"/>
              <w:rPr>
                <w:sz w:val="18"/>
                <w:szCs w:val="18"/>
                <w:color w:val="auto"/>
              </w:rPr>
            </w:pPr>
          </w:p>
        </w:tc>
        <w:tc>
          <w:tcPr>
            <w:tcW w:w="3580" w:type="dxa"/>
            <w:vAlign w:val="bottom"/>
          </w:tcPr>
          <w:p>
            <w:pPr>
              <w:jc w:val="center"/>
              <w:ind w:left="210"/>
              <w:spacing w:after="0" w:line="215" w:lineRule="exact"/>
              <w:rPr>
                <w:sz w:val="20"/>
                <w:szCs w:val="20"/>
                <w:color w:val="auto"/>
              </w:rPr>
            </w:pPr>
            <w:r>
              <w:rPr>
                <w:rFonts w:ascii="Calibri" w:cs="Calibri" w:eastAsia="Calibri" w:hAnsi="Calibri"/>
                <w:sz w:val="18"/>
                <w:szCs w:val="18"/>
                <w:color w:val="auto"/>
                <w:w w:val="97"/>
              </w:rPr>
              <w:t>5 to 60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4844415</wp:posOffset>
            </wp:positionH>
            <wp:positionV relativeFrom="paragraph">
              <wp:posOffset>-175260</wp:posOffset>
            </wp:positionV>
            <wp:extent cx="2292985" cy="1879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2292985" cy="187960"/>
                    </a:xfrm>
                    <a:prstGeom prst="rect">
                      <a:avLst/>
                    </a:prstGeom>
                    <a:noFill/>
                  </pic:spPr>
                </pic:pic>
              </a:graphicData>
            </a:graphic>
          </wp:anchor>
        </w:drawing>
      </w:r>
    </w:p>
    <w:p>
      <w:pPr>
        <w:spacing w:after="0" w:line="1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begins capitalizing quarry development costs at a point when reserves are determined to be proven or probable, economically mineable and when demand supports investment in the market. Capitalizaton of these costs ceases when producton commences. Capitalized quarry development costs are classifed as land improvements and depreciated over the life of the reserves.</w:t>
      </w:r>
    </w:p>
    <w:p>
      <w:pPr>
        <w:spacing w:after="0" w:line="111"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auto"/>
        </w:rPr>
        <w:t>The Company reviews relevant facts and circumstances to determine whether to capitalize or expense pre-producton stripping costs when additonal pits are developed at an existng quarry. If the additonal pit operates in a separate and distnct area of the quarry, these costs are capitalized as quarry development costs and depreciated over the life of the uncovered reserves. Additonally, a separate asset retrement obligaton is created for additonal pits when the liability is incurred. Once a pit enters the producton phase, all post-producton stripping costs are charged to inventory producton costs as incurred.</w:t>
      </w:r>
    </w:p>
    <w:p>
      <w:pPr>
        <w:spacing w:after="0" w:line="10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Mineral reserves and mineral interests acquired in connecton with a business combinaton are valued using an income approach for the estmated life of the reserves. The Company’s aggregates reserves average approximately 75 years based on the 2022 annual producton level.</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Depreciaton is computed based on estmated service lives using the straight-line method. Depleton of mineral reserves is calculated based on proven and probable reserves using the units-of-producton method on a quarry-by-quarry basis.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Property, plant and equipment are reviewed for impairment whenever facts and circumstances indicate that the carrying amount of an asset group may not be recoverable. An impairment loss is recognized if expected future undiscounted cash fows over the estmated remaining service life of the related asset group are less than the asset group’s carrying value.</w:t>
      </w:r>
    </w:p>
    <w:p>
      <w:pPr>
        <w:spacing w:after="0" w:line="111"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b w:val="1"/>
          <w:bCs w:val="1"/>
          <w:i w:val="1"/>
          <w:iCs w:val="1"/>
          <w:color w:val="4EAD8A"/>
        </w:rPr>
        <w:t xml:space="preserve">Repair and Maintenance Costs. </w:t>
      </w:r>
      <w:r>
        <w:rPr>
          <w:rFonts w:ascii="Calibri" w:cs="Calibri" w:eastAsia="Calibri" w:hAnsi="Calibri"/>
          <w:sz w:val="18"/>
          <w:szCs w:val="18"/>
          <w:color w:val="000000"/>
        </w:rPr>
        <w:t>Repair and maintenance costs that do not substantally extend the life of the Company’s plant and equipment are expensed</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as incurred.</w:t>
      </w:r>
    </w:p>
    <w:p>
      <w:pPr>
        <w:spacing w:after="0" w:line="110"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b w:val="1"/>
          <w:bCs w:val="1"/>
          <w:i w:val="1"/>
          <w:iCs w:val="1"/>
          <w:color w:val="4EAD8A"/>
        </w:rPr>
        <w:t xml:space="preserve">Leases. </w:t>
      </w:r>
      <w:r>
        <w:rPr>
          <w:rFonts w:ascii="Calibri" w:cs="Calibri" w:eastAsia="Calibri" w:hAnsi="Calibri"/>
          <w:sz w:val="17"/>
          <w:szCs w:val="17"/>
          <w:color w:val="000000"/>
        </w:rPr>
        <w:t>If the Company determines a contract is or contains a lease at the incepton of an agreement, the Company records a right-of-use (ROU) asset, which</w:t>
      </w:r>
      <w:r>
        <w:rPr>
          <w:rFonts w:ascii="Calibri" w:cs="Calibri" w:eastAsia="Calibri" w:hAnsi="Calibri"/>
          <w:sz w:val="17"/>
          <w:szCs w:val="17"/>
          <w:b w:val="1"/>
          <w:bCs w:val="1"/>
          <w:i w:val="1"/>
          <w:iCs w:val="1"/>
          <w:color w:val="4EAD8A"/>
        </w:rPr>
        <w:t xml:space="preserve"> </w:t>
      </w:r>
      <w:r>
        <w:rPr>
          <w:rFonts w:ascii="Calibri" w:cs="Calibri" w:eastAsia="Calibri" w:hAnsi="Calibri"/>
          <w:sz w:val="17"/>
          <w:szCs w:val="17"/>
          <w:color w:val="000000"/>
        </w:rPr>
        <w:t>represents the Company’s right to use an underlying leased asset, and a lease liability, which represents the Company’s obligaton to make lease payments. The ROU asset and lease liability are recorded on the consolidated balance sheets at the present value of the future lease payments over the lease term at commencement date. The Company determines the present value of lease payments based on the implicit interest rate, which may be explicitly stated in the lease, if available, or may be the Company’s estmated collateralized incremental borrowing rate based on the term of the lease. Inital ROU assets also include any lease payments made at or before commencement date and any inital direct costs incurred and are reduced by lease incentves. Certain of the Company’s leases contain renewal and/or terminaton optons. The Company recognizes renewal or terminaton optons as part of its ROU assets and lease liabilites when the Company has the unilateral right to renew or terminate and it is reasonably certain these optons will be exercised.</w:t>
      </w:r>
    </w:p>
    <w:p>
      <w:pPr>
        <w:spacing w:after="0" w:line="10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Some leases require the Company to pay non-lease components, which may include taxes, maintenance, insurance and certain other expenses applicable to the leased property, and are primarily variable costs. The Company accounts for lease and non-lease components as a single amount, with the excepton of railcar and feet vehicle leases, for which the Company separately accounts for the lease and non-lease components.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Leases are evaluated and determined to be either fnance leases or operatng leases. The lease is a fnance lease if it transfers ownership to the underlying asset by the end of the lease term; includes a purchase opton that is reasonably certain to be exercised; has a lease term for the major part of the remaining economic life of the underlying asset; has a present value of the sum of the lease payments (including renewal optons) that equals or exceeds substantally all of the fair value of the underlying asset; or is for an underlying asset that is of a specialized nature and is expected to have no alternatve use to the lessor at the end of the lease term. If none of these terms exist, the lease is an operatng lease.</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Leases with an inital lease term of one year or less are not recorded on the consolidated balance sheets. Costs for these leases are expensed as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6751320</wp:posOffset>
            </wp:positionH>
            <wp:positionV relativeFrom="paragraph">
              <wp:posOffset>92075</wp:posOffset>
            </wp:positionV>
            <wp:extent cx="325755" cy="1968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83" w:name="page84"/>
    <w:bookmarkEnd w:id="83"/>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the consolidated statements of earnings, operatng lease expense, which is recognized on a straight-line basis over the lease term, and the amortzaton of fnance lease ROU assets are included in the </w:t>
      </w:r>
      <w:r>
        <w:rPr>
          <w:rFonts w:ascii="Calibri" w:cs="Calibri" w:eastAsia="Calibri" w:hAnsi="Calibri"/>
          <w:sz w:val="18"/>
          <w:szCs w:val="18"/>
          <w:i w:val="1"/>
          <w:iCs w:val="1"/>
          <w:color w:val="auto"/>
        </w:rPr>
        <w:t>Cost of revenues - products and services</w:t>
      </w:r>
      <w:r>
        <w:rPr>
          <w:rFonts w:ascii="Calibri" w:cs="Calibri" w:eastAsia="Calibri" w:hAnsi="Calibri"/>
          <w:sz w:val="18"/>
          <w:szCs w:val="18"/>
          <w:color w:val="auto"/>
        </w:rPr>
        <w:t xml:space="preserve"> or </w:t>
      </w:r>
      <w:r>
        <w:rPr>
          <w:rFonts w:ascii="Calibri" w:cs="Calibri" w:eastAsia="Calibri" w:hAnsi="Calibri"/>
          <w:sz w:val="18"/>
          <w:szCs w:val="18"/>
          <w:i w:val="1"/>
          <w:iCs w:val="1"/>
          <w:color w:val="auto"/>
        </w:rPr>
        <w:t>Selling, general and administratve expenses</w:t>
      </w:r>
      <w:r>
        <w:rPr>
          <w:rFonts w:ascii="Calibri" w:cs="Calibri" w:eastAsia="Calibri" w:hAnsi="Calibri"/>
          <w:sz w:val="18"/>
          <w:szCs w:val="18"/>
          <w:color w:val="auto"/>
        </w:rPr>
        <w:t xml:space="preserve"> line items in the consolidated statements of earnings. Accreton on the liabilites for fnance leases is included in interest expense.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Goodwill and Other Intangible Assets. </w:t>
      </w:r>
      <w:r>
        <w:rPr>
          <w:rFonts w:ascii="Calibri" w:cs="Calibri" w:eastAsia="Calibri" w:hAnsi="Calibri"/>
          <w:sz w:val="18"/>
          <w:szCs w:val="18"/>
          <w:color w:val="000000"/>
        </w:rPr>
        <w:t>Goodwill represents the excess purchase price paid for acquired businesses over the estmated fair value of</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identfable assets and liabilites. Other intangible assets represent amounts assigned principally to contractual agreements and are either amortzed ratably over the useful lives to the Company or not amortzed if deemed to have an indefnite useful life.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reportng units, which represent the level at which goodwill is tested for impairment, are based on the operatng segments of the Building Materials business. Goodwill is assigned to the respectve reportng unit(s) based on the locaton of acquisitons at the tme of consummaton. Goodwill is tested for impairment by comparing each reportng unit’s fair value to its carrying value, which represents a Step-1 approach. However, prior to Step 1, the Company may perform a qualitatve assessment and evaluate macroeconomic conditons, industry and market conditons, cost factors, overall fnancial performance and other business or reportng unit-specifc events that contribute to the fair value of a reportng unit. If the Company concludes, based on its qualitatve assessment, it is more-likely-than-not (i.e., a likelihood of more than 50%) that a reportng unit’s fair value is higher than its carrying value, the Company is not required to perform any further goodwill impairment testng for that reportng unit. Otherwise, the Company proceeds to Step 1, and if a reportng unit’s fair value exceeds its carrying value, there is no impairment. A reportng unit with a carrying value in excess of its fair value results in an impairment charge equal to the diference.</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carrying values of goodwill and other indefnite-lived intangible assets are reviewed for impairment annually, as of October 1. An interim review is performed between annual tests if facts and circumstances indicate potental impairment. The carrying value of other amortzable intangible assets is reviewed if facts and circumstances indicate potental impairment. If a review indicates the carrying value is impaired, a charge is recorded equal to the amount by which the carrying value exceeds the fair value.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Retrement Plans and Postretrement Benefts. </w:t>
      </w:r>
      <w:r>
        <w:rPr>
          <w:rFonts w:ascii="Calibri" w:cs="Calibri" w:eastAsia="Calibri" w:hAnsi="Calibri"/>
          <w:sz w:val="18"/>
          <w:szCs w:val="18"/>
          <w:color w:val="000000"/>
        </w:rPr>
        <w:t>The Company sponsors defned beneft retrement plans and also provides other postretrement benefts. The</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Company recognizes the funded status, defned as the diference between the fair value of plan assets and the beneft obligaton, of its pension plans and other postretrement benefts as an asset or liability on the consolidated balance sheets. Actuarial gains or losses that arise during the year are recognized as a component of accumulated other comprehensive earnings or loss. Those amounts are amortzed over the partcipants’ average remaining service period and recognized as a component of net periodic beneft cost. The amount amortzed is determined on a plan-by-plan basis using a corridor approach and represents the excess over 10% of the greater of the projected beneft obligaton or pension plan assets.</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Insurance Reserves. </w:t>
      </w:r>
      <w:r>
        <w:rPr>
          <w:rFonts w:ascii="Calibri" w:cs="Calibri" w:eastAsia="Calibri" w:hAnsi="Calibri"/>
          <w:sz w:val="18"/>
          <w:szCs w:val="18"/>
          <w:color w:val="000000"/>
        </w:rPr>
        <w:t>The Company has insurance coverage with large deductbles for workers’ compensaton, automobile liability, marine liability and general</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liability claims, and is also self-insured for health claims. The Company records insurance reserves based on an actuarial-determined analysis, which calculates development factors that are applied to total case reserves within the insurance programs. While the Company believes the assumptons used to calculate these liabilites are appropriate, signifcant diferences in actual experience and/or signifcant changes in these assumptons may materially afect insurance costs.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Stock-Based Compensaton. </w:t>
      </w:r>
      <w:r>
        <w:rPr>
          <w:rFonts w:ascii="Calibri" w:cs="Calibri" w:eastAsia="Calibri" w:hAnsi="Calibri"/>
          <w:sz w:val="18"/>
          <w:szCs w:val="18"/>
          <w:color w:val="000000"/>
        </w:rPr>
        <w:t>The Company has stock-based compensaton plans for employees and its Board of Directors. The Company recognizes all forms</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of stock-based awards that vest as compensaton expense. The compensaton expense is the fair value of the awards at the measurement date and is recognized over the requisite service period. Forfeitures are recognized as they occur.</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fair value of restricted stock awards, incentve compensaton stock awards and Board of Directors’ fees paid in the form of common stock are based on the closing price of the Company’s common stock on the grant dates. The fair value of performance stock awards as of the grant dates is determined using a Monte Carlo simulaton methodology.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6751320</wp:posOffset>
            </wp:positionH>
            <wp:positionV relativeFrom="paragraph">
              <wp:posOffset>229870</wp:posOffset>
            </wp:positionV>
            <wp:extent cx="325755" cy="1974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365"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84" w:name="page85"/>
    <w:bookmarkEnd w:id="84"/>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Environmental Maters. </w:t>
      </w:r>
      <w:r>
        <w:rPr>
          <w:rFonts w:ascii="Calibri" w:cs="Calibri" w:eastAsia="Calibri" w:hAnsi="Calibri"/>
          <w:sz w:val="18"/>
          <w:szCs w:val="18"/>
          <w:color w:val="000000"/>
        </w:rPr>
        <w:t>The Company records a liability for an asset retrement obligaton at fair value in the period in which it is incurred. The asset</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retrement obligaton is recorded at the acquisiton date of a long-lived tangible asset if the fair value can be reasonably estmated. A corresponding amount is capitalized as part of the asset’s carrying amount. The fair value is afected by management’s assumptons regarding the scope of the work, infaton rates and asset retrement dates.</w:t>
      </w:r>
    </w:p>
    <w:p>
      <w:pPr>
        <w:spacing w:after="0" w:line="111"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Further, the Company records an accrual for other environmental remediaton liabilites in the period in which it is probable that a liability has been incurred and the appropriate amounts can be estmated reasonably. Such accruals are adjusted as further informaton develops or circumstances change. Generally, these costs are not discounted to their present value or ofset for potental insurance or other claims or potental gains from future alternatve uses for a site.</w:t>
      </w:r>
    </w:p>
    <w:p>
      <w:pPr>
        <w:spacing w:after="0" w:line="9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Income Taxes</w:t>
      </w:r>
      <w:r>
        <w:rPr>
          <w:rFonts w:ascii="Calibri" w:cs="Calibri" w:eastAsia="Calibri" w:hAnsi="Calibri"/>
          <w:sz w:val="18"/>
          <w:szCs w:val="18"/>
          <w:b w:val="1"/>
          <w:bCs w:val="1"/>
          <w:color w:val="4EAD8A"/>
        </w:rPr>
        <w:t>.</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Deferred income taxes, net, on the consolidated balance sheets refect the net tax efects of temporary diferences between the carrying</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amounts of assets and liabilites for fnancial reportng purposes and the amounts used for income tax purposes, net of valuaton allowances. Deferred tax liabilites for property, plant and equipment result from accelerated depreciaton methods being used for income tax purposes as compared with the straight-line method for fnancial reportng purposes. Deferred tax liabilites related to goodwill and other intangibles refect the cessaton of goodwill amortzaton for fnancial reportng purposes, while amortzaton contnued for income tax purposes. The efect of changes in enacted tax rates on deferred income tax assets and liabilites is charged or credited to income tax expense in the period of enactment.</w:t>
      </w:r>
    </w:p>
    <w:p>
      <w:pPr>
        <w:spacing w:after="0" w:line="113"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b w:val="1"/>
          <w:bCs w:val="1"/>
          <w:i w:val="1"/>
          <w:iCs w:val="1"/>
          <w:color w:val="4EAD8A"/>
        </w:rPr>
        <w:t xml:space="preserve">Uncertain Tax Positons. </w:t>
      </w:r>
      <w:r>
        <w:rPr>
          <w:rFonts w:ascii="Calibri" w:cs="Calibri" w:eastAsia="Calibri" w:hAnsi="Calibri"/>
          <w:sz w:val="17"/>
          <w:szCs w:val="17"/>
          <w:color w:val="000000"/>
        </w:rPr>
        <w:t>The Company recognizes a tax beneft when it is more-likely-than-not, based on the technical merits, that a tax positon would be</w:t>
      </w:r>
      <w:r>
        <w:rPr>
          <w:rFonts w:ascii="Calibri" w:cs="Calibri" w:eastAsia="Calibri" w:hAnsi="Calibri"/>
          <w:sz w:val="17"/>
          <w:szCs w:val="17"/>
          <w:b w:val="1"/>
          <w:bCs w:val="1"/>
          <w:i w:val="1"/>
          <w:iCs w:val="1"/>
          <w:color w:val="4EAD8A"/>
        </w:rPr>
        <w:t xml:space="preserve"> </w:t>
      </w:r>
      <w:r>
        <w:rPr>
          <w:rFonts w:ascii="Calibri" w:cs="Calibri" w:eastAsia="Calibri" w:hAnsi="Calibri"/>
          <w:sz w:val="17"/>
          <w:szCs w:val="17"/>
          <w:color w:val="000000"/>
        </w:rPr>
        <w:t>sustained upon examinaton by a taxing authority. The amount to be recognized is measured as the largest amount of tax beneft that is greater than 50% likely of being realized upon ultmate setlement with a taxing authority that has full knowledge of all relevant informaton. The Company’s unrecognized tax benefts are recorded in other liabilites on the consolidated balance sheets or as an ofset to the deferred tax asset for tax carryforwards where available.</w:t>
      </w:r>
    </w:p>
    <w:p>
      <w:pPr>
        <w:spacing w:after="0" w:line="10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records interest accrued in relaton to unrecognized tax benefts as income tax expense. Penaltes, if incurred, are recorded as operatng expenses in the consolidated statements of earnings.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Sales Taxes. </w:t>
      </w:r>
      <w:r>
        <w:rPr>
          <w:rFonts w:ascii="Calibri" w:cs="Calibri" w:eastAsia="Calibri" w:hAnsi="Calibri"/>
          <w:sz w:val="18"/>
          <w:szCs w:val="18"/>
          <w:color w:val="000000"/>
        </w:rPr>
        <w:t>The Company is deemed to be an agent when collectng sales taxes from customers. Sales taxes collected from customers are recorded as</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liabilites untl remited to taxing authorites and therefore are not refected in the consolidated statements of earnings as revenues and expenses.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4EAD8A"/>
        </w:rPr>
        <w:t xml:space="preserve">Start-Up Costs. </w:t>
      </w:r>
      <w:r>
        <w:rPr>
          <w:rFonts w:ascii="Calibri" w:cs="Calibri" w:eastAsia="Calibri" w:hAnsi="Calibri"/>
          <w:sz w:val="18"/>
          <w:szCs w:val="18"/>
          <w:color w:val="000000"/>
        </w:rPr>
        <w:t>Noncapital start-up costs for new facilites and products are charged to operatons as incurred.</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Consolidated Comprehensive Earnings and Accumulated Other Comprehensive Loss</w:t>
      </w:r>
      <w:r>
        <w:rPr>
          <w:rFonts w:ascii="Calibri" w:cs="Calibri" w:eastAsia="Calibri" w:hAnsi="Calibri"/>
          <w:sz w:val="18"/>
          <w:szCs w:val="18"/>
          <w:color w:val="4EAD8A"/>
        </w:rPr>
        <w:t>.</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Consolidated comprehensive earnings consist of consolidated net</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earnings, adjustments for the funded status of pension and postretrement beneft plans and foreign currency translaton adjustments, and are presented in the Company’s consolidated statements of comprehensive earnings.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Accumulated other comprehensive loss consists of unrecognized gains and losses related to the funded status of the pension and postretrement beneft plans and foreign currency translaton and is presented on the Company’s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6751320</wp:posOffset>
            </wp:positionH>
            <wp:positionV relativeFrom="paragraph">
              <wp:posOffset>92710</wp:posOffset>
            </wp:positionV>
            <wp:extent cx="325755" cy="1968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85" w:name="page86"/>
    <w:bookmarkEnd w:id="85"/>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components of the changes in accumulated other comprehensive loss and related cumulatve noncurrent deferred tax assets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980" w:type="dxa"/>
            <w:vAlign w:val="bottom"/>
            <w:tcBorders>
              <w:right w:val="single" w:sz="8" w:color="007CBA"/>
            </w:tcBorders>
            <w:shd w:val="clear" w:color="auto" w:fill="007CBA"/>
          </w:tcPr>
          <w:p>
            <w:pPr>
              <w:spacing w:after="0"/>
              <w:rPr>
                <w:sz w:val="19"/>
                <w:szCs w:val="19"/>
                <w:color w:val="auto"/>
              </w:rPr>
            </w:pPr>
          </w:p>
        </w:tc>
        <w:tc>
          <w:tcPr>
            <w:tcW w:w="140" w:type="dxa"/>
            <w:vAlign w:val="bottom"/>
            <w:shd w:val="clear" w:color="auto" w:fill="007CBA"/>
          </w:tcPr>
          <w:p>
            <w:pPr>
              <w:spacing w:after="0"/>
              <w:rPr>
                <w:sz w:val="19"/>
                <w:szCs w:val="19"/>
                <w:color w:val="auto"/>
              </w:rPr>
            </w:pPr>
          </w:p>
        </w:tc>
        <w:tc>
          <w:tcPr>
            <w:tcW w:w="1420" w:type="dxa"/>
            <w:vAlign w:val="bottom"/>
            <w:tcBorders>
              <w:right w:val="single" w:sz="8" w:color="007CBA"/>
            </w:tcBorders>
            <w:shd w:val="clear" w:color="auto" w:fill="007CBA"/>
          </w:tcPr>
          <w:p>
            <w:pPr>
              <w:jc w:val="center"/>
              <w:ind w:right="190"/>
              <w:spacing w:after="0"/>
              <w:rPr>
                <w:sz w:val="20"/>
                <w:szCs w:val="20"/>
                <w:color w:val="auto"/>
              </w:rPr>
            </w:pPr>
            <w:r>
              <w:rPr>
                <w:rFonts w:ascii="Calibri" w:cs="Calibri" w:eastAsia="Calibri" w:hAnsi="Calibri"/>
                <w:sz w:val="18"/>
                <w:szCs w:val="18"/>
                <w:b w:val="1"/>
                <w:bCs w:val="1"/>
                <w:color w:val="FFFFFF"/>
                <w:w w:val="98"/>
              </w:rPr>
              <w:t>Pension and</w:t>
            </w:r>
          </w:p>
        </w:tc>
        <w:tc>
          <w:tcPr>
            <w:tcW w:w="220" w:type="dxa"/>
            <w:vAlign w:val="bottom"/>
            <w:shd w:val="clear" w:color="auto" w:fill="007CBA"/>
          </w:tcPr>
          <w:p>
            <w:pPr>
              <w:spacing w:after="0"/>
              <w:rPr>
                <w:sz w:val="19"/>
                <w:szCs w:val="19"/>
                <w:color w:val="auto"/>
              </w:rPr>
            </w:pPr>
          </w:p>
        </w:tc>
        <w:tc>
          <w:tcPr>
            <w:tcW w:w="1200" w:type="dxa"/>
            <w:vAlign w:val="bottom"/>
            <w:tcBorders>
              <w:right w:val="single" w:sz="8" w:color="007CBA"/>
            </w:tcBorders>
            <w:shd w:val="clear" w:color="auto" w:fill="007CBA"/>
          </w:tcPr>
          <w:p>
            <w:pPr>
              <w:spacing w:after="0"/>
              <w:rPr>
                <w:sz w:val="19"/>
                <w:szCs w:val="19"/>
                <w:color w:val="auto"/>
              </w:rPr>
            </w:pPr>
          </w:p>
        </w:tc>
        <w:tc>
          <w:tcPr>
            <w:tcW w:w="260" w:type="dxa"/>
            <w:vAlign w:val="bottom"/>
            <w:shd w:val="clear" w:color="auto" w:fill="007CBA"/>
          </w:tcPr>
          <w:p>
            <w:pPr>
              <w:spacing w:after="0"/>
              <w:rPr>
                <w:sz w:val="19"/>
                <w:szCs w:val="19"/>
                <w:color w:val="auto"/>
              </w:rPr>
            </w:pPr>
          </w:p>
        </w:tc>
        <w:tc>
          <w:tcPr>
            <w:tcW w:w="1020" w:type="dxa"/>
            <w:vAlign w:val="bottom"/>
            <w:shd w:val="clear" w:color="auto" w:fill="007CBA"/>
          </w:tcPr>
          <w:p>
            <w:pPr>
              <w:spacing w:after="0"/>
              <w:rPr>
                <w:sz w:val="19"/>
                <w:szCs w:val="19"/>
                <w:color w:val="auto"/>
              </w:rPr>
            </w:pPr>
          </w:p>
        </w:tc>
      </w:tr>
      <w:tr>
        <w:trPr>
          <w:trHeight w:val="215"/>
        </w:trPr>
        <w:tc>
          <w:tcPr>
            <w:tcW w:w="6980" w:type="dxa"/>
            <w:vAlign w:val="bottom"/>
            <w:tcBorders>
              <w:right w:val="single" w:sz="8" w:color="007CBA"/>
            </w:tcBorders>
            <w:shd w:val="clear" w:color="auto" w:fill="007CBA"/>
          </w:tcPr>
          <w:p>
            <w:pPr>
              <w:spacing w:after="0"/>
              <w:rPr>
                <w:sz w:val="18"/>
                <w:szCs w:val="18"/>
                <w:color w:val="auto"/>
              </w:rPr>
            </w:pPr>
          </w:p>
        </w:tc>
        <w:tc>
          <w:tcPr>
            <w:tcW w:w="140" w:type="dxa"/>
            <w:vAlign w:val="bottom"/>
            <w:shd w:val="clear" w:color="auto" w:fill="007CBA"/>
          </w:tcPr>
          <w:p>
            <w:pPr>
              <w:spacing w:after="0"/>
              <w:rPr>
                <w:sz w:val="18"/>
                <w:szCs w:val="18"/>
                <w:color w:val="auto"/>
              </w:rPr>
            </w:pPr>
          </w:p>
        </w:tc>
        <w:tc>
          <w:tcPr>
            <w:tcW w:w="1420" w:type="dxa"/>
            <w:vAlign w:val="bottom"/>
            <w:tcBorders>
              <w:right w:val="single" w:sz="8" w:color="007CBA"/>
            </w:tcBorders>
            <w:shd w:val="clear" w:color="auto" w:fill="007CBA"/>
          </w:tcPr>
          <w:p>
            <w:pPr>
              <w:jc w:val="center"/>
              <w:ind w:right="190"/>
              <w:spacing w:after="0" w:line="215" w:lineRule="exact"/>
              <w:rPr>
                <w:sz w:val="20"/>
                <w:szCs w:val="20"/>
                <w:color w:val="auto"/>
              </w:rPr>
            </w:pPr>
            <w:r>
              <w:rPr>
                <w:rFonts w:ascii="Calibri" w:cs="Calibri" w:eastAsia="Calibri" w:hAnsi="Calibri"/>
                <w:sz w:val="18"/>
                <w:szCs w:val="18"/>
                <w:b w:val="1"/>
                <w:bCs w:val="1"/>
                <w:color w:val="FFFFFF"/>
              </w:rPr>
              <w:t>Postretrement</w:t>
            </w:r>
          </w:p>
        </w:tc>
        <w:tc>
          <w:tcPr>
            <w:tcW w:w="220" w:type="dxa"/>
            <w:vAlign w:val="bottom"/>
            <w:shd w:val="clear" w:color="auto" w:fill="007CBA"/>
          </w:tcPr>
          <w:p>
            <w:pPr>
              <w:spacing w:after="0"/>
              <w:rPr>
                <w:sz w:val="18"/>
                <w:szCs w:val="18"/>
                <w:color w:val="auto"/>
              </w:rPr>
            </w:pPr>
          </w:p>
        </w:tc>
        <w:tc>
          <w:tcPr>
            <w:tcW w:w="1200" w:type="dxa"/>
            <w:vAlign w:val="bottom"/>
            <w:tcBorders>
              <w:right w:val="single" w:sz="8" w:color="007CBA"/>
            </w:tcBorders>
            <w:shd w:val="clear" w:color="auto" w:fill="007CBA"/>
          </w:tcPr>
          <w:p>
            <w:pPr>
              <w:jc w:val="right"/>
              <w:ind w:right="430"/>
              <w:spacing w:after="0" w:line="215" w:lineRule="exact"/>
              <w:rPr>
                <w:sz w:val="20"/>
                <w:szCs w:val="20"/>
                <w:color w:val="auto"/>
              </w:rPr>
            </w:pPr>
            <w:r>
              <w:rPr>
                <w:rFonts w:ascii="Calibri" w:cs="Calibri" w:eastAsia="Calibri" w:hAnsi="Calibri"/>
                <w:sz w:val="18"/>
                <w:szCs w:val="18"/>
                <w:b w:val="1"/>
                <w:bCs w:val="1"/>
                <w:color w:val="FFFFFF"/>
              </w:rPr>
              <w:t>Foreign</w:t>
            </w:r>
          </w:p>
        </w:tc>
        <w:tc>
          <w:tcPr>
            <w:tcW w:w="260" w:type="dxa"/>
            <w:vAlign w:val="bottom"/>
            <w:shd w:val="clear" w:color="auto" w:fill="007CBA"/>
          </w:tcPr>
          <w:p>
            <w:pPr>
              <w:spacing w:after="0"/>
              <w:rPr>
                <w:sz w:val="18"/>
                <w:szCs w:val="18"/>
                <w:color w:val="auto"/>
              </w:rPr>
            </w:pPr>
          </w:p>
        </w:tc>
        <w:tc>
          <w:tcPr>
            <w:tcW w:w="1020" w:type="dxa"/>
            <w:vAlign w:val="bottom"/>
            <w:shd w:val="clear" w:color="auto" w:fill="007CBA"/>
          </w:tcPr>
          <w:p>
            <w:pPr>
              <w:spacing w:after="0"/>
              <w:rPr>
                <w:sz w:val="18"/>
                <w:szCs w:val="18"/>
                <w:color w:val="auto"/>
              </w:rPr>
            </w:pPr>
          </w:p>
        </w:tc>
      </w:tr>
      <w:tr>
        <w:trPr>
          <w:trHeight w:val="229"/>
        </w:trPr>
        <w:tc>
          <w:tcPr>
            <w:tcW w:w="698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140" w:type="dxa"/>
            <w:vAlign w:val="bottom"/>
            <w:shd w:val="clear" w:color="auto" w:fill="007CBA"/>
          </w:tcPr>
          <w:p>
            <w:pPr>
              <w:spacing w:after="0"/>
              <w:rPr>
                <w:sz w:val="19"/>
                <w:szCs w:val="19"/>
                <w:color w:val="auto"/>
              </w:rPr>
            </w:pPr>
          </w:p>
        </w:tc>
        <w:tc>
          <w:tcPr>
            <w:tcW w:w="1420" w:type="dxa"/>
            <w:vAlign w:val="bottom"/>
            <w:tcBorders>
              <w:right w:val="single" w:sz="8" w:color="007CBA"/>
            </w:tcBorders>
            <w:shd w:val="clear" w:color="auto" w:fill="007CBA"/>
          </w:tcPr>
          <w:p>
            <w:pPr>
              <w:jc w:val="center"/>
              <w:ind w:right="150"/>
              <w:spacing w:after="0" w:line="216" w:lineRule="exact"/>
              <w:rPr>
                <w:sz w:val="20"/>
                <w:szCs w:val="20"/>
                <w:color w:val="auto"/>
              </w:rPr>
            </w:pPr>
            <w:r>
              <w:rPr>
                <w:rFonts w:ascii="Calibri" w:cs="Calibri" w:eastAsia="Calibri" w:hAnsi="Calibri"/>
                <w:sz w:val="18"/>
                <w:szCs w:val="18"/>
                <w:b w:val="1"/>
                <w:bCs w:val="1"/>
                <w:color w:val="FFFFFF"/>
              </w:rPr>
              <w:t>Beneft Plans</w:t>
            </w:r>
          </w:p>
        </w:tc>
        <w:tc>
          <w:tcPr>
            <w:tcW w:w="220" w:type="dxa"/>
            <w:vAlign w:val="bottom"/>
            <w:shd w:val="clear" w:color="auto" w:fill="007CBA"/>
          </w:tcPr>
          <w:p>
            <w:pPr>
              <w:spacing w:after="0"/>
              <w:rPr>
                <w:sz w:val="19"/>
                <w:szCs w:val="19"/>
                <w:color w:val="auto"/>
              </w:rPr>
            </w:pPr>
          </w:p>
        </w:tc>
        <w:tc>
          <w:tcPr>
            <w:tcW w:w="1200" w:type="dxa"/>
            <w:vAlign w:val="bottom"/>
            <w:tcBorders>
              <w:right w:val="single" w:sz="8" w:color="007CBA"/>
            </w:tcBorders>
            <w:shd w:val="clear" w:color="auto" w:fill="007CBA"/>
          </w:tcPr>
          <w:p>
            <w:pPr>
              <w:jc w:val="right"/>
              <w:ind w:right="350"/>
              <w:spacing w:after="0" w:line="216" w:lineRule="exact"/>
              <w:rPr>
                <w:sz w:val="20"/>
                <w:szCs w:val="20"/>
                <w:color w:val="auto"/>
              </w:rPr>
            </w:pPr>
            <w:r>
              <w:rPr>
                <w:rFonts w:ascii="Calibri" w:cs="Calibri" w:eastAsia="Calibri" w:hAnsi="Calibri"/>
                <w:sz w:val="18"/>
                <w:szCs w:val="18"/>
                <w:b w:val="1"/>
                <w:bCs w:val="1"/>
                <w:color w:val="FFFFFF"/>
              </w:rPr>
              <w:t>Currency</w:t>
            </w:r>
          </w:p>
        </w:tc>
        <w:tc>
          <w:tcPr>
            <w:tcW w:w="260" w:type="dxa"/>
            <w:vAlign w:val="bottom"/>
            <w:shd w:val="clear" w:color="auto" w:fill="007CBA"/>
          </w:tcPr>
          <w:p>
            <w:pPr>
              <w:spacing w:after="0"/>
              <w:rPr>
                <w:sz w:val="19"/>
                <w:szCs w:val="19"/>
                <w:color w:val="auto"/>
              </w:rPr>
            </w:pPr>
          </w:p>
        </w:tc>
        <w:tc>
          <w:tcPr>
            <w:tcW w:w="1020" w:type="dxa"/>
            <w:vAlign w:val="bottom"/>
            <w:shd w:val="clear" w:color="auto" w:fill="007CBA"/>
          </w:tcPr>
          <w:p>
            <w:pPr>
              <w:jc w:val="right"/>
              <w:ind w:right="430"/>
              <w:spacing w:after="0" w:line="216" w:lineRule="exact"/>
              <w:rPr>
                <w:sz w:val="20"/>
                <w:szCs w:val="20"/>
                <w:color w:val="auto"/>
              </w:rPr>
            </w:pPr>
            <w:r>
              <w:rPr>
                <w:rFonts w:ascii="Calibri" w:cs="Calibri" w:eastAsia="Calibri" w:hAnsi="Calibri"/>
                <w:sz w:val="18"/>
                <w:szCs w:val="18"/>
                <w:b w:val="1"/>
                <w:bCs w:val="1"/>
                <w:color w:val="FFFFFF"/>
              </w:rPr>
              <w:t>Total</w:t>
            </w:r>
          </w:p>
        </w:tc>
      </w:tr>
      <w:tr>
        <w:trPr>
          <w:trHeight w:val="260"/>
        </w:trPr>
        <w:tc>
          <w:tcPr>
            <w:tcW w:w="6980" w:type="dxa"/>
            <w:vAlign w:val="bottom"/>
            <w:tcBorders>
              <w:bottom w:val="single" w:sz="8" w:color="007CBA"/>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color w:val="FFFFFF"/>
              </w:rPr>
              <w:t>(in millions)</w:t>
            </w:r>
          </w:p>
        </w:tc>
        <w:tc>
          <w:tcPr>
            <w:tcW w:w="140" w:type="dxa"/>
            <w:vAlign w:val="bottom"/>
            <w:tcBorders>
              <w:bottom w:val="single" w:sz="8" w:color="007CBA"/>
            </w:tcBorders>
            <w:shd w:val="clear" w:color="auto" w:fill="007CBA"/>
          </w:tcPr>
          <w:p>
            <w:pPr>
              <w:spacing w:after="0"/>
              <w:rPr>
                <w:sz w:val="22"/>
                <w:szCs w:val="22"/>
                <w:color w:val="auto"/>
              </w:rPr>
            </w:pPr>
          </w:p>
        </w:tc>
        <w:tc>
          <w:tcPr>
            <w:tcW w:w="1420" w:type="dxa"/>
            <w:vAlign w:val="bottom"/>
            <w:tcBorders>
              <w:bottom w:val="single" w:sz="8" w:color="007CBA"/>
              <w:right w:val="single" w:sz="8" w:color="007CBA"/>
            </w:tcBorders>
            <w:shd w:val="clear" w:color="auto" w:fill="007CBA"/>
          </w:tcPr>
          <w:p>
            <w:pPr>
              <w:spacing w:after="0"/>
              <w:rPr>
                <w:sz w:val="22"/>
                <w:szCs w:val="22"/>
                <w:color w:val="auto"/>
              </w:rPr>
            </w:pPr>
          </w:p>
        </w:tc>
        <w:tc>
          <w:tcPr>
            <w:tcW w:w="220" w:type="dxa"/>
            <w:vAlign w:val="bottom"/>
            <w:tcBorders>
              <w:bottom w:val="single" w:sz="8" w:color="007CBA"/>
            </w:tcBorders>
            <w:shd w:val="clear" w:color="auto" w:fill="007CBA"/>
          </w:tcPr>
          <w:p>
            <w:pPr>
              <w:spacing w:after="0"/>
              <w:rPr>
                <w:sz w:val="22"/>
                <w:szCs w:val="22"/>
                <w:color w:val="auto"/>
              </w:rPr>
            </w:pPr>
          </w:p>
        </w:tc>
        <w:tc>
          <w:tcPr>
            <w:tcW w:w="1200" w:type="dxa"/>
            <w:vAlign w:val="bottom"/>
            <w:tcBorders>
              <w:bottom w:val="single" w:sz="8" w:color="007CBA"/>
              <w:right w:val="single" w:sz="8" w:color="007CBA"/>
            </w:tcBorders>
            <w:shd w:val="clear" w:color="auto" w:fill="007CBA"/>
          </w:tcPr>
          <w:p>
            <w:pPr>
              <w:jc w:val="right"/>
              <w:ind w:right="630"/>
              <w:spacing w:after="0"/>
              <w:rPr>
                <w:sz w:val="20"/>
                <w:szCs w:val="20"/>
                <w:color w:val="auto"/>
              </w:rPr>
            </w:pPr>
            <w:r>
              <w:rPr>
                <w:rFonts w:ascii="Calibri" w:cs="Calibri" w:eastAsia="Calibri" w:hAnsi="Calibri"/>
                <w:sz w:val="18"/>
                <w:szCs w:val="18"/>
                <w:b w:val="1"/>
                <w:bCs w:val="1"/>
                <w:color w:val="FFFFFF"/>
              </w:rPr>
              <w:t>2022</w:t>
            </w:r>
          </w:p>
        </w:tc>
        <w:tc>
          <w:tcPr>
            <w:tcW w:w="260" w:type="dxa"/>
            <w:vAlign w:val="bottom"/>
            <w:tcBorders>
              <w:bottom w:val="single" w:sz="8" w:color="007CBA"/>
            </w:tcBorders>
            <w:shd w:val="clear" w:color="auto" w:fill="007CBA"/>
          </w:tcPr>
          <w:p>
            <w:pPr>
              <w:spacing w:after="0"/>
              <w:rPr>
                <w:sz w:val="22"/>
                <w:szCs w:val="22"/>
                <w:color w:val="auto"/>
              </w:rPr>
            </w:pPr>
          </w:p>
        </w:tc>
        <w:tc>
          <w:tcPr>
            <w:tcW w:w="1020" w:type="dxa"/>
            <w:vAlign w:val="bottom"/>
            <w:tcBorders>
              <w:bottom w:val="single" w:sz="8" w:color="007CBA"/>
            </w:tcBorders>
            <w:shd w:val="clear" w:color="auto" w:fill="007CBA"/>
          </w:tcPr>
          <w:p>
            <w:pPr>
              <w:spacing w:after="0"/>
              <w:rPr>
                <w:sz w:val="22"/>
                <w:szCs w:val="22"/>
                <w:color w:val="auto"/>
              </w:rPr>
            </w:pPr>
          </w:p>
        </w:tc>
      </w:tr>
      <w:tr>
        <w:trPr>
          <w:trHeight w:val="215"/>
        </w:trPr>
        <w:tc>
          <w:tcPr>
            <w:tcW w:w="6980" w:type="dxa"/>
            <w:vAlign w:val="bottom"/>
          </w:tcPr>
          <w:p>
            <w:pPr>
              <w:ind w:left="120"/>
              <w:spacing w:after="0" w:line="215" w:lineRule="exact"/>
              <w:rPr>
                <w:sz w:val="20"/>
                <w:szCs w:val="20"/>
                <w:color w:val="auto"/>
              </w:rPr>
            </w:pPr>
            <w:r>
              <w:rPr>
                <w:rFonts w:ascii="Calibri" w:cs="Calibri" w:eastAsia="Calibri" w:hAnsi="Calibri"/>
                <w:sz w:val="18"/>
                <w:szCs w:val="18"/>
                <w:color w:val="auto"/>
              </w:rPr>
              <w:t>Accumulated other comprehensive loss at beginning of period</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64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b w:val="1"/>
                <w:bCs w:val="1"/>
                <w:color w:val="auto"/>
              </w:rPr>
              <w:t>(97.6 ) $</w:t>
            </w:r>
          </w:p>
        </w:tc>
        <w:tc>
          <w:tcPr>
            <w:tcW w:w="120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b w:val="1"/>
                <w:bCs w:val="1"/>
                <w:color w:val="auto"/>
                <w:w w:val="87"/>
              </w:rPr>
              <w:t>$</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(97.6 )</w:t>
            </w:r>
          </w:p>
        </w:tc>
      </w:tr>
      <w:tr>
        <w:trPr>
          <w:trHeight w:val="28"/>
        </w:trPr>
        <w:tc>
          <w:tcPr>
            <w:tcW w:w="6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1"/>
        </w:trPr>
        <w:tc>
          <w:tcPr>
            <w:tcW w:w="6980" w:type="dxa"/>
            <w:vAlign w:val="bottom"/>
            <w:tcBorders>
              <w:right w:val="single" w:sz="8" w:color="007CBA"/>
            </w:tcBorders>
            <w:shd w:val="clear" w:color="auto" w:fill="E5F1F8"/>
          </w:tcPr>
          <w:p>
            <w:pPr>
              <w:ind w:left="120"/>
              <w:spacing w:after="0" w:line="201" w:lineRule="exact"/>
              <w:rPr>
                <w:sz w:val="20"/>
                <w:szCs w:val="20"/>
                <w:color w:val="auto"/>
              </w:rPr>
            </w:pPr>
            <w:r>
              <w:rPr>
                <w:rFonts w:ascii="Calibri" w:cs="Calibri" w:eastAsia="Calibri" w:hAnsi="Calibri"/>
                <w:sz w:val="18"/>
                <w:szCs w:val="18"/>
                <w:color w:val="auto"/>
              </w:rPr>
              <w:t>Other comprehensive earnings (loss) before</w:t>
            </w:r>
          </w:p>
        </w:tc>
        <w:tc>
          <w:tcPr>
            <w:tcW w:w="140" w:type="dxa"/>
            <w:vAlign w:val="bottom"/>
            <w:shd w:val="clear" w:color="auto" w:fill="E5F1F8"/>
          </w:tcPr>
          <w:p>
            <w:pPr>
              <w:spacing w:after="0"/>
              <w:rPr>
                <w:sz w:val="17"/>
                <w:szCs w:val="17"/>
                <w:color w:val="auto"/>
              </w:rPr>
            </w:pPr>
          </w:p>
        </w:tc>
        <w:tc>
          <w:tcPr>
            <w:tcW w:w="1420" w:type="dxa"/>
            <w:vAlign w:val="bottom"/>
            <w:tcBorders>
              <w:right w:val="single" w:sz="8" w:color="007CBA"/>
            </w:tcBorders>
            <w:shd w:val="clear" w:color="auto" w:fill="E5F1F8"/>
          </w:tcPr>
          <w:p>
            <w:pPr>
              <w:spacing w:after="0"/>
              <w:rPr>
                <w:sz w:val="17"/>
                <w:szCs w:val="17"/>
                <w:color w:val="auto"/>
              </w:rPr>
            </w:pPr>
          </w:p>
        </w:tc>
        <w:tc>
          <w:tcPr>
            <w:tcW w:w="220" w:type="dxa"/>
            <w:vAlign w:val="bottom"/>
            <w:shd w:val="clear" w:color="auto" w:fill="E5F1F8"/>
          </w:tcPr>
          <w:p>
            <w:pPr>
              <w:spacing w:after="0"/>
              <w:rPr>
                <w:sz w:val="17"/>
                <w:szCs w:val="17"/>
                <w:color w:val="auto"/>
              </w:rPr>
            </w:pPr>
          </w:p>
        </w:tc>
        <w:tc>
          <w:tcPr>
            <w:tcW w:w="1200" w:type="dxa"/>
            <w:vAlign w:val="bottom"/>
            <w:tcBorders>
              <w:right w:val="single" w:sz="8" w:color="007CBA"/>
            </w:tcBorders>
            <w:shd w:val="clear" w:color="auto" w:fill="E5F1F8"/>
          </w:tcPr>
          <w:p>
            <w:pPr>
              <w:spacing w:after="0"/>
              <w:rPr>
                <w:sz w:val="17"/>
                <w:szCs w:val="17"/>
                <w:color w:val="auto"/>
              </w:rPr>
            </w:pPr>
          </w:p>
        </w:tc>
        <w:tc>
          <w:tcPr>
            <w:tcW w:w="260" w:type="dxa"/>
            <w:vAlign w:val="bottom"/>
            <w:shd w:val="clear" w:color="auto" w:fill="E5F1F8"/>
          </w:tcPr>
          <w:p>
            <w:pPr>
              <w:spacing w:after="0"/>
              <w:rPr>
                <w:sz w:val="17"/>
                <w:szCs w:val="17"/>
                <w:color w:val="auto"/>
              </w:rPr>
            </w:pPr>
          </w:p>
        </w:tc>
        <w:tc>
          <w:tcPr>
            <w:tcW w:w="1020" w:type="dxa"/>
            <w:vAlign w:val="bottom"/>
            <w:shd w:val="clear" w:color="auto" w:fill="E5F1F8"/>
          </w:tcPr>
          <w:p>
            <w:pPr>
              <w:spacing w:after="0"/>
              <w:rPr>
                <w:sz w:val="17"/>
                <w:szCs w:val="17"/>
                <w:color w:val="auto"/>
              </w:rPr>
            </w:pPr>
          </w:p>
        </w:tc>
      </w:tr>
      <w:tr>
        <w:trPr>
          <w:trHeight w:val="232"/>
        </w:trPr>
        <w:tc>
          <w:tcPr>
            <w:tcW w:w="6980" w:type="dxa"/>
            <w:vAlign w:val="bottom"/>
            <w:tcBorders>
              <w:bottom w:val="single" w:sz="8" w:color="E5F1F8"/>
              <w:right w:val="single" w:sz="8" w:color="007CBA"/>
            </w:tcBorders>
            <w:shd w:val="clear" w:color="auto" w:fill="E5F1F8"/>
          </w:tcPr>
          <w:p>
            <w:pPr>
              <w:ind w:left="240"/>
              <w:spacing w:after="0" w:line="215" w:lineRule="exact"/>
              <w:rPr>
                <w:sz w:val="20"/>
                <w:szCs w:val="20"/>
                <w:color w:val="auto"/>
              </w:rPr>
            </w:pPr>
            <w:r>
              <w:rPr>
                <w:rFonts w:ascii="Calibri" w:cs="Calibri" w:eastAsia="Calibri" w:hAnsi="Calibri"/>
                <w:sz w:val="18"/>
                <w:szCs w:val="18"/>
                <w:color w:val="auto"/>
              </w:rPr>
              <w:t>reclassifcatons, net of tax</w:t>
            </w:r>
          </w:p>
        </w:tc>
        <w:tc>
          <w:tcPr>
            <w:tcW w:w="140" w:type="dxa"/>
            <w:vAlign w:val="bottom"/>
            <w:tcBorders>
              <w:bottom w:val="single" w:sz="8" w:color="E5F1F8"/>
            </w:tcBorders>
            <w:shd w:val="clear" w:color="auto" w:fill="E5F1F8"/>
          </w:tcPr>
          <w:p>
            <w:pPr>
              <w:spacing w:after="0"/>
              <w:rPr>
                <w:sz w:val="20"/>
                <w:szCs w:val="20"/>
                <w:color w:val="auto"/>
              </w:rPr>
            </w:pPr>
          </w:p>
        </w:tc>
        <w:tc>
          <w:tcPr>
            <w:tcW w:w="142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51.6</w:t>
            </w:r>
          </w:p>
        </w:tc>
        <w:tc>
          <w:tcPr>
            <w:tcW w:w="220" w:type="dxa"/>
            <w:vAlign w:val="bottom"/>
            <w:tcBorders>
              <w:bottom w:val="single" w:sz="8" w:color="E5F1F8"/>
            </w:tcBorders>
            <w:shd w:val="clear" w:color="auto" w:fill="E5F1F8"/>
          </w:tcPr>
          <w:p>
            <w:pPr>
              <w:spacing w:after="0"/>
              <w:rPr>
                <w:sz w:val="20"/>
                <w:szCs w:val="20"/>
                <w:color w:val="auto"/>
              </w:rPr>
            </w:pPr>
          </w:p>
        </w:tc>
        <w:tc>
          <w:tcPr>
            <w:tcW w:w="1200" w:type="dxa"/>
            <w:vAlign w:val="bottom"/>
            <w:tcBorders>
              <w:bottom w:val="single" w:sz="8" w:color="E5F1F8"/>
              <w:right w:val="single" w:sz="8" w:color="007CBA"/>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(2.0 )</w:t>
            </w:r>
          </w:p>
        </w:tc>
        <w:tc>
          <w:tcPr>
            <w:tcW w:w="260" w:type="dxa"/>
            <w:vAlign w:val="bottom"/>
            <w:tcBorders>
              <w:bottom w:val="single" w:sz="8" w:color="E5F1F8"/>
            </w:tcBorders>
            <w:shd w:val="clear" w:color="auto" w:fill="E5F1F8"/>
          </w:tcPr>
          <w:p>
            <w:pPr>
              <w:spacing w:after="0"/>
              <w:rPr>
                <w:sz w:val="20"/>
                <w:szCs w:val="20"/>
                <w:color w:val="auto"/>
              </w:rPr>
            </w:pPr>
          </w:p>
        </w:tc>
        <w:tc>
          <w:tcPr>
            <w:tcW w:w="10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49.6</w:t>
            </w:r>
          </w:p>
        </w:tc>
      </w:tr>
      <w:tr>
        <w:trPr>
          <w:trHeight w:val="207"/>
        </w:trPr>
        <w:tc>
          <w:tcPr>
            <w:tcW w:w="6980" w:type="dxa"/>
            <w:vAlign w:val="bottom"/>
          </w:tcPr>
          <w:p>
            <w:pPr>
              <w:ind w:left="120"/>
              <w:spacing w:after="0" w:line="207" w:lineRule="exact"/>
              <w:rPr>
                <w:sz w:val="20"/>
                <w:szCs w:val="20"/>
                <w:color w:val="auto"/>
              </w:rPr>
            </w:pPr>
            <w:r>
              <w:rPr>
                <w:rFonts w:ascii="Calibri" w:cs="Calibri" w:eastAsia="Calibri" w:hAnsi="Calibri"/>
                <w:sz w:val="18"/>
                <w:szCs w:val="18"/>
                <w:color w:val="auto"/>
              </w:rPr>
              <w:t>Amounts reclassifed from accumulated other</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5"/>
        </w:trPr>
        <w:tc>
          <w:tcPr>
            <w:tcW w:w="6980" w:type="dxa"/>
            <w:vAlign w:val="bottom"/>
          </w:tcPr>
          <w:p>
            <w:pPr>
              <w:ind w:left="240"/>
              <w:spacing w:after="0" w:line="215" w:lineRule="exact"/>
              <w:rPr>
                <w:sz w:val="20"/>
                <w:szCs w:val="20"/>
                <w:color w:val="auto"/>
              </w:rPr>
            </w:pPr>
            <w:r>
              <w:rPr>
                <w:rFonts w:ascii="Calibri" w:cs="Calibri" w:eastAsia="Calibri" w:hAnsi="Calibri"/>
                <w:sz w:val="18"/>
                <w:szCs w:val="18"/>
                <w:color w:val="auto"/>
              </w:rPr>
              <w:t>comprehensive loss, net of tax</w:t>
            </w:r>
          </w:p>
        </w:tc>
        <w:tc>
          <w:tcPr>
            <w:tcW w:w="140" w:type="dxa"/>
            <w:vAlign w:val="bottom"/>
          </w:tcPr>
          <w:p>
            <w:pPr>
              <w:spacing w:after="0"/>
              <w:rPr>
                <w:sz w:val="18"/>
                <w:szCs w:val="18"/>
                <w:color w:val="auto"/>
              </w:rPr>
            </w:pPr>
          </w:p>
        </w:tc>
        <w:tc>
          <w:tcPr>
            <w:tcW w:w="142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9.5</w:t>
            </w:r>
          </w:p>
        </w:tc>
        <w:tc>
          <w:tcPr>
            <w:tcW w:w="220" w:type="dxa"/>
            <w:vAlign w:val="bottom"/>
          </w:tcPr>
          <w:p>
            <w:pPr>
              <w:spacing w:after="0"/>
              <w:rPr>
                <w:sz w:val="18"/>
                <w:szCs w:val="18"/>
                <w:color w:val="auto"/>
              </w:rPr>
            </w:pPr>
          </w:p>
        </w:tc>
        <w:tc>
          <w:tcPr>
            <w:tcW w:w="120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260" w:type="dxa"/>
            <w:vAlign w:val="bottom"/>
          </w:tcPr>
          <w:p>
            <w:pPr>
              <w:spacing w:after="0"/>
              <w:rPr>
                <w:sz w:val="18"/>
                <w:szCs w:val="18"/>
                <w:color w:val="auto"/>
              </w:rPr>
            </w:pPr>
          </w:p>
        </w:tc>
        <w:tc>
          <w:tcPr>
            <w:tcW w:w="102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9.5</w:t>
            </w:r>
          </w:p>
        </w:tc>
      </w:tr>
      <w:tr>
        <w:trPr>
          <w:trHeight w:val="37"/>
        </w:trPr>
        <w:tc>
          <w:tcPr>
            <w:tcW w:w="6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2"/>
        </w:trPr>
        <w:tc>
          <w:tcPr>
            <w:tcW w:w="698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Other comprehensive earnings (loss), net of tax</w:t>
            </w:r>
          </w:p>
        </w:tc>
        <w:tc>
          <w:tcPr>
            <w:tcW w:w="140" w:type="dxa"/>
            <w:vAlign w:val="bottom"/>
            <w:tcBorders>
              <w:bottom w:val="single" w:sz="8" w:color="E5F1F8"/>
            </w:tcBorders>
            <w:shd w:val="clear" w:color="auto" w:fill="E5F1F8"/>
          </w:tcPr>
          <w:p>
            <w:pPr>
              <w:spacing w:after="0"/>
              <w:rPr>
                <w:sz w:val="20"/>
                <w:szCs w:val="20"/>
                <w:color w:val="auto"/>
              </w:rPr>
            </w:pPr>
          </w:p>
        </w:tc>
        <w:tc>
          <w:tcPr>
            <w:tcW w:w="142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b w:val="1"/>
                <w:bCs w:val="1"/>
                <w:color w:val="auto"/>
              </w:rPr>
              <w:t>61.1</w:t>
            </w:r>
          </w:p>
        </w:tc>
        <w:tc>
          <w:tcPr>
            <w:tcW w:w="220" w:type="dxa"/>
            <w:vAlign w:val="bottom"/>
            <w:tcBorders>
              <w:bottom w:val="single" w:sz="8" w:color="E5F1F8"/>
            </w:tcBorders>
            <w:shd w:val="clear" w:color="auto" w:fill="E5F1F8"/>
          </w:tcPr>
          <w:p>
            <w:pPr>
              <w:spacing w:after="0"/>
              <w:rPr>
                <w:sz w:val="20"/>
                <w:szCs w:val="20"/>
                <w:color w:val="auto"/>
              </w:rPr>
            </w:pPr>
          </w:p>
        </w:tc>
        <w:tc>
          <w:tcPr>
            <w:tcW w:w="1200" w:type="dxa"/>
            <w:vAlign w:val="bottom"/>
            <w:tcBorders>
              <w:bottom w:val="single" w:sz="8" w:color="E5F1F8"/>
              <w:right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b w:val="1"/>
                <w:bCs w:val="1"/>
                <w:color w:val="auto"/>
              </w:rPr>
              <w:t>(2.0 )</w:t>
            </w:r>
          </w:p>
        </w:tc>
        <w:tc>
          <w:tcPr>
            <w:tcW w:w="260" w:type="dxa"/>
            <w:vAlign w:val="bottom"/>
            <w:tcBorders>
              <w:bottom w:val="single" w:sz="8" w:color="E5F1F8"/>
            </w:tcBorders>
            <w:shd w:val="clear" w:color="auto" w:fill="E5F1F8"/>
          </w:tcPr>
          <w:p>
            <w:pPr>
              <w:spacing w:after="0"/>
              <w:rPr>
                <w:sz w:val="20"/>
                <w:szCs w:val="20"/>
                <w:color w:val="auto"/>
              </w:rPr>
            </w:pPr>
          </w:p>
        </w:tc>
        <w:tc>
          <w:tcPr>
            <w:tcW w:w="102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b w:val="1"/>
                <w:bCs w:val="1"/>
                <w:color w:val="auto"/>
              </w:rPr>
              <w:t>59.1</w:t>
            </w:r>
          </w:p>
        </w:tc>
      </w:tr>
      <w:tr>
        <w:trPr>
          <w:trHeight w:val="208"/>
        </w:trPr>
        <w:tc>
          <w:tcPr>
            <w:tcW w:w="698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Accumulated other comprehensive loss at end of period</w:t>
            </w:r>
          </w:p>
        </w:tc>
        <w:tc>
          <w:tcPr>
            <w:tcW w:w="1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w:t>
            </w:r>
          </w:p>
        </w:tc>
        <w:tc>
          <w:tcPr>
            <w:tcW w:w="14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(36.5 )</w:t>
            </w:r>
          </w:p>
        </w:tc>
        <w:tc>
          <w:tcPr>
            <w:tcW w:w="22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w w:val="87"/>
              </w:rPr>
              <w:t>$</w:t>
            </w:r>
          </w:p>
        </w:tc>
        <w:tc>
          <w:tcPr>
            <w:tcW w:w="12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(2.0 )</w:t>
            </w:r>
          </w:p>
        </w:tc>
        <w:tc>
          <w:tcPr>
            <w:tcW w:w="260" w:type="dxa"/>
            <w:vAlign w:val="bottom"/>
            <w:tcBorders>
              <w:top w:val="single" w:sz="8" w:color="auto"/>
            </w:tcBorders>
          </w:tcPr>
          <w:p>
            <w:pPr>
              <w:jc w:val="right"/>
              <w:ind w:right="70"/>
              <w:spacing w:after="0" w:line="208" w:lineRule="exact"/>
              <w:rPr>
                <w:sz w:val="20"/>
                <w:szCs w:val="20"/>
                <w:color w:val="auto"/>
              </w:rPr>
            </w:pPr>
            <w:r>
              <w:rPr>
                <w:rFonts w:ascii="Calibri" w:cs="Calibri" w:eastAsia="Calibri" w:hAnsi="Calibri"/>
                <w:sz w:val="18"/>
                <w:szCs w:val="18"/>
                <w:b w:val="1"/>
                <w:bCs w:val="1"/>
                <w:color w:val="auto"/>
                <w:w w:val="87"/>
              </w:rPr>
              <w:t>$</w:t>
            </w:r>
          </w:p>
        </w:tc>
        <w:tc>
          <w:tcPr>
            <w:tcW w:w="10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(38.5 )</w:t>
            </w:r>
          </w:p>
        </w:tc>
      </w:tr>
      <w:tr>
        <w:trPr>
          <w:trHeight w:val="28"/>
        </w:trPr>
        <w:tc>
          <w:tcPr>
            <w:tcW w:w="6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9"/>
        </w:trPr>
        <w:tc>
          <w:tcPr>
            <w:tcW w:w="6980" w:type="dxa"/>
            <w:vAlign w:val="bottom"/>
            <w:tcBorders>
              <w:bottom w:val="single" w:sz="8" w:color="E5F1F8"/>
              <w:right w:val="single" w:sz="8" w:color="E5F1F8"/>
            </w:tcBorders>
            <w:shd w:val="clear" w:color="auto" w:fill="E5F1F8"/>
          </w:tcPr>
          <w:p>
            <w:pPr>
              <w:ind w:left="120"/>
              <w:spacing w:after="0" w:line="196" w:lineRule="exact"/>
              <w:rPr>
                <w:sz w:val="20"/>
                <w:szCs w:val="20"/>
                <w:color w:val="auto"/>
              </w:rPr>
            </w:pPr>
            <w:r>
              <w:rPr>
                <w:rFonts w:ascii="Calibri" w:cs="Calibri" w:eastAsia="Calibri" w:hAnsi="Calibri"/>
                <w:sz w:val="18"/>
                <w:szCs w:val="18"/>
                <w:color w:val="auto"/>
              </w:rPr>
              <w:t>Cumulatve noncurrent deferred tax assets at end of period</w:t>
            </w:r>
          </w:p>
        </w:tc>
        <w:tc>
          <w:tcPr>
            <w:tcW w:w="140" w:type="dxa"/>
            <w:vAlign w:val="bottom"/>
            <w:tcBorders>
              <w:bottom w:val="single" w:sz="8" w:color="E5F1F8"/>
            </w:tcBorders>
            <w:shd w:val="clear" w:color="auto" w:fill="E5F1F8"/>
          </w:tcPr>
          <w:p>
            <w:pPr>
              <w:jc w:val="right"/>
              <w:spacing w:after="0" w:line="196" w:lineRule="exact"/>
              <w:rPr>
                <w:sz w:val="20"/>
                <w:szCs w:val="20"/>
                <w:color w:val="auto"/>
              </w:rPr>
            </w:pPr>
            <w:r>
              <w:rPr>
                <w:rFonts w:ascii="Calibri" w:cs="Calibri" w:eastAsia="Calibri" w:hAnsi="Calibri"/>
                <w:sz w:val="18"/>
                <w:szCs w:val="18"/>
                <w:b w:val="1"/>
                <w:bCs w:val="1"/>
                <w:color w:val="auto"/>
              </w:rPr>
              <w:t>$</w:t>
            </w:r>
          </w:p>
        </w:tc>
        <w:tc>
          <w:tcPr>
            <w:tcW w:w="1420" w:type="dxa"/>
            <w:vAlign w:val="bottom"/>
            <w:tcBorders>
              <w:bottom w:val="single" w:sz="8" w:color="E5F1F8"/>
              <w:right w:val="single" w:sz="8" w:color="E5F1F8"/>
            </w:tcBorders>
            <w:shd w:val="clear" w:color="auto" w:fill="E5F1F8"/>
          </w:tcPr>
          <w:p>
            <w:pPr>
              <w:jc w:val="right"/>
              <w:ind w:right="50"/>
              <w:spacing w:after="0" w:line="196" w:lineRule="exact"/>
              <w:rPr>
                <w:sz w:val="20"/>
                <w:szCs w:val="20"/>
                <w:color w:val="auto"/>
              </w:rPr>
            </w:pPr>
            <w:r>
              <w:rPr>
                <w:rFonts w:ascii="Calibri" w:cs="Calibri" w:eastAsia="Calibri" w:hAnsi="Calibri"/>
                <w:sz w:val="18"/>
                <w:szCs w:val="18"/>
                <w:b w:val="1"/>
                <w:bCs w:val="1"/>
                <w:color w:val="auto"/>
              </w:rPr>
              <w:t>50.1</w:t>
            </w:r>
          </w:p>
        </w:tc>
        <w:tc>
          <w:tcPr>
            <w:tcW w:w="220" w:type="dxa"/>
            <w:vAlign w:val="bottom"/>
            <w:tcBorders>
              <w:bottom w:val="single" w:sz="8" w:color="E5F1F8"/>
            </w:tcBorders>
            <w:shd w:val="clear" w:color="auto" w:fill="E5F1F8"/>
          </w:tcPr>
          <w:p>
            <w:pPr>
              <w:jc w:val="right"/>
              <w:ind w:right="30"/>
              <w:spacing w:after="0" w:line="196" w:lineRule="exact"/>
              <w:rPr>
                <w:sz w:val="20"/>
                <w:szCs w:val="20"/>
                <w:color w:val="auto"/>
              </w:rPr>
            </w:pPr>
            <w:r>
              <w:rPr>
                <w:rFonts w:ascii="Calibri" w:cs="Calibri" w:eastAsia="Calibri" w:hAnsi="Calibri"/>
                <w:sz w:val="18"/>
                <w:szCs w:val="18"/>
                <w:b w:val="1"/>
                <w:bCs w:val="1"/>
                <w:color w:val="auto"/>
                <w:w w:val="87"/>
              </w:rPr>
              <w:t>$</w:t>
            </w:r>
          </w:p>
        </w:tc>
        <w:tc>
          <w:tcPr>
            <w:tcW w:w="1200" w:type="dxa"/>
            <w:vAlign w:val="bottom"/>
            <w:tcBorders>
              <w:bottom w:val="single" w:sz="8" w:color="E5F1F8"/>
              <w:right w:val="single" w:sz="8" w:color="E5F1F8"/>
            </w:tcBorders>
            <w:shd w:val="clear" w:color="auto" w:fill="E5F1F8"/>
          </w:tcPr>
          <w:p>
            <w:pPr>
              <w:jc w:val="right"/>
              <w:ind w:right="50"/>
              <w:spacing w:after="0" w:line="196" w:lineRule="exact"/>
              <w:rPr>
                <w:sz w:val="20"/>
                <w:szCs w:val="20"/>
                <w:color w:val="auto"/>
              </w:rPr>
            </w:pPr>
            <w:r>
              <w:rPr>
                <w:rFonts w:ascii="Calibri" w:cs="Calibri" w:eastAsia="Calibri" w:hAnsi="Calibri"/>
                <w:sz w:val="18"/>
                <w:szCs w:val="18"/>
                <w:b w:val="1"/>
                <w:bCs w:val="1"/>
                <w:color w:val="auto"/>
              </w:rPr>
              <w:t>—</w:t>
            </w:r>
          </w:p>
        </w:tc>
        <w:tc>
          <w:tcPr>
            <w:tcW w:w="260" w:type="dxa"/>
            <w:vAlign w:val="bottom"/>
            <w:tcBorders>
              <w:bottom w:val="single" w:sz="8" w:color="E5F1F8"/>
            </w:tcBorders>
            <w:shd w:val="clear" w:color="auto" w:fill="E5F1F8"/>
          </w:tcPr>
          <w:p>
            <w:pPr>
              <w:jc w:val="right"/>
              <w:ind w:right="70"/>
              <w:spacing w:after="0" w:line="196" w:lineRule="exact"/>
              <w:rPr>
                <w:sz w:val="20"/>
                <w:szCs w:val="20"/>
                <w:color w:val="auto"/>
              </w:rPr>
            </w:pPr>
            <w:r>
              <w:rPr>
                <w:rFonts w:ascii="Calibri" w:cs="Calibri" w:eastAsia="Calibri" w:hAnsi="Calibri"/>
                <w:sz w:val="18"/>
                <w:szCs w:val="18"/>
                <w:b w:val="1"/>
                <w:bCs w:val="1"/>
                <w:color w:val="auto"/>
                <w:w w:val="87"/>
              </w:rPr>
              <w:t>$</w:t>
            </w:r>
          </w:p>
        </w:tc>
        <w:tc>
          <w:tcPr>
            <w:tcW w:w="1020" w:type="dxa"/>
            <w:vAlign w:val="bottom"/>
            <w:tcBorders>
              <w:bottom w:val="single" w:sz="8" w:color="E5F1F8"/>
            </w:tcBorders>
            <w:shd w:val="clear" w:color="auto" w:fill="E5F1F8"/>
          </w:tcPr>
          <w:p>
            <w:pPr>
              <w:jc w:val="right"/>
              <w:ind w:right="30"/>
              <w:spacing w:after="0" w:line="196" w:lineRule="exact"/>
              <w:rPr>
                <w:sz w:val="20"/>
                <w:szCs w:val="20"/>
                <w:color w:val="auto"/>
              </w:rPr>
            </w:pPr>
            <w:r>
              <w:rPr>
                <w:rFonts w:ascii="Calibri" w:cs="Calibri" w:eastAsia="Calibri" w:hAnsi="Calibri"/>
                <w:sz w:val="18"/>
                <w:szCs w:val="18"/>
                <w:b w:val="1"/>
                <w:bCs w:val="1"/>
                <w:color w:val="auto"/>
              </w:rPr>
              <w:t>50.1</w:t>
            </w:r>
          </w:p>
        </w:tc>
      </w:tr>
      <w:tr>
        <w:trPr>
          <w:trHeight w:val="237"/>
        </w:trPr>
        <w:tc>
          <w:tcPr>
            <w:tcW w:w="69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23"/>
        </w:trPr>
        <w:tc>
          <w:tcPr>
            <w:tcW w:w="6980" w:type="dxa"/>
            <w:vAlign w:val="bottom"/>
            <w:tcBorders>
              <w:bottom w:val="single" w:sz="8" w:color="007CBA"/>
              <w:right w:val="single" w:sz="8" w:color="007CBA"/>
            </w:tcBorders>
            <w:shd w:val="clear" w:color="auto" w:fill="007CBA"/>
          </w:tcPr>
          <w:p>
            <w:pPr>
              <w:spacing w:after="0"/>
              <w:rPr>
                <w:sz w:val="19"/>
                <w:szCs w:val="19"/>
                <w:color w:val="auto"/>
              </w:rPr>
            </w:pPr>
          </w:p>
        </w:tc>
        <w:tc>
          <w:tcPr>
            <w:tcW w:w="140" w:type="dxa"/>
            <w:vAlign w:val="bottom"/>
            <w:tcBorders>
              <w:bottom w:val="single" w:sz="8" w:color="007CBA"/>
            </w:tcBorders>
            <w:shd w:val="clear" w:color="auto" w:fill="007CBA"/>
          </w:tcPr>
          <w:p>
            <w:pPr>
              <w:spacing w:after="0"/>
              <w:rPr>
                <w:sz w:val="19"/>
                <w:szCs w:val="19"/>
                <w:color w:val="auto"/>
              </w:rPr>
            </w:pPr>
          </w:p>
        </w:tc>
        <w:tc>
          <w:tcPr>
            <w:tcW w:w="1420" w:type="dxa"/>
            <w:vAlign w:val="bottom"/>
            <w:tcBorders>
              <w:bottom w:val="single" w:sz="8" w:color="007CBA"/>
              <w:right w:val="single" w:sz="8" w:color="007CBA"/>
            </w:tcBorders>
            <w:shd w:val="clear" w:color="auto" w:fill="007CBA"/>
          </w:tcPr>
          <w:p>
            <w:pPr>
              <w:spacing w:after="0"/>
              <w:rPr>
                <w:sz w:val="19"/>
                <w:szCs w:val="19"/>
                <w:color w:val="auto"/>
              </w:rPr>
            </w:pPr>
          </w:p>
        </w:tc>
        <w:tc>
          <w:tcPr>
            <w:tcW w:w="220" w:type="dxa"/>
            <w:vAlign w:val="bottom"/>
            <w:tcBorders>
              <w:bottom w:val="single" w:sz="8" w:color="007CBA"/>
            </w:tcBorders>
            <w:shd w:val="clear" w:color="auto" w:fill="007CBA"/>
          </w:tcPr>
          <w:p>
            <w:pPr>
              <w:spacing w:after="0"/>
              <w:rPr>
                <w:sz w:val="19"/>
                <w:szCs w:val="19"/>
                <w:color w:val="auto"/>
              </w:rPr>
            </w:pPr>
          </w:p>
        </w:tc>
        <w:tc>
          <w:tcPr>
            <w:tcW w:w="1200" w:type="dxa"/>
            <w:vAlign w:val="bottom"/>
            <w:tcBorders>
              <w:bottom w:val="single" w:sz="8" w:color="007CBA"/>
              <w:right w:val="single" w:sz="8" w:color="007CBA"/>
            </w:tcBorders>
            <w:shd w:val="clear" w:color="auto" w:fill="007CBA"/>
          </w:tcPr>
          <w:p>
            <w:pPr>
              <w:jc w:val="right"/>
              <w:ind w:right="630"/>
              <w:spacing w:after="0" w:line="215" w:lineRule="exact"/>
              <w:rPr>
                <w:sz w:val="20"/>
                <w:szCs w:val="20"/>
                <w:color w:val="auto"/>
              </w:rPr>
            </w:pPr>
            <w:r>
              <w:rPr>
                <w:rFonts w:ascii="Calibri" w:cs="Calibri" w:eastAsia="Calibri" w:hAnsi="Calibri"/>
                <w:sz w:val="18"/>
                <w:szCs w:val="18"/>
                <w:color w:val="FFFFFF"/>
              </w:rPr>
              <w:t>2021</w:t>
            </w:r>
          </w:p>
        </w:tc>
        <w:tc>
          <w:tcPr>
            <w:tcW w:w="260" w:type="dxa"/>
            <w:vAlign w:val="bottom"/>
            <w:tcBorders>
              <w:bottom w:val="single" w:sz="8" w:color="007CBA"/>
            </w:tcBorders>
            <w:shd w:val="clear" w:color="auto" w:fill="007CBA"/>
          </w:tcPr>
          <w:p>
            <w:pPr>
              <w:spacing w:after="0"/>
              <w:rPr>
                <w:sz w:val="19"/>
                <w:szCs w:val="19"/>
                <w:color w:val="auto"/>
              </w:rPr>
            </w:pPr>
          </w:p>
        </w:tc>
        <w:tc>
          <w:tcPr>
            <w:tcW w:w="1020" w:type="dxa"/>
            <w:vAlign w:val="bottom"/>
            <w:tcBorders>
              <w:bottom w:val="single" w:sz="8" w:color="007CBA"/>
            </w:tcBorders>
            <w:shd w:val="clear" w:color="auto" w:fill="007CBA"/>
          </w:tcPr>
          <w:p>
            <w:pPr>
              <w:spacing w:after="0"/>
              <w:rPr>
                <w:sz w:val="19"/>
                <w:szCs w:val="19"/>
                <w:color w:val="auto"/>
              </w:rPr>
            </w:pPr>
          </w:p>
        </w:tc>
      </w:tr>
      <w:tr>
        <w:trPr>
          <w:trHeight w:val="215"/>
        </w:trPr>
        <w:tc>
          <w:tcPr>
            <w:tcW w:w="6980" w:type="dxa"/>
            <w:vAlign w:val="bottom"/>
          </w:tcPr>
          <w:p>
            <w:pPr>
              <w:ind w:left="120"/>
              <w:spacing w:after="0" w:line="215" w:lineRule="exact"/>
              <w:rPr>
                <w:sz w:val="20"/>
                <w:szCs w:val="20"/>
                <w:color w:val="auto"/>
              </w:rPr>
            </w:pPr>
            <w:r>
              <w:rPr>
                <w:rFonts w:ascii="Calibri" w:cs="Calibri" w:eastAsia="Calibri" w:hAnsi="Calibri"/>
                <w:sz w:val="18"/>
                <w:szCs w:val="18"/>
                <w:color w:val="auto"/>
              </w:rPr>
              <w:t>Accumulated other comprehensive loss at beginning of period</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64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(158.1 ) $</w:t>
            </w:r>
          </w:p>
        </w:tc>
        <w:tc>
          <w:tcPr>
            <w:tcW w:w="1460" w:type="dxa"/>
            <w:vAlign w:val="bottom"/>
            <w:gridSpan w:val="2"/>
          </w:tcPr>
          <w:p>
            <w:pPr>
              <w:jc w:val="right"/>
              <w:ind w:right="70"/>
              <w:spacing w:after="0" w:line="215" w:lineRule="exact"/>
              <w:rPr>
                <w:sz w:val="20"/>
                <w:szCs w:val="20"/>
                <w:color w:val="auto"/>
              </w:rPr>
            </w:pPr>
            <w:r>
              <w:rPr>
                <w:rFonts w:ascii="Calibri" w:cs="Calibri" w:eastAsia="Calibri" w:hAnsi="Calibri"/>
                <w:sz w:val="18"/>
                <w:szCs w:val="18"/>
                <w:color w:val="auto"/>
              </w:rPr>
              <w:t>(0.3 ) $</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(158.4 )</w:t>
            </w:r>
          </w:p>
        </w:tc>
      </w:tr>
      <w:tr>
        <w:trPr>
          <w:trHeight w:val="28"/>
        </w:trPr>
        <w:tc>
          <w:tcPr>
            <w:tcW w:w="6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1"/>
        </w:trPr>
        <w:tc>
          <w:tcPr>
            <w:tcW w:w="6980" w:type="dxa"/>
            <w:vAlign w:val="bottom"/>
            <w:tcBorders>
              <w:right w:val="single" w:sz="8" w:color="007CBA"/>
            </w:tcBorders>
            <w:shd w:val="clear" w:color="auto" w:fill="E5F1F8"/>
          </w:tcPr>
          <w:p>
            <w:pPr>
              <w:ind w:left="120"/>
              <w:spacing w:after="0" w:line="201" w:lineRule="exact"/>
              <w:rPr>
                <w:sz w:val="20"/>
                <w:szCs w:val="20"/>
                <w:color w:val="auto"/>
              </w:rPr>
            </w:pPr>
            <w:r>
              <w:rPr>
                <w:rFonts w:ascii="Calibri" w:cs="Calibri" w:eastAsia="Calibri" w:hAnsi="Calibri"/>
                <w:sz w:val="18"/>
                <w:szCs w:val="18"/>
                <w:color w:val="auto"/>
              </w:rPr>
              <w:t>Other comprehensive earnings before</w:t>
            </w:r>
          </w:p>
        </w:tc>
        <w:tc>
          <w:tcPr>
            <w:tcW w:w="140" w:type="dxa"/>
            <w:vAlign w:val="bottom"/>
            <w:shd w:val="clear" w:color="auto" w:fill="E5F1F8"/>
          </w:tcPr>
          <w:p>
            <w:pPr>
              <w:spacing w:after="0"/>
              <w:rPr>
                <w:sz w:val="17"/>
                <w:szCs w:val="17"/>
                <w:color w:val="auto"/>
              </w:rPr>
            </w:pPr>
          </w:p>
        </w:tc>
        <w:tc>
          <w:tcPr>
            <w:tcW w:w="1420" w:type="dxa"/>
            <w:vAlign w:val="bottom"/>
            <w:tcBorders>
              <w:right w:val="single" w:sz="8" w:color="007CBA"/>
            </w:tcBorders>
            <w:shd w:val="clear" w:color="auto" w:fill="E5F1F8"/>
          </w:tcPr>
          <w:p>
            <w:pPr>
              <w:spacing w:after="0"/>
              <w:rPr>
                <w:sz w:val="17"/>
                <w:szCs w:val="17"/>
                <w:color w:val="auto"/>
              </w:rPr>
            </w:pPr>
          </w:p>
        </w:tc>
        <w:tc>
          <w:tcPr>
            <w:tcW w:w="220" w:type="dxa"/>
            <w:vAlign w:val="bottom"/>
            <w:shd w:val="clear" w:color="auto" w:fill="E5F1F8"/>
          </w:tcPr>
          <w:p>
            <w:pPr>
              <w:spacing w:after="0"/>
              <w:rPr>
                <w:sz w:val="17"/>
                <w:szCs w:val="17"/>
                <w:color w:val="auto"/>
              </w:rPr>
            </w:pPr>
          </w:p>
        </w:tc>
        <w:tc>
          <w:tcPr>
            <w:tcW w:w="1200" w:type="dxa"/>
            <w:vAlign w:val="bottom"/>
            <w:tcBorders>
              <w:right w:val="single" w:sz="8" w:color="007CBA"/>
            </w:tcBorders>
            <w:shd w:val="clear" w:color="auto" w:fill="E5F1F8"/>
          </w:tcPr>
          <w:p>
            <w:pPr>
              <w:spacing w:after="0"/>
              <w:rPr>
                <w:sz w:val="17"/>
                <w:szCs w:val="17"/>
                <w:color w:val="auto"/>
              </w:rPr>
            </w:pPr>
          </w:p>
        </w:tc>
        <w:tc>
          <w:tcPr>
            <w:tcW w:w="260" w:type="dxa"/>
            <w:vAlign w:val="bottom"/>
            <w:shd w:val="clear" w:color="auto" w:fill="E5F1F8"/>
          </w:tcPr>
          <w:p>
            <w:pPr>
              <w:spacing w:after="0"/>
              <w:rPr>
                <w:sz w:val="17"/>
                <w:szCs w:val="17"/>
                <w:color w:val="auto"/>
              </w:rPr>
            </w:pPr>
          </w:p>
        </w:tc>
        <w:tc>
          <w:tcPr>
            <w:tcW w:w="1020" w:type="dxa"/>
            <w:vAlign w:val="bottom"/>
            <w:shd w:val="clear" w:color="auto" w:fill="E5F1F8"/>
          </w:tcPr>
          <w:p>
            <w:pPr>
              <w:spacing w:after="0"/>
              <w:rPr>
                <w:sz w:val="17"/>
                <w:szCs w:val="17"/>
                <w:color w:val="auto"/>
              </w:rPr>
            </w:pPr>
          </w:p>
        </w:tc>
      </w:tr>
      <w:tr>
        <w:trPr>
          <w:trHeight w:val="232"/>
        </w:trPr>
        <w:tc>
          <w:tcPr>
            <w:tcW w:w="6980" w:type="dxa"/>
            <w:vAlign w:val="bottom"/>
            <w:tcBorders>
              <w:bottom w:val="single" w:sz="8" w:color="E5F1F8"/>
              <w:right w:val="single" w:sz="8" w:color="007CBA"/>
            </w:tcBorders>
            <w:shd w:val="clear" w:color="auto" w:fill="E5F1F8"/>
          </w:tcPr>
          <w:p>
            <w:pPr>
              <w:ind w:left="240"/>
              <w:spacing w:after="0" w:line="215" w:lineRule="exact"/>
              <w:rPr>
                <w:sz w:val="20"/>
                <w:szCs w:val="20"/>
                <w:color w:val="auto"/>
              </w:rPr>
            </w:pPr>
            <w:r>
              <w:rPr>
                <w:rFonts w:ascii="Calibri" w:cs="Calibri" w:eastAsia="Calibri" w:hAnsi="Calibri"/>
                <w:sz w:val="18"/>
                <w:szCs w:val="18"/>
                <w:color w:val="auto"/>
              </w:rPr>
              <w:t>reclassifcatons, net of tax</w:t>
            </w:r>
          </w:p>
        </w:tc>
        <w:tc>
          <w:tcPr>
            <w:tcW w:w="140" w:type="dxa"/>
            <w:vAlign w:val="bottom"/>
            <w:tcBorders>
              <w:bottom w:val="single" w:sz="8" w:color="E5F1F8"/>
            </w:tcBorders>
            <w:shd w:val="clear" w:color="auto" w:fill="E5F1F8"/>
          </w:tcPr>
          <w:p>
            <w:pPr>
              <w:spacing w:after="0"/>
              <w:rPr>
                <w:sz w:val="20"/>
                <w:szCs w:val="20"/>
                <w:color w:val="auto"/>
              </w:rPr>
            </w:pPr>
          </w:p>
        </w:tc>
        <w:tc>
          <w:tcPr>
            <w:tcW w:w="142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51.3</w:t>
            </w:r>
          </w:p>
        </w:tc>
        <w:tc>
          <w:tcPr>
            <w:tcW w:w="220" w:type="dxa"/>
            <w:vAlign w:val="bottom"/>
            <w:tcBorders>
              <w:bottom w:val="single" w:sz="8" w:color="E5F1F8"/>
            </w:tcBorders>
            <w:shd w:val="clear" w:color="auto" w:fill="E5F1F8"/>
          </w:tcPr>
          <w:p>
            <w:pPr>
              <w:spacing w:after="0"/>
              <w:rPr>
                <w:sz w:val="20"/>
                <w:szCs w:val="20"/>
                <w:color w:val="auto"/>
              </w:rPr>
            </w:pPr>
          </w:p>
        </w:tc>
        <w:tc>
          <w:tcPr>
            <w:tcW w:w="120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0.3</w:t>
            </w:r>
          </w:p>
        </w:tc>
        <w:tc>
          <w:tcPr>
            <w:tcW w:w="260" w:type="dxa"/>
            <w:vAlign w:val="bottom"/>
            <w:tcBorders>
              <w:bottom w:val="single" w:sz="8" w:color="E5F1F8"/>
            </w:tcBorders>
            <w:shd w:val="clear" w:color="auto" w:fill="E5F1F8"/>
          </w:tcPr>
          <w:p>
            <w:pPr>
              <w:spacing w:after="0"/>
              <w:rPr>
                <w:sz w:val="20"/>
                <w:szCs w:val="20"/>
                <w:color w:val="auto"/>
              </w:rPr>
            </w:pPr>
          </w:p>
        </w:tc>
        <w:tc>
          <w:tcPr>
            <w:tcW w:w="10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51.6</w:t>
            </w:r>
          </w:p>
        </w:tc>
      </w:tr>
      <w:tr>
        <w:trPr>
          <w:trHeight w:val="207"/>
        </w:trPr>
        <w:tc>
          <w:tcPr>
            <w:tcW w:w="6980" w:type="dxa"/>
            <w:vAlign w:val="bottom"/>
          </w:tcPr>
          <w:p>
            <w:pPr>
              <w:ind w:left="120"/>
              <w:spacing w:after="0" w:line="207" w:lineRule="exact"/>
              <w:rPr>
                <w:sz w:val="20"/>
                <w:szCs w:val="20"/>
                <w:color w:val="auto"/>
              </w:rPr>
            </w:pPr>
            <w:r>
              <w:rPr>
                <w:rFonts w:ascii="Calibri" w:cs="Calibri" w:eastAsia="Calibri" w:hAnsi="Calibri"/>
                <w:sz w:val="18"/>
                <w:szCs w:val="18"/>
                <w:color w:val="auto"/>
              </w:rPr>
              <w:t>Amounts reclassifed from accumulated other</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5"/>
        </w:trPr>
        <w:tc>
          <w:tcPr>
            <w:tcW w:w="6980" w:type="dxa"/>
            <w:vAlign w:val="bottom"/>
          </w:tcPr>
          <w:p>
            <w:pPr>
              <w:ind w:left="240"/>
              <w:spacing w:after="0" w:line="215" w:lineRule="exact"/>
              <w:rPr>
                <w:sz w:val="20"/>
                <w:szCs w:val="20"/>
                <w:color w:val="auto"/>
              </w:rPr>
            </w:pPr>
            <w:r>
              <w:rPr>
                <w:rFonts w:ascii="Calibri" w:cs="Calibri" w:eastAsia="Calibri" w:hAnsi="Calibri"/>
                <w:sz w:val="18"/>
                <w:szCs w:val="18"/>
                <w:color w:val="auto"/>
              </w:rPr>
              <w:t>comprehensive loss, net of tax</w:t>
            </w:r>
          </w:p>
        </w:tc>
        <w:tc>
          <w:tcPr>
            <w:tcW w:w="140" w:type="dxa"/>
            <w:vAlign w:val="bottom"/>
          </w:tcPr>
          <w:p>
            <w:pPr>
              <w:spacing w:after="0"/>
              <w:rPr>
                <w:sz w:val="18"/>
                <w:szCs w:val="18"/>
                <w:color w:val="auto"/>
              </w:rPr>
            </w:pPr>
          </w:p>
        </w:tc>
        <w:tc>
          <w:tcPr>
            <w:tcW w:w="142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9.2</w:t>
            </w:r>
          </w:p>
        </w:tc>
        <w:tc>
          <w:tcPr>
            <w:tcW w:w="220" w:type="dxa"/>
            <w:vAlign w:val="bottom"/>
          </w:tcPr>
          <w:p>
            <w:pPr>
              <w:spacing w:after="0"/>
              <w:rPr>
                <w:sz w:val="18"/>
                <w:szCs w:val="18"/>
                <w:color w:val="auto"/>
              </w:rPr>
            </w:pPr>
          </w:p>
        </w:tc>
        <w:tc>
          <w:tcPr>
            <w:tcW w:w="120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8"/>
                <w:szCs w:val="18"/>
                <w:color w:val="auto"/>
              </w:rPr>
            </w:pPr>
          </w:p>
        </w:tc>
        <w:tc>
          <w:tcPr>
            <w:tcW w:w="10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9.2</w:t>
            </w:r>
          </w:p>
        </w:tc>
      </w:tr>
      <w:tr>
        <w:trPr>
          <w:trHeight w:val="37"/>
        </w:trPr>
        <w:tc>
          <w:tcPr>
            <w:tcW w:w="6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2"/>
        </w:trPr>
        <w:tc>
          <w:tcPr>
            <w:tcW w:w="698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Other comprehensive earnings, net of tax</w:t>
            </w:r>
          </w:p>
        </w:tc>
        <w:tc>
          <w:tcPr>
            <w:tcW w:w="140" w:type="dxa"/>
            <w:vAlign w:val="bottom"/>
            <w:tcBorders>
              <w:bottom w:val="single" w:sz="8" w:color="E5F1F8"/>
            </w:tcBorders>
            <w:shd w:val="clear" w:color="auto" w:fill="E5F1F8"/>
          </w:tcPr>
          <w:p>
            <w:pPr>
              <w:spacing w:after="0"/>
              <w:rPr>
                <w:sz w:val="20"/>
                <w:szCs w:val="20"/>
                <w:color w:val="auto"/>
              </w:rPr>
            </w:pPr>
          </w:p>
        </w:tc>
        <w:tc>
          <w:tcPr>
            <w:tcW w:w="142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color w:val="auto"/>
              </w:rPr>
              <w:t>60.5</w:t>
            </w:r>
          </w:p>
        </w:tc>
        <w:tc>
          <w:tcPr>
            <w:tcW w:w="220" w:type="dxa"/>
            <w:vAlign w:val="bottom"/>
            <w:tcBorders>
              <w:bottom w:val="single" w:sz="8" w:color="E5F1F8"/>
            </w:tcBorders>
            <w:shd w:val="clear" w:color="auto" w:fill="E5F1F8"/>
          </w:tcPr>
          <w:p>
            <w:pPr>
              <w:spacing w:after="0"/>
              <w:rPr>
                <w:sz w:val="20"/>
                <w:szCs w:val="20"/>
                <w:color w:val="auto"/>
              </w:rPr>
            </w:pPr>
          </w:p>
        </w:tc>
        <w:tc>
          <w:tcPr>
            <w:tcW w:w="120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color w:val="auto"/>
              </w:rPr>
              <w:t>0.3</w:t>
            </w:r>
          </w:p>
        </w:tc>
        <w:tc>
          <w:tcPr>
            <w:tcW w:w="260" w:type="dxa"/>
            <w:vAlign w:val="bottom"/>
            <w:tcBorders>
              <w:bottom w:val="single" w:sz="8" w:color="E5F1F8"/>
            </w:tcBorders>
            <w:shd w:val="clear" w:color="auto" w:fill="E5F1F8"/>
          </w:tcPr>
          <w:p>
            <w:pPr>
              <w:spacing w:after="0"/>
              <w:rPr>
                <w:sz w:val="20"/>
                <w:szCs w:val="20"/>
                <w:color w:val="auto"/>
              </w:rPr>
            </w:pPr>
          </w:p>
        </w:tc>
        <w:tc>
          <w:tcPr>
            <w:tcW w:w="102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60.8</w:t>
            </w:r>
          </w:p>
        </w:tc>
      </w:tr>
      <w:tr>
        <w:trPr>
          <w:trHeight w:val="208"/>
        </w:trPr>
        <w:tc>
          <w:tcPr>
            <w:tcW w:w="698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Accumulated other comprehensive loss at end of period</w:t>
            </w:r>
          </w:p>
        </w:tc>
        <w:tc>
          <w:tcPr>
            <w:tcW w:w="1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w:t>
            </w:r>
          </w:p>
        </w:tc>
        <w:tc>
          <w:tcPr>
            <w:tcW w:w="14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(97.6 )</w:t>
            </w:r>
          </w:p>
        </w:tc>
        <w:tc>
          <w:tcPr>
            <w:tcW w:w="22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w w:val="87"/>
              </w:rPr>
              <w:t>$</w:t>
            </w:r>
          </w:p>
        </w:tc>
        <w:tc>
          <w:tcPr>
            <w:tcW w:w="120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color w:val="auto"/>
              </w:rPr>
              <w:t>—</w:t>
            </w:r>
          </w:p>
        </w:tc>
        <w:tc>
          <w:tcPr>
            <w:tcW w:w="260" w:type="dxa"/>
            <w:vAlign w:val="bottom"/>
            <w:tcBorders>
              <w:top w:val="single" w:sz="8" w:color="auto"/>
            </w:tcBorders>
          </w:tcPr>
          <w:p>
            <w:pPr>
              <w:jc w:val="right"/>
              <w:ind w:right="70"/>
              <w:spacing w:after="0" w:line="208" w:lineRule="exact"/>
              <w:rPr>
                <w:sz w:val="20"/>
                <w:szCs w:val="20"/>
                <w:color w:val="auto"/>
              </w:rPr>
            </w:pPr>
            <w:r>
              <w:rPr>
                <w:rFonts w:ascii="Calibri" w:cs="Calibri" w:eastAsia="Calibri" w:hAnsi="Calibri"/>
                <w:sz w:val="18"/>
                <w:szCs w:val="18"/>
                <w:color w:val="auto"/>
                <w:w w:val="87"/>
              </w:rPr>
              <w:t>$</w:t>
            </w:r>
          </w:p>
        </w:tc>
        <w:tc>
          <w:tcPr>
            <w:tcW w:w="10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(97.6 )</w:t>
            </w:r>
          </w:p>
        </w:tc>
      </w:tr>
      <w:tr>
        <w:trPr>
          <w:trHeight w:val="28"/>
        </w:trPr>
        <w:tc>
          <w:tcPr>
            <w:tcW w:w="6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8"/>
        </w:trPr>
        <w:tc>
          <w:tcPr>
            <w:tcW w:w="6980" w:type="dxa"/>
            <w:vAlign w:val="bottom"/>
            <w:tcBorders>
              <w:bottom w:val="single" w:sz="8" w:color="E5F1F8"/>
              <w:right w:val="single" w:sz="8" w:color="E5F1F8"/>
            </w:tcBorders>
            <w:shd w:val="clear" w:color="auto" w:fill="E5F1F8"/>
          </w:tcPr>
          <w:p>
            <w:pPr>
              <w:ind w:left="120"/>
              <w:spacing w:after="0" w:line="196" w:lineRule="exact"/>
              <w:rPr>
                <w:sz w:val="20"/>
                <w:szCs w:val="20"/>
                <w:color w:val="auto"/>
              </w:rPr>
            </w:pPr>
            <w:r>
              <w:rPr>
                <w:rFonts w:ascii="Calibri" w:cs="Calibri" w:eastAsia="Calibri" w:hAnsi="Calibri"/>
                <w:sz w:val="18"/>
                <w:szCs w:val="18"/>
                <w:color w:val="auto"/>
              </w:rPr>
              <w:t>Cumulatve noncurrent deferred tax assets at end of period</w:t>
            </w:r>
          </w:p>
        </w:tc>
        <w:tc>
          <w:tcPr>
            <w:tcW w:w="140" w:type="dxa"/>
            <w:vAlign w:val="bottom"/>
            <w:tcBorders>
              <w:bottom w:val="single" w:sz="8" w:color="E5F1F8"/>
            </w:tcBorders>
            <w:shd w:val="clear" w:color="auto" w:fill="E5F1F8"/>
          </w:tcPr>
          <w:p>
            <w:pPr>
              <w:jc w:val="right"/>
              <w:spacing w:after="0" w:line="196" w:lineRule="exact"/>
              <w:rPr>
                <w:sz w:val="20"/>
                <w:szCs w:val="20"/>
                <w:color w:val="auto"/>
              </w:rPr>
            </w:pPr>
            <w:r>
              <w:rPr>
                <w:rFonts w:ascii="Calibri" w:cs="Calibri" w:eastAsia="Calibri" w:hAnsi="Calibri"/>
                <w:sz w:val="18"/>
                <w:szCs w:val="18"/>
                <w:color w:val="auto"/>
              </w:rPr>
              <w:t>$</w:t>
            </w:r>
          </w:p>
        </w:tc>
        <w:tc>
          <w:tcPr>
            <w:tcW w:w="1420" w:type="dxa"/>
            <w:vAlign w:val="bottom"/>
            <w:tcBorders>
              <w:bottom w:val="single" w:sz="8" w:color="E5F1F8"/>
              <w:right w:val="single" w:sz="8" w:color="E5F1F8"/>
            </w:tcBorders>
            <w:shd w:val="clear" w:color="auto" w:fill="E5F1F8"/>
          </w:tcPr>
          <w:p>
            <w:pPr>
              <w:jc w:val="right"/>
              <w:ind w:right="50"/>
              <w:spacing w:after="0" w:line="196" w:lineRule="exact"/>
              <w:rPr>
                <w:sz w:val="20"/>
                <w:szCs w:val="20"/>
                <w:color w:val="auto"/>
              </w:rPr>
            </w:pPr>
            <w:r>
              <w:rPr>
                <w:rFonts w:ascii="Calibri" w:cs="Calibri" w:eastAsia="Calibri" w:hAnsi="Calibri"/>
                <w:sz w:val="18"/>
                <w:szCs w:val="18"/>
                <w:color w:val="auto"/>
              </w:rPr>
              <w:t>69.7</w:t>
            </w:r>
          </w:p>
        </w:tc>
        <w:tc>
          <w:tcPr>
            <w:tcW w:w="220" w:type="dxa"/>
            <w:vAlign w:val="bottom"/>
            <w:tcBorders>
              <w:bottom w:val="single" w:sz="8" w:color="E5F1F8"/>
            </w:tcBorders>
            <w:shd w:val="clear" w:color="auto" w:fill="E5F1F8"/>
          </w:tcPr>
          <w:p>
            <w:pPr>
              <w:jc w:val="right"/>
              <w:ind w:right="30"/>
              <w:spacing w:after="0" w:line="196" w:lineRule="exact"/>
              <w:rPr>
                <w:sz w:val="20"/>
                <w:szCs w:val="20"/>
                <w:color w:val="auto"/>
              </w:rPr>
            </w:pPr>
            <w:r>
              <w:rPr>
                <w:rFonts w:ascii="Calibri" w:cs="Calibri" w:eastAsia="Calibri" w:hAnsi="Calibri"/>
                <w:sz w:val="18"/>
                <w:szCs w:val="18"/>
                <w:color w:val="auto"/>
                <w:w w:val="87"/>
              </w:rPr>
              <w:t>$</w:t>
            </w:r>
          </w:p>
        </w:tc>
        <w:tc>
          <w:tcPr>
            <w:tcW w:w="1200" w:type="dxa"/>
            <w:vAlign w:val="bottom"/>
            <w:tcBorders>
              <w:bottom w:val="single" w:sz="8" w:color="E5F1F8"/>
              <w:right w:val="single" w:sz="8" w:color="E5F1F8"/>
            </w:tcBorders>
            <w:shd w:val="clear" w:color="auto" w:fill="E5F1F8"/>
          </w:tcPr>
          <w:p>
            <w:pPr>
              <w:jc w:val="right"/>
              <w:ind w:right="50"/>
              <w:spacing w:after="0" w:line="196" w:lineRule="exact"/>
              <w:rPr>
                <w:sz w:val="20"/>
                <w:szCs w:val="20"/>
                <w:color w:val="auto"/>
              </w:rPr>
            </w:pPr>
            <w:r>
              <w:rPr>
                <w:rFonts w:ascii="Calibri" w:cs="Calibri" w:eastAsia="Calibri" w:hAnsi="Calibri"/>
                <w:sz w:val="18"/>
                <w:szCs w:val="18"/>
                <w:color w:val="auto"/>
              </w:rPr>
              <w:t>—</w:t>
            </w:r>
          </w:p>
        </w:tc>
        <w:tc>
          <w:tcPr>
            <w:tcW w:w="260" w:type="dxa"/>
            <w:vAlign w:val="bottom"/>
            <w:tcBorders>
              <w:bottom w:val="single" w:sz="8" w:color="E5F1F8"/>
            </w:tcBorders>
            <w:shd w:val="clear" w:color="auto" w:fill="E5F1F8"/>
          </w:tcPr>
          <w:p>
            <w:pPr>
              <w:jc w:val="right"/>
              <w:ind w:right="70"/>
              <w:spacing w:after="0" w:line="196"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E5F1F8"/>
            </w:tcBorders>
            <w:shd w:val="clear" w:color="auto" w:fill="E5F1F8"/>
          </w:tcPr>
          <w:p>
            <w:pPr>
              <w:jc w:val="right"/>
              <w:ind w:right="30"/>
              <w:spacing w:after="0" w:line="196" w:lineRule="exact"/>
              <w:rPr>
                <w:sz w:val="20"/>
                <w:szCs w:val="20"/>
                <w:color w:val="auto"/>
              </w:rPr>
            </w:pPr>
            <w:r>
              <w:rPr>
                <w:rFonts w:ascii="Calibri" w:cs="Calibri" w:eastAsia="Calibri" w:hAnsi="Calibri"/>
                <w:sz w:val="18"/>
                <w:szCs w:val="18"/>
                <w:color w:val="auto"/>
              </w:rPr>
              <w:t>69.7</w:t>
            </w:r>
          </w:p>
        </w:tc>
      </w:tr>
      <w:tr>
        <w:trPr>
          <w:trHeight w:val="237"/>
        </w:trPr>
        <w:tc>
          <w:tcPr>
            <w:tcW w:w="69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23"/>
        </w:trPr>
        <w:tc>
          <w:tcPr>
            <w:tcW w:w="6980" w:type="dxa"/>
            <w:vAlign w:val="bottom"/>
            <w:tcBorders>
              <w:bottom w:val="single" w:sz="8" w:color="007CBA"/>
              <w:right w:val="single" w:sz="8" w:color="007CBA"/>
            </w:tcBorders>
            <w:shd w:val="clear" w:color="auto" w:fill="007CBA"/>
          </w:tcPr>
          <w:p>
            <w:pPr>
              <w:spacing w:after="0"/>
              <w:rPr>
                <w:sz w:val="19"/>
                <w:szCs w:val="19"/>
                <w:color w:val="auto"/>
              </w:rPr>
            </w:pPr>
          </w:p>
        </w:tc>
        <w:tc>
          <w:tcPr>
            <w:tcW w:w="140" w:type="dxa"/>
            <w:vAlign w:val="bottom"/>
            <w:tcBorders>
              <w:bottom w:val="single" w:sz="8" w:color="007CBA"/>
            </w:tcBorders>
            <w:shd w:val="clear" w:color="auto" w:fill="007CBA"/>
          </w:tcPr>
          <w:p>
            <w:pPr>
              <w:spacing w:after="0"/>
              <w:rPr>
                <w:sz w:val="19"/>
                <w:szCs w:val="19"/>
                <w:color w:val="auto"/>
              </w:rPr>
            </w:pPr>
          </w:p>
        </w:tc>
        <w:tc>
          <w:tcPr>
            <w:tcW w:w="1420" w:type="dxa"/>
            <w:vAlign w:val="bottom"/>
            <w:tcBorders>
              <w:bottom w:val="single" w:sz="8" w:color="007CBA"/>
              <w:right w:val="single" w:sz="8" w:color="007CBA"/>
            </w:tcBorders>
            <w:shd w:val="clear" w:color="auto" w:fill="007CBA"/>
          </w:tcPr>
          <w:p>
            <w:pPr>
              <w:spacing w:after="0"/>
              <w:rPr>
                <w:sz w:val="19"/>
                <w:szCs w:val="19"/>
                <w:color w:val="auto"/>
              </w:rPr>
            </w:pPr>
          </w:p>
        </w:tc>
        <w:tc>
          <w:tcPr>
            <w:tcW w:w="220" w:type="dxa"/>
            <w:vAlign w:val="bottom"/>
            <w:tcBorders>
              <w:bottom w:val="single" w:sz="8" w:color="007CBA"/>
            </w:tcBorders>
            <w:shd w:val="clear" w:color="auto" w:fill="007CBA"/>
          </w:tcPr>
          <w:p>
            <w:pPr>
              <w:spacing w:after="0"/>
              <w:rPr>
                <w:sz w:val="19"/>
                <w:szCs w:val="19"/>
                <w:color w:val="auto"/>
              </w:rPr>
            </w:pPr>
          </w:p>
        </w:tc>
        <w:tc>
          <w:tcPr>
            <w:tcW w:w="1200" w:type="dxa"/>
            <w:vAlign w:val="bottom"/>
            <w:tcBorders>
              <w:bottom w:val="single" w:sz="8" w:color="007CBA"/>
              <w:right w:val="single" w:sz="8" w:color="007CBA"/>
            </w:tcBorders>
            <w:shd w:val="clear" w:color="auto" w:fill="007CBA"/>
          </w:tcPr>
          <w:p>
            <w:pPr>
              <w:jc w:val="right"/>
              <w:ind w:right="630"/>
              <w:spacing w:after="0" w:line="215" w:lineRule="exact"/>
              <w:rPr>
                <w:sz w:val="20"/>
                <w:szCs w:val="20"/>
                <w:color w:val="auto"/>
              </w:rPr>
            </w:pPr>
            <w:r>
              <w:rPr>
                <w:rFonts w:ascii="Calibri" w:cs="Calibri" w:eastAsia="Calibri" w:hAnsi="Calibri"/>
                <w:sz w:val="18"/>
                <w:szCs w:val="18"/>
                <w:color w:val="FFFFFF"/>
              </w:rPr>
              <w:t>2020</w:t>
            </w:r>
          </w:p>
        </w:tc>
        <w:tc>
          <w:tcPr>
            <w:tcW w:w="260" w:type="dxa"/>
            <w:vAlign w:val="bottom"/>
            <w:tcBorders>
              <w:bottom w:val="single" w:sz="8" w:color="007CBA"/>
            </w:tcBorders>
            <w:shd w:val="clear" w:color="auto" w:fill="007CBA"/>
          </w:tcPr>
          <w:p>
            <w:pPr>
              <w:spacing w:after="0"/>
              <w:rPr>
                <w:sz w:val="19"/>
                <w:szCs w:val="19"/>
                <w:color w:val="auto"/>
              </w:rPr>
            </w:pPr>
          </w:p>
        </w:tc>
        <w:tc>
          <w:tcPr>
            <w:tcW w:w="1020" w:type="dxa"/>
            <w:vAlign w:val="bottom"/>
            <w:tcBorders>
              <w:bottom w:val="single" w:sz="8" w:color="007CBA"/>
            </w:tcBorders>
            <w:shd w:val="clear" w:color="auto" w:fill="007CBA"/>
          </w:tcPr>
          <w:p>
            <w:pPr>
              <w:spacing w:after="0"/>
              <w:rPr>
                <w:sz w:val="19"/>
                <w:szCs w:val="19"/>
                <w:color w:val="auto"/>
              </w:rPr>
            </w:pPr>
          </w:p>
        </w:tc>
      </w:tr>
      <w:tr>
        <w:trPr>
          <w:trHeight w:val="215"/>
        </w:trPr>
        <w:tc>
          <w:tcPr>
            <w:tcW w:w="6980" w:type="dxa"/>
            <w:vAlign w:val="bottom"/>
          </w:tcPr>
          <w:p>
            <w:pPr>
              <w:ind w:left="120"/>
              <w:spacing w:after="0" w:line="215" w:lineRule="exact"/>
              <w:rPr>
                <w:sz w:val="20"/>
                <w:szCs w:val="20"/>
                <w:color w:val="auto"/>
              </w:rPr>
            </w:pPr>
            <w:r>
              <w:rPr>
                <w:rFonts w:ascii="Calibri" w:cs="Calibri" w:eastAsia="Calibri" w:hAnsi="Calibri"/>
                <w:sz w:val="18"/>
                <w:szCs w:val="18"/>
                <w:color w:val="auto"/>
              </w:rPr>
              <w:t>Accumulated other comprehensive loss at beginning of period</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64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(144.9 ) $</w:t>
            </w:r>
          </w:p>
        </w:tc>
        <w:tc>
          <w:tcPr>
            <w:tcW w:w="1460" w:type="dxa"/>
            <w:vAlign w:val="bottom"/>
            <w:gridSpan w:val="2"/>
          </w:tcPr>
          <w:p>
            <w:pPr>
              <w:jc w:val="right"/>
              <w:ind w:right="70"/>
              <w:spacing w:after="0" w:line="215" w:lineRule="exact"/>
              <w:rPr>
                <w:sz w:val="20"/>
                <w:szCs w:val="20"/>
                <w:color w:val="auto"/>
              </w:rPr>
            </w:pPr>
            <w:r>
              <w:rPr>
                <w:rFonts w:ascii="Calibri" w:cs="Calibri" w:eastAsia="Calibri" w:hAnsi="Calibri"/>
                <w:sz w:val="18"/>
                <w:szCs w:val="18"/>
                <w:color w:val="auto"/>
              </w:rPr>
              <w:t>(0.9 ) $</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(145.8 )</w:t>
            </w:r>
          </w:p>
        </w:tc>
      </w:tr>
      <w:tr>
        <w:trPr>
          <w:trHeight w:val="28"/>
        </w:trPr>
        <w:tc>
          <w:tcPr>
            <w:tcW w:w="6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1"/>
        </w:trPr>
        <w:tc>
          <w:tcPr>
            <w:tcW w:w="6980" w:type="dxa"/>
            <w:vAlign w:val="bottom"/>
            <w:tcBorders>
              <w:right w:val="single" w:sz="8" w:color="007CBA"/>
            </w:tcBorders>
            <w:shd w:val="clear" w:color="auto" w:fill="E5F1F8"/>
          </w:tcPr>
          <w:p>
            <w:pPr>
              <w:ind w:left="120"/>
              <w:spacing w:after="0" w:line="201" w:lineRule="exact"/>
              <w:rPr>
                <w:sz w:val="20"/>
                <w:szCs w:val="20"/>
                <w:color w:val="auto"/>
              </w:rPr>
            </w:pPr>
            <w:r>
              <w:rPr>
                <w:rFonts w:ascii="Calibri" w:cs="Calibri" w:eastAsia="Calibri" w:hAnsi="Calibri"/>
                <w:sz w:val="18"/>
                <w:szCs w:val="18"/>
                <w:color w:val="auto"/>
              </w:rPr>
              <w:t>Other comprehensive (loss) earnings before reclassifcatons,</w:t>
            </w:r>
          </w:p>
        </w:tc>
        <w:tc>
          <w:tcPr>
            <w:tcW w:w="140" w:type="dxa"/>
            <w:vAlign w:val="bottom"/>
            <w:shd w:val="clear" w:color="auto" w:fill="E5F1F8"/>
          </w:tcPr>
          <w:p>
            <w:pPr>
              <w:spacing w:after="0"/>
              <w:rPr>
                <w:sz w:val="17"/>
                <w:szCs w:val="17"/>
                <w:color w:val="auto"/>
              </w:rPr>
            </w:pPr>
          </w:p>
        </w:tc>
        <w:tc>
          <w:tcPr>
            <w:tcW w:w="1420" w:type="dxa"/>
            <w:vAlign w:val="bottom"/>
            <w:tcBorders>
              <w:right w:val="single" w:sz="8" w:color="007CBA"/>
            </w:tcBorders>
            <w:shd w:val="clear" w:color="auto" w:fill="E5F1F8"/>
          </w:tcPr>
          <w:p>
            <w:pPr>
              <w:spacing w:after="0"/>
              <w:rPr>
                <w:sz w:val="17"/>
                <w:szCs w:val="17"/>
                <w:color w:val="auto"/>
              </w:rPr>
            </w:pPr>
          </w:p>
        </w:tc>
        <w:tc>
          <w:tcPr>
            <w:tcW w:w="220" w:type="dxa"/>
            <w:vAlign w:val="bottom"/>
            <w:shd w:val="clear" w:color="auto" w:fill="E5F1F8"/>
          </w:tcPr>
          <w:p>
            <w:pPr>
              <w:spacing w:after="0"/>
              <w:rPr>
                <w:sz w:val="17"/>
                <w:szCs w:val="17"/>
                <w:color w:val="auto"/>
              </w:rPr>
            </w:pPr>
          </w:p>
        </w:tc>
        <w:tc>
          <w:tcPr>
            <w:tcW w:w="1200" w:type="dxa"/>
            <w:vAlign w:val="bottom"/>
            <w:tcBorders>
              <w:right w:val="single" w:sz="8" w:color="007CBA"/>
            </w:tcBorders>
            <w:shd w:val="clear" w:color="auto" w:fill="E5F1F8"/>
          </w:tcPr>
          <w:p>
            <w:pPr>
              <w:spacing w:after="0"/>
              <w:rPr>
                <w:sz w:val="17"/>
                <w:szCs w:val="17"/>
                <w:color w:val="auto"/>
              </w:rPr>
            </w:pPr>
          </w:p>
        </w:tc>
        <w:tc>
          <w:tcPr>
            <w:tcW w:w="260" w:type="dxa"/>
            <w:vAlign w:val="bottom"/>
            <w:shd w:val="clear" w:color="auto" w:fill="E5F1F8"/>
          </w:tcPr>
          <w:p>
            <w:pPr>
              <w:spacing w:after="0"/>
              <w:rPr>
                <w:sz w:val="17"/>
                <w:szCs w:val="17"/>
                <w:color w:val="auto"/>
              </w:rPr>
            </w:pPr>
          </w:p>
        </w:tc>
        <w:tc>
          <w:tcPr>
            <w:tcW w:w="1020" w:type="dxa"/>
            <w:vAlign w:val="bottom"/>
            <w:shd w:val="clear" w:color="auto" w:fill="E5F1F8"/>
          </w:tcPr>
          <w:p>
            <w:pPr>
              <w:spacing w:after="0"/>
              <w:rPr>
                <w:sz w:val="17"/>
                <w:szCs w:val="17"/>
                <w:color w:val="auto"/>
              </w:rPr>
            </w:pPr>
          </w:p>
        </w:tc>
      </w:tr>
      <w:tr>
        <w:trPr>
          <w:trHeight w:val="232"/>
        </w:trPr>
        <w:tc>
          <w:tcPr>
            <w:tcW w:w="6980" w:type="dxa"/>
            <w:vAlign w:val="bottom"/>
            <w:tcBorders>
              <w:bottom w:val="single" w:sz="8" w:color="E5F1F8"/>
              <w:right w:val="single" w:sz="8" w:color="007CBA"/>
            </w:tcBorders>
            <w:shd w:val="clear" w:color="auto" w:fill="E5F1F8"/>
          </w:tcPr>
          <w:p>
            <w:pPr>
              <w:ind w:left="240"/>
              <w:spacing w:after="0" w:line="215" w:lineRule="exact"/>
              <w:rPr>
                <w:sz w:val="20"/>
                <w:szCs w:val="20"/>
                <w:color w:val="auto"/>
              </w:rPr>
            </w:pPr>
            <w:r>
              <w:rPr>
                <w:rFonts w:ascii="Calibri" w:cs="Calibri" w:eastAsia="Calibri" w:hAnsi="Calibri"/>
                <w:sz w:val="18"/>
                <w:szCs w:val="18"/>
                <w:color w:val="auto"/>
              </w:rPr>
              <w:t>net of tax</w:t>
            </w:r>
          </w:p>
        </w:tc>
        <w:tc>
          <w:tcPr>
            <w:tcW w:w="140" w:type="dxa"/>
            <w:vAlign w:val="bottom"/>
            <w:tcBorders>
              <w:bottom w:val="single" w:sz="8" w:color="E5F1F8"/>
            </w:tcBorders>
            <w:shd w:val="clear" w:color="auto" w:fill="E5F1F8"/>
          </w:tcPr>
          <w:p>
            <w:pPr>
              <w:spacing w:after="0"/>
              <w:rPr>
                <w:sz w:val="20"/>
                <w:szCs w:val="20"/>
                <w:color w:val="auto"/>
              </w:rPr>
            </w:pPr>
          </w:p>
        </w:tc>
        <w:tc>
          <w:tcPr>
            <w:tcW w:w="1420" w:type="dxa"/>
            <w:vAlign w:val="bottom"/>
            <w:tcBorders>
              <w:bottom w:val="single" w:sz="8" w:color="E5F1F8"/>
              <w:right w:val="single" w:sz="8" w:color="007CBA"/>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(26.6 )</w:t>
            </w:r>
          </w:p>
        </w:tc>
        <w:tc>
          <w:tcPr>
            <w:tcW w:w="220" w:type="dxa"/>
            <w:vAlign w:val="bottom"/>
            <w:tcBorders>
              <w:bottom w:val="single" w:sz="8" w:color="E5F1F8"/>
            </w:tcBorders>
            <w:shd w:val="clear" w:color="auto" w:fill="E5F1F8"/>
          </w:tcPr>
          <w:p>
            <w:pPr>
              <w:spacing w:after="0"/>
              <w:rPr>
                <w:sz w:val="20"/>
                <w:szCs w:val="20"/>
                <w:color w:val="auto"/>
              </w:rPr>
            </w:pPr>
          </w:p>
        </w:tc>
        <w:tc>
          <w:tcPr>
            <w:tcW w:w="120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0.6</w:t>
            </w:r>
          </w:p>
        </w:tc>
        <w:tc>
          <w:tcPr>
            <w:tcW w:w="260" w:type="dxa"/>
            <w:vAlign w:val="bottom"/>
            <w:tcBorders>
              <w:bottom w:val="single" w:sz="8" w:color="E5F1F8"/>
            </w:tcBorders>
            <w:shd w:val="clear" w:color="auto" w:fill="E5F1F8"/>
          </w:tcPr>
          <w:p>
            <w:pPr>
              <w:spacing w:after="0"/>
              <w:rPr>
                <w:sz w:val="20"/>
                <w:szCs w:val="20"/>
                <w:color w:val="auto"/>
              </w:rPr>
            </w:pPr>
          </w:p>
        </w:tc>
        <w:tc>
          <w:tcPr>
            <w:tcW w:w="102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(26.0 )</w:t>
            </w:r>
          </w:p>
        </w:tc>
      </w:tr>
      <w:tr>
        <w:trPr>
          <w:trHeight w:val="207"/>
        </w:trPr>
        <w:tc>
          <w:tcPr>
            <w:tcW w:w="6980" w:type="dxa"/>
            <w:vAlign w:val="bottom"/>
          </w:tcPr>
          <w:p>
            <w:pPr>
              <w:ind w:left="120"/>
              <w:spacing w:after="0" w:line="207" w:lineRule="exact"/>
              <w:rPr>
                <w:sz w:val="20"/>
                <w:szCs w:val="20"/>
                <w:color w:val="auto"/>
              </w:rPr>
            </w:pPr>
            <w:r>
              <w:rPr>
                <w:rFonts w:ascii="Calibri" w:cs="Calibri" w:eastAsia="Calibri" w:hAnsi="Calibri"/>
                <w:sz w:val="18"/>
                <w:szCs w:val="18"/>
                <w:color w:val="auto"/>
              </w:rPr>
              <w:t>Amounts reclassifed from accumulated other</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5"/>
        </w:trPr>
        <w:tc>
          <w:tcPr>
            <w:tcW w:w="6980" w:type="dxa"/>
            <w:vAlign w:val="bottom"/>
          </w:tcPr>
          <w:p>
            <w:pPr>
              <w:ind w:left="240"/>
              <w:spacing w:after="0" w:line="215" w:lineRule="exact"/>
              <w:rPr>
                <w:sz w:val="20"/>
                <w:szCs w:val="20"/>
                <w:color w:val="auto"/>
              </w:rPr>
            </w:pPr>
            <w:r>
              <w:rPr>
                <w:rFonts w:ascii="Calibri" w:cs="Calibri" w:eastAsia="Calibri" w:hAnsi="Calibri"/>
                <w:sz w:val="18"/>
                <w:szCs w:val="18"/>
                <w:color w:val="auto"/>
              </w:rPr>
              <w:t>comprehensive loss, net of tax</w:t>
            </w:r>
          </w:p>
        </w:tc>
        <w:tc>
          <w:tcPr>
            <w:tcW w:w="140" w:type="dxa"/>
            <w:vAlign w:val="bottom"/>
          </w:tcPr>
          <w:p>
            <w:pPr>
              <w:spacing w:after="0"/>
              <w:rPr>
                <w:sz w:val="18"/>
                <w:szCs w:val="18"/>
                <w:color w:val="auto"/>
              </w:rPr>
            </w:pPr>
          </w:p>
        </w:tc>
        <w:tc>
          <w:tcPr>
            <w:tcW w:w="142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13.4</w:t>
            </w:r>
          </w:p>
        </w:tc>
        <w:tc>
          <w:tcPr>
            <w:tcW w:w="220" w:type="dxa"/>
            <w:vAlign w:val="bottom"/>
          </w:tcPr>
          <w:p>
            <w:pPr>
              <w:spacing w:after="0"/>
              <w:rPr>
                <w:sz w:val="18"/>
                <w:szCs w:val="18"/>
                <w:color w:val="auto"/>
              </w:rPr>
            </w:pPr>
          </w:p>
        </w:tc>
        <w:tc>
          <w:tcPr>
            <w:tcW w:w="120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8"/>
                <w:szCs w:val="18"/>
                <w:color w:val="auto"/>
              </w:rPr>
            </w:pPr>
          </w:p>
        </w:tc>
        <w:tc>
          <w:tcPr>
            <w:tcW w:w="10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13.4</w:t>
            </w:r>
          </w:p>
        </w:tc>
      </w:tr>
      <w:tr>
        <w:trPr>
          <w:trHeight w:val="37"/>
        </w:trPr>
        <w:tc>
          <w:tcPr>
            <w:tcW w:w="6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2"/>
        </w:trPr>
        <w:tc>
          <w:tcPr>
            <w:tcW w:w="698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Other comprehensive (loss) earnings, net of tax</w:t>
            </w:r>
          </w:p>
        </w:tc>
        <w:tc>
          <w:tcPr>
            <w:tcW w:w="140" w:type="dxa"/>
            <w:vAlign w:val="bottom"/>
            <w:tcBorders>
              <w:bottom w:val="single" w:sz="8" w:color="E5F1F8"/>
            </w:tcBorders>
            <w:shd w:val="clear" w:color="auto" w:fill="E5F1F8"/>
          </w:tcPr>
          <w:p>
            <w:pPr>
              <w:spacing w:after="0"/>
              <w:rPr>
                <w:sz w:val="20"/>
                <w:szCs w:val="20"/>
                <w:color w:val="auto"/>
              </w:rPr>
            </w:pPr>
          </w:p>
        </w:tc>
        <w:tc>
          <w:tcPr>
            <w:tcW w:w="1420" w:type="dxa"/>
            <w:vAlign w:val="bottom"/>
            <w:tcBorders>
              <w:bottom w:val="single" w:sz="8" w:color="E5F1F8"/>
              <w:right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color w:val="auto"/>
              </w:rPr>
              <w:t>(13.2 )</w:t>
            </w:r>
          </w:p>
        </w:tc>
        <w:tc>
          <w:tcPr>
            <w:tcW w:w="220" w:type="dxa"/>
            <w:vAlign w:val="bottom"/>
            <w:tcBorders>
              <w:bottom w:val="single" w:sz="8" w:color="E5F1F8"/>
            </w:tcBorders>
            <w:shd w:val="clear" w:color="auto" w:fill="E5F1F8"/>
          </w:tcPr>
          <w:p>
            <w:pPr>
              <w:spacing w:after="0"/>
              <w:rPr>
                <w:sz w:val="20"/>
                <w:szCs w:val="20"/>
                <w:color w:val="auto"/>
              </w:rPr>
            </w:pPr>
          </w:p>
        </w:tc>
        <w:tc>
          <w:tcPr>
            <w:tcW w:w="120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color w:val="auto"/>
              </w:rPr>
              <w:t>0.6</w:t>
            </w:r>
          </w:p>
        </w:tc>
        <w:tc>
          <w:tcPr>
            <w:tcW w:w="260" w:type="dxa"/>
            <w:vAlign w:val="bottom"/>
            <w:tcBorders>
              <w:bottom w:val="single" w:sz="8" w:color="E5F1F8"/>
            </w:tcBorders>
            <w:shd w:val="clear" w:color="auto" w:fill="E5F1F8"/>
          </w:tcPr>
          <w:p>
            <w:pPr>
              <w:spacing w:after="0"/>
              <w:rPr>
                <w:sz w:val="20"/>
                <w:szCs w:val="20"/>
                <w:color w:val="auto"/>
              </w:rPr>
            </w:pPr>
          </w:p>
        </w:tc>
        <w:tc>
          <w:tcPr>
            <w:tcW w:w="1020" w:type="dxa"/>
            <w:vAlign w:val="bottom"/>
            <w:tcBorders>
              <w:bottom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color w:val="auto"/>
              </w:rPr>
              <w:t>(12.6 )</w:t>
            </w:r>
          </w:p>
        </w:tc>
      </w:tr>
      <w:tr>
        <w:trPr>
          <w:trHeight w:val="208"/>
        </w:trPr>
        <w:tc>
          <w:tcPr>
            <w:tcW w:w="698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Accumulated other comprehensive loss at end of period</w:t>
            </w:r>
          </w:p>
        </w:tc>
        <w:tc>
          <w:tcPr>
            <w:tcW w:w="1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w:t>
            </w:r>
          </w:p>
        </w:tc>
        <w:tc>
          <w:tcPr>
            <w:tcW w:w="14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(158.1 )</w:t>
            </w:r>
          </w:p>
        </w:tc>
        <w:tc>
          <w:tcPr>
            <w:tcW w:w="22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w w:val="87"/>
              </w:rPr>
              <w:t>$</w:t>
            </w:r>
          </w:p>
        </w:tc>
        <w:tc>
          <w:tcPr>
            <w:tcW w:w="12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(0.3 )</w:t>
            </w:r>
          </w:p>
        </w:tc>
        <w:tc>
          <w:tcPr>
            <w:tcW w:w="260" w:type="dxa"/>
            <w:vAlign w:val="bottom"/>
            <w:tcBorders>
              <w:top w:val="single" w:sz="8" w:color="auto"/>
            </w:tcBorders>
          </w:tcPr>
          <w:p>
            <w:pPr>
              <w:jc w:val="right"/>
              <w:ind w:right="70"/>
              <w:spacing w:after="0" w:line="208" w:lineRule="exact"/>
              <w:rPr>
                <w:sz w:val="20"/>
                <w:szCs w:val="20"/>
                <w:color w:val="auto"/>
              </w:rPr>
            </w:pPr>
            <w:r>
              <w:rPr>
                <w:rFonts w:ascii="Calibri" w:cs="Calibri" w:eastAsia="Calibri" w:hAnsi="Calibri"/>
                <w:sz w:val="18"/>
                <w:szCs w:val="18"/>
                <w:color w:val="auto"/>
                <w:w w:val="87"/>
              </w:rPr>
              <w:t>$</w:t>
            </w:r>
          </w:p>
        </w:tc>
        <w:tc>
          <w:tcPr>
            <w:tcW w:w="10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(158.4 )</w:t>
            </w:r>
          </w:p>
        </w:tc>
      </w:tr>
      <w:tr>
        <w:trPr>
          <w:trHeight w:val="28"/>
        </w:trPr>
        <w:tc>
          <w:tcPr>
            <w:tcW w:w="6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3"/>
        </w:trPr>
        <w:tc>
          <w:tcPr>
            <w:tcW w:w="6980" w:type="dxa"/>
            <w:vAlign w:val="bottom"/>
            <w:tcBorders>
              <w:bottom w:val="single" w:sz="8" w:color="E5F1F8"/>
              <w:right w:val="single" w:sz="8" w:color="E5F1F8"/>
            </w:tcBorders>
            <w:shd w:val="clear" w:color="auto" w:fill="E5F1F8"/>
          </w:tcPr>
          <w:p>
            <w:pPr>
              <w:ind w:left="120"/>
              <w:spacing w:after="0" w:line="196" w:lineRule="exact"/>
              <w:rPr>
                <w:sz w:val="20"/>
                <w:szCs w:val="20"/>
                <w:color w:val="auto"/>
              </w:rPr>
            </w:pPr>
            <w:r>
              <w:rPr>
                <w:rFonts w:ascii="Calibri" w:cs="Calibri" w:eastAsia="Calibri" w:hAnsi="Calibri"/>
                <w:sz w:val="18"/>
                <w:szCs w:val="18"/>
                <w:color w:val="auto"/>
              </w:rPr>
              <w:t>Cumulatve noncurrent deferred tax assets at end of period</w:t>
            </w:r>
          </w:p>
        </w:tc>
        <w:tc>
          <w:tcPr>
            <w:tcW w:w="140" w:type="dxa"/>
            <w:vAlign w:val="bottom"/>
            <w:tcBorders>
              <w:bottom w:val="single" w:sz="8" w:color="E5F1F8"/>
            </w:tcBorders>
            <w:shd w:val="clear" w:color="auto" w:fill="E5F1F8"/>
          </w:tcPr>
          <w:p>
            <w:pPr>
              <w:jc w:val="right"/>
              <w:spacing w:after="0" w:line="196" w:lineRule="exact"/>
              <w:rPr>
                <w:sz w:val="20"/>
                <w:szCs w:val="20"/>
                <w:color w:val="auto"/>
              </w:rPr>
            </w:pPr>
            <w:r>
              <w:rPr>
                <w:rFonts w:ascii="Calibri" w:cs="Calibri" w:eastAsia="Calibri" w:hAnsi="Calibri"/>
                <w:sz w:val="18"/>
                <w:szCs w:val="18"/>
                <w:color w:val="auto"/>
              </w:rPr>
              <w:t>$</w:t>
            </w:r>
          </w:p>
        </w:tc>
        <w:tc>
          <w:tcPr>
            <w:tcW w:w="1420" w:type="dxa"/>
            <w:vAlign w:val="bottom"/>
            <w:tcBorders>
              <w:bottom w:val="single" w:sz="8" w:color="E5F1F8"/>
              <w:right w:val="single" w:sz="8" w:color="E5F1F8"/>
            </w:tcBorders>
            <w:shd w:val="clear" w:color="auto" w:fill="E5F1F8"/>
          </w:tcPr>
          <w:p>
            <w:pPr>
              <w:jc w:val="right"/>
              <w:ind w:right="50"/>
              <w:spacing w:after="0" w:line="196" w:lineRule="exact"/>
              <w:rPr>
                <w:sz w:val="20"/>
                <w:szCs w:val="20"/>
                <w:color w:val="auto"/>
              </w:rPr>
            </w:pPr>
            <w:r>
              <w:rPr>
                <w:rFonts w:ascii="Calibri" w:cs="Calibri" w:eastAsia="Calibri" w:hAnsi="Calibri"/>
                <w:sz w:val="18"/>
                <w:szCs w:val="18"/>
                <w:color w:val="auto"/>
              </w:rPr>
              <w:t>89.4</w:t>
            </w:r>
          </w:p>
        </w:tc>
        <w:tc>
          <w:tcPr>
            <w:tcW w:w="220" w:type="dxa"/>
            <w:vAlign w:val="bottom"/>
            <w:tcBorders>
              <w:bottom w:val="single" w:sz="8" w:color="E5F1F8"/>
            </w:tcBorders>
            <w:shd w:val="clear" w:color="auto" w:fill="E5F1F8"/>
          </w:tcPr>
          <w:p>
            <w:pPr>
              <w:jc w:val="right"/>
              <w:ind w:right="30"/>
              <w:spacing w:after="0" w:line="196" w:lineRule="exact"/>
              <w:rPr>
                <w:sz w:val="20"/>
                <w:szCs w:val="20"/>
                <w:color w:val="auto"/>
              </w:rPr>
            </w:pPr>
            <w:r>
              <w:rPr>
                <w:rFonts w:ascii="Calibri" w:cs="Calibri" w:eastAsia="Calibri" w:hAnsi="Calibri"/>
                <w:sz w:val="18"/>
                <w:szCs w:val="18"/>
                <w:color w:val="auto"/>
                <w:w w:val="87"/>
              </w:rPr>
              <w:t>$</w:t>
            </w:r>
          </w:p>
        </w:tc>
        <w:tc>
          <w:tcPr>
            <w:tcW w:w="1200" w:type="dxa"/>
            <w:vAlign w:val="bottom"/>
            <w:tcBorders>
              <w:bottom w:val="single" w:sz="8" w:color="E5F1F8"/>
              <w:right w:val="single" w:sz="8" w:color="E5F1F8"/>
            </w:tcBorders>
            <w:shd w:val="clear" w:color="auto" w:fill="E5F1F8"/>
          </w:tcPr>
          <w:p>
            <w:pPr>
              <w:jc w:val="right"/>
              <w:ind w:right="50"/>
              <w:spacing w:after="0" w:line="196" w:lineRule="exact"/>
              <w:rPr>
                <w:sz w:val="20"/>
                <w:szCs w:val="20"/>
                <w:color w:val="auto"/>
              </w:rPr>
            </w:pPr>
            <w:r>
              <w:rPr>
                <w:rFonts w:ascii="Calibri" w:cs="Calibri" w:eastAsia="Calibri" w:hAnsi="Calibri"/>
                <w:sz w:val="18"/>
                <w:szCs w:val="18"/>
                <w:color w:val="auto"/>
              </w:rPr>
              <w:t>—</w:t>
            </w:r>
          </w:p>
        </w:tc>
        <w:tc>
          <w:tcPr>
            <w:tcW w:w="260" w:type="dxa"/>
            <w:vAlign w:val="bottom"/>
            <w:tcBorders>
              <w:bottom w:val="single" w:sz="8" w:color="E5F1F8"/>
            </w:tcBorders>
            <w:shd w:val="clear" w:color="auto" w:fill="E5F1F8"/>
          </w:tcPr>
          <w:p>
            <w:pPr>
              <w:jc w:val="right"/>
              <w:ind w:right="70"/>
              <w:spacing w:after="0" w:line="196"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E5F1F8"/>
            </w:tcBorders>
            <w:shd w:val="clear" w:color="auto" w:fill="E5F1F8"/>
          </w:tcPr>
          <w:p>
            <w:pPr>
              <w:jc w:val="right"/>
              <w:ind w:right="30"/>
              <w:spacing w:after="0" w:line="196" w:lineRule="exact"/>
              <w:rPr>
                <w:sz w:val="20"/>
                <w:szCs w:val="20"/>
                <w:color w:val="auto"/>
              </w:rPr>
            </w:pPr>
            <w:r>
              <w:rPr>
                <w:rFonts w:ascii="Calibri" w:cs="Calibri" w:eastAsia="Calibri" w:hAnsi="Calibri"/>
                <w:sz w:val="18"/>
                <w:szCs w:val="18"/>
                <w:color w:val="auto"/>
              </w:rPr>
              <w:t>89.4</w:t>
            </w:r>
          </w:p>
        </w:tc>
      </w:tr>
      <w:tr>
        <w:trPr>
          <w:trHeight w:val="20"/>
        </w:trPr>
        <w:tc>
          <w:tcPr>
            <w:tcW w:w="69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-4559935</wp:posOffset>
            </wp:positionV>
            <wp:extent cx="270891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270891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-4409440</wp:posOffset>
            </wp:positionV>
            <wp:extent cx="2729865" cy="1885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2729865"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-3955415</wp:posOffset>
            </wp:positionV>
            <wp:extent cx="7132320" cy="9728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7132320" cy="972820"/>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-2840990</wp:posOffset>
            </wp:positionV>
            <wp:extent cx="2729865" cy="1885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2729865"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-2386330</wp:posOffset>
            </wp:positionV>
            <wp:extent cx="7132320" cy="9728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7132320" cy="972820"/>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-1272540</wp:posOffset>
            </wp:positionV>
            <wp:extent cx="2729865" cy="18859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2729865"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-817880</wp:posOffset>
            </wp:positionV>
            <wp:extent cx="7132320" cy="8312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32320" cy="83121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Calibri" w:cs="Calibri" w:eastAsia="Calibri" w:hAnsi="Calibri"/>
          <w:sz w:val="18"/>
          <w:szCs w:val="18"/>
          <w:color w:val="auto"/>
        </w:rPr>
        <w:t>Reclassifcatons out of accumulated other comprehensive loss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72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320" w:type="dxa"/>
            <w:vAlign w:val="bottom"/>
            <w:shd w:val="clear" w:color="auto" w:fill="007CBA"/>
          </w:tcPr>
          <w:p>
            <w:pPr>
              <w:spacing w:after="0"/>
              <w:rPr>
                <w:sz w:val="19"/>
                <w:szCs w:val="19"/>
                <w:color w:val="auto"/>
              </w:rPr>
            </w:pPr>
          </w:p>
        </w:tc>
        <w:tc>
          <w:tcPr>
            <w:tcW w:w="840" w:type="dxa"/>
            <w:vAlign w:val="bottom"/>
            <w:tcBorders>
              <w:right w:val="single" w:sz="8" w:color="007CBA"/>
            </w:tcBorders>
            <w:shd w:val="clear" w:color="auto" w:fill="007CBA"/>
          </w:tcPr>
          <w:p>
            <w:pPr>
              <w:spacing w:after="0"/>
              <w:rPr>
                <w:sz w:val="19"/>
                <w:szCs w:val="19"/>
                <w:color w:val="auto"/>
              </w:rPr>
            </w:pPr>
          </w:p>
        </w:tc>
        <w:tc>
          <w:tcPr>
            <w:tcW w:w="320" w:type="dxa"/>
            <w:vAlign w:val="bottom"/>
            <w:shd w:val="clear" w:color="auto" w:fill="007CBA"/>
          </w:tcPr>
          <w:p>
            <w:pPr>
              <w:spacing w:after="0"/>
              <w:rPr>
                <w:sz w:val="19"/>
                <w:szCs w:val="19"/>
                <w:color w:val="auto"/>
              </w:rPr>
            </w:pPr>
          </w:p>
        </w:tc>
        <w:tc>
          <w:tcPr>
            <w:tcW w:w="840" w:type="dxa"/>
            <w:vAlign w:val="bottom"/>
            <w:tcBorders>
              <w:right w:val="single" w:sz="8" w:color="007CBA"/>
            </w:tcBorders>
            <w:shd w:val="clear" w:color="auto" w:fill="007CBA"/>
          </w:tcPr>
          <w:p>
            <w:pPr>
              <w:spacing w:after="0"/>
              <w:rPr>
                <w:sz w:val="19"/>
                <w:szCs w:val="19"/>
                <w:color w:val="auto"/>
              </w:rPr>
            </w:pPr>
          </w:p>
        </w:tc>
        <w:tc>
          <w:tcPr>
            <w:tcW w:w="300" w:type="dxa"/>
            <w:vAlign w:val="bottom"/>
            <w:shd w:val="clear" w:color="auto" w:fill="007CBA"/>
          </w:tcPr>
          <w:p>
            <w:pPr>
              <w:spacing w:after="0"/>
              <w:rPr>
                <w:sz w:val="19"/>
                <w:szCs w:val="19"/>
                <w:color w:val="auto"/>
              </w:rPr>
            </w:pPr>
          </w:p>
        </w:tc>
        <w:tc>
          <w:tcPr>
            <w:tcW w:w="800" w:type="dxa"/>
            <w:vAlign w:val="bottom"/>
            <w:tcBorders>
              <w:right w:val="single" w:sz="8" w:color="007CBA"/>
            </w:tcBorders>
            <w:shd w:val="clear" w:color="auto" w:fill="007CBA"/>
          </w:tcPr>
          <w:p>
            <w:pPr>
              <w:spacing w:after="0"/>
              <w:rPr>
                <w:sz w:val="19"/>
                <w:szCs w:val="19"/>
                <w:color w:val="auto"/>
              </w:rPr>
            </w:pPr>
          </w:p>
        </w:tc>
        <w:tc>
          <w:tcPr>
            <w:tcW w:w="3100" w:type="dxa"/>
            <w:vAlign w:val="bottom"/>
            <w:shd w:val="clear" w:color="auto" w:fill="007CBA"/>
          </w:tcPr>
          <w:p>
            <w:pPr>
              <w:jc w:val="center"/>
              <w:ind w:left="30"/>
              <w:spacing w:after="0"/>
              <w:rPr>
                <w:sz w:val="20"/>
                <w:szCs w:val="20"/>
                <w:color w:val="auto"/>
              </w:rPr>
            </w:pPr>
            <w:r>
              <w:rPr>
                <w:rFonts w:ascii="Calibri" w:cs="Calibri" w:eastAsia="Calibri" w:hAnsi="Calibri"/>
                <w:sz w:val="18"/>
                <w:szCs w:val="18"/>
                <w:b w:val="1"/>
                <w:bCs w:val="1"/>
                <w:color w:val="FFFFFF"/>
                <w:w w:val="99"/>
              </w:rPr>
              <w:t>Afected line items in the</w:t>
            </w:r>
          </w:p>
        </w:tc>
      </w:tr>
      <w:tr>
        <w:trPr>
          <w:trHeight w:val="232"/>
        </w:trPr>
        <w:tc>
          <w:tcPr>
            <w:tcW w:w="472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320" w:type="dxa"/>
            <w:vAlign w:val="bottom"/>
            <w:tcBorders>
              <w:bottom w:val="single" w:sz="8" w:color="007CBA"/>
            </w:tcBorders>
            <w:shd w:val="clear" w:color="auto" w:fill="007CBA"/>
          </w:tcPr>
          <w:p>
            <w:pPr>
              <w:spacing w:after="0"/>
              <w:rPr>
                <w:sz w:val="20"/>
                <w:szCs w:val="20"/>
                <w:color w:val="auto"/>
              </w:rPr>
            </w:pPr>
          </w:p>
        </w:tc>
        <w:tc>
          <w:tcPr>
            <w:tcW w:w="840" w:type="dxa"/>
            <w:vAlign w:val="bottom"/>
            <w:tcBorders>
              <w:bottom w:val="single" w:sz="8" w:color="007CBA"/>
              <w:right w:val="single" w:sz="8" w:color="007CBA"/>
            </w:tcBorders>
            <w:shd w:val="clear" w:color="auto" w:fill="007CBA"/>
          </w:tcPr>
          <w:p>
            <w:pPr>
              <w:jc w:val="right"/>
              <w:ind w:right="310"/>
              <w:spacing w:after="0" w:line="215" w:lineRule="exact"/>
              <w:rPr>
                <w:sz w:val="20"/>
                <w:szCs w:val="20"/>
                <w:color w:val="auto"/>
              </w:rPr>
            </w:pPr>
            <w:r>
              <w:rPr>
                <w:rFonts w:ascii="Calibri" w:cs="Calibri" w:eastAsia="Calibri" w:hAnsi="Calibri"/>
                <w:sz w:val="18"/>
                <w:szCs w:val="18"/>
                <w:b w:val="1"/>
                <w:bCs w:val="1"/>
                <w:color w:val="FFFFFF"/>
              </w:rPr>
              <w:t>2022</w:t>
            </w:r>
          </w:p>
        </w:tc>
        <w:tc>
          <w:tcPr>
            <w:tcW w:w="320" w:type="dxa"/>
            <w:vAlign w:val="bottom"/>
            <w:tcBorders>
              <w:bottom w:val="single" w:sz="8" w:color="007CBA"/>
            </w:tcBorders>
            <w:shd w:val="clear" w:color="auto" w:fill="007CBA"/>
          </w:tcPr>
          <w:p>
            <w:pPr>
              <w:spacing w:after="0"/>
              <w:rPr>
                <w:sz w:val="20"/>
                <w:szCs w:val="20"/>
                <w:color w:val="auto"/>
              </w:rPr>
            </w:pPr>
          </w:p>
        </w:tc>
        <w:tc>
          <w:tcPr>
            <w:tcW w:w="840" w:type="dxa"/>
            <w:vAlign w:val="bottom"/>
            <w:tcBorders>
              <w:bottom w:val="single" w:sz="8" w:color="007CBA"/>
              <w:right w:val="single" w:sz="8" w:color="007CBA"/>
            </w:tcBorders>
            <w:shd w:val="clear" w:color="auto" w:fill="007CBA"/>
          </w:tcPr>
          <w:p>
            <w:pPr>
              <w:jc w:val="right"/>
              <w:ind w:right="310"/>
              <w:spacing w:after="0" w:line="215" w:lineRule="exact"/>
              <w:rPr>
                <w:sz w:val="20"/>
                <w:szCs w:val="20"/>
                <w:color w:val="auto"/>
              </w:rPr>
            </w:pPr>
            <w:r>
              <w:rPr>
                <w:rFonts w:ascii="Calibri" w:cs="Calibri" w:eastAsia="Calibri" w:hAnsi="Calibri"/>
                <w:sz w:val="18"/>
                <w:szCs w:val="18"/>
                <w:color w:val="FFFFFF"/>
              </w:rPr>
              <w:t>2021</w:t>
            </w:r>
          </w:p>
        </w:tc>
        <w:tc>
          <w:tcPr>
            <w:tcW w:w="300" w:type="dxa"/>
            <w:vAlign w:val="bottom"/>
            <w:tcBorders>
              <w:bottom w:val="single" w:sz="8" w:color="007CBA"/>
            </w:tcBorders>
            <w:shd w:val="clear" w:color="auto" w:fill="007CBA"/>
          </w:tcPr>
          <w:p>
            <w:pPr>
              <w:spacing w:after="0"/>
              <w:rPr>
                <w:sz w:val="20"/>
                <w:szCs w:val="20"/>
                <w:color w:val="auto"/>
              </w:rPr>
            </w:pPr>
          </w:p>
        </w:tc>
        <w:tc>
          <w:tcPr>
            <w:tcW w:w="800" w:type="dxa"/>
            <w:vAlign w:val="bottom"/>
            <w:tcBorders>
              <w:bottom w:val="single" w:sz="8" w:color="007CBA"/>
              <w:right w:val="single" w:sz="8" w:color="007CBA"/>
            </w:tcBorders>
            <w:shd w:val="clear" w:color="auto" w:fill="007CBA"/>
          </w:tcPr>
          <w:p>
            <w:pPr>
              <w:jc w:val="right"/>
              <w:ind w:right="290"/>
              <w:spacing w:after="0" w:line="215" w:lineRule="exact"/>
              <w:rPr>
                <w:sz w:val="20"/>
                <w:szCs w:val="20"/>
                <w:color w:val="auto"/>
              </w:rPr>
            </w:pPr>
            <w:r>
              <w:rPr>
                <w:rFonts w:ascii="Calibri" w:cs="Calibri" w:eastAsia="Calibri" w:hAnsi="Calibri"/>
                <w:sz w:val="18"/>
                <w:szCs w:val="18"/>
                <w:color w:val="FFFFFF"/>
              </w:rPr>
              <w:t>2020</w:t>
            </w:r>
          </w:p>
        </w:tc>
        <w:tc>
          <w:tcPr>
            <w:tcW w:w="3100" w:type="dxa"/>
            <w:vAlign w:val="bottom"/>
            <w:tcBorders>
              <w:bottom w:val="single" w:sz="8" w:color="007CBA"/>
            </w:tcBorders>
            <w:shd w:val="clear" w:color="auto" w:fill="007CBA"/>
          </w:tcPr>
          <w:p>
            <w:pPr>
              <w:jc w:val="center"/>
              <w:ind w:left="30"/>
              <w:spacing w:after="0" w:line="215" w:lineRule="exact"/>
              <w:rPr>
                <w:sz w:val="20"/>
                <w:szCs w:val="20"/>
                <w:color w:val="auto"/>
              </w:rPr>
            </w:pPr>
            <w:r>
              <w:rPr>
                <w:rFonts w:ascii="Calibri" w:cs="Calibri" w:eastAsia="Calibri" w:hAnsi="Calibri"/>
                <w:sz w:val="18"/>
                <w:szCs w:val="18"/>
                <w:b w:val="1"/>
                <w:bCs w:val="1"/>
                <w:color w:val="FFFFFF"/>
                <w:w w:val="96"/>
              </w:rPr>
              <w:t>consolidated statements of earnings</w:t>
            </w:r>
          </w:p>
        </w:tc>
      </w:tr>
      <w:tr>
        <w:trPr>
          <w:trHeight w:val="215"/>
        </w:trPr>
        <w:tc>
          <w:tcPr>
            <w:tcW w:w="472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Pension and postretrement beneft plans:</w:t>
            </w:r>
          </w:p>
        </w:tc>
        <w:tc>
          <w:tcPr>
            <w:tcW w:w="320" w:type="dxa"/>
            <w:vAlign w:val="bottom"/>
          </w:tcPr>
          <w:p>
            <w:pPr>
              <w:spacing w:after="0"/>
              <w:rPr>
                <w:sz w:val="18"/>
                <w:szCs w:val="18"/>
                <w:color w:val="auto"/>
              </w:rPr>
            </w:pPr>
          </w:p>
        </w:tc>
        <w:tc>
          <w:tcPr>
            <w:tcW w:w="840" w:type="dxa"/>
            <w:vAlign w:val="bottom"/>
            <w:tcBorders>
              <w:right w:val="single" w:sz="8" w:color="007CBA"/>
            </w:tcBorders>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Borders>
              <w:right w:val="single" w:sz="8" w:color="007CBA"/>
            </w:tcBorders>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Borders>
              <w:right w:val="single" w:sz="8" w:color="007CBA"/>
            </w:tcBorders>
          </w:tcPr>
          <w:p>
            <w:pPr>
              <w:spacing w:after="0"/>
              <w:rPr>
                <w:sz w:val="18"/>
                <w:szCs w:val="18"/>
                <w:color w:val="auto"/>
              </w:rPr>
            </w:pPr>
          </w:p>
        </w:tc>
        <w:tc>
          <w:tcPr>
            <w:tcW w:w="3100" w:type="dxa"/>
            <w:vAlign w:val="bottom"/>
          </w:tcPr>
          <w:p>
            <w:pPr>
              <w:spacing w:after="0"/>
              <w:rPr>
                <w:sz w:val="18"/>
                <w:szCs w:val="18"/>
                <w:color w:val="auto"/>
              </w:rPr>
            </w:pPr>
          </w:p>
        </w:tc>
      </w:tr>
      <w:tr>
        <w:trPr>
          <w:trHeight w:val="28"/>
        </w:trPr>
        <w:tc>
          <w:tcPr>
            <w:tcW w:w="4720" w:type="dxa"/>
            <w:vAlign w:val="bottom"/>
            <w:tcBorders>
              <w:right w:val="single" w:sz="8" w:color="007CBA"/>
            </w:tcBorders>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Borders>
              <w:right w:val="single" w:sz="8" w:color="007CBA"/>
            </w:tcBorders>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Borders>
              <w:right w:val="single" w:sz="8" w:color="007CBA"/>
            </w:tcBorders>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Borders>
              <w:right w:val="single" w:sz="8" w:color="007CBA"/>
            </w:tcBorders>
          </w:tcPr>
          <w:p>
            <w:pPr>
              <w:spacing w:after="0"/>
              <w:rPr>
                <w:sz w:val="2"/>
                <w:szCs w:val="2"/>
                <w:color w:val="auto"/>
              </w:rPr>
            </w:pPr>
          </w:p>
        </w:tc>
        <w:tc>
          <w:tcPr>
            <w:tcW w:w="3100" w:type="dxa"/>
            <w:vAlign w:val="bottom"/>
          </w:tcPr>
          <w:p>
            <w:pPr>
              <w:spacing w:after="0"/>
              <w:rPr>
                <w:sz w:val="2"/>
                <w:szCs w:val="2"/>
                <w:color w:val="auto"/>
              </w:rPr>
            </w:pPr>
          </w:p>
        </w:tc>
      </w:tr>
      <w:tr>
        <w:trPr>
          <w:trHeight w:val="223"/>
        </w:trPr>
        <w:tc>
          <w:tcPr>
            <w:tcW w:w="4720" w:type="dxa"/>
            <w:vAlign w:val="bottom"/>
            <w:tcBorders>
              <w:bottom w:val="single" w:sz="8" w:color="E5F1F8"/>
              <w:right w:val="single" w:sz="8" w:color="007CBA"/>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Setlement charge</w:t>
            </w:r>
          </w:p>
        </w:tc>
        <w:tc>
          <w:tcPr>
            <w:tcW w:w="32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4.6</w:t>
            </w:r>
          </w:p>
        </w:tc>
        <w:tc>
          <w:tcPr>
            <w:tcW w:w="32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w:t>
            </w:r>
          </w:p>
        </w:tc>
        <w:tc>
          <w:tcPr>
            <w:tcW w:w="80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3.7</w:t>
            </w:r>
          </w:p>
        </w:tc>
        <w:tc>
          <w:tcPr>
            <w:tcW w:w="3100" w:type="dxa"/>
            <w:vAlign w:val="bottom"/>
            <w:tcBorders>
              <w:bottom w:val="single" w:sz="8" w:color="E5F1F8"/>
            </w:tcBorders>
            <w:shd w:val="clear" w:color="auto" w:fill="E5F1F8"/>
          </w:tcPr>
          <w:p>
            <w:pPr>
              <w:spacing w:after="0"/>
              <w:rPr>
                <w:sz w:val="19"/>
                <w:szCs w:val="19"/>
                <w:color w:val="auto"/>
              </w:rPr>
            </w:pPr>
          </w:p>
        </w:tc>
      </w:tr>
      <w:tr>
        <w:trPr>
          <w:trHeight w:val="215"/>
        </w:trPr>
        <w:tc>
          <w:tcPr>
            <w:tcW w:w="4720" w:type="dxa"/>
            <w:vAlign w:val="bottom"/>
            <w:tcBorders>
              <w:right w:val="single" w:sz="8" w:color="007CBA"/>
            </w:tcBorders>
          </w:tcPr>
          <w:p>
            <w:pPr>
              <w:ind w:left="200"/>
              <w:spacing w:after="0" w:line="215" w:lineRule="exact"/>
              <w:rPr>
                <w:sz w:val="20"/>
                <w:szCs w:val="20"/>
                <w:color w:val="auto"/>
              </w:rPr>
            </w:pPr>
            <w:r>
              <w:rPr>
                <w:rFonts w:ascii="Calibri" w:cs="Calibri" w:eastAsia="Calibri" w:hAnsi="Calibri"/>
                <w:sz w:val="18"/>
                <w:szCs w:val="18"/>
                <w:color w:val="auto"/>
              </w:rPr>
              <w:t>Amortzaton of:</w:t>
            </w:r>
          </w:p>
        </w:tc>
        <w:tc>
          <w:tcPr>
            <w:tcW w:w="320" w:type="dxa"/>
            <w:vAlign w:val="bottom"/>
          </w:tcPr>
          <w:p>
            <w:pPr>
              <w:spacing w:after="0"/>
              <w:rPr>
                <w:sz w:val="18"/>
                <w:szCs w:val="18"/>
                <w:color w:val="auto"/>
              </w:rPr>
            </w:pPr>
          </w:p>
        </w:tc>
        <w:tc>
          <w:tcPr>
            <w:tcW w:w="840" w:type="dxa"/>
            <w:vAlign w:val="bottom"/>
            <w:tcBorders>
              <w:right w:val="single" w:sz="8" w:color="007CBA"/>
            </w:tcBorders>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Borders>
              <w:right w:val="single" w:sz="8" w:color="007CBA"/>
            </w:tcBorders>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Borders>
              <w:right w:val="single" w:sz="8" w:color="007CBA"/>
            </w:tcBorders>
          </w:tcPr>
          <w:p>
            <w:pPr>
              <w:spacing w:after="0"/>
              <w:rPr>
                <w:sz w:val="18"/>
                <w:szCs w:val="18"/>
                <w:color w:val="auto"/>
              </w:rPr>
            </w:pPr>
          </w:p>
        </w:tc>
        <w:tc>
          <w:tcPr>
            <w:tcW w:w="3100" w:type="dxa"/>
            <w:vAlign w:val="bottom"/>
          </w:tcPr>
          <w:p>
            <w:pPr>
              <w:spacing w:after="0"/>
              <w:rPr>
                <w:sz w:val="18"/>
                <w:szCs w:val="18"/>
                <w:color w:val="auto"/>
              </w:rPr>
            </w:pPr>
          </w:p>
        </w:tc>
      </w:tr>
      <w:tr>
        <w:trPr>
          <w:trHeight w:val="28"/>
        </w:trPr>
        <w:tc>
          <w:tcPr>
            <w:tcW w:w="4720" w:type="dxa"/>
            <w:vAlign w:val="bottom"/>
            <w:tcBorders>
              <w:right w:val="single" w:sz="8" w:color="007CBA"/>
            </w:tcBorders>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Borders>
              <w:right w:val="single" w:sz="8" w:color="007CBA"/>
            </w:tcBorders>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Borders>
              <w:right w:val="single" w:sz="8" w:color="007CBA"/>
            </w:tcBorders>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Borders>
              <w:right w:val="single" w:sz="8" w:color="007CBA"/>
            </w:tcBorders>
          </w:tcPr>
          <w:p>
            <w:pPr>
              <w:spacing w:after="0"/>
              <w:rPr>
                <w:sz w:val="2"/>
                <w:szCs w:val="2"/>
                <w:color w:val="auto"/>
              </w:rPr>
            </w:pPr>
          </w:p>
        </w:tc>
        <w:tc>
          <w:tcPr>
            <w:tcW w:w="3100" w:type="dxa"/>
            <w:vAlign w:val="bottom"/>
          </w:tcPr>
          <w:p>
            <w:pPr>
              <w:spacing w:after="0"/>
              <w:rPr>
                <w:sz w:val="2"/>
                <w:szCs w:val="2"/>
                <w:color w:val="auto"/>
              </w:rPr>
            </w:pPr>
          </w:p>
        </w:tc>
      </w:tr>
      <w:tr>
        <w:trPr>
          <w:trHeight w:val="223"/>
        </w:trPr>
        <w:tc>
          <w:tcPr>
            <w:tcW w:w="4720" w:type="dxa"/>
            <w:vAlign w:val="bottom"/>
            <w:tcBorders>
              <w:bottom w:val="single" w:sz="8" w:color="E5F1F8"/>
              <w:right w:val="single" w:sz="8" w:color="007CBA"/>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Prior service cost (credit)</w:t>
            </w:r>
          </w:p>
        </w:tc>
        <w:tc>
          <w:tcPr>
            <w:tcW w:w="320" w:type="dxa"/>
            <w:vAlign w:val="bottom"/>
            <w:tcBorders>
              <w:bottom w:val="single" w:sz="8" w:color="E5F1F8"/>
            </w:tcBorders>
            <w:shd w:val="clear" w:color="auto" w:fill="E5F1F8"/>
          </w:tcPr>
          <w:p>
            <w:pPr>
              <w:spacing w:after="0"/>
              <w:rPr>
                <w:sz w:val="19"/>
                <w:szCs w:val="19"/>
                <w:color w:val="auto"/>
              </w:rPr>
            </w:pPr>
          </w:p>
        </w:tc>
        <w:tc>
          <w:tcPr>
            <w:tcW w:w="84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4.0</w:t>
            </w:r>
          </w:p>
        </w:tc>
        <w:tc>
          <w:tcPr>
            <w:tcW w:w="320" w:type="dxa"/>
            <w:vAlign w:val="bottom"/>
            <w:tcBorders>
              <w:bottom w:val="single" w:sz="8" w:color="E5F1F8"/>
            </w:tcBorders>
            <w:shd w:val="clear" w:color="auto" w:fill="E5F1F8"/>
          </w:tcPr>
          <w:p>
            <w:pPr>
              <w:spacing w:after="0"/>
              <w:rPr>
                <w:sz w:val="19"/>
                <w:szCs w:val="19"/>
                <w:color w:val="auto"/>
              </w:rPr>
            </w:pPr>
          </w:p>
        </w:tc>
        <w:tc>
          <w:tcPr>
            <w:tcW w:w="84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Borders>
              <w:bottom w:val="single" w:sz="8" w:color="E5F1F8"/>
            </w:tcBorders>
            <w:shd w:val="clear" w:color="auto" w:fill="E5F1F8"/>
          </w:tcPr>
          <w:p>
            <w:pPr>
              <w:spacing w:after="0"/>
              <w:rPr>
                <w:sz w:val="19"/>
                <w:szCs w:val="19"/>
                <w:color w:val="auto"/>
              </w:rPr>
            </w:pPr>
          </w:p>
        </w:tc>
        <w:tc>
          <w:tcPr>
            <w:tcW w:w="800" w:type="dxa"/>
            <w:vAlign w:val="bottom"/>
            <w:tcBorders>
              <w:bottom w:val="single" w:sz="8" w:color="E5F1F8"/>
              <w:right w:val="single" w:sz="8" w:color="007CBA"/>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(0.1 )</w:t>
            </w:r>
          </w:p>
        </w:tc>
        <w:tc>
          <w:tcPr>
            <w:tcW w:w="3100" w:type="dxa"/>
            <w:vAlign w:val="bottom"/>
            <w:tcBorders>
              <w:bottom w:val="single" w:sz="8" w:color="E5F1F8"/>
            </w:tcBorders>
            <w:shd w:val="clear" w:color="auto" w:fill="E5F1F8"/>
          </w:tcPr>
          <w:p>
            <w:pPr>
              <w:spacing w:after="0"/>
              <w:rPr>
                <w:sz w:val="19"/>
                <w:szCs w:val="19"/>
                <w:color w:val="auto"/>
              </w:rPr>
            </w:pPr>
          </w:p>
        </w:tc>
      </w:tr>
      <w:tr>
        <w:trPr>
          <w:trHeight w:val="215"/>
        </w:trPr>
        <w:tc>
          <w:tcPr>
            <w:tcW w:w="4720" w:type="dxa"/>
            <w:vAlign w:val="bottom"/>
          </w:tcPr>
          <w:p>
            <w:pPr>
              <w:ind w:left="380"/>
              <w:spacing w:after="0" w:line="215" w:lineRule="exact"/>
              <w:rPr>
                <w:sz w:val="20"/>
                <w:szCs w:val="20"/>
                <w:color w:val="auto"/>
              </w:rPr>
            </w:pPr>
            <w:r>
              <w:rPr>
                <w:rFonts w:ascii="Calibri" w:cs="Calibri" w:eastAsia="Calibri" w:hAnsi="Calibri"/>
                <w:sz w:val="18"/>
                <w:szCs w:val="18"/>
                <w:color w:val="auto"/>
              </w:rPr>
              <w:t>Actuarial loss</w:t>
            </w:r>
          </w:p>
        </w:tc>
        <w:tc>
          <w:tcPr>
            <w:tcW w:w="320" w:type="dxa"/>
            <w:vAlign w:val="bottom"/>
          </w:tcPr>
          <w:p>
            <w:pPr>
              <w:spacing w:after="0"/>
              <w:rPr>
                <w:sz w:val="18"/>
                <w:szCs w:val="18"/>
                <w:color w:val="auto"/>
              </w:rPr>
            </w:pPr>
          </w:p>
        </w:tc>
        <w:tc>
          <w:tcPr>
            <w:tcW w:w="8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3.7</w:t>
            </w:r>
          </w:p>
        </w:tc>
        <w:tc>
          <w:tcPr>
            <w:tcW w:w="320" w:type="dxa"/>
            <w:vAlign w:val="bottom"/>
          </w:tcPr>
          <w:p>
            <w:pPr>
              <w:spacing w:after="0"/>
              <w:rPr>
                <w:sz w:val="18"/>
                <w:szCs w:val="18"/>
                <w:color w:val="auto"/>
              </w:rPr>
            </w:pPr>
          </w:p>
        </w:tc>
        <w:tc>
          <w:tcPr>
            <w:tcW w:w="8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12.1</w:t>
            </w:r>
          </w:p>
        </w:tc>
        <w:tc>
          <w:tcPr>
            <w:tcW w:w="300" w:type="dxa"/>
            <w:vAlign w:val="bottom"/>
          </w:tcPr>
          <w:p>
            <w:pPr>
              <w:spacing w:after="0"/>
              <w:rPr>
                <w:sz w:val="18"/>
                <w:szCs w:val="18"/>
                <w:color w:val="auto"/>
              </w:rPr>
            </w:pPr>
          </w:p>
        </w:tc>
        <w:tc>
          <w:tcPr>
            <w:tcW w:w="8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14.3</w:t>
            </w:r>
          </w:p>
        </w:tc>
        <w:tc>
          <w:tcPr>
            <w:tcW w:w="3100" w:type="dxa"/>
            <w:vAlign w:val="bottom"/>
          </w:tcPr>
          <w:p>
            <w:pPr>
              <w:spacing w:after="0"/>
              <w:rPr>
                <w:sz w:val="18"/>
                <w:szCs w:val="18"/>
                <w:color w:val="auto"/>
              </w:rPr>
            </w:pPr>
          </w:p>
        </w:tc>
      </w:tr>
      <w:tr>
        <w:trPr>
          <w:trHeight w:val="28"/>
        </w:trPr>
        <w:tc>
          <w:tcPr>
            <w:tcW w:w="4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100" w:type="dxa"/>
            <w:vAlign w:val="bottom"/>
          </w:tcPr>
          <w:p>
            <w:pPr>
              <w:spacing w:after="0"/>
              <w:rPr>
                <w:sz w:val="2"/>
                <w:szCs w:val="2"/>
                <w:color w:val="auto"/>
              </w:rPr>
            </w:pPr>
          </w:p>
        </w:tc>
      </w:tr>
      <w:tr>
        <w:trPr>
          <w:trHeight w:val="217"/>
        </w:trPr>
        <w:tc>
          <w:tcPr>
            <w:tcW w:w="4720" w:type="dxa"/>
            <w:vAlign w:val="bottom"/>
            <w:tcBorders>
              <w:bottom w:val="single" w:sz="8" w:color="E5F1F8"/>
              <w:right w:val="single" w:sz="8" w:color="007CBA"/>
            </w:tcBorders>
            <w:shd w:val="clear" w:color="auto" w:fill="E5F1F8"/>
          </w:tcPr>
          <w:p>
            <w:pPr>
              <w:spacing w:after="0"/>
              <w:rPr>
                <w:sz w:val="18"/>
                <w:szCs w:val="18"/>
                <w:color w:val="auto"/>
              </w:rPr>
            </w:pPr>
          </w:p>
        </w:tc>
        <w:tc>
          <w:tcPr>
            <w:tcW w:w="320" w:type="dxa"/>
            <w:vAlign w:val="bottom"/>
            <w:tcBorders>
              <w:bottom w:val="single" w:sz="8" w:color="E5F1F8"/>
            </w:tcBorders>
            <w:shd w:val="clear" w:color="auto" w:fill="E5F1F8"/>
          </w:tcPr>
          <w:p>
            <w:pPr>
              <w:spacing w:after="0"/>
              <w:rPr>
                <w:sz w:val="18"/>
                <w:szCs w:val="18"/>
                <w:color w:val="auto"/>
              </w:rPr>
            </w:pPr>
          </w:p>
        </w:tc>
        <w:tc>
          <w:tcPr>
            <w:tcW w:w="840" w:type="dxa"/>
            <w:vAlign w:val="bottom"/>
            <w:tcBorders>
              <w:bottom w:val="single" w:sz="8" w:color="E5F1F8"/>
              <w:right w:val="single" w:sz="8" w:color="007CBA"/>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b w:val="1"/>
                <w:bCs w:val="1"/>
                <w:color w:val="auto"/>
              </w:rPr>
              <w:t>12.3</w:t>
            </w:r>
          </w:p>
        </w:tc>
        <w:tc>
          <w:tcPr>
            <w:tcW w:w="320" w:type="dxa"/>
            <w:vAlign w:val="bottom"/>
            <w:tcBorders>
              <w:bottom w:val="single" w:sz="8" w:color="E5F1F8"/>
            </w:tcBorders>
            <w:shd w:val="clear" w:color="auto" w:fill="E5F1F8"/>
          </w:tcPr>
          <w:p>
            <w:pPr>
              <w:spacing w:after="0"/>
              <w:rPr>
                <w:sz w:val="18"/>
                <w:szCs w:val="18"/>
                <w:color w:val="auto"/>
              </w:rPr>
            </w:pPr>
          </w:p>
        </w:tc>
        <w:tc>
          <w:tcPr>
            <w:tcW w:w="840" w:type="dxa"/>
            <w:vAlign w:val="bottom"/>
            <w:tcBorders>
              <w:bottom w:val="single" w:sz="8" w:color="E5F1F8"/>
              <w:right w:val="single" w:sz="8" w:color="007CBA"/>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color w:val="auto"/>
              </w:rPr>
              <w:t>12.1</w:t>
            </w:r>
          </w:p>
        </w:tc>
        <w:tc>
          <w:tcPr>
            <w:tcW w:w="300" w:type="dxa"/>
            <w:vAlign w:val="bottom"/>
            <w:tcBorders>
              <w:bottom w:val="single" w:sz="8" w:color="E5F1F8"/>
            </w:tcBorders>
            <w:shd w:val="clear" w:color="auto" w:fill="E5F1F8"/>
          </w:tcPr>
          <w:p>
            <w:pPr>
              <w:spacing w:after="0"/>
              <w:rPr>
                <w:sz w:val="18"/>
                <w:szCs w:val="18"/>
                <w:color w:val="auto"/>
              </w:rPr>
            </w:pPr>
          </w:p>
        </w:tc>
        <w:tc>
          <w:tcPr>
            <w:tcW w:w="800" w:type="dxa"/>
            <w:vAlign w:val="bottom"/>
            <w:tcBorders>
              <w:bottom w:val="single" w:sz="8" w:color="E5F1F8"/>
              <w:right w:val="single" w:sz="8" w:color="007CBA"/>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17.9</w:t>
            </w:r>
          </w:p>
        </w:tc>
        <w:tc>
          <w:tcPr>
            <w:tcW w:w="3100" w:type="dxa"/>
            <w:vAlign w:val="bottom"/>
            <w:tcBorders>
              <w:bottom w:val="single" w:sz="8" w:color="E5F1F8"/>
            </w:tcBorders>
            <w:shd w:val="clear" w:color="auto" w:fill="E5F1F8"/>
          </w:tcPr>
          <w:p>
            <w:pPr>
              <w:ind w:left="140"/>
              <w:spacing w:after="0" w:line="208" w:lineRule="exact"/>
              <w:rPr>
                <w:sz w:val="20"/>
                <w:szCs w:val="20"/>
                <w:color w:val="auto"/>
              </w:rPr>
            </w:pPr>
            <w:r>
              <w:rPr>
                <w:rFonts w:ascii="Calibri" w:cs="Calibri" w:eastAsia="Calibri" w:hAnsi="Calibri"/>
                <w:sz w:val="18"/>
                <w:szCs w:val="18"/>
                <w:color w:val="auto"/>
              </w:rPr>
              <w:t>Other nonoperatng income, net</w:t>
            </w:r>
          </w:p>
        </w:tc>
      </w:tr>
      <w:tr>
        <w:trPr>
          <w:trHeight w:val="220"/>
        </w:trPr>
        <w:tc>
          <w:tcPr>
            <w:tcW w:w="4720" w:type="dxa"/>
            <w:vAlign w:val="bottom"/>
          </w:tcPr>
          <w:p>
            <w:pPr>
              <w:ind w:left="200"/>
              <w:spacing w:after="0" w:line="215" w:lineRule="exact"/>
              <w:rPr>
                <w:sz w:val="20"/>
                <w:szCs w:val="20"/>
                <w:color w:val="auto"/>
              </w:rPr>
            </w:pPr>
            <w:r>
              <w:rPr>
                <w:rFonts w:ascii="Calibri" w:cs="Calibri" w:eastAsia="Calibri" w:hAnsi="Calibri"/>
                <w:sz w:val="18"/>
                <w:szCs w:val="18"/>
                <w:color w:val="auto"/>
              </w:rPr>
              <w:t>Tax efect</w:t>
            </w:r>
          </w:p>
        </w:tc>
        <w:tc>
          <w:tcPr>
            <w:tcW w:w="320" w:type="dxa"/>
            <w:vAlign w:val="bottom"/>
          </w:tcPr>
          <w:p>
            <w:pPr>
              <w:spacing w:after="0"/>
              <w:rPr>
                <w:sz w:val="19"/>
                <w:szCs w:val="19"/>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(2.8 )</w:t>
            </w:r>
          </w:p>
        </w:tc>
        <w:tc>
          <w:tcPr>
            <w:tcW w:w="320" w:type="dxa"/>
            <w:vAlign w:val="bottom"/>
          </w:tcPr>
          <w:p>
            <w:pPr>
              <w:spacing w:after="0"/>
              <w:rPr>
                <w:sz w:val="19"/>
                <w:szCs w:val="19"/>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(2.9 )</w:t>
            </w:r>
          </w:p>
        </w:tc>
        <w:tc>
          <w:tcPr>
            <w:tcW w:w="300" w:type="dxa"/>
            <w:vAlign w:val="bottom"/>
          </w:tcPr>
          <w:p>
            <w:pPr>
              <w:spacing w:after="0"/>
              <w:rPr>
                <w:sz w:val="19"/>
                <w:szCs w:val="19"/>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(4.5 )</w:t>
            </w:r>
          </w:p>
        </w:tc>
        <w:tc>
          <w:tcPr>
            <w:tcW w:w="3100" w:type="dxa"/>
            <w:vAlign w:val="bottom"/>
          </w:tcPr>
          <w:p>
            <w:pPr>
              <w:ind w:left="140"/>
              <w:spacing w:after="0"/>
              <w:rPr>
                <w:sz w:val="20"/>
                <w:szCs w:val="20"/>
                <w:color w:val="auto"/>
              </w:rPr>
            </w:pPr>
            <w:r>
              <w:rPr>
                <w:rFonts w:ascii="Calibri" w:cs="Calibri" w:eastAsia="Calibri" w:hAnsi="Calibri"/>
                <w:sz w:val="18"/>
                <w:szCs w:val="18"/>
                <w:color w:val="auto"/>
              </w:rPr>
              <w:t>Income tax expense</w:t>
            </w:r>
          </w:p>
        </w:tc>
      </w:tr>
      <w:tr>
        <w:trPr>
          <w:trHeight w:val="23"/>
        </w:trPr>
        <w:tc>
          <w:tcPr>
            <w:tcW w:w="4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100" w:type="dxa"/>
            <w:vAlign w:val="bottom"/>
          </w:tcPr>
          <w:p>
            <w:pPr>
              <w:spacing w:after="0"/>
              <w:rPr>
                <w:sz w:val="2"/>
                <w:szCs w:val="2"/>
                <w:color w:val="auto"/>
              </w:rPr>
            </w:pPr>
          </w:p>
        </w:tc>
      </w:tr>
      <w:tr>
        <w:trPr>
          <w:trHeight w:val="262"/>
        </w:trPr>
        <w:tc>
          <w:tcPr>
            <w:tcW w:w="472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Total</w:t>
            </w:r>
          </w:p>
        </w:tc>
        <w:tc>
          <w:tcPr>
            <w:tcW w:w="320" w:type="dxa"/>
            <w:vAlign w:val="bottom"/>
            <w:tcBorders>
              <w:bottom w:val="single" w:sz="8" w:color="E5F1F8"/>
            </w:tcBorders>
            <w:shd w:val="clear" w:color="auto" w:fill="E5F1F8"/>
          </w:tcPr>
          <w:p>
            <w:pPr>
              <w:jc w:val="right"/>
              <w:ind w:right="10"/>
              <w:spacing w:after="0" w:line="208" w:lineRule="exact"/>
              <w:rPr>
                <w:sz w:val="20"/>
                <w:szCs w:val="20"/>
                <w:color w:val="auto"/>
              </w:rPr>
            </w:pPr>
            <w:r>
              <w:rPr>
                <w:rFonts w:ascii="Calibri" w:cs="Calibri" w:eastAsia="Calibri" w:hAnsi="Calibri"/>
                <w:sz w:val="18"/>
                <w:szCs w:val="18"/>
                <w:b w:val="1"/>
                <w:bCs w:val="1"/>
                <w:color w:val="auto"/>
              </w:rPr>
              <w:t>$</w:t>
            </w:r>
          </w:p>
        </w:tc>
        <w:tc>
          <w:tcPr>
            <w:tcW w:w="84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b w:val="1"/>
                <w:bCs w:val="1"/>
                <w:color w:val="auto"/>
              </w:rPr>
              <w:t>9.5</w:t>
            </w:r>
          </w:p>
        </w:tc>
        <w:tc>
          <w:tcPr>
            <w:tcW w:w="320" w:type="dxa"/>
            <w:vAlign w:val="bottom"/>
            <w:tcBorders>
              <w:bottom w:val="single" w:sz="8" w:color="E5F1F8"/>
            </w:tcBorders>
            <w:shd w:val="clear" w:color="auto" w:fill="E5F1F8"/>
          </w:tcPr>
          <w:p>
            <w:pPr>
              <w:jc w:val="right"/>
              <w:ind w:right="10"/>
              <w:spacing w:after="0" w:line="208" w:lineRule="exact"/>
              <w:rPr>
                <w:sz w:val="20"/>
                <w:szCs w:val="20"/>
                <w:color w:val="auto"/>
              </w:rPr>
            </w:pPr>
            <w:r>
              <w:rPr>
                <w:rFonts w:ascii="Calibri" w:cs="Calibri" w:eastAsia="Calibri" w:hAnsi="Calibri"/>
                <w:sz w:val="18"/>
                <w:szCs w:val="18"/>
                <w:color w:val="auto"/>
              </w:rPr>
              <w:t>$</w:t>
            </w:r>
          </w:p>
        </w:tc>
        <w:tc>
          <w:tcPr>
            <w:tcW w:w="84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color w:val="auto"/>
              </w:rPr>
              <w:t>9.2</w:t>
            </w:r>
          </w:p>
        </w:tc>
        <w:tc>
          <w:tcPr>
            <w:tcW w:w="300" w:type="dxa"/>
            <w:vAlign w:val="bottom"/>
            <w:tcBorders>
              <w:bottom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color w:val="auto"/>
              </w:rPr>
              <w:t>$</w:t>
            </w:r>
          </w:p>
        </w:tc>
        <w:tc>
          <w:tcPr>
            <w:tcW w:w="800" w:type="dxa"/>
            <w:vAlign w:val="bottom"/>
            <w:tcBorders>
              <w:bottom w:val="single" w:sz="8" w:color="E5F1F8"/>
              <w:right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13.4</w:t>
            </w:r>
          </w:p>
        </w:tc>
        <w:tc>
          <w:tcPr>
            <w:tcW w:w="3100" w:type="dxa"/>
            <w:vAlign w:val="bottom"/>
            <w:tcBorders>
              <w:bottom w:val="single" w:sz="8" w:color="E5F1F8"/>
            </w:tcBorders>
            <w:shd w:val="clear" w:color="auto" w:fill="E5F1F8"/>
          </w:tcPr>
          <w:p>
            <w:pPr>
              <w:spacing w:after="0"/>
              <w:rPr>
                <w:sz w:val="22"/>
                <w:szCs w:val="22"/>
                <w:color w:val="auto"/>
              </w:rPr>
            </w:pPr>
          </w:p>
        </w:tc>
      </w:tr>
      <w:tr>
        <w:trPr>
          <w:trHeight w:val="20"/>
        </w:trPr>
        <w:tc>
          <w:tcPr>
            <w:tcW w:w="47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100" w:type="dxa"/>
            <w:vAlign w:val="bottom"/>
            <w:tcBorders>
              <w:top w:val="single" w:sz="8" w:color="E5F1F8"/>
            </w:tcBorders>
            <w:shd w:val="clear" w:color="auto" w:fill="E5F1F8"/>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2966720</wp:posOffset>
            </wp:positionH>
            <wp:positionV relativeFrom="paragraph">
              <wp:posOffset>-671830</wp:posOffset>
            </wp:positionV>
            <wp:extent cx="4170045" cy="18859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4170045" cy="188595"/>
                    </a:xfrm>
                    <a:prstGeom prst="rect">
                      <a:avLst/>
                    </a:prstGeom>
                    <a:noFill/>
                  </pic:spPr>
                </pic:pic>
              </a:graphicData>
            </a:graphic>
          </wp:anchor>
        </w:drawing>
        <w:drawing>
          <wp:anchor simplePos="0" relativeHeight="251657728" behindDoc="1" locked="0" layoutInCell="0" allowOverlap="1">
            <wp:simplePos x="0" y="0"/>
            <wp:positionH relativeFrom="column">
              <wp:posOffset>2966720</wp:posOffset>
            </wp:positionH>
            <wp:positionV relativeFrom="paragraph">
              <wp:posOffset>-354965</wp:posOffset>
            </wp:positionV>
            <wp:extent cx="4170045" cy="3683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4170045" cy="36830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213995</wp:posOffset>
            </wp:positionV>
            <wp:extent cx="325755" cy="1974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34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86" w:name="page87"/>
    <w:bookmarkEnd w:id="86"/>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Earnings Per Common Share</w:t>
      </w:r>
      <w:r>
        <w:rPr>
          <w:rFonts w:ascii="Calibri" w:cs="Calibri" w:eastAsia="Calibri" w:hAnsi="Calibri"/>
          <w:sz w:val="18"/>
          <w:szCs w:val="18"/>
          <w:b w:val="1"/>
          <w:bCs w:val="1"/>
          <w:color w:val="4EAD8A"/>
        </w:rPr>
        <w:t>.</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The Company computes earnings per common share (EPS) pursuant to the two-class method. The two-class method</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determines EPS for common stock and partcipatng securites according to dividends or dividend equivalents and their respectve partcipaton rights in undistributed earnings. The Company paid nonforfeitable dividend equivalents during the vestng period on its restricted stock awards and incentve stock awards made prior to 2016, which results in these being considered partcipatng securites.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numerator for basic and diluted earnings per common share is net earnings atributable to Martn Marieta, reduced by dividends and undistributed earnings atributable to the Company’s partcipatng securites. The denominator for basic earnings per common share is the weighted-average number of common shares outstanding during the period. Diluted earnings per common share is computed assuming that the weighted-average number of common shares is increased by the conversion, using the treasury stock method, of awards issued to employees and nonemployee members of the Company’s Board of Directors under certain stock-based compensaton arrangements if the conversion is dilutve.</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reconciles the numerator and denominator for basic and diluted earnings from contnuing operatons per common share: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38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500" w:type="dxa"/>
            <w:vAlign w:val="bottom"/>
            <w:shd w:val="clear" w:color="auto" w:fill="007CBA"/>
          </w:tcPr>
          <w:p>
            <w:pPr>
              <w:spacing w:after="0"/>
              <w:rPr>
                <w:sz w:val="19"/>
                <w:szCs w:val="19"/>
                <w:color w:val="auto"/>
              </w:rPr>
            </w:pPr>
          </w:p>
        </w:tc>
        <w:tc>
          <w:tcPr>
            <w:tcW w:w="1160" w:type="dxa"/>
            <w:vAlign w:val="bottom"/>
            <w:tcBorders>
              <w:right w:val="single" w:sz="8" w:color="007CBA"/>
            </w:tcBorders>
            <w:shd w:val="clear" w:color="auto" w:fill="007CBA"/>
          </w:tcPr>
          <w:p>
            <w:pPr>
              <w:spacing w:after="0"/>
              <w:rPr>
                <w:sz w:val="19"/>
                <w:szCs w:val="19"/>
                <w:color w:val="auto"/>
              </w:rPr>
            </w:pPr>
          </w:p>
        </w:tc>
        <w:tc>
          <w:tcPr>
            <w:tcW w:w="460" w:type="dxa"/>
            <w:vAlign w:val="bottom"/>
            <w:shd w:val="clear" w:color="auto" w:fill="007CBA"/>
          </w:tcPr>
          <w:p>
            <w:pPr>
              <w:spacing w:after="0"/>
              <w:rPr>
                <w:sz w:val="19"/>
                <w:szCs w:val="19"/>
                <w:color w:val="auto"/>
              </w:rPr>
            </w:pPr>
          </w:p>
        </w:tc>
        <w:tc>
          <w:tcPr>
            <w:tcW w:w="1140" w:type="dxa"/>
            <w:vAlign w:val="bottom"/>
            <w:tcBorders>
              <w:right w:val="single" w:sz="8" w:color="007CBA"/>
            </w:tcBorders>
            <w:shd w:val="clear" w:color="auto" w:fill="007CBA"/>
          </w:tcPr>
          <w:p>
            <w:pPr>
              <w:spacing w:after="0"/>
              <w:rPr>
                <w:sz w:val="19"/>
                <w:szCs w:val="19"/>
                <w:color w:val="auto"/>
              </w:rPr>
            </w:pPr>
          </w:p>
        </w:tc>
        <w:tc>
          <w:tcPr>
            <w:tcW w:w="460" w:type="dxa"/>
            <w:vAlign w:val="bottom"/>
            <w:shd w:val="clear" w:color="auto" w:fill="007CBA"/>
          </w:tcPr>
          <w:p>
            <w:pPr>
              <w:spacing w:after="0"/>
              <w:rPr>
                <w:sz w:val="19"/>
                <w:szCs w:val="19"/>
                <w:color w:val="auto"/>
              </w:rPr>
            </w:pPr>
          </w:p>
        </w:tc>
        <w:tc>
          <w:tcPr>
            <w:tcW w:w="1140" w:type="dxa"/>
            <w:vAlign w:val="bottom"/>
            <w:shd w:val="clear" w:color="auto" w:fill="007CBA"/>
          </w:tcPr>
          <w:p>
            <w:pPr>
              <w:spacing w:after="0"/>
              <w:rPr>
                <w:sz w:val="19"/>
                <w:szCs w:val="19"/>
                <w:color w:val="auto"/>
              </w:rPr>
            </w:pPr>
          </w:p>
        </w:tc>
      </w:tr>
      <w:tr>
        <w:trPr>
          <w:trHeight w:val="232"/>
        </w:trPr>
        <w:tc>
          <w:tcPr>
            <w:tcW w:w="638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500" w:type="dxa"/>
            <w:vAlign w:val="bottom"/>
            <w:tcBorders>
              <w:bottom w:val="single" w:sz="8" w:color="007CBA"/>
            </w:tcBorders>
            <w:shd w:val="clear" w:color="auto" w:fill="007CBA"/>
          </w:tcPr>
          <w:p>
            <w:pPr>
              <w:spacing w:after="0"/>
              <w:rPr>
                <w:sz w:val="20"/>
                <w:szCs w:val="20"/>
                <w:color w:val="auto"/>
              </w:rPr>
            </w:pPr>
          </w:p>
        </w:tc>
        <w:tc>
          <w:tcPr>
            <w:tcW w:w="1160" w:type="dxa"/>
            <w:vAlign w:val="bottom"/>
            <w:tcBorders>
              <w:bottom w:val="single" w:sz="8" w:color="007CBA"/>
              <w:right w:val="single" w:sz="8" w:color="007CBA"/>
            </w:tcBorders>
            <w:shd w:val="clear" w:color="auto" w:fill="007CBA"/>
          </w:tcPr>
          <w:p>
            <w:pPr>
              <w:jc w:val="right"/>
              <w:ind w:right="530"/>
              <w:spacing w:after="0" w:line="215" w:lineRule="exact"/>
              <w:rPr>
                <w:sz w:val="20"/>
                <w:szCs w:val="20"/>
                <w:color w:val="auto"/>
              </w:rPr>
            </w:pPr>
            <w:r>
              <w:rPr>
                <w:rFonts w:ascii="Calibri" w:cs="Calibri" w:eastAsia="Calibri" w:hAnsi="Calibri"/>
                <w:sz w:val="18"/>
                <w:szCs w:val="18"/>
                <w:b w:val="1"/>
                <w:bCs w:val="1"/>
                <w:color w:val="FFFFFF"/>
              </w:rPr>
              <w:t>2022</w:t>
            </w:r>
          </w:p>
        </w:tc>
        <w:tc>
          <w:tcPr>
            <w:tcW w:w="46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right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color w:val="FFFFFF"/>
              </w:rPr>
              <w:t>2021</w:t>
            </w:r>
          </w:p>
        </w:tc>
        <w:tc>
          <w:tcPr>
            <w:tcW w:w="46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tcBorders>
            <w:shd w:val="clear" w:color="auto" w:fill="007CBA"/>
          </w:tcPr>
          <w:p>
            <w:pPr>
              <w:jc w:val="right"/>
              <w:ind w:right="490"/>
              <w:spacing w:after="0" w:line="215" w:lineRule="exact"/>
              <w:rPr>
                <w:sz w:val="20"/>
                <w:szCs w:val="20"/>
                <w:color w:val="auto"/>
              </w:rPr>
            </w:pPr>
            <w:r>
              <w:rPr>
                <w:rFonts w:ascii="Calibri" w:cs="Calibri" w:eastAsia="Calibri" w:hAnsi="Calibri"/>
                <w:sz w:val="18"/>
                <w:szCs w:val="18"/>
                <w:color w:val="FFFFFF"/>
              </w:rPr>
              <w:t>2020</w:t>
            </w:r>
          </w:p>
        </w:tc>
      </w:tr>
      <w:tr>
        <w:trPr>
          <w:trHeight w:val="207"/>
        </w:trPr>
        <w:tc>
          <w:tcPr>
            <w:tcW w:w="6380" w:type="dxa"/>
            <w:vAlign w:val="bottom"/>
            <w:tcBorders>
              <w:right w:val="single" w:sz="8" w:color="007CBA"/>
            </w:tcBorders>
          </w:tcPr>
          <w:p>
            <w:pPr>
              <w:ind w:left="120"/>
              <w:spacing w:after="0" w:line="207" w:lineRule="exact"/>
              <w:rPr>
                <w:sz w:val="20"/>
                <w:szCs w:val="20"/>
                <w:color w:val="auto"/>
              </w:rPr>
            </w:pPr>
            <w:r>
              <w:rPr>
                <w:rFonts w:ascii="Calibri" w:cs="Calibri" w:eastAsia="Calibri" w:hAnsi="Calibri"/>
                <w:sz w:val="18"/>
                <w:szCs w:val="18"/>
                <w:color w:val="auto"/>
              </w:rPr>
              <w:t>Net earnings from contnuing operatons atributable to</w:t>
            </w:r>
          </w:p>
        </w:tc>
        <w:tc>
          <w:tcPr>
            <w:tcW w:w="500" w:type="dxa"/>
            <w:vAlign w:val="bottom"/>
          </w:tcPr>
          <w:p>
            <w:pPr>
              <w:spacing w:after="0"/>
              <w:rPr>
                <w:sz w:val="18"/>
                <w:szCs w:val="18"/>
                <w:color w:val="auto"/>
              </w:rPr>
            </w:pPr>
          </w:p>
        </w:tc>
        <w:tc>
          <w:tcPr>
            <w:tcW w:w="1160" w:type="dxa"/>
            <w:vAlign w:val="bottom"/>
            <w:tcBorders>
              <w:right w:val="single" w:sz="8" w:color="007CBA"/>
            </w:tcBorders>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Borders>
              <w:right w:val="single" w:sz="8" w:color="007CBA"/>
            </w:tcBorders>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2"/>
        </w:trPr>
        <w:tc>
          <w:tcPr>
            <w:tcW w:w="6380" w:type="dxa"/>
            <w:vAlign w:val="bottom"/>
            <w:tcBorders>
              <w:right w:val="single" w:sz="8" w:color="007CBA"/>
            </w:tcBorders>
          </w:tcPr>
          <w:p>
            <w:pPr>
              <w:ind w:left="240"/>
              <w:spacing w:after="0" w:line="215" w:lineRule="exact"/>
              <w:rPr>
                <w:sz w:val="20"/>
                <w:szCs w:val="20"/>
                <w:color w:val="auto"/>
              </w:rPr>
            </w:pPr>
            <w:r>
              <w:rPr>
                <w:rFonts w:ascii="Calibri" w:cs="Calibri" w:eastAsia="Calibri" w:hAnsi="Calibri"/>
                <w:sz w:val="18"/>
                <w:szCs w:val="18"/>
                <w:color w:val="auto"/>
              </w:rPr>
              <w:t>Martn Marieta</w:t>
            </w:r>
          </w:p>
        </w:tc>
        <w:tc>
          <w:tcPr>
            <w:tcW w:w="500" w:type="dxa"/>
            <w:vAlign w:val="bottom"/>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856.3</w:t>
            </w:r>
          </w:p>
        </w:tc>
        <w:tc>
          <w:tcPr>
            <w:tcW w:w="46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702.0</w:t>
            </w:r>
          </w:p>
        </w:tc>
        <w:tc>
          <w:tcPr>
            <w:tcW w:w="46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721.0</w:t>
            </w:r>
          </w:p>
        </w:tc>
      </w:tr>
      <w:tr>
        <w:trPr>
          <w:trHeight w:val="207"/>
        </w:trPr>
        <w:tc>
          <w:tcPr>
            <w:tcW w:w="6380" w:type="dxa"/>
            <w:vAlign w:val="bottom"/>
            <w:tcBorders>
              <w:right w:val="single" w:sz="8" w:color="E5F1F8"/>
            </w:tcBorders>
            <w:shd w:val="clear" w:color="auto" w:fill="E5F1F8"/>
          </w:tcPr>
          <w:p>
            <w:pPr>
              <w:ind w:left="120"/>
              <w:spacing w:after="0" w:line="207" w:lineRule="exact"/>
              <w:rPr>
                <w:sz w:val="20"/>
                <w:szCs w:val="20"/>
                <w:color w:val="auto"/>
              </w:rPr>
            </w:pPr>
            <w:r>
              <w:rPr>
                <w:rFonts w:ascii="Calibri" w:cs="Calibri" w:eastAsia="Calibri" w:hAnsi="Calibri"/>
                <w:sz w:val="18"/>
                <w:szCs w:val="18"/>
                <w:color w:val="auto"/>
              </w:rPr>
              <w:t>Less: distributed and undistributed earnings atributable to</w:t>
            </w:r>
          </w:p>
        </w:tc>
        <w:tc>
          <w:tcPr>
            <w:tcW w:w="500" w:type="dxa"/>
            <w:vAlign w:val="bottom"/>
            <w:shd w:val="clear" w:color="auto" w:fill="E5F1F8"/>
          </w:tcPr>
          <w:p>
            <w:pPr>
              <w:spacing w:after="0"/>
              <w:rPr>
                <w:sz w:val="18"/>
                <w:szCs w:val="18"/>
                <w:color w:val="auto"/>
              </w:rPr>
            </w:pPr>
          </w:p>
        </w:tc>
        <w:tc>
          <w:tcPr>
            <w:tcW w:w="1160" w:type="dxa"/>
            <w:vAlign w:val="bottom"/>
            <w:tcBorders>
              <w:right w:val="single" w:sz="8" w:color="E5F1F8"/>
            </w:tcBorders>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1140" w:type="dxa"/>
            <w:vAlign w:val="bottom"/>
            <w:tcBorders>
              <w:right w:val="single" w:sz="8" w:color="E5F1F8"/>
            </w:tcBorders>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1140" w:type="dxa"/>
            <w:vAlign w:val="bottom"/>
            <w:shd w:val="clear" w:color="auto" w:fill="E5F1F8"/>
          </w:tcPr>
          <w:p>
            <w:pPr>
              <w:spacing w:after="0"/>
              <w:rPr>
                <w:sz w:val="18"/>
                <w:szCs w:val="18"/>
                <w:color w:val="auto"/>
              </w:rPr>
            </w:pPr>
          </w:p>
        </w:tc>
      </w:tr>
      <w:tr>
        <w:trPr>
          <w:trHeight w:val="257"/>
        </w:trPr>
        <w:tc>
          <w:tcPr>
            <w:tcW w:w="6380" w:type="dxa"/>
            <w:vAlign w:val="bottom"/>
            <w:tcBorders>
              <w:bottom w:val="single" w:sz="8" w:color="E5F1F8"/>
              <w:right w:val="single" w:sz="8" w:color="E5F1F8"/>
            </w:tcBorders>
            <w:shd w:val="clear" w:color="auto" w:fill="E5F1F8"/>
          </w:tcPr>
          <w:p>
            <w:pPr>
              <w:ind w:left="240"/>
              <w:spacing w:after="0" w:line="215" w:lineRule="exact"/>
              <w:rPr>
                <w:sz w:val="20"/>
                <w:szCs w:val="20"/>
                <w:color w:val="auto"/>
              </w:rPr>
            </w:pPr>
            <w:r>
              <w:rPr>
                <w:rFonts w:ascii="Calibri" w:cs="Calibri" w:eastAsia="Calibri" w:hAnsi="Calibri"/>
                <w:sz w:val="18"/>
                <w:szCs w:val="18"/>
                <w:color w:val="auto"/>
              </w:rPr>
              <w:t>unvested partcipatng securites</w:t>
            </w:r>
          </w:p>
        </w:tc>
        <w:tc>
          <w:tcPr>
            <w:tcW w:w="50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46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0.2</w:t>
            </w:r>
          </w:p>
        </w:tc>
        <w:tc>
          <w:tcPr>
            <w:tcW w:w="46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0.6</w:t>
            </w:r>
          </w:p>
        </w:tc>
      </w:tr>
      <w:tr>
        <w:trPr>
          <w:trHeight w:val="201"/>
        </w:trPr>
        <w:tc>
          <w:tcPr>
            <w:tcW w:w="6380" w:type="dxa"/>
            <w:vAlign w:val="bottom"/>
            <w:tcBorders>
              <w:top w:val="single" w:sz="8" w:color="auto"/>
            </w:tcBorders>
          </w:tcPr>
          <w:p>
            <w:pPr>
              <w:ind w:left="120"/>
              <w:spacing w:after="0" w:line="201" w:lineRule="exact"/>
              <w:rPr>
                <w:sz w:val="20"/>
                <w:szCs w:val="20"/>
                <w:color w:val="auto"/>
              </w:rPr>
            </w:pPr>
            <w:r>
              <w:rPr>
                <w:rFonts w:ascii="Calibri" w:cs="Calibri" w:eastAsia="Calibri" w:hAnsi="Calibri"/>
                <w:sz w:val="18"/>
                <w:szCs w:val="18"/>
                <w:color w:val="auto"/>
              </w:rPr>
              <w:t>Basic and diluted net earnings from contnuing operatons atributable</w:t>
            </w:r>
          </w:p>
        </w:tc>
        <w:tc>
          <w:tcPr>
            <w:tcW w:w="5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215"/>
        </w:trPr>
        <w:tc>
          <w:tcPr>
            <w:tcW w:w="6380" w:type="dxa"/>
            <w:vAlign w:val="bottom"/>
          </w:tcPr>
          <w:p>
            <w:pPr>
              <w:ind w:left="240"/>
              <w:spacing w:after="0" w:line="215" w:lineRule="exact"/>
              <w:rPr>
                <w:sz w:val="20"/>
                <w:szCs w:val="20"/>
                <w:color w:val="auto"/>
              </w:rPr>
            </w:pPr>
            <w:r>
              <w:rPr>
                <w:rFonts w:ascii="Calibri" w:cs="Calibri" w:eastAsia="Calibri" w:hAnsi="Calibri"/>
                <w:sz w:val="18"/>
                <w:szCs w:val="18"/>
                <w:color w:val="auto"/>
              </w:rPr>
              <w:t>to common shareholders atributable to Martn Marieta</w:t>
            </w:r>
          </w:p>
        </w:tc>
        <w:tc>
          <w:tcPr>
            <w:tcW w:w="500" w:type="dxa"/>
            <w:vAlign w:val="bottom"/>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16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856.3</w:t>
            </w:r>
          </w:p>
        </w:tc>
        <w:tc>
          <w:tcPr>
            <w:tcW w:w="46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701.8</w:t>
            </w:r>
          </w:p>
        </w:tc>
        <w:tc>
          <w:tcPr>
            <w:tcW w:w="46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720.4</w:t>
            </w:r>
          </w:p>
        </w:tc>
      </w:tr>
      <w:tr>
        <w:trPr>
          <w:trHeight w:val="37"/>
        </w:trPr>
        <w:tc>
          <w:tcPr>
            <w:tcW w:w="6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4"/>
        </w:trPr>
        <w:tc>
          <w:tcPr>
            <w:tcW w:w="6380" w:type="dxa"/>
            <w:vAlign w:val="bottom"/>
            <w:tcBorders>
              <w:right w:val="single" w:sz="8" w:color="007CBA"/>
            </w:tcBorders>
            <w:shd w:val="clear" w:color="auto" w:fill="E5F1F8"/>
          </w:tcPr>
          <w:p>
            <w:pPr>
              <w:spacing w:after="0"/>
              <w:rPr>
                <w:sz w:val="19"/>
                <w:szCs w:val="19"/>
                <w:color w:val="auto"/>
              </w:rPr>
            </w:pPr>
          </w:p>
        </w:tc>
        <w:tc>
          <w:tcPr>
            <w:tcW w:w="500" w:type="dxa"/>
            <w:vAlign w:val="bottom"/>
            <w:shd w:val="clear" w:color="auto" w:fill="E5F1F8"/>
          </w:tcPr>
          <w:p>
            <w:pPr>
              <w:spacing w:after="0"/>
              <w:rPr>
                <w:sz w:val="19"/>
                <w:szCs w:val="19"/>
                <w:color w:val="auto"/>
              </w:rPr>
            </w:pPr>
          </w:p>
        </w:tc>
        <w:tc>
          <w:tcPr>
            <w:tcW w:w="1160" w:type="dxa"/>
            <w:vAlign w:val="bottom"/>
            <w:tcBorders>
              <w:right w:val="single" w:sz="8" w:color="007CBA"/>
            </w:tcBorders>
            <w:shd w:val="clear" w:color="auto" w:fill="E5F1F8"/>
          </w:tcPr>
          <w:p>
            <w:pPr>
              <w:spacing w:after="0"/>
              <w:rPr>
                <w:sz w:val="19"/>
                <w:szCs w:val="19"/>
                <w:color w:val="auto"/>
              </w:rPr>
            </w:pPr>
          </w:p>
        </w:tc>
        <w:tc>
          <w:tcPr>
            <w:tcW w:w="460" w:type="dxa"/>
            <w:vAlign w:val="bottom"/>
            <w:shd w:val="clear" w:color="auto" w:fill="E5F1F8"/>
          </w:tcPr>
          <w:p>
            <w:pPr>
              <w:spacing w:after="0"/>
              <w:rPr>
                <w:sz w:val="19"/>
                <w:szCs w:val="19"/>
                <w:color w:val="auto"/>
              </w:rPr>
            </w:pPr>
          </w:p>
        </w:tc>
        <w:tc>
          <w:tcPr>
            <w:tcW w:w="1140" w:type="dxa"/>
            <w:vAlign w:val="bottom"/>
            <w:tcBorders>
              <w:right w:val="single" w:sz="8" w:color="007CBA"/>
            </w:tcBorders>
            <w:shd w:val="clear" w:color="auto" w:fill="E5F1F8"/>
          </w:tcPr>
          <w:p>
            <w:pPr>
              <w:spacing w:after="0"/>
              <w:rPr>
                <w:sz w:val="19"/>
                <w:szCs w:val="19"/>
                <w:color w:val="auto"/>
              </w:rPr>
            </w:pPr>
          </w:p>
        </w:tc>
        <w:tc>
          <w:tcPr>
            <w:tcW w:w="460" w:type="dxa"/>
            <w:vAlign w:val="bottom"/>
            <w:shd w:val="clear" w:color="auto" w:fill="E5F1F8"/>
          </w:tcPr>
          <w:p>
            <w:pPr>
              <w:spacing w:after="0"/>
              <w:rPr>
                <w:sz w:val="19"/>
                <w:szCs w:val="19"/>
                <w:color w:val="auto"/>
              </w:rPr>
            </w:pPr>
          </w:p>
        </w:tc>
        <w:tc>
          <w:tcPr>
            <w:tcW w:w="1140" w:type="dxa"/>
            <w:vAlign w:val="bottom"/>
            <w:shd w:val="clear" w:color="auto" w:fill="E5F1F8"/>
          </w:tcPr>
          <w:p>
            <w:pPr>
              <w:spacing w:after="0"/>
              <w:rPr>
                <w:sz w:val="19"/>
                <w:szCs w:val="19"/>
                <w:color w:val="auto"/>
              </w:rPr>
            </w:pPr>
          </w:p>
        </w:tc>
      </w:tr>
      <w:tr>
        <w:trPr>
          <w:trHeight w:val="243"/>
        </w:trPr>
        <w:tc>
          <w:tcPr>
            <w:tcW w:w="63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Basic weighted-average common shares outstanding</w:t>
            </w:r>
          </w:p>
        </w:tc>
        <w:tc>
          <w:tcPr>
            <w:tcW w:w="500" w:type="dxa"/>
            <w:vAlign w:val="bottom"/>
          </w:tcPr>
          <w:p>
            <w:pPr>
              <w:spacing w:after="0"/>
              <w:rPr>
                <w:sz w:val="21"/>
                <w:szCs w:val="21"/>
                <w:color w:val="auto"/>
              </w:rPr>
            </w:pP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62.3</w:t>
            </w:r>
          </w:p>
        </w:tc>
        <w:tc>
          <w:tcPr>
            <w:tcW w:w="460" w:type="dxa"/>
            <w:vAlign w:val="bottom"/>
          </w:tcPr>
          <w:p>
            <w:pPr>
              <w:spacing w:after="0"/>
              <w:rPr>
                <w:sz w:val="21"/>
                <w:szCs w:val="21"/>
                <w:color w:val="auto"/>
              </w:rPr>
            </w:pPr>
          </w:p>
        </w:tc>
        <w:tc>
          <w:tcPr>
            <w:tcW w:w="11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62.4</w:t>
            </w:r>
          </w:p>
        </w:tc>
        <w:tc>
          <w:tcPr>
            <w:tcW w:w="460" w:type="dxa"/>
            <w:vAlign w:val="bottom"/>
          </w:tcPr>
          <w:p>
            <w:pPr>
              <w:spacing w:after="0"/>
              <w:rPr>
                <w:sz w:val="21"/>
                <w:szCs w:val="21"/>
                <w:color w:val="auto"/>
              </w:rPr>
            </w:pP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62.3</w:t>
            </w:r>
          </w:p>
        </w:tc>
      </w:tr>
      <w:tr>
        <w:trPr>
          <w:trHeight w:val="248"/>
        </w:trPr>
        <w:tc>
          <w:tcPr>
            <w:tcW w:w="638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Efect of dilutve employee and director awards</w:t>
            </w:r>
          </w:p>
        </w:tc>
        <w:tc>
          <w:tcPr>
            <w:tcW w:w="50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0.2</w:t>
            </w:r>
          </w:p>
        </w:tc>
        <w:tc>
          <w:tcPr>
            <w:tcW w:w="46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0.2</w:t>
            </w:r>
          </w:p>
        </w:tc>
        <w:tc>
          <w:tcPr>
            <w:tcW w:w="46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0.1</w:t>
            </w:r>
          </w:p>
        </w:tc>
      </w:tr>
      <w:tr>
        <w:trPr>
          <w:trHeight w:val="208"/>
        </w:trPr>
        <w:tc>
          <w:tcPr>
            <w:tcW w:w="638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Diluted weighted-average common shares outstanding</w:t>
            </w:r>
          </w:p>
        </w:tc>
        <w:tc>
          <w:tcPr>
            <w:tcW w:w="5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62.5</w:t>
            </w:r>
          </w:p>
        </w:tc>
        <w:tc>
          <w:tcPr>
            <w:tcW w:w="4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62.6</w:t>
            </w:r>
          </w:p>
        </w:tc>
        <w:tc>
          <w:tcPr>
            <w:tcW w:w="4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62.4</w:t>
            </w:r>
          </w:p>
        </w:tc>
      </w:tr>
      <w:tr>
        <w:trPr>
          <w:trHeight w:val="28"/>
        </w:trPr>
        <w:tc>
          <w:tcPr>
            <w:tcW w:w="6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-1280795</wp:posOffset>
            </wp:positionV>
            <wp:extent cx="7132320" cy="642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32320" cy="642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3683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B: Revenue Recogniton</w:t>
      </w:r>
    </w:p>
    <w:p>
      <w:pPr>
        <w:spacing w:after="0" w:line="59"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b w:val="1"/>
          <w:bCs w:val="1"/>
          <w:i w:val="1"/>
          <w:iCs w:val="1"/>
          <w:color w:val="4EAD8A"/>
        </w:rPr>
        <w:t xml:space="preserve">Performance Obligatons. </w:t>
      </w:r>
      <w:r>
        <w:rPr>
          <w:rFonts w:ascii="Calibri" w:cs="Calibri" w:eastAsia="Calibri" w:hAnsi="Calibri"/>
          <w:sz w:val="17"/>
          <w:szCs w:val="17"/>
          <w:color w:val="000000"/>
        </w:rPr>
        <w:t>Performance obligatons are contractual promises to transfer or provide a distnct good or service for a stated price. The Company’s</w:t>
      </w:r>
      <w:r>
        <w:rPr>
          <w:rFonts w:ascii="Calibri" w:cs="Calibri" w:eastAsia="Calibri" w:hAnsi="Calibri"/>
          <w:sz w:val="17"/>
          <w:szCs w:val="17"/>
          <w:b w:val="1"/>
          <w:bCs w:val="1"/>
          <w:i w:val="1"/>
          <w:iCs w:val="1"/>
          <w:color w:val="4EAD8A"/>
        </w:rPr>
        <w:t xml:space="preserve"> </w:t>
      </w:r>
      <w:r>
        <w:rPr>
          <w:rFonts w:ascii="Calibri" w:cs="Calibri" w:eastAsia="Calibri" w:hAnsi="Calibri"/>
          <w:sz w:val="17"/>
          <w:szCs w:val="17"/>
          <w:color w:val="000000"/>
        </w:rPr>
        <w:t>product sales agreements are single-performance obligatons that are satsfed at a point in tme. Performance obligatons within paving service agreements are satsfed over tme, primarily ranging from one day to two years. For product revenues and freight revenues, customer payment terms are generally 30 days from invoice date. Customer payments for the paving operatons are based on a contractual billing schedule and are due 30 days from invoice date.</w:t>
      </w:r>
    </w:p>
    <w:p>
      <w:pPr>
        <w:spacing w:after="0" w:line="10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Future revenues from unsatsfed performance obligatons at December 31, 2022, 2021 and 2020 were $239.2 million, $153.9 million and $110.1 million, respectvely, where the remaining periods to complete these obligatons ranged from two months to 34 months at December 31, 2022 and three months to 12 months at 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6751320</wp:posOffset>
            </wp:positionH>
            <wp:positionV relativeFrom="paragraph">
              <wp:posOffset>92710</wp:posOffset>
            </wp:positionV>
            <wp:extent cx="325755" cy="1968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9"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87" w:name="page88"/>
    <w:bookmarkEnd w:id="87"/>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Revenue by Category. </w:t>
      </w:r>
      <w:r>
        <w:rPr>
          <w:rFonts w:ascii="Calibri" w:cs="Calibri" w:eastAsia="Calibri" w:hAnsi="Calibri"/>
          <w:sz w:val="18"/>
          <w:szCs w:val="18"/>
          <w:color w:val="000000"/>
        </w:rPr>
        <w:t>Service revenues, which include paving operatons located in California and Colorado, were $353.7 million, $259.1 million and $287.6</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million for the years ended December 31, 2022, 2021 and 2020, respectvely. The following table presents the Company’s total revenues by category for each reportable segment: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20" w:type="dxa"/>
            <w:vAlign w:val="bottom"/>
            <w:tcBorders>
              <w:right w:val="single" w:sz="8" w:color="007CBA"/>
            </w:tcBorders>
            <w:shd w:val="clear" w:color="auto" w:fill="007CBA"/>
          </w:tcPr>
          <w:p>
            <w:pPr>
              <w:spacing w:after="0"/>
              <w:rPr>
                <w:sz w:val="19"/>
                <w:szCs w:val="19"/>
                <w:color w:val="auto"/>
              </w:rPr>
            </w:pPr>
          </w:p>
        </w:tc>
        <w:tc>
          <w:tcPr>
            <w:tcW w:w="340" w:type="dxa"/>
            <w:vAlign w:val="bottom"/>
            <w:shd w:val="clear" w:color="auto" w:fill="007CBA"/>
          </w:tcPr>
          <w:p>
            <w:pPr>
              <w:spacing w:after="0"/>
              <w:rPr>
                <w:sz w:val="19"/>
                <w:szCs w:val="19"/>
                <w:color w:val="auto"/>
              </w:rPr>
            </w:pPr>
          </w:p>
        </w:tc>
        <w:tc>
          <w:tcPr>
            <w:tcW w:w="1520" w:type="dxa"/>
            <w:vAlign w:val="bottom"/>
            <w:tcBorders>
              <w:right w:val="single" w:sz="8" w:color="007CBA"/>
            </w:tcBorders>
            <w:shd w:val="clear" w:color="auto" w:fill="007CBA"/>
          </w:tcPr>
          <w:p>
            <w:pPr>
              <w:jc w:val="right"/>
              <w:ind w:right="370"/>
              <w:spacing w:after="0"/>
              <w:rPr>
                <w:sz w:val="20"/>
                <w:szCs w:val="20"/>
                <w:color w:val="auto"/>
              </w:rPr>
            </w:pPr>
            <w:r>
              <w:rPr>
                <w:rFonts w:ascii="Calibri" w:cs="Calibri" w:eastAsia="Calibri" w:hAnsi="Calibri"/>
                <w:sz w:val="18"/>
                <w:szCs w:val="18"/>
                <w:b w:val="1"/>
                <w:bCs w:val="1"/>
                <w:color w:val="FFFFFF"/>
              </w:rPr>
              <w:t>Products and</w:t>
            </w:r>
          </w:p>
        </w:tc>
        <w:tc>
          <w:tcPr>
            <w:tcW w:w="440" w:type="dxa"/>
            <w:vAlign w:val="bottom"/>
            <w:shd w:val="clear" w:color="auto" w:fill="007CBA"/>
          </w:tcPr>
          <w:p>
            <w:pPr>
              <w:spacing w:after="0"/>
              <w:rPr>
                <w:sz w:val="19"/>
                <w:szCs w:val="19"/>
                <w:color w:val="auto"/>
              </w:rPr>
            </w:pPr>
          </w:p>
        </w:tc>
        <w:tc>
          <w:tcPr>
            <w:tcW w:w="1380" w:type="dxa"/>
            <w:vAlign w:val="bottom"/>
            <w:tcBorders>
              <w:right w:val="single" w:sz="8" w:color="007CBA"/>
            </w:tcBorders>
            <w:shd w:val="clear" w:color="auto" w:fill="007CBA"/>
          </w:tcPr>
          <w:p>
            <w:pPr>
              <w:spacing w:after="0"/>
              <w:rPr>
                <w:sz w:val="19"/>
                <w:szCs w:val="19"/>
                <w:color w:val="auto"/>
              </w:rPr>
            </w:pPr>
          </w:p>
        </w:tc>
        <w:tc>
          <w:tcPr>
            <w:tcW w:w="460" w:type="dxa"/>
            <w:vAlign w:val="bottom"/>
            <w:shd w:val="clear" w:color="auto" w:fill="007CBA"/>
          </w:tcPr>
          <w:p>
            <w:pPr>
              <w:spacing w:after="0"/>
              <w:rPr>
                <w:sz w:val="19"/>
                <w:szCs w:val="19"/>
                <w:color w:val="auto"/>
              </w:rPr>
            </w:pPr>
          </w:p>
        </w:tc>
        <w:tc>
          <w:tcPr>
            <w:tcW w:w="1280" w:type="dxa"/>
            <w:vAlign w:val="bottom"/>
            <w:shd w:val="clear" w:color="auto" w:fill="007CBA"/>
          </w:tcPr>
          <w:p>
            <w:pPr>
              <w:spacing w:after="0"/>
              <w:rPr>
                <w:sz w:val="19"/>
                <w:szCs w:val="19"/>
                <w:color w:val="auto"/>
              </w:rPr>
            </w:pPr>
          </w:p>
        </w:tc>
      </w:tr>
      <w:tr>
        <w:trPr>
          <w:trHeight w:val="228"/>
        </w:trPr>
        <w:tc>
          <w:tcPr>
            <w:tcW w:w="582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340" w:type="dxa"/>
            <w:vAlign w:val="bottom"/>
            <w:shd w:val="clear" w:color="auto" w:fill="007CBA"/>
          </w:tcPr>
          <w:p>
            <w:pPr>
              <w:spacing w:after="0"/>
              <w:rPr>
                <w:sz w:val="19"/>
                <w:szCs w:val="19"/>
                <w:color w:val="auto"/>
              </w:rPr>
            </w:pPr>
          </w:p>
        </w:tc>
        <w:tc>
          <w:tcPr>
            <w:tcW w:w="1520" w:type="dxa"/>
            <w:vAlign w:val="bottom"/>
            <w:tcBorders>
              <w:right w:val="single" w:sz="8" w:color="007CBA"/>
            </w:tcBorders>
            <w:shd w:val="clear" w:color="auto" w:fill="007CBA"/>
          </w:tcPr>
          <w:p>
            <w:pPr>
              <w:jc w:val="right"/>
              <w:ind w:right="530"/>
              <w:spacing w:after="0" w:line="215" w:lineRule="exact"/>
              <w:rPr>
                <w:sz w:val="20"/>
                <w:szCs w:val="20"/>
                <w:color w:val="auto"/>
              </w:rPr>
            </w:pPr>
            <w:r>
              <w:rPr>
                <w:rFonts w:ascii="Calibri" w:cs="Calibri" w:eastAsia="Calibri" w:hAnsi="Calibri"/>
                <w:sz w:val="18"/>
                <w:szCs w:val="18"/>
                <w:b w:val="1"/>
                <w:bCs w:val="1"/>
                <w:color w:val="FFFFFF"/>
              </w:rPr>
              <w:t>Services</w:t>
            </w:r>
          </w:p>
        </w:tc>
        <w:tc>
          <w:tcPr>
            <w:tcW w:w="440" w:type="dxa"/>
            <w:vAlign w:val="bottom"/>
            <w:shd w:val="clear" w:color="auto" w:fill="007CBA"/>
          </w:tcPr>
          <w:p>
            <w:pPr>
              <w:spacing w:after="0"/>
              <w:rPr>
                <w:sz w:val="19"/>
                <w:szCs w:val="19"/>
                <w:color w:val="auto"/>
              </w:rPr>
            </w:pPr>
          </w:p>
        </w:tc>
        <w:tc>
          <w:tcPr>
            <w:tcW w:w="1380" w:type="dxa"/>
            <w:vAlign w:val="bottom"/>
            <w:tcBorders>
              <w:right w:val="single" w:sz="8" w:color="007CBA"/>
            </w:tcBorders>
            <w:shd w:val="clear" w:color="auto" w:fill="007CBA"/>
          </w:tcPr>
          <w:p>
            <w:pPr>
              <w:jc w:val="right"/>
              <w:ind w:right="550"/>
              <w:spacing w:after="0" w:line="215" w:lineRule="exact"/>
              <w:rPr>
                <w:sz w:val="20"/>
                <w:szCs w:val="20"/>
                <w:color w:val="auto"/>
              </w:rPr>
            </w:pPr>
            <w:r>
              <w:rPr>
                <w:rFonts w:ascii="Calibri" w:cs="Calibri" w:eastAsia="Calibri" w:hAnsi="Calibri"/>
                <w:sz w:val="18"/>
                <w:szCs w:val="18"/>
                <w:b w:val="1"/>
                <w:bCs w:val="1"/>
                <w:color w:val="FFFFFF"/>
              </w:rPr>
              <w:t>Freight</w:t>
            </w:r>
          </w:p>
        </w:tc>
        <w:tc>
          <w:tcPr>
            <w:tcW w:w="460" w:type="dxa"/>
            <w:vAlign w:val="bottom"/>
            <w:shd w:val="clear" w:color="auto" w:fill="007CBA"/>
          </w:tcPr>
          <w:p>
            <w:pPr>
              <w:spacing w:after="0"/>
              <w:rPr>
                <w:sz w:val="19"/>
                <w:szCs w:val="19"/>
                <w:color w:val="auto"/>
              </w:rPr>
            </w:pPr>
          </w:p>
        </w:tc>
        <w:tc>
          <w:tcPr>
            <w:tcW w:w="1280" w:type="dxa"/>
            <w:vAlign w:val="bottom"/>
            <w:shd w:val="clear" w:color="auto" w:fill="007CBA"/>
          </w:tcPr>
          <w:p>
            <w:pPr>
              <w:jc w:val="right"/>
              <w:ind w:right="590"/>
              <w:spacing w:after="0" w:line="215" w:lineRule="exact"/>
              <w:rPr>
                <w:sz w:val="20"/>
                <w:szCs w:val="20"/>
                <w:color w:val="auto"/>
              </w:rPr>
            </w:pPr>
            <w:r>
              <w:rPr>
                <w:rFonts w:ascii="Calibri" w:cs="Calibri" w:eastAsia="Calibri" w:hAnsi="Calibri"/>
                <w:sz w:val="18"/>
                <w:szCs w:val="18"/>
                <w:b w:val="1"/>
                <w:bCs w:val="1"/>
                <w:color w:val="FFFFFF"/>
              </w:rPr>
              <w:t>Total</w:t>
            </w:r>
          </w:p>
        </w:tc>
      </w:tr>
      <w:tr>
        <w:trPr>
          <w:trHeight w:val="260"/>
        </w:trPr>
        <w:tc>
          <w:tcPr>
            <w:tcW w:w="5820" w:type="dxa"/>
            <w:vAlign w:val="bottom"/>
            <w:tcBorders>
              <w:bottom w:val="single" w:sz="8" w:color="007CBA"/>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color w:val="FFFFFF"/>
              </w:rPr>
              <w:t>(in millions)</w:t>
            </w:r>
          </w:p>
        </w:tc>
        <w:tc>
          <w:tcPr>
            <w:tcW w:w="340" w:type="dxa"/>
            <w:vAlign w:val="bottom"/>
            <w:tcBorders>
              <w:bottom w:val="single" w:sz="8" w:color="007CBA"/>
            </w:tcBorders>
            <w:shd w:val="clear" w:color="auto" w:fill="007CBA"/>
          </w:tcPr>
          <w:p>
            <w:pPr>
              <w:spacing w:after="0"/>
              <w:rPr>
                <w:sz w:val="22"/>
                <w:szCs w:val="22"/>
                <w:color w:val="auto"/>
              </w:rPr>
            </w:pPr>
          </w:p>
        </w:tc>
        <w:tc>
          <w:tcPr>
            <w:tcW w:w="1520" w:type="dxa"/>
            <w:vAlign w:val="bottom"/>
            <w:tcBorders>
              <w:bottom w:val="single" w:sz="8" w:color="007CBA"/>
              <w:right w:val="single" w:sz="8" w:color="007CBA"/>
            </w:tcBorders>
            <w:shd w:val="clear" w:color="auto" w:fill="007CBA"/>
          </w:tcPr>
          <w:p>
            <w:pPr>
              <w:spacing w:after="0"/>
              <w:rPr>
                <w:sz w:val="22"/>
                <w:szCs w:val="22"/>
                <w:color w:val="auto"/>
              </w:rPr>
            </w:pPr>
          </w:p>
        </w:tc>
        <w:tc>
          <w:tcPr>
            <w:tcW w:w="440" w:type="dxa"/>
            <w:vAlign w:val="bottom"/>
            <w:tcBorders>
              <w:bottom w:val="single" w:sz="8" w:color="007CBA"/>
            </w:tcBorders>
            <w:shd w:val="clear" w:color="auto" w:fill="007CBA"/>
          </w:tcPr>
          <w:p>
            <w:pPr>
              <w:spacing w:after="0"/>
              <w:rPr>
                <w:sz w:val="22"/>
                <w:szCs w:val="22"/>
                <w:color w:val="auto"/>
              </w:rPr>
            </w:pPr>
          </w:p>
        </w:tc>
        <w:tc>
          <w:tcPr>
            <w:tcW w:w="1380" w:type="dxa"/>
            <w:vAlign w:val="bottom"/>
            <w:tcBorders>
              <w:bottom w:val="single" w:sz="8" w:color="007CBA"/>
              <w:right w:val="single" w:sz="8" w:color="007CBA"/>
            </w:tcBorders>
            <w:shd w:val="clear" w:color="auto" w:fill="007CBA"/>
          </w:tcPr>
          <w:p>
            <w:pPr>
              <w:jc w:val="right"/>
              <w:ind w:right="690"/>
              <w:spacing w:after="0"/>
              <w:rPr>
                <w:sz w:val="20"/>
                <w:szCs w:val="20"/>
                <w:color w:val="auto"/>
              </w:rPr>
            </w:pPr>
            <w:r>
              <w:rPr>
                <w:rFonts w:ascii="Calibri" w:cs="Calibri" w:eastAsia="Calibri" w:hAnsi="Calibri"/>
                <w:sz w:val="18"/>
                <w:szCs w:val="18"/>
                <w:b w:val="1"/>
                <w:bCs w:val="1"/>
                <w:color w:val="FFFFFF"/>
              </w:rPr>
              <w:t>2022</w:t>
            </w:r>
          </w:p>
        </w:tc>
        <w:tc>
          <w:tcPr>
            <w:tcW w:w="460" w:type="dxa"/>
            <w:vAlign w:val="bottom"/>
            <w:tcBorders>
              <w:bottom w:val="single" w:sz="8" w:color="007CBA"/>
            </w:tcBorders>
            <w:shd w:val="clear" w:color="auto" w:fill="007CBA"/>
          </w:tcPr>
          <w:p>
            <w:pPr>
              <w:spacing w:after="0"/>
              <w:rPr>
                <w:sz w:val="22"/>
                <w:szCs w:val="22"/>
                <w:color w:val="auto"/>
              </w:rPr>
            </w:pPr>
          </w:p>
        </w:tc>
        <w:tc>
          <w:tcPr>
            <w:tcW w:w="1280" w:type="dxa"/>
            <w:vAlign w:val="bottom"/>
            <w:tcBorders>
              <w:bottom w:val="single" w:sz="8" w:color="007CBA"/>
            </w:tcBorders>
            <w:shd w:val="clear" w:color="auto" w:fill="007CBA"/>
          </w:tcPr>
          <w:p>
            <w:pPr>
              <w:spacing w:after="0"/>
              <w:rPr>
                <w:sz w:val="22"/>
                <w:szCs w:val="22"/>
                <w:color w:val="auto"/>
              </w:rPr>
            </w:pPr>
          </w:p>
        </w:tc>
      </w:tr>
      <w:tr>
        <w:trPr>
          <w:trHeight w:val="243"/>
        </w:trPr>
        <w:tc>
          <w:tcPr>
            <w:tcW w:w="582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East Group</w:t>
            </w:r>
          </w:p>
        </w:tc>
        <w:tc>
          <w:tcPr>
            <w:tcW w:w="34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15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2,324.1</w:t>
            </w:r>
          </w:p>
        </w:tc>
        <w:tc>
          <w:tcPr>
            <w:tcW w:w="440" w:type="dxa"/>
            <w:vAlign w:val="bottom"/>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3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144.0</w:t>
            </w:r>
          </w:p>
        </w:tc>
        <w:tc>
          <w:tcPr>
            <w:tcW w:w="460" w:type="dxa"/>
            <w:vAlign w:val="bottom"/>
          </w:tcPr>
          <w:p>
            <w:pPr>
              <w:jc w:val="right"/>
              <w:ind w:right="150"/>
              <w:spacing w:after="0" w:line="215" w:lineRule="exact"/>
              <w:rPr>
                <w:sz w:val="20"/>
                <w:szCs w:val="20"/>
                <w:color w:val="auto"/>
              </w:rPr>
            </w:pPr>
            <w:r>
              <w:rPr>
                <w:rFonts w:ascii="Calibri" w:cs="Calibri" w:eastAsia="Calibri" w:hAnsi="Calibri"/>
                <w:sz w:val="18"/>
                <w:szCs w:val="18"/>
                <w:b w:val="1"/>
                <w:bCs w:val="1"/>
                <w:color w:val="auto"/>
              </w:rPr>
              <w:t>$</w:t>
            </w:r>
          </w:p>
        </w:tc>
        <w:tc>
          <w:tcPr>
            <w:tcW w:w="128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2,468.1</w:t>
            </w:r>
          </w:p>
        </w:tc>
      </w:tr>
      <w:tr>
        <w:trPr>
          <w:trHeight w:val="248"/>
        </w:trPr>
        <w:tc>
          <w:tcPr>
            <w:tcW w:w="582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West Group</w:t>
            </w:r>
          </w:p>
        </w:tc>
        <w:tc>
          <w:tcPr>
            <w:tcW w:w="340" w:type="dxa"/>
            <w:vAlign w:val="bottom"/>
            <w:tcBorders>
              <w:bottom w:val="single" w:sz="8" w:color="E5F1F8"/>
            </w:tcBorders>
            <w:shd w:val="clear" w:color="auto" w:fill="E5F1F8"/>
          </w:tcPr>
          <w:p>
            <w:pPr>
              <w:spacing w:after="0"/>
              <w:rPr>
                <w:sz w:val="21"/>
                <w:szCs w:val="21"/>
                <w:color w:val="auto"/>
              </w:rPr>
            </w:pPr>
          </w:p>
        </w:tc>
        <w:tc>
          <w:tcPr>
            <w:tcW w:w="152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3,128.4</w:t>
            </w:r>
          </w:p>
        </w:tc>
        <w:tc>
          <w:tcPr>
            <w:tcW w:w="440" w:type="dxa"/>
            <w:vAlign w:val="bottom"/>
            <w:tcBorders>
              <w:bottom w:val="single" w:sz="8" w:color="E5F1F8"/>
            </w:tcBorders>
            <w:shd w:val="clear" w:color="auto" w:fill="E5F1F8"/>
          </w:tcPr>
          <w:p>
            <w:pPr>
              <w:spacing w:after="0"/>
              <w:rPr>
                <w:sz w:val="21"/>
                <w:szCs w:val="21"/>
                <w:color w:val="auto"/>
              </w:rPr>
            </w:pPr>
          </w:p>
        </w:tc>
        <w:tc>
          <w:tcPr>
            <w:tcW w:w="138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260.2</w:t>
            </w:r>
          </w:p>
        </w:tc>
        <w:tc>
          <w:tcPr>
            <w:tcW w:w="460" w:type="dxa"/>
            <w:vAlign w:val="bottom"/>
            <w:tcBorders>
              <w:bottom w:val="single" w:sz="8" w:color="E5F1F8"/>
            </w:tcBorders>
            <w:shd w:val="clear" w:color="auto" w:fill="E5F1F8"/>
          </w:tcPr>
          <w:p>
            <w:pPr>
              <w:spacing w:after="0"/>
              <w:rPr>
                <w:sz w:val="21"/>
                <w:szCs w:val="21"/>
                <w:color w:val="auto"/>
              </w:rPr>
            </w:pPr>
          </w:p>
        </w:tc>
        <w:tc>
          <w:tcPr>
            <w:tcW w:w="128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3,388.6</w:t>
            </w:r>
          </w:p>
        </w:tc>
      </w:tr>
      <w:tr>
        <w:trPr>
          <w:trHeight w:val="237"/>
        </w:trPr>
        <w:tc>
          <w:tcPr>
            <w:tcW w:w="582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color w:val="auto"/>
              </w:rPr>
              <w:t>Total Building Materials business</w:t>
            </w:r>
          </w:p>
        </w:tc>
        <w:tc>
          <w:tcPr>
            <w:tcW w:w="340" w:type="dxa"/>
            <w:vAlign w:val="bottom"/>
            <w:tcBorders>
              <w:top w:val="single" w:sz="8" w:color="auto"/>
            </w:tcBorders>
          </w:tcPr>
          <w:p>
            <w:pPr>
              <w:spacing w:after="0"/>
              <w:rPr>
                <w:sz w:val="20"/>
                <w:szCs w:val="20"/>
                <w:color w:val="auto"/>
              </w:rPr>
            </w:pPr>
          </w:p>
        </w:tc>
        <w:tc>
          <w:tcPr>
            <w:tcW w:w="1520" w:type="dxa"/>
            <w:vAlign w:val="bottom"/>
            <w:tcBorders>
              <w:top w:val="single" w:sz="8" w:color="auto"/>
              <w:right w:val="single" w:sz="8" w:color="007CBA"/>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5,452.5</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right w:val="single" w:sz="8" w:color="007CBA"/>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404.2</w:t>
            </w:r>
          </w:p>
        </w:tc>
        <w:tc>
          <w:tcPr>
            <w:tcW w:w="4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5,856.7</w:t>
            </w:r>
          </w:p>
        </w:tc>
      </w:tr>
      <w:tr>
        <w:trPr>
          <w:trHeight w:val="248"/>
        </w:trPr>
        <w:tc>
          <w:tcPr>
            <w:tcW w:w="582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Magnesia Specialtes</w:t>
            </w:r>
          </w:p>
        </w:tc>
        <w:tc>
          <w:tcPr>
            <w:tcW w:w="340" w:type="dxa"/>
            <w:vAlign w:val="bottom"/>
            <w:tcBorders>
              <w:bottom w:val="single" w:sz="8" w:color="E5F1F8"/>
            </w:tcBorders>
            <w:shd w:val="clear" w:color="auto" w:fill="E5F1F8"/>
          </w:tcPr>
          <w:p>
            <w:pPr>
              <w:spacing w:after="0"/>
              <w:rPr>
                <w:sz w:val="21"/>
                <w:szCs w:val="21"/>
                <w:color w:val="auto"/>
              </w:rPr>
            </w:pPr>
          </w:p>
        </w:tc>
        <w:tc>
          <w:tcPr>
            <w:tcW w:w="152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278.0</w:t>
            </w:r>
          </w:p>
        </w:tc>
        <w:tc>
          <w:tcPr>
            <w:tcW w:w="440" w:type="dxa"/>
            <w:vAlign w:val="bottom"/>
            <w:tcBorders>
              <w:bottom w:val="single" w:sz="8" w:color="E5F1F8"/>
            </w:tcBorders>
            <w:shd w:val="clear" w:color="auto" w:fill="E5F1F8"/>
          </w:tcPr>
          <w:p>
            <w:pPr>
              <w:spacing w:after="0"/>
              <w:rPr>
                <w:sz w:val="21"/>
                <w:szCs w:val="21"/>
                <w:color w:val="auto"/>
              </w:rPr>
            </w:pPr>
          </w:p>
        </w:tc>
        <w:tc>
          <w:tcPr>
            <w:tcW w:w="138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26.0</w:t>
            </w:r>
          </w:p>
        </w:tc>
        <w:tc>
          <w:tcPr>
            <w:tcW w:w="460" w:type="dxa"/>
            <w:vAlign w:val="bottom"/>
            <w:tcBorders>
              <w:bottom w:val="single" w:sz="8" w:color="E5F1F8"/>
            </w:tcBorders>
            <w:shd w:val="clear" w:color="auto" w:fill="E5F1F8"/>
          </w:tcPr>
          <w:p>
            <w:pPr>
              <w:spacing w:after="0"/>
              <w:rPr>
                <w:sz w:val="21"/>
                <w:szCs w:val="21"/>
                <w:color w:val="auto"/>
              </w:rPr>
            </w:pPr>
          </w:p>
        </w:tc>
        <w:tc>
          <w:tcPr>
            <w:tcW w:w="128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304.0</w:t>
            </w:r>
          </w:p>
        </w:tc>
      </w:tr>
      <w:tr>
        <w:trPr>
          <w:trHeight w:val="208"/>
        </w:trPr>
        <w:tc>
          <w:tcPr>
            <w:tcW w:w="582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w:t>
            </w:r>
          </w:p>
        </w:tc>
        <w:tc>
          <w:tcPr>
            <w:tcW w:w="340" w:type="dxa"/>
            <w:vAlign w:val="bottom"/>
            <w:tcBorders>
              <w:top w:val="single" w:sz="8" w:color="auto"/>
            </w:tcBorders>
          </w:tcPr>
          <w:p>
            <w:pPr>
              <w:jc w:val="right"/>
              <w:ind w:right="10"/>
              <w:spacing w:after="0" w:line="208" w:lineRule="exact"/>
              <w:rPr>
                <w:sz w:val="20"/>
                <w:szCs w:val="20"/>
                <w:color w:val="auto"/>
              </w:rPr>
            </w:pPr>
            <w:r>
              <w:rPr>
                <w:rFonts w:ascii="Calibri" w:cs="Calibri" w:eastAsia="Calibri" w:hAnsi="Calibri"/>
                <w:sz w:val="18"/>
                <w:szCs w:val="18"/>
                <w:b w:val="1"/>
                <w:bCs w:val="1"/>
                <w:color w:val="auto"/>
              </w:rPr>
              <w:t>$</w:t>
            </w:r>
          </w:p>
        </w:tc>
        <w:tc>
          <w:tcPr>
            <w:tcW w:w="152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5,730.5</w:t>
            </w:r>
          </w:p>
        </w:tc>
        <w:tc>
          <w:tcPr>
            <w:tcW w:w="44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b w:val="1"/>
                <w:bCs w:val="1"/>
                <w:color w:val="auto"/>
              </w:rPr>
              <w:t>$</w:t>
            </w:r>
          </w:p>
        </w:tc>
        <w:tc>
          <w:tcPr>
            <w:tcW w:w="138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430.2</w:t>
            </w:r>
          </w:p>
        </w:tc>
        <w:tc>
          <w:tcPr>
            <w:tcW w:w="460" w:type="dxa"/>
            <w:vAlign w:val="bottom"/>
            <w:tcBorders>
              <w:top w:val="single" w:sz="8" w:color="auto"/>
            </w:tcBorders>
          </w:tcPr>
          <w:p>
            <w:pPr>
              <w:jc w:val="right"/>
              <w:ind w:right="150"/>
              <w:spacing w:after="0" w:line="208" w:lineRule="exact"/>
              <w:rPr>
                <w:sz w:val="20"/>
                <w:szCs w:val="20"/>
                <w:color w:val="auto"/>
              </w:rPr>
            </w:pPr>
            <w:r>
              <w:rPr>
                <w:rFonts w:ascii="Calibri" w:cs="Calibri" w:eastAsia="Calibri" w:hAnsi="Calibri"/>
                <w:sz w:val="18"/>
                <w:szCs w:val="18"/>
                <w:b w:val="1"/>
                <w:bCs w:val="1"/>
                <w:color w:val="auto"/>
              </w:rPr>
              <w:t>$</w:t>
            </w:r>
          </w:p>
        </w:tc>
        <w:tc>
          <w:tcPr>
            <w:tcW w:w="128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6,160.7</w:t>
            </w:r>
          </w:p>
        </w:tc>
      </w:tr>
      <w:tr>
        <w:trPr>
          <w:trHeight w:val="28"/>
        </w:trPr>
        <w:tc>
          <w:tcPr>
            <w:tcW w:w="5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5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4"/>
        </w:trPr>
        <w:tc>
          <w:tcPr>
            <w:tcW w:w="5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3"/>
        </w:trPr>
        <w:tc>
          <w:tcPr>
            <w:tcW w:w="5820" w:type="dxa"/>
            <w:vAlign w:val="bottom"/>
            <w:tcBorders>
              <w:bottom w:val="single" w:sz="8" w:color="007CBA"/>
              <w:right w:val="single" w:sz="8" w:color="007CBA"/>
            </w:tcBorders>
            <w:shd w:val="clear" w:color="auto" w:fill="007CBA"/>
          </w:tcPr>
          <w:p>
            <w:pPr>
              <w:spacing w:after="0"/>
              <w:rPr>
                <w:sz w:val="19"/>
                <w:szCs w:val="19"/>
                <w:color w:val="auto"/>
              </w:rPr>
            </w:pPr>
          </w:p>
        </w:tc>
        <w:tc>
          <w:tcPr>
            <w:tcW w:w="340" w:type="dxa"/>
            <w:vAlign w:val="bottom"/>
            <w:tcBorders>
              <w:bottom w:val="single" w:sz="8" w:color="007CBA"/>
            </w:tcBorders>
            <w:shd w:val="clear" w:color="auto" w:fill="007CBA"/>
          </w:tcPr>
          <w:p>
            <w:pPr>
              <w:spacing w:after="0"/>
              <w:rPr>
                <w:sz w:val="19"/>
                <w:szCs w:val="19"/>
                <w:color w:val="auto"/>
              </w:rPr>
            </w:pPr>
          </w:p>
        </w:tc>
        <w:tc>
          <w:tcPr>
            <w:tcW w:w="1520" w:type="dxa"/>
            <w:vAlign w:val="bottom"/>
            <w:tcBorders>
              <w:bottom w:val="single" w:sz="8" w:color="007CBA"/>
              <w:right w:val="single" w:sz="8" w:color="007CBA"/>
            </w:tcBorders>
            <w:shd w:val="clear" w:color="auto" w:fill="007CBA"/>
          </w:tcPr>
          <w:p>
            <w:pPr>
              <w:spacing w:after="0"/>
              <w:rPr>
                <w:sz w:val="19"/>
                <w:szCs w:val="19"/>
                <w:color w:val="auto"/>
              </w:rPr>
            </w:pPr>
          </w:p>
        </w:tc>
        <w:tc>
          <w:tcPr>
            <w:tcW w:w="440" w:type="dxa"/>
            <w:vAlign w:val="bottom"/>
            <w:tcBorders>
              <w:bottom w:val="single" w:sz="8" w:color="007CBA"/>
            </w:tcBorders>
            <w:shd w:val="clear" w:color="auto" w:fill="007CBA"/>
          </w:tcPr>
          <w:p>
            <w:pPr>
              <w:spacing w:after="0"/>
              <w:rPr>
                <w:sz w:val="19"/>
                <w:szCs w:val="19"/>
                <w:color w:val="auto"/>
              </w:rPr>
            </w:pPr>
          </w:p>
        </w:tc>
        <w:tc>
          <w:tcPr>
            <w:tcW w:w="1380" w:type="dxa"/>
            <w:vAlign w:val="bottom"/>
            <w:tcBorders>
              <w:bottom w:val="single" w:sz="8" w:color="007CBA"/>
              <w:right w:val="single" w:sz="8" w:color="007CBA"/>
            </w:tcBorders>
            <w:shd w:val="clear" w:color="auto" w:fill="007CBA"/>
          </w:tcPr>
          <w:p>
            <w:pPr>
              <w:jc w:val="right"/>
              <w:ind w:right="690"/>
              <w:spacing w:after="0" w:line="215" w:lineRule="exact"/>
              <w:rPr>
                <w:sz w:val="20"/>
                <w:szCs w:val="20"/>
                <w:color w:val="auto"/>
              </w:rPr>
            </w:pPr>
            <w:r>
              <w:rPr>
                <w:rFonts w:ascii="Calibri" w:cs="Calibri" w:eastAsia="Calibri" w:hAnsi="Calibri"/>
                <w:sz w:val="18"/>
                <w:szCs w:val="18"/>
                <w:color w:val="FFFFFF"/>
              </w:rPr>
              <w:t>2021</w:t>
            </w:r>
          </w:p>
        </w:tc>
        <w:tc>
          <w:tcPr>
            <w:tcW w:w="460" w:type="dxa"/>
            <w:vAlign w:val="bottom"/>
            <w:tcBorders>
              <w:bottom w:val="single" w:sz="8" w:color="007CBA"/>
            </w:tcBorders>
            <w:shd w:val="clear" w:color="auto" w:fill="007CBA"/>
          </w:tcPr>
          <w:p>
            <w:pPr>
              <w:spacing w:after="0"/>
              <w:rPr>
                <w:sz w:val="19"/>
                <w:szCs w:val="19"/>
                <w:color w:val="auto"/>
              </w:rPr>
            </w:pPr>
          </w:p>
        </w:tc>
        <w:tc>
          <w:tcPr>
            <w:tcW w:w="1280" w:type="dxa"/>
            <w:vAlign w:val="bottom"/>
            <w:tcBorders>
              <w:bottom w:val="single" w:sz="8" w:color="007CBA"/>
            </w:tcBorders>
            <w:shd w:val="clear" w:color="auto" w:fill="007CBA"/>
          </w:tcPr>
          <w:p>
            <w:pPr>
              <w:spacing w:after="0"/>
              <w:rPr>
                <w:sz w:val="19"/>
                <w:szCs w:val="19"/>
                <w:color w:val="auto"/>
              </w:rPr>
            </w:pPr>
          </w:p>
        </w:tc>
      </w:tr>
      <w:tr>
        <w:trPr>
          <w:trHeight w:val="243"/>
        </w:trPr>
        <w:tc>
          <w:tcPr>
            <w:tcW w:w="582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East Group</w:t>
            </w:r>
          </w:p>
        </w:tc>
        <w:tc>
          <w:tcPr>
            <w:tcW w:w="3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5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2,161.6</w:t>
            </w:r>
          </w:p>
        </w:tc>
        <w:tc>
          <w:tcPr>
            <w:tcW w:w="44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3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141.4</w:t>
            </w:r>
          </w:p>
        </w:tc>
        <w:tc>
          <w:tcPr>
            <w:tcW w:w="4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2,303.0</w:t>
            </w:r>
          </w:p>
        </w:tc>
      </w:tr>
      <w:tr>
        <w:trPr>
          <w:trHeight w:val="248"/>
        </w:trPr>
        <w:tc>
          <w:tcPr>
            <w:tcW w:w="582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West Group</w:t>
            </w:r>
          </w:p>
        </w:tc>
        <w:tc>
          <w:tcPr>
            <w:tcW w:w="340" w:type="dxa"/>
            <w:vAlign w:val="bottom"/>
            <w:tcBorders>
              <w:bottom w:val="single" w:sz="8" w:color="E5F1F8"/>
            </w:tcBorders>
            <w:shd w:val="clear" w:color="auto" w:fill="E5F1F8"/>
          </w:tcPr>
          <w:p>
            <w:pPr>
              <w:spacing w:after="0"/>
              <w:rPr>
                <w:sz w:val="21"/>
                <w:szCs w:val="21"/>
                <w:color w:val="auto"/>
              </w:rPr>
            </w:pPr>
          </w:p>
        </w:tc>
        <w:tc>
          <w:tcPr>
            <w:tcW w:w="152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2,648.4</w:t>
            </w:r>
          </w:p>
        </w:tc>
        <w:tc>
          <w:tcPr>
            <w:tcW w:w="440" w:type="dxa"/>
            <w:vAlign w:val="bottom"/>
            <w:tcBorders>
              <w:bottom w:val="single" w:sz="8" w:color="E5F1F8"/>
            </w:tcBorders>
            <w:shd w:val="clear" w:color="auto" w:fill="E5F1F8"/>
          </w:tcPr>
          <w:p>
            <w:pPr>
              <w:spacing w:after="0"/>
              <w:rPr>
                <w:sz w:val="21"/>
                <w:szCs w:val="21"/>
                <w:color w:val="auto"/>
              </w:rPr>
            </w:pPr>
          </w:p>
        </w:tc>
        <w:tc>
          <w:tcPr>
            <w:tcW w:w="138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163.9</w:t>
            </w:r>
          </w:p>
        </w:tc>
        <w:tc>
          <w:tcPr>
            <w:tcW w:w="460" w:type="dxa"/>
            <w:vAlign w:val="bottom"/>
            <w:tcBorders>
              <w:bottom w:val="single" w:sz="8" w:color="E5F1F8"/>
            </w:tcBorders>
            <w:shd w:val="clear" w:color="auto" w:fill="E5F1F8"/>
          </w:tcPr>
          <w:p>
            <w:pPr>
              <w:spacing w:after="0"/>
              <w:rPr>
                <w:sz w:val="21"/>
                <w:szCs w:val="21"/>
                <w:color w:val="auto"/>
              </w:rPr>
            </w:pPr>
          </w:p>
        </w:tc>
        <w:tc>
          <w:tcPr>
            <w:tcW w:w="128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2,812.3</w:t>
            </w:r>
          </w:p>
        </w:tc>
      </w:tr>
      <w:tr>
        <w:trPr>
          <w:trHeight w:val="237"/>
        </w:trPr>
        <w:tc>
          <w:tcPr>
            <w:tcW w:w="582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color w:val="auto"/>
              </w:rPr>
              <w:t>Total Building Materials business</w:t>
            </w:r>
          </w:p>
        </w:tc>
        <w:tc>
          <w:tcPr>
            <w:tcW w:w="340" w:type="dxa"/>
            <w:vAlign w:val="bottom"/>
            <w:tcBorders>
              <w:top w:val="single" w:sz="8" w:color="auto"/>
            </w:tcBorders>
          </w:tcPr>
          <w:p>
            <w:pPr>
              <w:spacing w:after="0"/>
              <w:rPr>
                <w:sz w:val="20"/>
                <w:szCs w:val="20"/>
                <w:color w:val="auto"/>
              </w:rPr>
            </w:pPr>
          </w:p>
        </w:tc>
        <w:tc>
          <w:tcPr>
            <w:tcW w:w="1520" w:type="dxa"/>
            <w:vAlign w:val="bottom"/>
            <w:tcBorders>
              <w:top w:val="single" w:sz="8" w:color="auto"/>
              <w:right w:val="single" w:sz="8" w:color="007CBA"/>
            </w:tcBorders>
          </w:tcPr>
          <w:p>
            <w:pPr>
              <w:jc w:val="right"/>
              <w:ind w:right="50"/>
              <w:spacing w:after="0" w:line="208" w:lineRule="exact"/>
              <w:rPr>
                <w:sz w:val="20"/>
                <w:szCs w:val="20"/>
                <w:color w:val="auto"/>
              </w:rPr>
            </w:pPr>
            <w:r>
              <w:rPr>
                <w:rFonts w:ascii="Calibri" w:cs="Calibri" w:eastAsia="Calibri" w:hAnsi="Calibri"/>
                <w:sz w:val="18"/>
                <w:szCs w:val="18"/>
                <w:color w:val="auto"/>
              </w:rPr>
              <w:t>4,810.0</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right w:val="single" w:sz="8" w:color="007CBA"/>
            </w:tcBorders>
          </w:tcPr>
          <w:p>
            <w:pPr>
              <w:jc w:val="right"/>
              <w:ind w:right="50"/>
              <w:spacing w:after="0" w:line="208" w:lineRule="exact"/>
              <w:rPr>
                <w:sz w:val="20"/>
                <w:szCs w:val="20"/>
                <w:color w:val="auto"/>
              </w:rPr>
            </w:pPr>
            <w:r>
              <w:rPr>
                <w:rFonts w:ascii="Calibri" w:cs="Calibri" w:eastAsia="Calibri" w:hAnsi="Calibri"/>
                <w:sz w:val="18"/>
                <w:szCs w:val="18"/>
                <w:color w:val="auto"/>
              </w:rPr>
              <w:t>305.3</w:t>
            </w:r>
          </w:p>
        </w:tc>
        <w:tc>
          <w:tcPr>
            <w:tcW w:w="4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5,115.3</w:t>
            </w:r>
          </w:p>
        </w:tc>
      </w:tr>
      <w:tr>
        <w:trPr>
          <w:trHeight w:val="248"/>
        </w:trPr>
        <w:tc>
          <w:tcPr>
            <w:tcW w:w="582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Magnesia Specialtes</w:t>
            </w:r>
          </w:p>
        </w:tc>
        <w:tc>
          <w:tcPr>
            <w:tcW w:w="340" w:type="dxa"/>
            <w:vAlign w:val="bottom"/>
            <w:tcBorders>
              <w:bottom w:val="single" w:sz="8" w:color="E5F1F8"/>
            </w:tcBorders>
            <w:shd w:val="clear" w:color="auto" w:fill="E5F1F8"/>
          </w:tcPr>
          <w:p>
            <w:pPr>
              <w:spacing w:after="0"/>
              <w:rPr>
                <w:sz w:val="21"/>
                <w:szCs w:val="21"/>
                <w:color w:val="auto"/>
              </w:rPr>
            </w:pPr>
          </w:p>
        </w:tc>
        <w:tc>
          <w:tcPr>
            <w:tcW w:w="152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274.7</w:t>
            </w:r>
          </w:p>
        </w:tc>
        <w:tc>
          <w:tcPr>
            <w:tcW w:w="440" w:type="dxa"/>
            <w:vAlign w:val="bottom"/>
            <w:tcBorders>
              <w:bottom w:val="single" w:sz="8" w:color="E5F1F8"/>
            </w:tcBorders>
            <w:shd w:val="clear" w:color="auto" w:fill="E5F1F8"/>
          </w:tcPr>
          <w:p>
            <w:pPr>
              <w:spacing w:after="0"/>
              <w:rPr>
                <w:sz w:val="21"/>
                <w:szCs w:val="21"/>
                <w:color w:val="auto"/>
              </w:rPr>
            </w:pPr>
          </w:p>
        </w:tc>
        <w:tc>
          <w:tcPr>
            <w:tcW w:w="138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24.0</w:t>
            </w:r>
          </w:p>
        </w:tc>
        <w:tc>
          <w:tcPr>
            <w:tcW w:w="460" w:type="dxa"/>
            <w:vAlign w:val="bottom"/>
            <w:tcBorders>
              <w:bottom w:val="single" w:sz="8" w:color="E5F1F8"/>
            </w:tcBorders>
            <w:shd w:val="clear" w:color="auto" w:fill="E5F1F8"/>
          </w:tcPr>
          <w:p>
            <w:pPr>
              <w:spacing w:after="0"/>
              <w:rPr>
                <w:sz w:val="21"/>
                <w:szCs w:val="21"/>
                <w:color w:val="auto"/>
              </w:rPr>
            </w:pPr>
          </w:p>
        </w:tc>
        <w:tc>
          <w:tcPr>
            <w:tcW w:w="128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298.7</w:t>
            </w:r>
          </w:p>
        </w:tc>
      </w:tr>
      <w:tr>
        <w:trPr>
          <w:trHeight w:val="208"/>
        </w:trPr>
        <w:tc>
          <w:tcPr>
            <w:tcW w:w="582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w:t>
            </w:r>
          </w:p>
        </w:tc>
        <w:tc>
          <w:tcPr>
            <w:tcW w:w="340" w:type="dxa"/>
            <w:vAlign w:val="bottom"/>
            <w:tcBorders>
              <w:top w:val="single" w:sz="8" w:color="auto"/>
            </w:tcBorders>
          </w:tcPr>
          <w:p>
            <w:pPr>
              <w:jc w:val="right"/>
              <w:ind w:right="10"/>
              <w:spacing w:after="0" w:line="208" w:lineRule="exact"/>
              <w:rPr>
                <w:sz w:val="20"/>
                <w:szCs w:val="20"/>
                <w:color w:val="auto"/>
              </w:rPr>
            </w:pPr>
            <w:r>
              <w:rPr>
                <w:rFonts w:ascii="Calibri" w:cs="Calibri" w:eastAsia="Calibri" w:hAnsi="Calibri"/>
                <w:sz w:val="18"/>
                <w:szCs w:val="18"/>
                <w:color w:val="auto"/>
              </w:rPr>
              <w:t>$</w:t>
            </w:r>
          </w:p>
        </w:tc>
        <w:tc>
          <w:tcPr>
            <w:tcW w:w="152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color w:val="auto"/>
              </w:rPr>
              <w:t>5,084.7</w:t>
            </w:r>
          </w:p>
        </w:tc>
        <w:tc>
          <w:tcPr>
            <w:tcW w:w="44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38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color w:val="auto"/>
              </w:rPr>
              <w:t>329.3</w:t>
            </w:r>
          </w:p>
        </w:tc>
        <w:tc>
          <w:tcPr>
            <w:tcW w:w="460" w:type="dxa"/>
            <w:vAlign w:val="bottom"/>
            <w:tcBorders>
              <w:top w:val="single" w:sz="8" w:color="auto"/>
            </w:tcBorders>
          </w:tcPr>
          <w:p>
            <w:pPr>
              <w:jc w:val="right"/>
              <w:ind w:right="150"/>
              <w:spacing w:after="0" w:line="208" w:lineRule="exact"/>
              <w:rPr>
                <w:sz w:val="20"/>
                <w:szCs w:val="20"/>
                <w:color w:val="auto"/>
              </w:rPr>
            </w:pPr>
            <w:r>
              <w:rPr>
                <w:rFonts w:ascii="Calibri" w:cs="Calibri" w:eastAsia="Calibri" w:hAnsi="Calibri"/>
                <w:sz w:val="18"/>
                <w:szCs w:val="18"/>
                <w:color w:val="auto"/>
              </w:rPr>
              <w:t>$</w:t>
            </w:r>
          </w:p>
        </w:tc>
        <w:tc>
          <w:tcPr>
            <w:tcW w:w="128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5,414.0</w:t>
            </w:r>
          </w:p>
        </w:tc>
      </w:tr>
      <w:tr>
        <w:trPr>
          <w:trHeight w:val="28"/>
        </w:trPr>
        <w:tc>
          <w:tcPr>
            <w:tcW w:w="5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5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5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3"/>
        </w:trPr>
        <w:tc>
          <w:tcPr>
            <w:tcW w:w="5820" w:type="dxa"/>
            <w:vAlign w:val="bottom"/>
            <w:tcBorders>
              <w:bottom w:val="single" w:sz="8" w:color="007CBA"/>
              <w:right w:val="single" w:sz="8" w:color="007CBA"/>
            </w:tcBorders>
            <w:shd w:val="clear" w:color="auto" w:fill="007CBA"/>
          </w:tcPr>
          <w:p>
            <w:pPr>
              <w:spacing w:after="0"/>
              <w:rPr>
                <w:sz w:val="19"/>
                <w:szCs w:val="19"/>
                <w:color w:val="auto"/>
              </w:rPr>
            </w:pPr>
          </w:p>
        </w:tc>
        <w:tc>
          <w:tcPr>
            <w:tcW w:w="340" w:type="dxa"/>
            <w:vAlign w:val="bottom"/>
            <w:tcBorders>
              <w:bottom w:val="single" w:sz="8" w:color="007CBA"/>
            </w:tcBorders>
            <w:shd w:val="clear" w:color="auto" w:fill="007CBA"/>
          </w:tcPr>
          <w:p>
            <w:pPr>
              <w:spacing w:after="0"/>
              <w:rPr>
                <w:sz w:val="19"/>
                <w:szCs w:val="19"/>
                <w:color w:val="auto"/>
              </w:rPr>
            </w:pPr>
          </w:p>
        </w:tc>
        <w:tc>
          <w:tcPr>
            <w:tcW w:w="1520" w:type="dxa"/>
            <w:vAlign w:val="bottom"/>
            <w:tcBorders>
              <w:bottom w:val="single" w:sz="8" w:color="007CBA"/>
              <w:right w:val="single" w:sz="8" w:color="007CBA"/>
            </w:tcBorders>
            <w:shd w:val="clear" w:color="auto" w:fill="007CBA"/>
          </w:tcPr>
          <w:p>
            <w:pPr>
              <w:spacing w:after="0"/>
              <w:rPr>
                <w:sz w:val="19"/>
                <w:szCs w:val="19"/>
                <w:color w:val="auto"/>
              </w:rPr>
            </w:pPr>
          </w:p>
        </w:tc>
        <w:tc>
          <w:tcPr>
            <w:tcW w:w="440" w:type="dxa"/>
            <w:vAlign w:val="bottom"/>
            <w:tcBorders>
              <w:bottom w:val="single" w:sz="8" w:color="007CBA"/>
            </w:tcBorders>
            <w:shd w:val="clear" w:color="auto" w:fill="007CBA"/>
          </w:tcPr>
          <w:p>
            <w:pPr>
              <w:spacing w:after="0"/>
              <w:rPr>
                <w:sz w:val="19"/>
                <w:szCs w:val="19"/>
                <w:color w:val="auto"/>
              </w:rPr>
            </w:pPr>
          </w:p>
        </w:tc>
        <w:tc>
          <w:tcPr>
            <w:tcW w:w="1380" w:type="dxa"/>
            <w:vAlign w:val="bottom"/>
            <w:tcBorders>
              <w:bottom w:val="single" w:sz="8" w:color="007CBA"/>
              <w:right w:val="single" w:sz="8" w:color="007CBA"/>
            </w:tcBorders>
            <w:shd w:val="clear" w:color="auto" w:fill="007CBA"/>
          </w:tcPr>
          <w:p>
            <w:pPr>
              <w:jc w:val="right"/>
              <w:ind w:right="690"/>
              <w:spacing w:after="0" w:line="215" w:lineRule="exact"/>
              <w:rPr>
                <w:sz w:val="20"/>
                <w:szCs w:val="20"/>
                <w:color w:val="auto"/>
              </w:rPr>
            </w:pPr>
            <w:r>
              <w:rPr>
                <w:rFonts w:ascii="Calibri" w:cs="Calibri" w:eastAsia="Calibri" w:hAnsi="Calibri"/>
                <w:sz w:val="18"/>
                <w:szCs w:val="18"/>
                <w:color w:val="FFFFFF"/>
              </w:rPr>
              <w:t>2020</w:t>
            </w:r>
          </w:p>
        </w:tc>
        <w:tc>
          <w:tcPr>
            <w:tcW w:w="460" w:type="dxa"/>
            <w:vAlign w:val="bottom"/>
            <w:tcBorders>
              <w:bottom w:val="single" w:sz="8" w:color="007CBA"/>
            </w:tcBorders>
            <w:shd w:val="clear" w:color="auto" w:fill="007CBA"/>
          </w:tcPr>
          <w:p>
            <w:pPr>
              <w:spacing w:after="0"/>
              <w:rPr>
                <w:sz w:val="19"/>
                <w:szCs w:val="19"/>
                <w:color w:val="auto"/>
              </w:rPr>
            </w:pPr>
          </w:p>
        </w:tc>
        <w:tc>
          <w:tcPr>
            <w:tcW w:w="1280" w:type="dxa"/>
            <w:vAlign w:val="bottom"/>
            <w:tcBorders>
              <w:bottom w:val="single" w:sz="8" w:color="007CBA"/>
            </w:tcBorders>
            <w:shd w:val="clear" w:color="auto" w:fill="007CBA"/>
          </w:tcPr>
          <w:p>
            <w:pPr>
              <w:spacing w:after="0"/>
              <w:rPr>
                <w:sz w:val="19"/>
                <w:szCs w:val="19"/>
                <w:color w:val="auto"/>
              </w:rPr>
            </w:pPr>
          </w:p>
        </w:tc>
      </w:tr>
      <w:tr>
        <w:trPr>
          <w:trHeight w:val="243"/>
        </w:trPr>
        <w:tc>
          <w:tcPr>
            <w:tcW w:w="582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East Group</w:t>
            </w:r>
          </w:p>
        </w:tc>
        <w:tc>
          <w:tcPr>
            <w:tcW w:w="3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5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1,826.6</w:t>
            </w:r>
          </w:p>
        </w:tc>
        <w:tc>
          <w:tcPr>
            <w:tcW w:w="44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3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122.5</w:t>
            </w:r>
          </w:p>
        </w:tc>
        <w:tc>
          <w:tcPr>
            <w:tcW w:w="4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1,949.1</w:t>
            </w:r>
          </w:p>
        </w:tc>
      </w:tr>
      <w:tr>
        <w:trPr>
          <w:trHeight w:val="248"/>
        </w:trPr>
        <w:tc>
          <w:tcPr>
            <w:tcW w:w="582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West Group</w:t>
            </w:r>
          </w:p>
        </w:tc>
        <w:tc>
          <w:tcPr>
            <w:tcW w:w="340" w:type="dxa"/>
            <w:vAlign w:val="bottom"/>
            <w:tcBorders>
              <w:bottom w:val="single" w:sz="8" w:color="E5F1F8"/>
            </w:tcBorders>
            <w:shd w:val="clear" w:color="auto" w:fill="E5F1F8"/>
          </w:tcPr>
          <w:p>
            <w:pPr>
              <w:spacing w:after="0"/>
              <w:rPr>
                <w:sz w:val="21"/>
                <w:szCs w:val="21"/>
                <w:color w:val="auto"/>
              </w:rPr>
            </w:pPr>
          </w:p>
        </w:tc>
        <w:tc>
          <w:tcPr>
            <w:tcW w:w="152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2,384.6</w:t>
            </w:r>
          </w:p>
        </w:tc>
        <w:tc>
          <w:tcPr>
            <w:tcW w:w="440" w:type="dxa"/>
            <w:vAlign w:val="bottom"/>
            <w:tcBorders>
              <w:bottom w:val="single" w:sz="8" w:color="E5F1F8"/>
            </w:tcBorders>
            <w:shd w:val="clear" w:color="auto" w:fill="E5F1F8"/>
          </w:tcPr>
          <w:p>
            <w:pPr>
              <w:spacing w:after="0"/>
              <w:rPr>
                <w:sz w:val="21"/>
                <w:szCs w:val="21"/>
                <w:color w:val="auto"/>
              </w:rPr>
            </w:pPr>
          </w:p>
        </w:tc>
        <w:tc>
          <w:tcPr>
            <w:tcW w:w="138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153.5</w:t>
            </w:r>
          </w:p>
        </w:tc>
        <w:tc>
          <w:tcPr>
            <w:tcW w:w="460" w:type="dxa"/>
            <w:vAlign w:val="bottom"/>
            <w:tcBorders>
              <w:bottom w:val="single" w:sz="8" w:color="E5F1F8"/>
            </w:tcBorders>
            <w:shd w:val="clear" w:color="auto" w:fill="E5F1F8"/>
          </w:tcPr>
          <w:p>
            <w:pPr>
              <w:spacing w:after="0"/>
              <w:rPr>
                <w:sz w:val="21"/>
                <w:szCs w:val="21"/>
                <w:color w:val="auto"/>
              </w:rPr>
            </w:pPr>
          </w:p>
        </w:tc>
        <w:tc>
          <w:tcPr>
            <w:tcW w:w="128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2,538.1</w:t>
            </w:r>
          </w:p>
        </w:tc>
      </w:tr>
      <w:tr>
        <w:trPr>
          <w:trHeight w:val="237"/>
        </w:trPr>
        <w:tc>
          <w:tcPr>
            <w:tcW w:w="582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color w:val="auto"/>
              </w:rPr>
              <w:t>Total Building Materials business</w:t>
            </w:r>
          </w:p>
        </w:tc>
        <w:tc>
          <w:tcPr>
            <w:tcW w:w="340" w:type="dxa"/>
            <w:vAlign w:val="bottom"/>
            <w:tcBorders>
              <w:top w:val="single" w:sz="8" w:color="auto"/>
            </w:tcBorders>
          </w:tcPr>
          <w:p>
            <w:pPr>
              <w:spacing w:after="0"/>
              <w:rPr>
                <w:sz w:val="20"/>
                <w:szCs w:val="20"/>
                <w:color w:val="auto"/>
              </w:rPr>
            </w:pPr>
          </w:p>
        </w:tc>
        <w:tc>
          <w:tcPr>
            <w:tcW w:w="1520" w:type="dxa"/>
            <w:vAlign w:val="bottom"/>
            <w:tcBorders>
              <w:top w:val="single" w:sz="8" w:color="auto"/>
              <w:right w:val="single" w:sz="8" w:color="007CBA"/>
            </w:tcBorders>
          </w:tcPr>
          <w:p>
            <w:pPr>
              <w:jc w:val="right"/>
              <w:ind w:right="50"/>
              <w:spacing w:after="0" w:line="208" w:lineRule="exact"/>
              <w:rPr>
                <w:sz w:val="20"/>
                <w:szCs w:val="20"/>
                <w:color w:val="auto"/>
              </w:rPr>
            </w:pPr>
            <w:r>
              <w:rPr>
                <w:rFonts w:ascii="Calibri" w:cs="Calibri" w:eastAsia="Calibri" w:hAnsi="Calibri"/>
                <w:sz w:val="18"/>
                <w:szCs w:val="18"/>
                <w:color w:val="auto"/>
              </w:rPr>
              <w:t>4,211.2</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right w:val="single" w:sz="8" w:color="007CBA"/>
            </w:tcBorders>
          </w:tcPr>
          <w:p>
            <w:pPr>
              <w:jc w:val="right"/>
              <w:ind w:right="50"/>
              <w:spacing w:after="0" w:line="208" w:lineRule="exact"/>
              <w:rPr>
                <w:sz w:val="20"/>
                <w:szCs w:val="20"/>
                <w:color w:val="auto"/>
              </w:rPr>
            </w:pPr>
            <w:r>
              <w:rPr>
                <w:rFonts w:ascii="Calibri" w:cs="Calibri" w:eastAsia="Calibri" w:hAnsi="Calibri"/>
                <w:sz w:val="18"/>
                <w:szCs w:val="18"/>
                <w:color w:val="auto"/>
              </w:rPr>
              <w:t>276.0</w:t>
            </w:r>
          </w:p>
        </w:tc>
        <w:tc>
          <w:tcPr>
            <w:tcW w:w="4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4,487.2</w:t>
            </w:r>
          </w:p>
        </w:tc>
      </w:tr>
      <w:tr>
        <w:trPr>
          <w:trHeight w:val="248"/>
        </w:trPr>
        <w:tc>
          <w:tcPr>
            <w:tcW w:w="582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Magnesia Specialtes</w:t>
            </w:r>
          </w:p>
        </w:tc>
        <w:tc>
          <w:tcPr>
            <w:tcW w:w="340" w:type="dxa"/>
            <w:vAlign w:val="bottom"/>
            <w:tcBorders>
              <w:bottom w:val="single" w:sz="8" w:color="E5F1F8"/>
            </w:tcBorders>
            <w:shd w:val="clear" w:color="auto" w:fill="E5F1F8"/>
          </w:tcPr>
          <w:p>
            <w:pPr>
              <w:spacing w:after="0"/>
              <w:rPr>
                <w:sz w:val="21"/>
                <w:szCs w:val="21"/>
                <w:color w:val="auto"/>
              </w:rPr>
            </w:pPr>
          </w:p>
        </w:tc>
        <w:tc>
          <w:tcPr>
            <w:tcW w:w="152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220.9</w:t>
            </w:r>
          </w:p>
        </w:tc>
        <w:tc>
          <w:tcPr>
            <w:tcW w:w="440" w:type="dxa"/>
            <w:vAlign w:val="bottom"/>
            <w:tcBorders>
              <w:bottom w:val="single" w:sz="8" w:color="E5F1F8"/>
            </w:tcBorders>
            <w:shd w:val="clear" w:color="auto" w:fill="E5F1F8"/>
          </w:tcPr>
          <w:p>
            <w:pPr>
              <w:spacing w:after="0"/>
              <w:rPr>
                <w:sz w:val="21"/>
                <w:szCs w:val="21"/>
                <w:color w:val="auto"/>
              </w:rPr>
            </w:pPr>
          </w:p>
        </w:tc>
        <w:tc>
          <w:tcPr>
            <w:tcW w:w="138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21.8</w:t>
            </w:r>
          </w:p>
        </w:tc>
        <w:tc>
          <w:tcPr>
            <w:tcW w:w="460" w:type="dxa"/>
            <w:vAlign w:val="bottom"/>
            <w:tcBorders>
              <w:bottom w:val="single" w:sz="8" w:color="E5F1F8"/>
            </w:tcBorders>
            <w:shd w:val="clear" w:color="auto" w:fill="E5F1F8"/>
          </w:tcPr>
          <w:p>
            <w:pPr>
              <w:spacing w:after="0"/>
              <w:rPr>
                <w:sz w:val="21"/>
                <w:szCs w:val="21"/>
                <w:color w:val="auto"/>
              </w:rPr>
            </w:pPr>
          </w:p>
        </w:tc>
        <w:tc>
          <w:tcPr>
            <w:tcW w:w="128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242.7</w:t>
            </w:r>
          </w:p>
        </w:tc>
      </w:tr>
      <w:tr>
        <w:trPr>
          <w:trHeight w:val="208"/>
        </w:trPr>
        <w:tc>
          <w:tcPr>
            <w:tcW w:w="582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w:t>
            </w:r>
          </w:p>
        </w:tc>
        <w:tc>
          <w:tcPr>
            <w:tcW w:w="340" w:type="dxa"/>
            <w:vAlign w:val="bottom"/>
            <w:tcBorders>
              <w:top w:val="single" w:sz="8" w:color="auto"/>
            </w:tcBorders>
          </w:tcPr>
          <w:p>
            <w:pPr>
              <w:jc w:val="right"/>
              <w:ind w:right="10"/>
              <w:spacing w:after="0" w:line="208" w:lineRule="exact"/>
              <w:rPr>
                <w:sz w:val="20"/>
                <w:szCs w:val="20"/>
                <w:color w:val="auto"/>
              </w:rPr>
            </w:pPr>
            <w:r>
              <w:rPr>
                <w:rFonts w:ascii="Calibri" w:cs="Calibri" w:eastAsia="Calibri" w:hAnsi="Calibri"/>
                <w:sz w:val="18"/>
                <w:szCs w:val="18"/>
                <w:color w:val="auto"/>
              </w:rPr>
              <w:t>$</w:t>
            </w:r>
          </w:p>
        </w:tc>
        <w:tc>
          <w:tcPr>
            <w:tcW w:w="152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color w:val="auto"/>
              </w:rPr>
              <w:t>4,432.1</w:t>
            </w:r>
          </w:p>
        </w:tc>
        <w:tc>
          <w:tcPr>
            <w:tcW w:w="44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38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color w:val="auto"/>
              </w:rPr>
              <w:t>297.8</w:t>
            </w:r>
          </w:p>
        </w:tc>
        <w:tc>
          <w:tcPr>
            <w:tcW w:w="460" w:type="dxa"/>
            <w:vAlign w:val="bottom"/>
            <w:tcBorders>
              <w:top w:val="single" w:sz="8" w:color="auto"/>
            </w:tcBorders>
          </w:tcPr>
          <w:p>
            <w:pPr>
              <w:jc w:val="right"/>
              <w:ind w:right="150"/>
              <w:spacing w:after="0" w:line="208" w:lineRule="exact"/>
              <w:rPr>
                <w:sz w:val="20"/>
                <w:szCs w:val="20"/>
                <w:color w:val="auto"/>
              </w:rPr>
            </w:pPr>
            <w:r>
              <w:rPr>
                <w:rFonts w:ascii="Calibri" w:cs="Calibri" w:eastAsia="Calibri" w:hAnsi="Calibri"/>
                <w:sz w:val="18"/>
                <w:szCs w:val="18"/>
                <w:color w:val="auto"/>
              </w:rPr>
              <w:t>$</w:t>
            </w:r>
          </w:p>
        </w:tc>
        <w:tc>
          <w:tcPr>
            <w:tcW w:w="128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4,729.9</w:t>
            </w:r>
          </w:p>
        </w:tc>
      </w:tr>
      <w:tr>
        <w:trPr>
          <w:trHeight w:val="28"/>
        </w:trPr>
        <w:tc>
          <w:tcPr>
            <w:tcW w:w="5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5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-3222625</wp:posOffset>
            </wp:positionV>
            <wp:extent cx="344614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344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-2917825</wp:posOffset>
            </wp:positionV>
            <wp:extent cx="7132320" cy="8274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74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-1795145</wp:posOffset>
            </wp:positionV>
            <wp:extent cx="7132320" cy="8274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7132320" cy="8274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-671830</wp:posOffset>
            </wp:positionV>
            <wp:extent cx="7132320" cy="6851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32320" cy="685165"/>
                    </a:xfrm>
                    <a:prstGeom prst="rect">
                      <a:avLst/>
                    </a:prstGeom>
                    <a:noFill/>
                  </pic:spPr>
                </pic:pic>
              </a:graphicData>
            </a:graphic>
          </wp:anchor>
        </w:drawing>
      </w:r>
    </w:p>
    <w:p>
      <w:pPr>
        <w:spacing w:after="0" w:line="1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Contract Balances. </w:t>
      </w:r>
      <w:r>
        <w:rPr>
          <w:rFonts w:ascii="Calibri" w:cs="Calibri" w:eastAsia="Calibri" w:hAnsi="Calibri"/>
          <w:sz w:val="18"/>
          <w:szCs w:val="18"/>
          <w:color w:val="000000"/>
        </w:rPr>
        <w:t>Costs in excess of billings relate to the conditonal right to consideraton for completed contractual performance and are contract assets</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on the consolidated balance sheets. Costs in excess of billings are reclassifed to accounts receivable when the right to consideraton becomes unconditonal. Billings in excess of costs relate to customers invoiced in advance of contractual performance and are contract liabilites on the consolidated balance sheets. The following table presents informaton about the Company’s contract balances: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58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December 31</w:t>
            </w:r>
          </w:p>
        </w:tc>
        <w:tc>
          <w:tcPr>
            <w:tcW w:w="720" w:type="dxa"/>
            <w:vAlign w:val="bottom"/>
            <w:shd w:val="clear" w:color="auto" w:fill="007CBA"/>
          </w:tcPr>
          <w:p>
            <w:pPr>
              <w:spacing w:after="0"/>
              <w:rPr>
                <w:sz w:val="20"/>
                <w:szCs w:val="20"/>
                <w:color w:val="auto"/>
              </w:rPr>
            </w:pPr>
          </w:p>
        </w:tc>
        <w:tc>
          <w:tcPr>
            <w:tcW w:w="1640" w:type="dxa"/>
            <w:vAlign w:val="bottom"/>
            <w:tcBorders>
              <w:right w:val="single" w:sz="8" w:color="007CBA"/>
            </w:tcBorders>
            <w:shd w:val="clear" w:color="auto" w:fill="007CBA"/>
          </w:tcPr>
          <w:p>
            <w:pPr>
              <w:spacing w:after="0"/>
              <w:rPr>
                <w:sz w:val="20"/>
                <w:szCs w:val="20"/>
                <w:color w:val="auto"/>
              </w:rPr>
            </w:pPr>
          </w:p>
        </w:tc>
        <w:tc>
          <w:tcPr>
            <w:tcW w:w="700" w:type="dxa"/>
            <w:vAlign w:val="bottom"/>
            <w:shd w:val="clear" w:color="auto" w:fill="007CBA"/>
          </w:tcPr>
          <w:p>
            <w:pPr>
              <w:spacing w:after="0"/>
              <w:rPr>
                <w:sz w:val="20"/>
                <w:szCs w:val="20"/>
                <w:color w:val="auto"/>
              </w:rPr>
            </w:pPr>
          </w:p>
        </w:tc>
        <w:tc>
          <w:tcPr>
            <w:tcW w:w="1600" w:type="dxa"/>
            <w:vAlign w:val="bottom"/>
            <w:shd w:val="clear" w:color="auto" w:fill="007CBA"/>
          </w:tcPr>
          <w:p>
            <w:pPr>
              <w:spacing w:after="0"/>
              <w:rPr>
                <w:sz w:val="20"/>
                <w:szCs w:val="20"/>
                <w:color w:val="auto"/>
              </w:rPr>
            </w:pPr>
          </w:p>
        </w:tc>
      </w:tr>
      <w:tr>
        <w:trPr>
          <w:trHeight w:val="231"/>
        </w:trPr>
        <w:tc>
          <w:tcPr>
            <w:tcW w:w="658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720" w:type="dxa"/>
            <w:vAlign w:val="bottom"/>
            <w:tcBorders>
              <w:bottom w:val="single" w:sz="8" w:color="007CBA"/>
            </w:tcBorders>
            <w:shd w:val="clear" w:color="auto" w:fill="007CBA"/>
          </w:tcPr>
          <w:p>
            <w:pPr>
              <w:spacing w:after="0"/>
              <w:rPr>
                <w:sz w:val="20"/>
                <w:szCs w:val="20"/>
                <w:color w:val="auto"/>
              </w:rPr>
            </w:pPr>
          </w:p>
        </w:tc>
        <w:tc>
          <w:tcPr>
            <w:tcW w:w="1640" w:type="dxa"/>
            <w:vAlign w:val="bottom"/>
            <w:tcBorders>
              <w:bottom w:val="single" w:sz="8" w:color="007CBA"/>
              <w:right w:val="single" w:sz="8" w:color="007CBA"/>
            </w:tcBorders>
            <w:shd w:val="clear" w:color="auto" w:fill="007CBA"/>
          </w:tcPr>
          <w:p>
            <w:pPr>
              <w:jc w:val="right"/>
              <w:ind w:right="830"/>
              <w:spacing w:after="0" w:line="215" w:lineRule="exact"/>
              <w:rPr>
                <w:sz w:val="20"/>
                <w:szCs w:val="20"/>
                <w:color w:val="auto"/>
              </w:rPr>
            </w:pPr>
            <w:r>
              <w:rPr>
                <w:rFonts w:ascii="Calibri" w:cs="Calibri" w:eastAsia="Calibri" w:hAnsi="Calibri"/>
                <w:sz w:val="18"/>
                <w:szCs w:val="18"/>
                <w:b w:val="1"/>
                <w:bCs w:val="1"/>
                <w:color w:val="FFFFFF"/>
              </w:rPr>
              <w:t>2022</w:t>
            </w:r>
          </w:p>
        </w:tc>
        <w:tc>
          <w:tcPr>
            <w:tcW w:w="700" w:type="dxa"/>
            <w:vAlign w:val="bottom"/>
            <w:tcBorders>
              <w:bottom w:val="single" w:sz="8" w:color="007CBA"/>
            </w:tcBorders>
            <w:shd w:val="clear" w:color="auto" w:fill="007CBA"/>
          </w:tcPr>
          <w:p>
            <w:pPr>
              <w:spacing w:after="0"/>
              <w:rPr>
                <w:sz w:val="20"/>
                <w:szCs w:val="20"/>
                <w:color w:val="auto"/>
              </w:rPr>
            </w:pPr>
          </w:p>
        </w:tc>
        <w:tc>
          <w:tcPr>
            <w:tcW w:w="1600" w:type="dxa"/>
            <w:vAlign w:val="bottom"/>
            <w:tcBorders>
              <w:bottom w:val="single" w:sz="8" w:color="007CBA"/>
            </w:tcBorders>
            <w:shd w:val="clear" w:color="auto" w:fill="007CBA"/>
          </w:tcPr>
          <w:p>
            <w:pPr>
              <w:jc w:val="right"/>
              <w:ind w:right="810"/>
              <w:spacing w:after="0" w:line="215" w:lineRule="exact"/>
              <w:rPr>
                <w:sz w:val="20"/>
                <w:szCs w:val="20"/>
                <w:color w:val="auto"/>
              </w:rPr>
            </w:pPr>
            <w:r>
              <w:rPr>
                <w:rFonts w:ascii="Calibri" w:cs="Calibri" w:eastAsia="Calibri" w:hAnsi="Calibri"/>
                <w:sz w:val="18"/>
                <w:szCs w:val="18"/>
                <w:color w:val="FFFFFF"/>
              </w:rPr>
              <w:t>2021</w:t>
            </w:r>
          </w:p>
        </w:tc>
      </w:tr>
      <w:tr>
        <w:trPr>
          <w:trHeight w:val="243"/>
        </w:trPr>
        <w:tc>
          <w:tcPr>
            <w:tcW w:w="65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Costs in excess of billings</w:t>
            </w:r>
          </w:p>
        </w:tc>
        <w:tc>
          <w:tcPr>
            <w:tcW w:w="720" w:type="dxa"/>
            <w:vAlign w:val="bottom"/>
          </w:tcPr>
          <w:p>
            <w:pPr>
              <w:jc w:val="right"/>
              <w:ind w:right="250"/>
              <w:spacing w:after="0" w:line="215" w:lineRule="exact"/>
              <w:rPr>
                <w:sz w:val="20"/>
                <w:szCs w:val="20"/>
                <w:color w:val="auto"/>
              </w:rPr>
            </w:pPr>
            <w:r>
              <w:rPr>
                <w:rFonts w:ascii="Calibri" w:cs="Calibri" w:eastAsia="Calibri" w:hAnsi="Calibri"/>
                <w:sz w:val="18"/>
                <w:szCs w:val="18"/>
                <w:b w:val="1"/>
                <w:bCs w:val="1"/>
                <w:color w:val="auto"/>
              </w:rPr>
              <w:t>$</w:t>
            </w:r>
          </w:p>
        </w:tc>
        <w:tc>
          <w:tcPr>
            <w:tcW w:w="16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5.1</w:t>
            </w:r>
          </w:p>
        </w:tc>
        <w:tc>
          <w:tcPr>
            <w:tcW w:w="700" w:type="dxa"/>
            <w:vAlign w:val="bottom"/>
          </w:tcPr>
          <w:p>
            <w:pPr>
              <w:jc w:val="right"/>
              <w:ind w:right="250"/>
              <w:spacing w:after="0" w:line="215" w:lineRule="exact"/>
              <w:rPr>
                <w:sz w:val="20"/>
                <w:szCs w:val="20"/>
                <w:color w:val="auto"/>
              </w:rPr>
            </w:pPr>
            <w:r>
              <w:rPr>
                <w:rFonts w:ascii="Calibri" w:cs="Calibri" w:eastAsia="Calibri" w:hAnsi="Calibri"/>
                <w:sz w:val="18"/>
                <w:szCs w:val="18"/>
                <w:color w:val="auto"/>
              </w:rPr>
              <w:t>$</w:t>
            </w:r>
          </w:p>
        </w:tc>
        <w:tc>
          <w:tcPr>
            <w:tcW w:w="16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4.3</w:t>
            </w:r>
          </w:p>
        </w:tc>
      </w:tr>
      <w:tr>
        <w:trPr>
          <w:trHeight w:val="223"/>
        </w:trPr>
        <w:tc>
          <w:tcPr>
            <w:tcW w:w="658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Billings in excess of costs</w:t>
            </w:r>
          </w:p>
        </w:tc>
        <w:tc>
          <w:tcPr>
            <w:tcW w:w="720" w:type="dxa"/>
            <w:vAlign w:val="bottom"/>
            <w:tcBorders>
              <w:bottom w:val="single" w:sz="8" w:color="E5F1F8"/>
            </w:tcBorders>
            <w:shd w:val="clear" w:color="auto" w:fill="E5F1F8"/>
          </w:tcPr>
          <w:p>
            <w:pPr>
              <w:jc w:val="right"/>
              <w:ind w:right="250"/>
              <w:spacing w:after="0" w:line="215" w:lineRule="exact"/>
              <w:rPr>
                <w:sz w:val="20"/>
                <w:szCs w:val="20"/>
                <w:color w:val="auto"/>
              </w:rPr>
            </w:pPr>
            <w:r>
              <w:rPr>
                <w:rFonts w:ascii="Calibri" w:cs="Calibri" w:eastAsia="Calibri" w:hAnsi="Calibri"/>
                <w:sz w:val="18"/>
                <w:szCs w:val="18"/>
                <w:b w:val="1"/>
                <w:bCs w:val="1"/>
                <w:color w:val="auto"/>
              </w:rPr>
              <w:t>$</w:t>
            </w:r>
          </w:p>
        </w:tc>
        <w:tc>
          <w:tcPr>
            <w:tcW w:w="164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10.5</w:t>
            </w:r>
          </w:p>
        </w:tc>
        <w:tc>
          <w:tcPr>
            <w:tcW w:w="700" w:type="dxa"/>
            <w:vAlign w:val="bottom"/>
            <w:tcBorders>
              <w:bottom w:val="single" w:sz="8" w:color="E5F1F8"/>
            </w:tcBorders>
            <w:shd w:val="clear" w:color="auto" w:fill="E5F1F8"/>
          </w:tcPr>
          <w:p>
            <w:pPr>
              <w:jc w:val="right"/>
              <w:ind w:right="250"/>
              <w:spacing w:after="0" w:line="215" w:lineRule="exact"/>
              <w:rPr>
                <w:sz w:val="20"/>
                <w:szCs w:val="20"/>
                <w:color w:val="auto"/>
              </w:rPr>
            </w:pPr>
            <w:r>
              <w:rPr>
                <w:rFonts w:ascii="Calibri" w:cs="Calibri" w:eastAsia="Calibri" w:hAnsi="Calibri"/>
                <w:sz w:val="18"/>
                <w:szCs w:val="18"/>
                <w:color w:val="auto"/>
              </w:rPr>
              <w:t>$</w:t>
            </w:r>
          </w:p>
        </w:tc>
        <w:tc>
          <w:tcPr>
            <w:tcW w:w="160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7.8</w:t>
            </w:r>
          </w:p>
        </w:tc>
      </w:tr>
      <w:tr>
        <w:trPr>
          <w:trHeight w:val="20"/>
        </w:trPr>
        <w:tc>
          <w:tcPr>
            <w:tcW w:w="658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4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-175260</wp:posOffset>
            </wp:positionV>
            <wp:extent cx="34290" cy="18859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34290" cy="188595"/>
                    </a:xfrm>
                    <a:prstGeom prst="rect">
                      <a:avLst/>
                    </a:prstGeom>
                    <a:noFill/>
                  </pic:spPr>
                </pic:pic>
              </a:graphicData>
            </a:graphic>
          </wp:anchor>
        </w:drawing>
        <w:drawing>
          <wp:anchor simplePos="0" relativeHeight="251657728" behindDoc="1" locked="0" layoutInCell="0" allowOverlap="1">
            <wp:simplePos x="0" y="0"/>
            <wp:positionH relativeFrom="column">
              <wp:posOffset>5650230</wp:posOffset>
            </wp:positionH>
            <wp:positionV relativeFrom="paragraph">
              <wp:posOffset>-175260</wp:posOffset>
            </wp:positionV>
            <wp:extent cx="33655" cy="18859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33655" cy="188595"/>
                    </a:xfrm>
                    <a:prstGeom prst="rect">
                      <a:avLst/>
                    </a:prstGeom>
                    <a:noFill/>
                  </pic:spPr>
                </pic:pic>
              </a:graphicData>
            </a:graphic>
          </wp:anchor>
        </w:drawing>
      </w:r>
    </w:p>
    <w:p>
      <w:pPr>
        <w:spacing w:after="0" w:line="13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Revenues recognized from the beginning balance of contract liabilites for the years ended December 31, 2022 and 2021 were $7.7 million and $13.6 million, respectvely.</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Retainage, which primarily relates to the paving services, represents amounts that have been billed to customers but payment withheld untl fnal acceptance of the performance obligaton by the customer. Included in </w:t>
      </w:r>
      <w:r>
        <w:rPr>
          <w:rFonts w:ascii="Calibri" w:cs="Calibri" w:eastAsia="Calibri" w:hAnsi="Calibri"/>
          <w:sz w:val="18"/>
          <w:szCs w:val="18"/>
          <w:i w:val="1"/>
          <w:iCs w:val="1"/>
          <w:color w:val="auto"/>
        </w:rPr>
        <w:t>Other current assets</w:t>
      </w:r>
      <w:r>
        <w:rPr>
          <w:rFonts w:ascii="Calibri" w:cs="Calibri" w:eastAsia="Calibri" w:hAnsi="Calibri"/>
          <w:sz w:val="18"/>
          <w:szCs w:val="18"/>
          <w:color w:val="auto"/>
        </w:rPr>
        <w:t xml:space="preserve"> on the Company’s consolidated balance sheets, retainage was $13.4 million and $10.5 million at December 31, 2022 and 2021, respectvely.</w:t>
      </w:r>
    </w:p>
    <w:p>
      <w:pPr>
        <w:spacing w:after="0" w:line="21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C: Business Combinatons, Divesttures, Discontnued Operatons and Assets and Liabilites Held for Sale</w:t>
      </w:r>
    </w:p>
    <w:p>
      <w:pPr>
        <w:spacing w:after="0" w:line="57"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Business Combinatons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Total revenues and earnings from operatons atributable to contnuing operatons acquired in 2021 (as subsequently described) included in the consolidated statement of earnings were $338.6 million and $12.1 million, respectvely, for the year ended December 31, 2021. Total acquisiton and integraton expenses were $57.9 million for the year ended December 31, 2021 and were primarily related to the acquisiton of Lehigh Hanson, Inc.'s West Region business (Lehigh West Region).</w:t>
      </w:r>
    </w:p>
    <w:p>
      <w:pPr>
        <w:spacing w:after="0" w:line="5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Lehigh West Region. </w:t>
      </w:r>
      <w:r>
        <w:rPr>
          <w:rFonts w:ascii="Calibri" w:cs="Calibri" w:eastAsia="Calibri" w:hAnsi="Calibri"/>
          <w:sz w:val="18"/>
          <w:szCs w:val="18"/>
          <w:color w:val="000000"/>
        </w:rPr>
        <w:t>In October 2021, the Company completed the acquisiton of Lehigh West Region for $2.26 billion. The acquisiton was primarily fnanced</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using proceeds from the issuance of publicly traded debt. These operatons provided an upstream, materials-led growth platorm across several of the naton’s largest and fastest-growing megaregions in California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6751320</wp:posOffset>
            </wp:positionH>
            <wp:positionV relativeFrom="paragraph">
              <wp:posOffset>92710</wp:posOffset>
            </wp:positionV>
            <wp:extent cx="325755" cy="1968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9"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88" w:name="page89"/>
    <w:bookmarkEnd w:id="88"/>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Arizona, solidifying the Company’s positon as a leading coast-to-coast aggregates producer. The results from the acquired business are included in the Company’s West Group.</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determined the acquisiton-date fair values of assets acquired and liabilites assumed. Notably, during the year ended December 31, 2022, the Company reduced the acquisiton-date fair value of intangible assets, other than goodwill, by $119.5 million; increased the acquisiton-date fair value of asset retrement obligatons and other liabilites assumed by $115.7 million; and increased goodwill by $233.1 million. As of December 31, 2022, the measurement period is closed. The following is a summary of the fair values of the assets acquired and the liabilites assumed as of the acquisiton date: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00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color w:val="FFFFFF"/>
              </w:rPr>
              <w:t>(in millions)</w:t>
            </w:r>
          </w:p>
        </w:tc>
        <w:tc>
          <w:tcPr>
            <w:tcW w:w="960" w:type="dxa"/>
            <w:vAlign w:val="bottom"/>
            <w:shd w:val="clear" w:color="auto" w:fill="007CBA"/>
          </w:tcPr>
          <w:p>
            <w:pPr>
              <w:spacing w:after="0"/>
              <w:rPr>
                <w:sz w:val="21"/>
                <w:szCs w:val="21"/>
                <w:color w:val="auto"/>
              </w:rPr>
            </w:pPr>
          </w:p>
        </w:tc>
        <w:tc>
          <w:tcPr>
            <w:tcW w:w="1280" w:type="dxa"/>
            <w:vAlign w:val="bottom"/>
            <w:shd w:val="clear" w:color="auto" w:fill="007CBA"/>
          </w:tcPr>
          <w:p>
            <w:pPr>
              <w:spacing w:after="0"/>
              <w:rPr>
                <w:sz w:val="21"/>
                <w:szCs w:val="21"/>
                <w:color w:val="auto"/>
              </w:rPr>
            </w:pPr>
          </w:p>
        </w:tc>
      </w:tr>
      <w:tr>
        <w:trPr>
          <w:trHeight w:val="215"/>
        </w:trPr>
        <w:tc>
          <w:tcPr>
            <w:tcW w:w="90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Assets:</w:t>
            </w:r>
          </w:p>
        </w:tc>
        <w:tc>
          <w:tcPr>
            <w:tcW w:w="9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8"/>
        </w:trPr>
        <w:tc>
          <w:tcPr>
            <w:tcW w:w="9000" w:type="dxa"/>
            <w:vAlign w:val="bottom"/>
            <w:tcBorders>
              <w:right w:val="single" w:sz="8" w:color="007CBA"/>
            </w:tcBorders>
          </w:tcPr>
          <w:p>
            <w:pPr>
              <w:spacing w:after="0"/>
              <w:rPr>
                <w:sz w:val="2"/>
                <w:szCs w:val="2"/>
                <w:color w:val="auto"/>
              </w:rPr>
            </w:pPr>
          </w:p>
        </w:tc>
        <w:tc>
          <w:tcPr>
            <w:tcW w:w="9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900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Inventories</w:t>
            </w:r>
          </w:p>
        </w:tc>
        <w:tc>
          <w:tcPr>
            <w:tcW w:w="960" w:type="dxa"/>
            <w:vAlign w:val="bottom"/>
            <w:tcBorders>
              <w:bottom w:val="single" w:sz="8" w:color="E5F1F8"/>
            </w:tcBorders>
            <w:shd w:val="clear" w:color="auto" w:fill="E5F1F8"/>
          </w:tcPr>
          <w:p>
            <w:pPr>
              <w:jc w:val="right"/>
              <w:ind w:right="530"/>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90.9</w:t>
            </w:r>
          </w:p>
        </w:tc>
      </w:tr>
      <w:tr>
        <w:trPr>
          <w:trHeight w:val="243"/>
        </w:trPr>
        <w:tc>
          <w:tcPr>
            <w:tcW w:w="9000" w:type="dxa"/>
            <w:vAlign w:val="bottom"/>
            <w:tcBorders>
              <w:right w:val="single" w:sz="8" w:color="007CBA"/>
            </w:tcBorders>
          </w:tcPr>
          <w:p>
            <w:pPr>
              <w:ind w:left="120"/>
              <w:spacing w:after="0" w:line="243" w:lineRule="exact"/>
              <w:rPr>
                <w:sz w:val="20"/>
                <w:szCs w:val="20"/>
                <w:color w:val="auto"/>
              </w:rPr>
            </w:pPr>
            <w:r>
              <w:rPr>
                <w:rFonts w:ascii="Calibri" w:cs="Calibri" w:eastAsia="Calibri" w:hAnsi="Calibri"/>
                <w:sz w:val="18"/>
                <w:szCs w:val="18"/>
                <w:color w:val="auto"/>
              </w:rPr>
              <w:t>Property, plant and equipment</w:t>
            </w:r>
            <w:r>
              <w:rPr>
                <w:rFonts w:ascii="Calibri" w:cs="Calibri" w:eastAsia="Calibri" w:hAnsi="Calibri"/>
                <w:sz w:val="24"/>
                <w:szCs w:val="24"/>
                <w:color w:val="auto"/>
                <w:vertAlign w:val="superscript"/>
              </w:rPr>
              <w:t>1</w:t>
            </w:r>
          </w:p>
        </w:tc>
        <w:tc>
          <w:tcPr>
            <w:tcW w:w="960" w:type="dxa"/>
            <w:vAlign w:val="bottom"/>
          </w:tcPr>
          <w:p>
            <w:pPr>
              <w:spacing w:after="0"/>
              <w:rPr>
                <w:sz w:val="21"/>
                <w:szCs w:val="21"/>
                <w:color w:val="auto"/>
              </w:rPr>
            </w:pPr>
          </w:p>
        </w:tc>
        <w:tc>
          <w:tcPr>
            <w:tcW w:w="12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847.5</w:t>
            </w:r>
          </w:p>
        </w:tc>
      </w:tr>
      <w:tr>
        <w:trPr>
          <w:trHeight w:val="223"/>
        </w:trPr>
        <w:tc>
          <w:tcPr>
            <w:tcW w:w="900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Intangible assets, other than goodwill</w:t>
            </w:r>
          </w:p>
        </w:tc>
        <w:tc>
          <w:tcPr>
            <w:tcW w:w="960" w:type="dxa"/>
            <w:vAlign w:val="bottom"/>
            <w:tcBorders>
              <w:bottom w:val="single" w:sz="8" w:color="E5F1F8"/>
            </w:tcBorders>
            <w:shd w:val="clear" w:color="auto" w:fill="E5F1F8"/>
          </w:tcPr>
          <w:p>
            <w:pPr>
              <w:spacing w:after="0"/>
              <w:rPr>
                <w:sz w:val="19"/>
                <w:szCs w:val="19"/>
                <w:color w:val="auto"/>
              </w:rPr>
            </w:pPr>
          </w:p>
        </w:tc>
        <w:tc>
          <w:tcPr>
            <w:tcW w:w="128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431.5</w:t>
            </w:r>
          </w:p>
        </w:tc>
      </w:tr>
      <w:tr>
        <w:trPr>
          <w:trHeight w:val="243"/>
        </w:trPr>
        <w:tc>
          <w:tcPr>
            <w:tcW w:w="90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Goodwill</w:t>
            </w:r>
          </w:p>
        </w:tc>
        <w:tc>
          <w:tcPr>
            <w:tcW w:w="960" w:type="dxa"/>
            <w:vAlign w:val="bottom"/>
          </w:tcPr>
          <w:p>
            <w:pPr>
              <w:spacing w:after="0"/>
              <w:rPr>
                <w:sz w:val="21"/>
                <w:szCs w:val="21"/>
                <w:color w:val="auto"/>
              </w:rPr>
            </w:pPr>
          </w:p>
        </w:tc>
        <w:tc>
          <w:tcPr>
            <w:tcW w:w="12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1,222.3</w:t>
            </w:r>
          </w:p>
        </w:tc>
      </w:tr>
      <w:tr>
        <w:trPr>
          <w:trHeight w:val="248"/>
        </w:trPr>
        <w:tc>
          <w:tcPr>
            <w:tcW w:w="900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Other assets</w:t>
            </w:r>
          </w:p>
        </w:tc>
        <w:tc>
          <w:tcPr>
            <w:tcW w:w="960" w:type="dxa"/>
            <w:vAlign w:val="bottom"/>
            <w:tcBorders>
              <w:bottom w:val="single" w:sz="8" w:color="E5F1F8"/>
            </w:tcBorders>
            <w:shd w:val="clear" w:color="auto" w:fill="E5F1F8"/>
          </w:tcPr>
          <w:p>
            <w:pPr>
              <w:spacing w:after="0"/>
              <w:rPr>
                <w:sz w:val="21"/>
                <w:szCs w:val="21"/>
                <w:color w:val="auto"/>
              </w:rPr>
            </w:pPr>
          </w:p>
        </w:tc>
        <w:tc>
          <w:tcPr>
            <w:tcW w:w="128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54.4</w:t>
            </w:r>
          </w:p>
        </w:tc>
      </w:tr>
      <w:tr>
        <w:trPr>
          <w:trHeight w:val="208"/>
        </w:trPr>
        <w:tc>
          <w:tcPr>
            <w:tcW w:w="9000" w:type="dxa"/>
            <w:vAlign w:val="bottom"/>
            <w:tcBorders>
              <w:top w:val="single" w:sz="8" w:color="auto"/>
            </w:tcBorders>
          </w:tcPr>
          <w:p>
            <w:pPr>
              <w:ind w:left="300"/>
              <w:spacing w:after="0" w:line="208" w:lineRule="exact"/>
              <w:rPr>
                <w:sz w:val="20"/>
                <w:szCs w:val="20"/>
                <w:color w:val="auto"/>
              </w:rPr>
            </w:pPr>
            <w:r>
              <w:rPr>
                <w:rFonts w:ascii="Calibri" w:cs="Calibri" w:eastAsia="Calibri" w:hAnsi="Calibri"/>
                <w:sz w:val="18"/>
                <w:szCs w:val="18"/>
                <w:color w:val="auto"/>
              </w:rPr>
              <w:t>Total Assets</w:t>
            </w:r>
          </w:p>
        </w:tc>
        <w:tc>
          <w:tcPr>
            <w:tcW w:w="9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2,646.6</w:t>
            </w:r>
          </w:p>
        </w:tc>
      </w:tr>
      <w:tr>
        <w:trPr>
          <w:trHeight w:val="28"/>
        </w:trPr>
        <w:tc>
          <w:tcPr>
            <w:tcW w:w="90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9000" w:type="dxa"/>
            <w:vAlign w:val="bottom"/>
            <w:tcBorders>
              <w:bottom w:val="single" w:sz="8" w:color="E5F1F8"/>
              <w:right w:val="single" w:sz="8" w:color="007CBA"/>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Liabilites:</w:t>
            </w:r>
          </w:p>
        </w:tc>
        <w:tc>
          <w:tcPr>
            <w:tcW w:w="960" w:type="dxa"/>
            <w:vAlign w:val="bottom"/>
            <w:tcBorders>
              <w:bottom w:val="single" w:sz="8" w:color="E5F1F8"/>
            </w:tcBorders>
            <w:shd w:val="clear" w:color="auto" w:fill="E5F1F8"/>
          </w:tcPr>
          <w:p>
            <w:pPr>
              <w:spacing w:after="0"/>
              <w:rPr>
                <w:sz w:val="18"/>
                <w:szCs w:val="18"/>
                <w:color w:val="auto"/>
              </w:rPr>
            </w:pPr>
          </w:p>
        </w:tc>
        <w:tc>
          <w:tcPr>
            <w:tcW w:w="1280" w:type="dxa"/>
            <w:vAlign w:val="bottom"/>
            <w:tcBorders>
              <w:bottom w:val="single" w:sz="8" w:color="E5F1F8"/>
            </w:tcBorders>
            <w:shd w:val="clear" w:color="auto" w:fill="E5F1F8"/>
          </w:tcPr>
          <w:p>
            <w:pPr>
              <w:spacing w:after="0"/>
              <w:rPr>
                <w:sz w:val="18"/>
                <w:szCs w:val="18"/>
                <w:color w:val="auto"/>
              </w:rPr>
            </w:pPr>
          </w:p>
        </w:tc>
      </w:tr>
      <w:tr>
        <w:trPr>
          <w:trHeight w:val="215"/>
        </w:trPr>
        <w:tc>
          <w:tcPr>
            <w:tcW w:w="90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Asset retrement obligatons</w:t>
            </w:r>
          </w:p>
        </w:tc>
        <w:tc>
          <w:tcPr>
            <w:tcW w:w="960" w:type="dxa"/>
            <w:vAlign w:val="bottom"/>
          </w:tcPr>
          <w:p>
            <w:pPr>
              <w:spacing w:after="0"/>
              <w:rPr>
                <w:sz w:val="18"/>
                <w:szCs w:val="18"/>
                <w:color w:val="auto"/>
              </w:rPr>
            </w:pPr>
          </w:p>
        </w:tc>
        <w:tc>
          <w:tcPr>
            <w:tcW w:w="12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247.5</w:t>
            </w:r>
          </w:p>
        </w:tc>
      </w:tr>
      <w:tr>
        <w:trPr>
          <w:trHeight w:val="28"/>
        </w:trPr>
        <w:tc>
          <w:tcPr>
            <w:tcW w:w="9000" w:type="dxa"/>
            <w:vAlign w:val="bottom"/>
            <w:tcBorders>
              <w:right w:val="single" w:sz="8" w:color="007CBA"/>
            </w:tcBorders>
          </w:tcPr>
          <w:p>
            <w:pPr>
              <w:spacing w:after="0"/>
              <w:rPr>
                <w:sz w:val="2"/>
                <w:szCs w:val="2"/>
                <w:color w:val="auto"/>
              </w:rPr>
            </w:pPr>
          </w:p>
        </w:tc>
        <w:tc>
          <w:tcPr>
            <w:tcW w:w="9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900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Operatng and fnance lease liabilites</w:t>
            </w:r>
          </w:p>
        </w:tc>
        <w:tc>
          <w:tcPr>
            <w:tcW w:w="960" w:type="dxa"/>
            <w:vAlign w:val="bottom"/>
            <w:tcBorders>
              <w:bottom w:val="single" w:sz="8" w:color="E5F1F8"/>
            </w:tcBorders>
            <w:shd w:val="clear" w:color="auto" w:fill="E5F1F8"/>
          </w:tcPr>
          <w:p>
            <w:pPr>
              <w:spacing w:after="0"/>
              <w:rPr>
                <w:sz w:val="19"/>
                <w:szCs w:val="19"/>
                <w:color w:val="auto"/>
              </w:rPr>
            </w:pPr>
          </w:p>
        </w:tc>
        <w:tc>
          <w:tcPr>
            <w:tcW w:w="128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57.5</w:t>
            </w:r>
          </w:p>
        </w:tc>
      </w:tr>
      <w:tr>
        <w:trPr>
          <w:trHeight w:val="215"/>
        </w:trPr>
        <w:tc>
          <w:tcPr>
            <w:tcW w:w="9000" w:type="dxa"/>
            <w:vAlign w:val="bottom"/>
          </w:tcPr>
          <w:p>
            <w:pPr>
              <w:ind w:left="120"/>
              <w:spacing w:after="0" w:line="215" w:lineRule="exact"/>
              <w:rPr>
                <w:sz w:val="20"/>
                <w:szCs w:val="20"/>
                <w:color w:val="auto"/>
              </w:rPr>
            </w:pPr>
            <w:r>
              <w:rPr>
                <w:rFonts w:ascii="Calibri" w:cs="Calibri" w:eastAsia="Calibri" w:hAnsi="Calibri"/>
                <w:sz w:val="18"/>
                <w:szCs w:val="18"/>
                <w:color w:val="auto"/>
              </w:rPr>
              <w:t>Other liabilites</w:t>
            </w:r>
          </w:p>
        </w:tc>
        <w:tc>
          <w:tcPr>
            <w:tcW w:w="960" w:type="dxa"/>
            <w:vAlign w:val="bottom"/>
          </w:tcPr>
          <w:p>
            <w:pPr>
              <w:spacing w:after="0"/>
              <w:rPr>
                <w:sz w:val="18"/>
                <w:szCs w:val="18"/>
                <w:color w:val="auto"/>
              </w:rPr>
            </w:pPr>
          </w:p>
        </w:tc>
        <w:tc>
          <w:tcPr>
            <w:tcW w:w="12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77.0</w:t>
            </w:r>
          </w:p>
        </w:tc>
      </w:tr>
      <w:tr>
        <w:trPr>
          <w:trHeight w:val="28"/>
        </w:trPr>
        <w:tc>
          <w:tcPr>
            <w:tcW w:w="90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1"/>
        </w:trPr>
        <w:tc>
          <w:tcPr>
            <w:tcW w:w="9000" w:type="dxa"/>
            <w:vAlign w:val="bottom"/>
            <w:tcBorders>
              <w:bottom w:val="single" w:sz="8" w:color="E5F1F8"/>
              <w:right w:val="single" w:sz="8" w:color="E5F1F8"/>
            </w:tcBorders>
            <w:shd w:val="clear" w:color="auto" w:fill="E5F1F8"/>
          </w:tcPr>
          <w:p>
            <w:pPr>
              <w:ind w:left="300"/>
              <w:spacing w:after="0" w:line="208" w:lineRule="exact"/>
              <w:rPr>
                <w:sz w:val="20"/>
                <w:szCs w:val="20"/>
                <w:color w:val="auto"/>
              </w:rPr>
            </w:pPr>
            <w:r>
              <w:rPr>
                <w:rFonts w:ascii="Calibri" w:cs="Calibri" w:eastAsia="Calibri" w:hAnsi="Calibri"/>
                <w:sz w:val="18"/>
                <w:szCs w:val="18"/>
                <w:color w:val="auto"/>
              </w:rPr>
              <w:t>Total Liabilites</w:t>
            </w:r>
          </w:p>
        </w:tc>
        <w:tc>
          <w:tcPr>
            <w:tcW w:w="960" w:type="dxa"/>
            <w:vAlign w:val="bottom"/>
            <w:tcBorders>
              <w:bottom w:val="single" w:sz="8" w:color="E5F1F8"/>
            </w:tcBorders>
            <w:shd w:val="clear" w:color="auto" w:fill="E5F1F8"/>
          </w:tcPr>
          <w:p>
            <w:pPr>
              <w:spacing w:after="0"/>
              <w:rPr>
                <w:sz w:val="20"/>
                <w:szCs w:val="20"/>
                <w:color w:val="auto"/>
              </w:rPr>
            </w:pPr>
          </w:p>
        </w:tc>
        <w:tc>
          <w:tcPr>
            <w:tcW w:w="128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382.0</w:t>
            </w:r>
          </w:p>
        </w:tc>
      </w:tr>
      <w:tr>
        <w:trPr>
          <w:trHeight w:val="208"/>
        </w:trPr>
        <w:tc>
          <w:tcPr>
            <w:tcW w:w="900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 Consideraton</w:t>
            </w:r>
          </w:p>
        </w:tc>
        <w:tc>
          <w:tcPr>
            <w:tcW w:w="960" w:type="dxa"/>
            <w:vAlign w:val="bottom"/>
            <w:tcBorders>
              <w:top w:val="single" w:sz="8" w:color="auto"/>
            </w:tcBorders>
          </w:tcPr>
          <w:p>
            <w:pPr>
              <w:jc w:val="right"/>
              <w:ind w:right="530"/>
              <w:spacing w:after="0" w:line="208" w:lineRule="exact"/>
              <w:rPr>
                <w:sz w:val="20"/>
                <w:szCs w:val="20"/>
                <w:color w:val="auto"/>
              </w:rPr>
            </w:pPr>
            <w:r>
              <w:rPr>
                <w:rFonts w:ascii="Calibri" w:cs="Calibri" w:eastAsia="Calibri" w:hAnsi="Calibri"/>
                <w:sz w:val="18"/>
                <w:szCs w:val="18"/>
                <w:color w:val="auto"/>
              </w:rPr>
              <w:t>$</w:t>
            </w:r>
          </w:p>
        </w:tc>
        <w:tc>
          <w:tcPr>
            <w:tcW w:w="128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2,264.6</w:t>
            </w:r>
          </w:p>
        </w:tc>
      </w:tr>
      <w:tr>
        <w:trPr>
          <w:trHeight w:val="28"/>
        </w:trPr>
        <w:tc>
          <w:tcPr>
            <w:tcW w:w="90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90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-1306830</wp:posOffset>
            </wp:positionV>
            <wp:extent cx="7132320" cy="3511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132320" cy="3511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-518160</wp:posOffset>
            </wp:positionV>
            <wp:extent cx="7132320" cy="5308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32320" cy="530860"/>
                    </a:xfrm>
                    <a:prstGeom prst="rect">
                      <a:avLst/>
                    </a:prstGeom>
                    <a:noFill/>
                  </pic:spPr>
                </pic:pic>
              </a:graphicData>
            </a:graphic>
          </wp:anchor>
        </w:drawing>
      </w:r>
    </w:p>
    <w:p>
      <w:pPr>
        <w:ind w:left="800" w:hanging="401"/>
        <w:spacing w:after="0" w:line="216" w:lineRule="auto"/>
        <w:tabs>
          <w:tab w:leader="none" w:pos="800" w:val="left"/>
        </w:tabs>
        <w:numPr>
          <w:ilvl w:val="0"/>
          <w:numId w:val="32"/>
        </w:numPr>
        <w:rPr>
          <w:rFonts w:ascii="Calibri" w:cs="Calibri" w:eastAsia="Calibri" w:hAnsi="Calibri"/>
          <w:sz w:val="19"/>
          <w:szCs w:val="19"/>
          <w:color w:val="auto"/>
          <w:vertAlign w:val="superscript"/>
        </w:rPr>
      </w:pPr>
      <w:r>
        <w:rPr>
          <w:rFonts w:ascii="Calibri" w:cs="Calibri" w:eastAsia="Calibri" w:hAnsi="Calibri"/>
          <w:sz w:val="14"/>
          <w:szCs w:val="14"/>
          <w:color w:val="auto"/>
        </w:rPr>
        <w:t>Includes mineral reserves of $332.0 million.</w:t>
      </w:r>
    </w:p>
    <w:p>
      <w:pPr>
        <w:spacing w:after="0" w:line="18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Goodwill represents the excess purchase price over the fair values of assets acquired and liabilites assumed and refects projected operatng synergies from the transacton, including expected overhead savings. Amortzaton of the goodwill generated by the transacton is deductble for income tax purposes.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unaudited pro forma fnancial informaton summarizes the combined results of operatons for the Company and Lehigh West Region as though the companies were combined as of January 1, 2020. Financial informaton for periods prior to the October 1, 2021 acquisiton date included in the pro forma earnings does not refect any cost savings or associated costs to achieve such savings from operatng efciencies or synergies that may result from the combinaton. Consistent with the assumed acquisiton date of January 1, 2020, the pro forma fnancial results for the year ended December 31, 2020 include acquisiton and integraton expenses of $46.8 million.</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unaudited pro forma fnancial informaton does not purport to project the future fnancial positon or operatng results of the combined company. The following pro forma fnancial informaton is for informatonal purposes only and is not indicatve of the results of operatons that would have been achieved if the acquisiton had taken place as of January 1, 2020:</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34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1240" w:type="dxa"/>
            <w:vAlign w:val="bottom"/>
            <w:shd w:val="clear" w:color="auto" w:fill="007CBA"/>
          </w:tcPr>
          <w:p>
            <w:pPr>
              <w:spacing w:after="0"/>
              <w:rPr>
                <w:sz w:val="20"/>
                <w:szCs w:val="20"/>
                <w:color w:val="auto"/>
              </w:rPr>
            </w:pPr>
          </w:p>
        </w:tc>
        <w:tc>
          <w:tcPr>
            <w:tcW w:w="720" w:type="dxa"/>
            <w:vAlign w:val="bottom"/>
            <w:tcBorders>
              <w:right w:val="single" w:sz="8" w:color="007CBA"/>
            </w:tcBorders>
            <w:shd w:val="clear" w:color="auto" w:fill="007CBA"/>
          </w:tcPr>
          <w:p>
            <w:pPr>
              <w:spacing w:after="0"/>
              <w:rPr>
                <w:sz w:val="20"/>
                <w:szCs w:val="20"/>
                <w:color w:val="auto"/>
              </w:rPr>
            </w:pPr>
          </w:p>
        </w:tc>
        <w:tc>
          <w:tcPr>
            <w:tcW w:w="560" w:type="dxa"/>
            <w:vAlign w:val="bottom"/>
            <w:shd w:val="clear" w:color="auto" w:fill="007CBA"/>
          </w:tcPr>
          <w:p>
            <w:pPr>
              <w:spacing w:after="0"/>
              <w:rPr>
                <w:sz w:val="20"/>
                <w:szCs w:val="20"/>
                <w:color w:val="auto"/>
              </w:rPr>
            </w:pPr>
          </w:p>
        </w:tc>
        <w:tc>
          <w:tcPr>
            <w:tcW w:w="1380" w:type="dxa"/>
            <w:vAlign w:val="bottom"/>
            <w:shd w:val="clear" w:color="auto" w:fill="007CBA"/>
          </w:tcPr>
          <w:p>
            <w:pPr>
              <w:spacing w:after="0"/>
              <w:rPr>
                <w:sz w:val="20"/>
                <w:szCs w:val="20"/>
                <w:color w:val="auto"/>
              </w:rPr>
            </w:pPr>
          </w:p>
        </w:tc>
      </w:tr>
      <w:tr>
        <w:trPr>
          <w:trHeight w:val="231"/>
        </w:trPr>
        <w:tc>
          <w:tcPr>
            <w:tcW w:w="734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 except for per share data)</w:t>
            </w:r>
          </w:p>
        </w:tc>
        <w:tc>
          <w:tcPr>
            <w:tcW w:w="1240" w:type="dxa"/>
            <w:vAlign w:val="bottom"/>
            <w:tcBorders>
              <w:bottom w:val="single" w:sz="8" w:color="007CBA"/>
            </w:tcBorders>
            <w:shd w:val="clear" w:color="auto" w:fill="007CBA"/>
          </w:tcPr>
          <w:p>
            <w:pPr>
              <w:jc w:val="right"/>
              <w:spacing w:after="0" w:line="215" w:lineRule="exact"/>
              <w:rPr>
                <w:sz w:val="20"/>
                <w:szCs w:val="20"/>
                <w:color w:val="auto"/>
              </w:rPr>
            </w:pPr>
            <w:r>
              <w:rPr>
                <w:rFonts w:ascii="Calibri" w:cs="Calibri" w:eastAsia="Calibri" w:hAnsi="Calibri"/>
                <w:sz w:val="18"/>
                <w:szCs w:val="18"/>
                <w:b w:val="1"/>
                <w:bCs w:val="1"/>
                <w:color w:val="FFFFFF"/>
              </w:rPr>
              <w:t>2021</w:t>
            </w:r>
          </w:p>
        </w:tc>
        <w:tc>
          <w:tcPr>
            <w:tcW w:w="720" w:type="dxa"/>
            <w:vAlign w:val="bottom"/>
            <w:tcBorders>
              <w:bottom w:val="single" w:sz="8" w:color="007CBA"/>
              <w:right w:val="single" w:sz="8" w:color="007CBA"/>
            </w:tcBorders>
            <w:shd w:val="clear" w:color="auto" w:fill="007CBA"/>
          </w:tcPr>
          <w:p>
            <w:pPr>
              <w:spacing w:after="0"/>
              <w:rPr>
                <w:sz w:val="20"/>
                <w:szCs w:val="20"/>
                <w:color w:val="auto"/>
              </w:rPr>
            </w:pPr>
          </w:p>
        </w:tc>
        <w:tc>
          <w:tcPr>
            <w:tcW w:w="560" w:type="dxa"/>
            <w:vAlign w:val="bottom"/>
            <w:tcBorders>
              <w:bottom w:val="single" w:sz="8" w:color="007CBA"/>
            </w:tcBorders>
            <w:shd w:val="clear" w:color="auto" w:fill="007CBA"/>
          </w:tcPr>
          <w:p>
            <w:pPr>
              <w:spacing w:after="0"/>
              <w:rPr>
                <w:sz w:val="20"/>
                <w:szCs w:val="20"/>
                <w:color w:val="auto"/>
              </w:rPr>
            </w:pPr>
          </w:p>
        </w:tc>
        <w:tc>
          <w:tcPr>
            <w:tcW w:w="1380" w:type="dxa"/>
            <w:vAlign w:val="bottom"/>
            <w:tcBorders>
              <w:bottom w:val="single" w:sz="8" w:color="007CBA"/>
            </w:tcBorders>
            <w:shd w:val="clear" w:color="auto" w:fill="007CBA"/>
          </w:tcPr>
          <w:p>
            <w:pPr>
              <w:jc w:val="right"/>
              <w:ind w:right="670"/>
              <w:spacing w:after="0" w:line="215" w:lineRule="exact"/>
              <w:rPr>
                <w:sz w:val="20"/>
                <w:szCs w:val="20"/>
                <w:color w:val="auto"/>
              </w:rPr>
            </w:pPr>
            <w:r>
              <w:rPr>
                <w:rFonts w:ascii="Calibri" w:cs="Calibri" w:eastAsia="Calibri" w:hAnsi="Calibri"/>
                <w:sz w:val="18"/>
                <w:szCs w:val="18"/>
                <w:color w:val="FFFFFF"/>
              </w:rPr>
              <w:t>2020</w:t>
            </w:r>
          </w:p>
        </w:tc>
      </w:tr>
      <w:tr>
        <w:trPr>
          <w:trHeight w:val="215"/>
        </w:trPr>
        <w:tc>
          <w:tcPr>
            <w:tcW w:w="73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Total revenues</w:t>
            </w:r>
          </w:p>
        </w:tc>
        <w:tc>
          <w:tcPr>
            <w:tcW w:w="1240" w:type="dxa"/>
            <w:vAlign w:val="bottom"/>
          </w:tcPr>
          <w:p>
            <w:pPr>
              <w:jc w:val="right"/>
              <w:ind w:right="850"/>
              <w:spacing w:after="0" w:line="215" w:lineRule="exact"/>
              <w:rPr>
                <w:sz w:val="20"/>
                <w:szCs w:val="20"/>
                <w:color w:val="auto"/>
              </w:rPr>
            </w:pPr>
            <w:r>
              <w:rPr>
                <w:rFonts w:ascii="Calibri" w:cs="Calibri" w:eastAsia="Calibri" w:hAnsi="Calibri"/>
                <w:sz w:val="18"/>
                <w:szCs w:val="18"/>
                <w:color w:val="auto"/>
              </w:rPr>
              <w:t>$</w:t>
            </w:r>
          </w:p>
        </w:tc>
        <w:tc>
          <w:tcPr>
            <w:tcW w:w="72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5,755.1</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3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5,184.9</w:t>
            </w:r>
          </w:p>
        </w:tc>
      </w:tr>
      <w:tr>
        <w:trPr>
          <w:trHeight w:val="28"/>
        </w:trPr>
        <w:tc>
          <w:tcPr>
            <w:tcW w:w="7340" w:type="dxa"/>
            <w:vAlign w:val="bottom"/>
            <w:tcBorders>
              <w:right w:val="single" w:sz="8" w:color="007CBA"/>
            </w:tcBorders>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3"/>
        </w:trPr>
        <w:tc>
          <w:tcPr>
            <w:tcW w:w="734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Net earnings from contnuing operatons atributable to Martn Marieta</w:t>
            </w:r>
          </w:p>
        </w:tc>
        <w:tc>
          <w:tcPr>
            <w:tcW w:w="1240" w:type="dxa"/>
            <w:vAlign w:val="bottom"/>
            <w:tcBorders>
              <w:bottom w:val="single" w:sz="8" w:color="E5F1F8"/>
            </w:tcBorders>
            <w:shd w:val="clear" w:color="auto" w:fill="E5F1F8"/>
          </w:tcPr>
          <w:p>
            <w:pPr>
              <w:jc w:val="right"/>
              <w:ind w:right="850"/>
              <w:spacing w:after="0" w:line="215" w:lineRule="exact"/>
              <w:rPr>
                <w:sz w:val="20"/>
                <w:szCs w:val="20"/>
                <w:color w:val="auto"/>
              </w:rPr>
            </w:pPr>
            <w:r>
              <w:rPr>
                <w:rFonts w:ascii="Calibri" w:cs="Calibri" w:eastAsia="Calibri" w:hAnsi="Calibri"/>
                <w:sz w:val="18"/>
                <w:szCs w:val="18"/>
                <w:color w:val="auto"/>
              </w:rPr>
              <w:t>$</w:t>
            </w:r>
          </w:p>
        </w:tc>
        <w:tc>
          <w:tcPr>
            <w:tcW w:w="72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737.3</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38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642.4</w:t>
            </w:r>
          </w:p>
        </w:tc>
      </w:tr>
      <w:tr>
        <w:trPr>
          <w:trHeight w:val="215"/>
        </w:trPr>
        <w:tc>
          <w:tcPr>
            <w:tcW w:w="7340" w:type="dxa"/>
            <w:vAlign w:val="bottom"/>
          </w:tcPr>
          <w:p>
            <w:pPr>
              <w:ind w:left="120"/>
              <w:spacing w:after="0" w:line="215" w:lineRule="exact"/>
              <w:rPr>
                <w:sz w:val="20"/>
                <w:szCs w:val="20"/>
                <w:color w:val="auto"/>
              </w:rPr>
            </w:pPr>
            <w:r>
              <w:rPr>
                <w:rFonts w:ascii="Calibri" w:cs="Calibri" w:eastAsia="Calibri" w:hAnsi="Calibri"/>
                <w:sz w:val="18"/>
                <w:szCs w:val="18"/>
                <w:color w:val="auto"/>
              </w:rPr>
              <w:t>Diluted net earnings from contnuing operatons per share</w:t>
            </w:r>
          </w:p>
        </w:tc>
        <w:tc>
          <w:tcPr>
            <w:tcW w:w="1240" w:type="dxa"/>
            <w:vAlign w:val="bottom"/>
          </w:tcPr>
          <w:p>
            <w:pPr>
              <w:jc w:val="right"/>
              <w:ind w:right="850"/>
              <w:spacing w:after="0" w:line="215" w:lineRule="exact"/>
              <w:rPr>
                <w:sz w:val="20"/>
                <w:szCs w:val="20"/>
                <w:color w:val="auto"/>
              </w:rPr>
            </w:pPr>
            <w:r>
              <w:rPr>
                <w:rFonts w:ascii="Calibri" w:cs="Calibri" w:eastAsia="Calibri" w:hAnsi="Calibri"/>
                <w:sz w:val="18"/>
                <w:szCs w:val="18"/>
                <w:color w:val="auto"/>
              </w:rPr>
              <w:t>$</w:t>
            </w:r>
          </w:p>
        </w:tc>
        <w:tc>
          <w:tcPr>
            <w:tcW w:w="7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11.78</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3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10.30</w:t>
            </w:r>
          </w:p>
        </w:tc>
      </w:tr>
      <w:tr>
        <w:trPr>
          <w:trHeight w:val="28"/>
        </w:trPr>
        <w:tc>
          <w:tcPr>
            <w:tcW w:w="7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4629785</wp:posOffset>
            </wp:positionH>
            <wp:positionV relativeFrom="paragraph">
              <wp:posOffset>-174625</wp:posOffset>
            </wp:positionV>
            <wp:extent cx="2506980" cy="1879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2506980" cy="187960"/>
                    </a:xfrm>
                    <a:prstGeom prst="rect">
                      <a:avLst/>
                    </a:prstGeom>
                    <a:noFill/>
                  </pic:spPr>
                </pic:pic>
              </a:graphicData>
            </a:graphic>
          </wp:anchor>
        </w:drawing>
      </w:r>
    </w:p>
    <w:p>
      <w:pPr>
        <w:spacing w:after="0" w:line="13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pro forma fnancial informaton excludes the acquired cement and California ready mix businesses, which were classifed as assets held for sale and reported as discontnued operatons as of and for the year ended December 31, 2021.</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Southern Crushed Concrete. </w:t>
      </w:r>
      <w:r>
        <w:rPr>
          <w:rFonts w:ascii="Calibri" w:cs="Calibri" w:eastAsia="Calibri" w:hAnsi="Calibri"/>
          <w:sz w:val="18"/>
          <w:szCs w:val="18"/>
          <w:color w:val="000000"/>
        </w:rPr>
        <w:t>In July 2021, the Company acquired the assets of Southern Crushed Concrete (SCC), a leading producer in the Houston area of</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recycled concrete, which is principally used as a base aggregates product in infrastructure, commercial and residental constructon applicatons. The Company determined the acquisiton-date fair values of the assets acquired and liabilites assumed. Notably, during the year ended December 31, 2022, the Company reduced the acquisiton-date fair value of intangible assets, other than goodwill, by $64.0 million and increased goodwill by $64.7 million. As of December 31, 2022, the measurement period is closed. Amortzaton of the goodwill generated by the transacton is deductble for income tax purposes. The results from the acquired business are reported in the Company’s West Group and are immaterial for pro forma fnancial statement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6751320</wp:posOffset>
            </wp:positionH>
            <wp:positionV relativeFrom="paragraph">
              <wp:posOffset>94615</wp:posOffset>
            </wp:positionV>
            <wp:extent cx="325755" cy="1968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2"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89" w:name="page90"/>
    <w:bookmarkEnd w:id="89"/>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b w:val="1"/>
          <w:bCs w:val="1"/>
          <w:i w:val="1"/>
          <w:iCs w:val="1"/>
          <w:color w:val="4EAD8A"/>
        </w:rPr>
        <w:t xml:space="preserve">Tiller Corporaton. </w:t>
      </w:r>
      <w:r>
        <w:rPr>
          <w:rFonts w:ascii="Calibri" w:cs="Calibri" w:eastAsia="Calibri" w:hAnsi="Calibri"/>
          <w:sz w:val="17"/>
          <w:szCs w:val="17"/>
          <w:color w:val="000000"/>
        </w:rPr>
        <w:t>In April 2021, the Company completed the acquisiton of Tiller Corporaton (Tiller), a leading aggregates and hot mix asphalt supplier in the</w:t>
      </w:r>
      <w:r>
        <w:rPr>
          <w:rFonts w:ascii="Calibri" w:cs="Calibri" w:eastAsia="Calibri" w:hAnsi="Calibri"/>
          <w:sz w:val="17"/>
          <w:szCs w:val="17"/>
          <w:b w:val="1"/>
          <w:bCs w:val="1"/>
          <w:i w:val="1"/>
          <w:iCs w:val="1"/>
          <w:color w:val="4EAD8A"/>
        </w:rPr>
        <w:t xml:space="preserve"> </w:t>
      </w:r>
      <w:r>
        <w:rPr>
          <w:rFonts w:ascii="Calibri" w:cs="Calibri" w:eastAsia="Calibri" w:hAnsi="Calibri"/>
          <w:sz w:val="17"/>
          <w:szCs w:val="17"/>
          <w:color w:val="000000"/>
        </w:rPr>
        <w:t>Minneapolis/St. Paul region, one of the largest and fastest-growing midwestern metropolitan areas. The Tiller acquisiton complemented the Company’s existng product oferings in the surrounding areas. The Company determined the acquisiton-date fair values of the assets acquired and liabilites assumed. As of December 31, 2022, the measurement period is closed. Amortzaton of the goodwill generated by the transacton is deductble for income tax purposes. The results from the acquired business are reported in the Company’s East Group and are immaterial for pro forma fnancial statement disclosures.</w:t>
      </w:r>
    </w:p>
    <w:p>
      <w:pPr>
        <w:spacing w:after="0" w:line="208"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Divesttures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August 9, 2022, the Company announced a defnitve agreement to sell its Tehachapi, California cement plant and related distributon terminals for $350.0 million in cash, subject to regulatory approval and customary closing conditons. These operatons are classifed as assets held for sale and reported as discontnued operatons as of and for the years ended December 31, 2022 and 2021.</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June 2022, the Company completed the sale of the Redding, California cement plant, related cement distributon terminals and 14 California ready mix operatons for $235.0 million in cash. In additon, on July 15, 2022, the Company sold its interest in a joint venture that operates a cement distributon terminal for $15.0 million. These businesses were previously classifed as assets held for sale.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April 2022, the Company divested its Colorado and Central Texas ready mixed concrete operatons to Smyrna Ready Mix Concrete LLC. This transacton optmized the Company's aggregates-led portolio and improved its ability to generate more atractve margins over the long term by reducing both business cyclicality and exposure to raw material cost infaton. The transacton resulted in a pretax gain of $151.9 million, which is included in </w:t>
      </w:r>
      <w:r>
        <w:rPr>
          <w:rFonts w:ascii="Calibri" w:cs="Calibri" w:eastAsia="Calibri" w:hAnsi="Calibri"/>
          <w:sz w:val="18"/>
          <w:szCs w:val="18"/>
          <w:i w:val="1"/>
          <w:iCs w:val="1"/>
          <w:color w:val="auto"/>
        </w:rPr>
        <w:t>Other operatng income,</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net, </w:t>
      </w:r>
      <w:r>
        <w:rPr>
          <w:rFonts w:ascii="Calibri" w:cs="Calibri" w:eastAsia="Calibri" w:hAnsi="Calibri"/>
          <w:sz w:val="18"/>
          <w:szCs w:val="18"/>
          <w:color w:val="auto"/>
        </w:rPr>
        <w:t>on the Company's consolidated statement of earnings for the year ended December 31, 2022 and is inclusive of expenses incurred due to the divestture.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The divested operatons and the gain on divestture are all reported in the West Group.</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Discontnued Operatons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Discontnued operatons are comprised of the cement and California ready mix businesses acquired as part of the Lehigh West Region transacton. Financial results for the Company's discontnued operatons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54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560" w:type="dxa"/>
            <w:vAlign w:val="bottom"/>
            <w:shd w:val="clear" w:color="auto" w:fill="007CBA"/>
          </w:tcPr>
          <w:p>
            <w:pPr>
              <w:spacing w:after="0"/>
              <w:rPr>
                <w:sz w:val="19"/>
                <w:szCs w:val="19"/>
                <w:color w:val="auto"/>
              </w:rPr>
            </w:pPr>
          </w:p>
        </w:tc>
        <w:tc>
          <w:tcPr>
            <w:tcW w:w="1360" w:type="dxa"/>
            <w:vAlign w:val="bottom"/>
            <w:tcBorders>
              <w:right w:val="single" w:sz="8" w:color="007CBA"/>
            </w:tcBorders>
            <w:shd w:val="clear" w:color="auto" w:fill="007CBA"/>
          </w:tcPr>
          <w:p>
            <w:pPr>
              <w:spacing w:after="0"/>
              <w:rPr>
                <w:sz w:val="19"/>
                <w:szCs w:val="19"/>
                <w:color w:val="auto"/>
              </w:rPr>
            </w:pPr>
          </w:p>
        </w:tc>
        <w:tc>
          <w:tcPr>
            <w:tcW w:w="540" w:type="dxa"/>
            <w:vAlign w:val="bottom"/>
            <w:shd w:val="clear" w:color="auto" w:fill="007CBA"/>
          </w:tcPr>
          <w:p>
            <w:pPr>
              <w:spacing w:after="0"/>
              <w:rPr>
                <w:sz w:val="19"/>
                <w:szCs w:val="19"/>
                <w:color w:val="auto"/>
              </w:rPr>
            </w:pPr>
          </w:p>
        </w:tc>
        <w:tc>
          <w:tcPr>
            <w:tcW w:w="1240" w:type="dxa"/>
            <w:vAlign w:val="bottom"/>
            <w:shd w:val="clear" w:color="auto" w:fill="007CBA"/>
          </w:tcPr>
          <w:p>
            <w:pPr>
              <w:spacing w:after="0"/>
              <w:rPr>
                <w:sz w:val="19"/>
                <w:szCs w:val="19"/>
                <w:color w:val="auto"/>
              </w:rPr>
            </w:pPr>
          </w:p>
        </w:tc>
      </w:tr>
      <w:tr>
        <w:trPr>
          <w:trHeight w:val="232"/>
        </w:trPr>
        <w:tc>
          <w:tcPr>
            <w:tcW w:w="754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560" w:type="dxa"/>
            <w:vAlign w:val="bottom"/>
            <w:tcBorders>
              <w:bottom w:val="single" w:sz="8" w:color="007CBA"/>
            </w:tcBorders>
            <w:shd w:val="clear" w:color="auto" w:fill="007CBA"/>
          </w:tcPr>
          <w:p>
            <w:pPr>
              <w:spacing w:after="0"/>
              <w:rPr>
                <w:sz w:val="20"/>
                <w:szCs w:val="20"/>
                <w:color w:val="auto"/>
              </w:rPr>
            </w:pPr>
          </w:p>
        </w:tc>
        <w:tc>
          <w:tcPr>
            <w:tcW w:w="1360" w:type="dxa"/>
            <w:vAlign w:val="bottom"/>
            <w:tcBorders>
              <w:bottom w:val="single" w:sz="8" w:color="007CBA"/>
              <w:right w:val="single" w:sz="8" w:color="007CBA"/>
            </w:tcBorders>
            <w:shd w:val="clear" w:color="auto" w:fill="007CBA"/>
          </w:tcPr>
          <w:p>
            <w:pPr>
              <w:jc w:val="right"/>
              <w:ind w:right="650"/>
              <w:spacing w:after="0" w:line="215" w:lineRule="exact"/>
              <w:rPr>
                <w:sz w:val="20"/>
                <w:szCs w:val="20"/>
                <w:color w:val="auto"/>
              </w:rPr>
            </w:pPr>
            <w:r>
              <w:rPr>
                <w:rFonts w:ascii="Calibri" w:cs="Calibri" w:eastAsia="Calibri" w:hAnsi="Calibri"/>
                <w:sz w:val="18"/>
                <w:szCs w:val="18"/>
                <w:b w:val="1"/>
                <w:bCs w:val="1"/>
                <w:color w:val="FFFFFF"/>
              </w:rPr>
              <w:t>2022</w:t>
            </w:r>
          </w:p>
        </w:tc>
        <w:tc>
          <w:tcPr>
            <w:tcW w:w="540" w:type="dxa"/>
            <w:vAlign w:val="bottom"/>
            <w:tcBorders>
              <w:bottom w:val="single" w:sz="8" w:color="007CBA"/>
            </w:tcBorders>
            <w:shd w:val="clear" w:color="auto" w:fill="007CBA"/>
          </w:tcPr>
          <w:p>
            <w:pPr>
              <w:spacing w:after="0"/>
              <w:rPr>
                <w:sz w:val="20"/>
                <w:szCs w:val="20"/>
                <w:color w:val="auto"/>
              </w:rPr>
            </w:pPr>
          </w:p>
        </w:tc>
        <w:tc>
          <w:tcPr>
            <w:tcW w:w="1240" w:type="dxa"/>
            <w:vAlign w:val="bottom"/>
            <w:tcBorders>
              <w:bottom w:val="single" w:sz="8" w:color="007CBA"/>
            </w:tcBorders>
            <w:shd w:val="clear" w:color="auto" w:fill="007CBA"/>
          </w:tcPr>
          <w:p>
            <w:pPr>
              <w:jc w:val="right"/>
              <w:ind w:right="570"/>
              <w:spacing w:after="0" w:line="215" w:lineRule="exact"/>
              <w:rPr>
                <w:sz w:val="20"/>
                <w:szCs w:val="20"/>
                <w:color w:val="auto"/>
              </w:rPr>
            </w:pPr>
            <w:r>
              <w:rPr>
                <w:rFonts w:ascii="Calibri" w:cs="Calibri" w:eastAsia="Calibri" w:hAnsi="Calibri"/>
                <w:sz w:val="18"/>
                <w:szCs w:val="18"/>
                <w:b w:val="1"/>
                <w:bCs w:val="1"/>
                <w:color w:val="FFFFFF"/>
              </w:rPr>
              <w:t>2021</w:t>
            </w:r>
          </w:p>
        </w:tc>
      </w:tr>
      <w:tr>
        <w:trPr>
          <w:trHeight w:val="215"/>
        </w:trPr>
        <w:tc>
          <w:tcPr>
            <w:tcW w:w="7540" w:type="dxa"/>
            <w:vAlign w:val="bottom"/>
          </w:tcPr>
          <w:p>
            <w:pPr>
              <w:ind w:left="120"/>
              <w:spacing w:after="0" w:line="215" w:lineRule="exact"/>
              <w:rPr>
                <w:sz w:val="20"/>
                <w:szCs w:val="20"/>
                <w:color w:val="auto"/>
              </w:rPr>
            </w:pPr>
            <w:r>
              <w:rPr>
                <w:rFonts w:ascii="Calibri" w:cs="Calibri" w:eastAsia="Calibri" w:hAnsi="Calibri"/>
                <w:sz w:val="18"/>
                <w:szCs w:val="18"/>
                <w:color w:val="auto"/>
              </w:rPr>
              <w:t>Total revenues</w:t>
            </w:r>
          </w:p>
        </w:tc>
        <w:tc>
          <w:tcPr>
            <w:tcW w:w="560" w:type="dxa"/>
            <w:vAlign w:val="bottom"/>
          </w:tcPr>
          <w:p>
            <w:pPr>
              <w:jc w:val="right"/>
              <w:ind w:right="170"/>
              <w:spacing w:after="0" w:line="215" w:lineRule="exact"/>
              <w:rPr>
                <w:sz w:val="20"/>
                <w:szCs w:val="20"/>
                <w:color w:val="auto"/>
              </w:rPr>
            </w:pPr>
            <w:r>
              <w:rPr>
                <w:rFonts w:ascii="Calibri" w:cs="Calibri" w:eastAsia="Calibri" w:hAnsi="Calibri"/>
                <w:sz w:val="18"/>
                <w:szCs w:val="18"/>
                <w:b w:val="1"/>
                <w:bCs w:val="1"/>
                <w:color w:val="auto"/>
              </w:rPr>
              <w:t>$</w:t>
            </w:r>
          </w:p>
        </w:tc>
        <w:tc>
          <w:tcPr>
            <w:tcW w:w="136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308.6</w:t>
            </w:r>
          </w:p>
        </w:tc>
        <w:tc>
          <w:tcPr>
            <w:tcW w:w="54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79.2</w:t>
            </w:r>
          </w:p>
        </w:tc>
      </w:tr>
      <w:tr>
        <w:trPr>
          <w:trHeight w:val="28"/>
        </w:trPr>
        <w:tc>
          <w:tcPr>
            <w:tcW w:w="7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7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7540" w:type="dxa"/>
            <w:vAlign w:val="bottom"/>
            <w:tcBorders>
              <w:right w:val="single" w:sz="8" w:color="007CBA"/>
            </w:tcBorders>
            <w:shd w:val="clear" w:color="auto" w:fill="E5F1F8"/>
          </w:tcPr>
          <w:p>
            <w:pPr>
              <w:spacing w:after="0"/>
              <w:rPr>
                <w:sz w:val="19"/>
                <w:szCs w:val="19"/>
                <w:color w:val="auto"/>
              </w:rPr>
            </w:pPr>
          </w:p>
        </w:tc>
        <w:tc>
          <w:tcPr>
            <w:tcW w:w="560" w:type="dxa"/>
            <w:vAlign w:val="bottom"/>
            <w:shd w:val="clear" w:color="auto" w:fill="E5F1F8"/>
          </w:tcPr>
          <w:p>
            <w:pPr>
              <w:spacing w:after="0"/>
              <w:rPr>
                <w:sz w:val="19"/>
                <w:szCs w:val="19"/>
                <w:color w:val="auto"/>
              </w:rPr>
            </w:pPr>
          </w:p>
        </w:tc>
        <w:tc>
          <w:tcPr>
            <w:tcW w:w="1360" w:type="dxa"/>
            <w:vAlign w:val="bottom"/>
            <w:tcBorders>
              <w:right w:val="single" w:sz="8" w:color="007CBA"/>
            </w:tcBorders>
            <w:shd w:val="clear" w:color="auto" w:fill="E5F1F8"/>
          </w:tcPr>
          <w:p>
            <w:pPr>
              <w:spacing w:after="0"/>
              <w:rPr>
                <w:sz w:val="19"/>
                <w:szCs w:val="19"/>
                <w:color w:val="auto"/>
              </w:rPr>
            </w:pPr>
          </w:p>
        </w:tc>
        <w:tc>
          <w:tcPr>
            <w:tcW w:w="540" w:type="dxa"/>
            <w:vAlign w:val="bottom"/>
            <w:shd w:val="clear" w:color="auto" w:fill="E5F1F8"/>
          </w:tcPr>
          <w:p>
            <w:pPr>
              <w:spacing w:after="0"/>
              <w:rPr>
                <w:sz w:val="19"/>
                <w:szCs w:val="19"/>
                <w:color w:val="auto"/>
              </w:rPr>
            </w:pPr>
          </w:p>
        </w:tc>
        <w:tc>
          <w:tcPr>
            <w:tcW w:w="1240" w:type="dxa"/>
            <w:vAlign w:val="bottom"/>
            <w:shd w:val="clear" w:color="auto" w:fill="E5F1F8"/>
          </w:tcPr>
          <w:p>
            <w:pPr>
              <w:spacing w:after="0"/>
              <w:rPr>
                <w:sz w:val="19"/>
                <w:szCs w:val="19"/>
                <w:color w:val="auto"/>
              </w:rPr>
            </w:pPr>
          </w:p>
        </w:tc>
      </w:tr>
      <w:tr>
        <w:trPr>
          <w:trHeight w:val="243"/>
        </w:trPr>
        <w:tc>
          <w:tcPr>
            <w:tcW w:w="75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Pretax earnings from operatons</w:t>
            </w:r>
          </w:p>
        </w:tc>
        <w:tc>
          <w:tcPr>
            <w:tcW w:w="560" w:type="dxa"/>
            <w:vAlign w:val="bottom"/>
          </w:tcPr>
          <w:p>
            <w:pPr>
              <w:jc w:val="right"/>
              <w:ind w:right="170"/>
              <w:spacing w:after="0" w:line="215" w:lineRule="exact"/>
              <w:rPr>
                <w:sz w:val="20"/>
                <w:szCs w:val="20"/>
                <w:color w:val="auto"/>
              </w:rPr>
            </w:pPr>
            <w:r>
              <w:rPr>
                <w:rFonts w:ascii="Calibri" w:cs="Calibri" w:eastAsia="Calibri" w:hAnsi="Calibri"/>
                <w:sz w:val="18"/>
                <w:szCs w:val="18"/>
                <w:b w:val="1"/>
                <w:bCs w:val="1"/>
                <w:color w:val="auto"/>
              </w:rPr>
              <w:t>$</w:t>
            </w:r>
          </w:p>
        </w:tc>
        <w:tc>
          <w:tcPr>
            <w:tcW w:w="13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16.2</w:t>
            </w:r>
          </w:p>
        </w:tc>
        <w:tc>
          <w:tcPr>
            <w:tcW w:w="54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6.6</w:t>
            </w:r>
          </w:p>
        </w:tc>
      </w:tr>
      <w:tr>
        <w:trPr>
          <w:trHeight w:val="248"/>
        </w:trPr>
        <w:tc>
          <w:tcPr>
            <w:tcW w:w="754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Pretax loss on divestture</w:t>
            </w:r>
          </w:p>
        </w:tc>
        <w:tc>
          <w:tcPr>
            <w:tcW w:w="560" w:type="dxa"/>
            <w:vAlign w:val="bottom"/>
            <w:tcBorders>
              <w:bottom w:val="single" w:sz="8" w:color="E5F1F8"/>
            </w:tcBorders>
            <w:shd w:val="clear" w:color="auto" w:fill="E5F1F8"/>
          </w:tcPr>
          <w:p>
            <w:pPr>
              <w:spacing w:after="0"/>
              <w:rPr>
                <w:sz w:val="21"/>
                <w:szCs w:val="21"/>
                <w:color w:val="auto"/>
              </w:rPr>
            </w:pPr>
          </w:p>
        </w:tc>
        <w:tc>
          <w:tcPr>
            <w:tcW w:w="136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(0.7 )</w:t>
            </w:r>
          </w:p>
        </w:tc>
        <w:tc>
          <w:tcPr>
            <w:tcW w:w="540" w:type="dxa"/>
            <w:vAlign w:val="bottom"/>
            <w:tcBorders>
              <w:bottom w:val="single" w:sz="8" w:color="E5F1F8"/>
            </w:tcBorders>
            <w:shd w:val="clear" w:color="auto" w:fill="E5F1F8"/>
          </w:tcPr>
          <w:p>
            <w:pPr>
              <w:spacing w:after="0"/>
              <w:rPr>
                <w:sz w:val="21"/>
                <w:szCs w:val="21"/>
                <w:color w:val="auto"/>
              </w:rPr>
            </w:pPr>
          </w:p>
        </w:tc>
        <w:tc>
          <w:tcPr>
            <w:tcW w:w="124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(6.0 )</w:t>
            </w:r>
          </w:p>
        </w:tc>
      </w:tr>
      <w:tr>
        <w:trPr>
          <w:trHeight w:val="237"/>
        </w:trPr>
        <w:tc>
          <w:tcPr>
            <w:tcW w:w="754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color w:val="auto"/>
              </w:rPr>
              <w:t>Pretax earnings</w:t>
            </w:r>
          </w:p>
        </w:tc>
        <w:tc>
          <w:tcPr>
            <w:tcW w:w="560" w:type="dxa"/>
            <w:vAlign w:val="bottom"/>
            <w:tcBorders>
              <w:top w:val="single" w:sz="8" w:color="auto"/>
            </w:tcBorders>
          </w:tcPr>
          <w:p>
            <w:pPr>
              <w:spacing w:after="0"/>
              <w:rPr>
                <w:sz w:val="20"/>
                <w:szCs w:val="20"/>
                <w:color w:val="auto"/>
              </w:rPr>
            </w:pPr>
          </w:p>
        </w:tc>
        <w:tc>
          <w:tcPr>
            <w:tcW w:w="1360" w:type="dxa"/>
            <w:vAlign w:val="bottom"/>
            <w:tcBorders>
              <w:top w:val="single" w:sz="8" w:color="auto"/>
              <w:right w:val="single" w:sz="8" w:color="007CBA"/>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15.5</w:t>
            </w:r>
          </w:p>
        </w:tc>
        <w:tc>
          <w:tcPr>
            <w:tcW w:w="5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0.6</w:t>
            </w:r>
          </w:p>
        </w:tc>
      </w:tr>
      <w:tr>
        <w:trPr>
          <w:trHeight w:val="248"/>
        </w:trPr>
        <w:tc>
          <w:tcPr>
            <w:tcW w:w="754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Income tax expense</w:t>
            </w:r>
          </w:p>
        </w:tc>
        <w:tc>
          <w:tcPr>
            <w:tcW w:w="560" w:type="dxa"/>
            <w:vAlign w:val="bottom"/>
            <w:tcBorders>
              <w:bottom w:val="single" w:sz="8" w:color="E5F1F8"/>
            </w:tcBorders>
            <w:shd w:val="clear" w:color="auto" w:fill="E5F1F8"/>
          </w:tcPr>
          <w:p>
            <w:pPr>
              <w:spacing w:after="0"/>
              <w:rPr>
                <w:sz w:val="21"/>
                <w:szCs w:val="21"/>
                <w:color w:val="auto"/>
              </w:rPr>
            </w:pPr>
          </w:p>
        </w:tc>
        <w:tc>
          <w:tcPr>
            <w:tcW w:w="136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5.0</w:t>
            </w:r>
          </w:p>
        </w:tc>
        <w:tc>
          <w:tcPr>
            <w:tcW w:w="540" w:type="dxa"/>
            <w:vAlign w:val="bottom"/>
            <w:tcBorders>
              <w:bottom w:val="single" w:sz="8" w:color="E5F1F8"/>
            </w:tcBorders>
            <w:shd w:val="clear" w:color="auto" w:fill="E5F1F8"/>
          </w:tcPr>
          <w:p>
            <w:pPr>
              <w:spacing w:after="0"/>
              <w:rPr>
                <w:sz w:val="21"/>
                <w:szCs w:val="21"/>
                <w:color w:val="auto"/>
              </w:rPr>
            </w:pPr>
          </w:p>
        </w:tc>
        <w:tc>
          <w:tcPr>
            <w:tcW w:w="12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0.1</w:t>
            </w:r>
          </w:p>
        </w:tc>
      </w:tr>
      <w:tr>
        <w:trPr>
          <w:trHeight w:val="208"/>
        </w:trPr>
        <w:tc>
          <w:tcPr>
            <w:tcW w:w="754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Earnings from discontnued operatons, net of income tax expense</w:t>
            </w:r>
          </w:p>
        </w:tc>
        <w:tc>
          <w:tcPr>
            <w:tcW w:w="560" w:type="dxa"/>
            <w:vAlign w:val="bottom"/>
            <w:tcBorders>
              <w:top w:val="single" w:sz="8" w:color="auto"/>
            </w:tcBorders>
          </w:tcPr>
          <w:p>
            <w:pPr>
              <w:jc w:val="right"/>
              <w:ind w:right="170"/>
              <w:spacing w:after="0" w:line="208" w:lineRule="exact"/>
              <w:rPr>
                <w:sz w:val="20"/>
                <w:szCs w:val="20"/>
                <w:color w:val="auto"/>
              </w:rPr>
            </w:pPr>
            <w:r>
              <w:rPr>
                <w:rFonts w:ascii="Calibri" w:cs="Calibri" w:eastAsia="Calibri" w:hAnsi="Calibri"/>
                <w:sz w:val="18"/>
                <w:szCs w:val="18"/>
                <w:b w:val="1"/>
                <w:bCs w:val="1"/>
                <w:color w:val="auto"/>
              </w:rPr>
              <w:t>$</w:t>
            </w:r>
          </w:p>
        </w:tc>
        <w:tc>
          <w:tcPr>
            <w:tcW w:w="136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10.5</w:t>
            </w:r>
          </w:p>
        </w:tc>
        <w:tc>
          <w:tcPr>
            <w:tcW w:w="540" w:type="dxa"/>
            <w:vAlign w:val="bottom"/>
            <w:tcBorders>
              <w:top w:val="single" w:sz="8" w:color="auto"/>
            </w:tcBorders>
          </w:tcPr>
          <w:p>
            <w:pPr>
              <w:jc w:val="right"/>
              <w:ind w:right="150"/>
              <w:spacing w:after="0" w:line="208" w:lineRule="exact"/>
              <w:rPr>
                <w:sz w:val="20"/>
                <w:szCs w:val="20"/>
                <w:color w:val="auto"/>
              </w:rPr>
            </w:pPr>
            <w:r>
              <w:rPr>
                <w:rFonts w:ascii="Calibri" w:cs="Calibri" w:eastAsia="Calibri" w:hAnsi="Calibri"/>
                <w:sz w:val="18"/>
                <w:szCs w:val="18"/>
                <w:color w:val="auto"/>
              </w:rPr>
              <w:t>$</w:t>
            </w:r>
          </w:p>
        </w:tc>
        <w:tc>
          <w:tcPr>
            <w:tcW w:w="12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0.5</w:t>
            </w:r>
          </w:p>
        </w:tc>
      </w:tr>
      <w:tr>
        <w:trPr>
          <w:trHeight w:val="28"/>
        </w:trPr>
        <w:tc>
          <w:tcPr>
            <w:tcW w:w="7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7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4758690</wp:posOffset>
            </wp:positionH>
            <wp:positionV relativeFrom="paragraph">
              <wp:posOffset>-1160780</wp:posOffset>
            </wp:positionV>
            <wp:extent cx="2378710" cy="2057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237871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-672465</wp:posOffset>
            </wp:positionV>
            <wp:extent cx="7132320" cy="6858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spacing w:after="0" w:line="1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Total cash provided by operatng and investng actvites for discontnued operatons was $202.8 million in 2022, which included $249.9 million of proceeds from divesttures and $15.5 million of capital expenditures. Total cash used for operatng and investng actvites for 2021 was $11.9 million.</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Assets and Liabilites Held for Sale</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Assets and liabilites held for sale at December 31, 2022 included a cement plant in Tehachapi, California; related cement distributon terminals; the California ready mixed concrete plants not sold as part of the aforementoned Redding transacton; and certain investment propertes. At December 31, 2021, assets and liabilites held for sale also included the Redding, California cement plant, related cement distributon terminals and 14 California ready mix operatons that were sold in June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6751320</wp:posOffset>
            </wp:positionH>
            <wp:positionV relativeFrom="paragraph">
              <wp:posOffset>93345</wp:posOffset>
            </wp:positionV>
            <wp:extent cx="325755" cy="1968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308"/>
        </w:trPr>
        <w:tc>
          <w:tcPr>
            <w:tcW w:w="4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100" w:type="dxa"/>
            <w:vAlign w:val="bottom"/>
            <w:gridSpan w:val="15"/>
          </w:tcPr>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8 – Financial Statements and Supplementary Data</w:t>
            </w:r>
          </w:p>
        </w:tc>
      </w:tr>
      <w:tr>
        <w:trPr>
          <w:trHeight w:val="362"/>
        </w:trPr>
        <w:tc>
          <w:tcPr>
            <w:tcW w:w="4340" w:type="dxa"/>
            <w:vAlign w:val="bottom"/>
          </w:tcPr>
          <w:p>
            <w:pPr>
              <w:spacing w:after="0"/>
              <w:rPr>
                <w:sz w:val="20"/>
                <w:szCs w:val="20"/>
                <w:color w:val="auto"/>
              </w:rPr>
            </w:pPr>
            <w:r>
              <w:rPr>
                <w:rFonts w:ascii="Calibri" w:cs="Calibri" w:eastAsia="Calibri" w:hAnsi="Calibri"/>
                <w:sz w:val="18"/>
                <w:szCs w:val="18"/>
                <w:color w:val="auto"/>
              </w:rPr>
              <w:t>Assets and liabilites held for sale were as follows:</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31"/>
        </w:trPr>
        <w:tc>
          <w:tcPr>
            <w:tcW w:w="4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15"/>
        </w:trPr>
        <w:tc>
          <w:tcPr>
            <w:tcW w:w="4340" w:type="dxa"/>
            <w:vAlign w:val="bottom"/>
            <w:tcBorders>
              <w:right w:val="single" w:sz="8" w:color="007CBA"/>
            </w:tcBorders>
            <w:shd w:val="clear" w:color="auto" w:fill="007CBA"/>
          </w:tcPr>
          <w:p>
            <w:pPr>
              <w:spacing w:after="0"/>
              <w:rPr>
                <w:sz w:val="18"/>
                <w:szCs w:val="18"/>
                <w:color w:val="auto"/>
              </w:rPr>
            </w:pPr>
          </w:p>
        </w:tc>
        <w:tc>
          <w:tcPr>
            <w:tcW w:w="500" w:type="dxa"/>
            <w:vAlign w:val="bottom"/>
            <w:shd w:val="clear" w:color="auto" w:fill="007CBA"/>
          </w:tcPr>
          <w:p>
            <w:pPr>
              <w:spacing w:after="0"/>
              <w:rPr>
                <w:sz w:val="18"/>
                <w:szCs w:val="18"/>
                <w:color w:val="auto"/>
              </w:rPr>
            </w:pPr>
          </w:p>
        </w:tc>
        <w:tc>
          <w:tcPr>
            <w:tcW w:w="740" w:type="dxa"/>
            <w:vAlign w:val="bottom"/>
            <w:tcBorders>
              <w:right w:val="single" w:sz="8" w:color="007CBA"/>
            </w:tcBorders>
            <w:shd w:val="clear" w:color="auto" w:fill="007CBA"/>
          </w:tcPr>
          <w:p>
            <w:pPr>
              <w:spacing w:after="0"/>
              <w:rPr>
                <w:sz w:val="18"/>
                <w:szCs w:val="18"/>
                <w:color w:val="auto"/>
              </w:rPr>
            </w:pPr>
          </w:p>
        </w:tc>
        <w:tc>
          <w:tcPr>
            <w:tcW w:w="120" w:type="dxa"/>
            <w:vAlign w:val="bottom"/>
            <w:shd w:val="clear" w:color="auto" w:fill="007CBA"/>
          </w:tcPr>
          <w:p>
            <w:pPr>
              <w:spacing w:after="0"/>
              <w:rPr>
                <w:sz w:val="18"/>
                <w:szCs w:val="18"/>
                <w:color w:val="auto"/>
              </w:rPr>
            </w:pPr>
          </w:p>
        </w:tc>
        <w:tc>
          <w:tcPr>
            <w:tcW w:w="180" w:type="dxa"/>
            <w:vAlign w:val="bottom"/>
            <w:shd w:val="clear" w:color="auto" w:fill="007CBA"/>
          </w:tcPr>
          <w:p>
            <w:pPr>
              <w:spacing w:after="0"/>
              <w:rPr>
                <w:sz w:val="18"/>
                <w:szCs w:val="18"/>
                <w:color w:val="auto"/>
              </w:rPr>
            </w:pPr>
          </w:p>
        </w:tc>
        <w:tc>
          <w:tcPr>
            <w:tcW w:w="900" w:type="dxa"/>
            <w:vAlign w:val="bottom"/>
            <w:tcBorders>
              <w:right w:val="single" w:sz="8" w:color="007CBA"/>
            </w:tcBorders>
            <w:gridSpan w:val="2"/>
            <w:shd w:val="clear" w:color="auto" w:fill="007CBA"/>
          </w:tcPr>
          <w:p>
            <w:pPr>
              <w:jc w:val="right"/>
              <w:ind w:right="370"/>
              <w:spacing w:after="0" w:line="215" w:lineRule="exact"/>
              <w:rPr>
                <w:sz w:val="20"/>
                <w:szCs w:val="20"/>
                <w:color w:val="auto"/>
              </w:rPr>
            </w:pPr>
            <w:r>
              <w:rPr>
                <w:rFonts w:ascii="Calibri" w:cs="Calibri" w:eastAsia="Calibri" w:hAnsi="Calibri"/>
                <w:sz w:val="18"/>
                <w:szCs w:val="18"/>
                <w:b w:val="1"/>
                <w:bCs w:val="1"/>
                <w:color w:val="FFFFFF"/>
              </w:rPr>
              <w:t>2022</w:t>
            </w:r>
          </w:p>
        </w:tc>
        <w:tc>
          <w:tcPr>
            <w:tcW w:w="120" w:type="dxa"/>
            <w:vAlign w:val="bottom"/>
            <w:shd w:val="clear" w:color="auto" w:fill="007CBA"/>
          </w:tcPr>
          <w:p>
            <w:pPr>
              <w:spacing w:after="0"/>
              <w:rPr>
                <w:sz w:val="18"/>
                <w:szCs w:val="18"/>
                <w:color w:val="auto"/>
              </w:rPr>
            </w:pPr>
          </w:p>
        </w:tc>
        <w:tc>
          <w:tcPr>
            <w:tcW w:w="260" w:type="dxa"/>
            <w:vAlign w:val="bottom"/>
            <w:shd w:val="clear" w:color="auto" w:fill="007CBA"/>
          </w:tcPr>
          <w:p>
            <w:pPr>
              <w:spacing w:after="0"/>
              <w:rPr>
                <w:sz w:val="18"/>
                <w:szCs w:val="18"/>
                <w:color w:val="auto"/>
              </w:rPr>
            </w:pPr>
          </w:p>
        </w:tc>
        <w:tc>
          <w:tcPr>
            <w:tcW w:w="760" w:type="dxa"/>
            <w:vAlign w:val="bottom"/>
            <w:tcBorders>
              <w:right w:val="single" w:sz="8" w:color="007CBA"/>
            </w:tcBorders>
            <w:shd w:val="clear" w:color="auto" w:fill="007CBA"/>
          </w:tcPr>
          <w:p>
            <w:pPr>
              <w:spacing w:after="0"/>
              <w:rPr>
                <w:sz w:val="18"/>
                <w:szCs w:val="18"/>
                <w:color w:val="auto"/>
              </w:rPr>
            </w:pPr>
          </w:p>
        </w:tc>
        <w:tc>
          <w:tcPr>
            <w:tcW w:w="100" w:type="dxa"/>
            <w:vAlign w:val="bottom"/>
            <w:shd w:val="clear" w:color="auto" w:fill="007CBA"/>
          </w:tcPr>
          <w:p>
            <w:pPr>
              <w:spacing w:after="0"/>
              <w:rPr>
                <w:sz w:val="18"/>
                <w:szCs w:val="18"/>
                <w:color w:val="auto"/>
              </w:rPr>
            </w:pPr>
          </w:p>
        </w:tc>
        <w:tc>
          <w:tcPr>
            <w:tcW w:w="320" w:type="dxa"/>
            <w:vAlign w:val="bottom"/>
            <w:shd w:val="clear" w:color="auto" w:fill="007CBA"/>
          </w:tcPr>
          <w:p>
            <w:pPr>
              <w:spacing w:after="0"/>
              <w:rPr>
                <w:sz w:val="18"/>
                <w:szCs w:val="18"/>
                <w:color w:val="auto"/>
              </w:rPr>
            </w:pPr>
          </w:p>
        </w:tc>
        <w:tc>
          <w:tcPr>
            <w:tcW w:w="560" w:type="dxa"/>
            <w:vAlign w:val="bottom"/>
            <w:shd w:val="clear" w:color="auto" w:fill="007CBA"/>
          </w:tcPr>
          <w:p>
            <w:pPr>
              <w:spacing w:after="0"/>
              <w:rPr>
                <w:sz w:val="18"/>
                <w:szCs w:val="18"/>
                <w:color w:val="auto"/>
              </w:rPr>
            </w:pPr>
          </w:p>
        </w:tc>
        <w:tc>
          <w:tcPr>
            <w:tcW w:w="1260" w:type="dxa"/>
            <w:vAlign w:val="bottom"/>
            <w:tcBorders>
              <w:right w:val="single" w:sz="8" w:color="007CBA"/>
            </w:tcBorders>
            <w:gridSpan w:val="5"/>
            <w:shd w:val="clear" w:color="auto" w:fill="007CBA"/>
          </w:tcPr>
          <w:p>
            <w:pPr>
              <w:jc w:val="center"/>
              <w:ind w:left="10"/>
              <w:spacing w:after="0" w:line="215" w:lineRule="exact"/>
              <w:rPr>
                <w:sz w:val="20"/>
                <w:szCs w:val="20"/>
                <w:color w:val="auto"/>
              </w:rPr>
            </w:pPr>
            <w:r>
              <w:rPr>
                <w:rFonts w:ascii="Calibri" w:cs="Calibri" w:eastAsia="Calibri" w:hAnsi="Calibri"/>
                <w:sz w:val="18"/>
                <w:szCs w:val="18"/>
                <w:color w:val="FFFFFF"/>
                <w:w w:val="98"/>
              </w:rPr>
              <w:t>2021</w:t>
            </w:r>
          </w:p>
        </w:tc>
        <w:tc>
          <w:tcPr>
            <w:tcW w:w="100" w:type="dxa"/>
            <w:vAlign w:val="bottom"/>
            <w:shd w:val="clear" w:color="auto" w:fill="007CBA"/>
          </w:tcPr>
          <w:p>
            <w:pPr>
              <w:spacing w:after="0"/>
              <w:rPr>
                <w:sz w:val="18"/>
                <w:szCs w:val="18"/>
                <w:color w:val="auto"/>
              </w:rPr>
            </w:pPr>
          </w:p>
        </w:tc>
        <w:tc>
          <w:tcPr>
            <w:tcW w:w="180" w:type="dxa"/>
            <w:vAlign w:val="bottom"/>
            <w:shd w:val="clear" w:color="auto" w:fill="007CBA"/>
          </w:tcPr>
          <w:p>
            <w:pPr>
              <w:spacing w:after="0"/>
              <w:rPr>
                <w:sz w:val="18"/>
                <w:szCs w:val="18"/>
                <w:color w:val="auto"/>
              </w:rPr>
            </w:pPr>
          </w:p>
        </w:tc>
        <w:tc>
          <w:tcPr>
            <w:tcW w:w="800" w:type="dxa"/>
            <w:vAlign w:val="bottom"/>
            <w:shd w:val="clear" w:color="auto" w:fill="007CBA"/>
          </w:tcPr>
          <w:p>
            <w:pPr>
              <w:spacing w:after="0"/>
              <w:rPr>
                <w:sz w:val="18"/>
                <w:szCs w:val="18"/>
                <w:color w:val="auto"/>
              </w:rPr>
            </w:pPr>
          </w:p>
        </w:tc>
      </w:tr>
      <w:tr>
        <w:trPr>
          <w:trHeight w:val="248"/>
        </w:trPr>
        <w:tc>
          <w:tcPr>
            <w:tcW w:w="4340" w:type="dxa"/>
            <w:vAlign w:val="bottom"/>
            <w:tcBorders>
              <w:right w:val="single" w:sz="8" w:color="007CBA"/>
            </w:tcBorders>
            <w:shd w:val="clear" w:color="auto" w:fill="007CBA"/>
          </w:tcPr>
          <w:p>
            <w:pPr>
              <w:spacing w:after="0"/>
              <w:rPr>
                <w:sz w:val="21"/>
                <w:szCs w:val="21"/>
                <w:color w:val="auto"/>
              </w:rPr>
            </w:pPr>
          </w:p>
        </w:tc>
        <w:tc>
          <w:tcPr>
            <w:tcW w:w="500" w:type="dxa"/>
            <w:vAlign w:val="bottom"/>
            <w:shd w:val="clear" w:color="auto" w:fill="007CBA"/>
          </w:tcPr>
          <w:p>
            <w:pPr>
              <w:spacing w:after="0"/>
              <w:rPr>
                <w:sz w:val="21"/>
                <w:szCs w:val="21"/>
                <w:color w:val="auto"/>
              </w:rPr>
            </w:pPr>
          </w:p>
        </w:tc>
        <w:tc>
          <w:tcPr>
            <w:tcW w:w="740" w:type="dxa"/>
            <w:vAlign w:val="bottom"/>
            <w:tcBorders>
              <w:right w:val="single" w:sz="8" w:color="007CBA"/>
            </w:tcBorders>
            <w:shd w:val="clear" w:color="auto" w:fill="007CBA"/>
          </w:tcPr>
          <w:p>
            <w:pPr>
              <w:spacing w:after="0"/>
              <w:rPr>
                <w:sz w:val="21"/>
                <w:szCs w:val="21"/>
                <w:color w:val="auto"/>
              </w:rPr>
            </w:pPr>
          </w:p>
        </w:tc>
        <w:tc>
          <w:tcPr>
            <w:tcW w:w="120" w:type="dxa"/>
            <w:vAlign w:val="bottom"/>
            <w:shd w:val="clear" w:color="auto" w:fill="007CBA"/>
          </w:tcPr>
          <w:p>
            <w:pPr>
              <w:spacing w:after="0"/>
              <w:rPr>
                <w:sz w:val="21"/>
                <w:szCs w:val="21"/>
                <w:color w:val="auto"/>
              </w:rPr>
            </w:pPr>
          </w:p>
        </w:tc>
        <w:tc>
          <w:tcPr>
            <w:tcW w:w="1080" w:type="dxa"/>
            <w:vAlign w:val="bottom"/>
            <w:tcBorders>
              <w:right w:val="single" w:sz="8" w:color="007CBA"/>
            </w:tcBorders>
            <w:gridSpan w:val="3"/>
            <w:shd w:val="clear" w:color="auto" w:fill="007CBA"/>
          </w:tcPr>
          <w:p>
            <w:pPr>
              <w:jc w:val="center"/>
              <w:ind w:right="50"/>
              <w:spacing w:after="0"/>
              <w:rPr>
                <w:sz w:val="20"/>
                <w:szCs w:val="20"/>
                <w:color w:val="auto"/>
              </w:rPr>
            </w:pPr>
            <w:r>
              <w:rPr>
                <w:rFonts w:ascii="Calibri" w:cs="Calibri" w:eastAsia="Calibri" w:hAnsi="Calibri"/>
                <w:sz w:val="18"/>
                <w:szCs w:val="18"/>
                <w:b w:val="1"/>
                <w:bCs w:val="1"/>
                <w:color w:val="FFFFFF"/>
              </w:rPr>
              <w:t>Discontnue</w:t>
            </w:r>
          </w:p>
        </w:tc>
        <w:tc>
          <w:tcPr>
            <w:tcW w:w="120" w:type="dxa"/>
            <w:vAlign w:val="bottom"/>
            <w:shd w:val="clear" w:color="auto" w:fill="007CBA"/>
          </w:tcPr>
          <w:p>
            <w:pPr>
              <w:spacing w:after="0"/>
              <w:rPr>
                <w:sz w:val="21"/>
                <w:szCs w:val="21"/>
                <w:color w:val="auto"/>
              </w:rPr>
            </w:pPr>
          </w:p>
        </w:tc>
        <w:tc>
          <w:tcPr>
            <w:tcW w:w="260" w:type="dxa"/>
            <w:vAlign w:val="bottom"/>
            <w:shd w:val="clear" w:color="auto" w:fill="007CBA"/>
          </w:tcPr>
          <w:p>
            <w:pPr>
              <w:spacing w:after="0"/>
              <w:rPr>
                <w:sz w:val="21"/>
                <w:szCs w:val="21"/>
                <w:color w:val="auto"/>
              </w:rPr>
            </w:pPr>
          </w:p>
        </w:tc>
        <w:tc>
          <w:tcPr>
            <w:tcW w:w="760" w:type="dxa"/>
            <w:vAlign w:val="bottom"/>
            <w:tcBorders>
              <w:right w:val="single" w:sz="8" w:color="007CBA"/>
            </w:tcBorders>
            <w:shd w:val="clear" w:color="auto" w:fill="007CBA"/>
          </w:tcPr>
          <w:p>
            <w:pPr>
              <w:spacing w:after="0"/>
              <w:rPr>
                <w:sz w:val="21"/>
                <w:szCs w:val="21"/>
                <w:color w:val="auto"/>
              </w:rPr>
            </w:pPr>
          </w:p>
        </w:tc>
        <w:tc>
          <w:tcPr>
            <w:tcW w:w="100" w:type="dxa"/>
            <w:vAlign w:val="bottom"/>
            <w:shd w:val="clear" w:color="auto" w:fill="007CBA"/>
          </w:tcPr>
          <w:p>
            <w:pPr>
              <w:spacing w:after="0"/>
              <w:rPr>
                <w:sz w:val="21"/>
                <w:szCs w:val="21"/>
                <w:color w:val="auto"/>
              </w:rPr>
            </w:pPr>
          </w:p>
        </w:tc>
        <w:tc>
          <w:tcPr>
            <w:tcW w:w="320" w:type="dxa"/>
            <w:vAlign w:val="bottom"/>
            <w:shd w:val="clear" w:color="auto" w:fill="007CBA"/>
          </w:tcPr>
          <w:p>
            <w:pPr>
              <w:spacing w:after="0"/>
              <w:rPr>
                <w:sz w:val="21"/>
                <w:szCs w:val="21"/>
                <w:color w:val="auto"/>
              </w:rPr>
            </w:pPr>
          </w:p>
        </w:tc>
        <w:tc>
          <w:tcPr>
            <w:tcW w:w="560" w:type="dxa"/>
            <w:vAlign w:val="bottom"/>
            <w:shd w:val="clear" w:color="auto" w:fill="007CBA"/>
          </w:tcPr>
          <w:p>
            <w:pPr>
              <w:spacing w:after="0"/>
              <w:rPr>
                <w:sz w:val="21"/>
                <w:szCs w:val="21"/>
                <w:color w:val="auto"/>
              </w:rPr>
            </w:pPr>
          </w:p>
        </w:tc>
        <w:tc>
          <w:tcPr>
            <w:tcW w:w="120" w:type="dxa"/>
            <w:vAlign w:val="bottom"/>
            <w:tcBorders>
              <w:right w:val="single" w:sz="8" w:color="007CBA"/>
            </w:tcBorders>
            <w:shd w:val="clear" w:color="auto" w:fill="007CBA"/>
          </w:tcPr>
          <w:p>
            <w:pPr>
              <w:spacing w:after="0"/>
              <w:rPr>
                <w:sz w:val="21"/>
                <w:szCs w:val="21"/>
                <w:color w:val="auto"/>
              </w:rPr>
            </w:pPr>
          </w:p>
        </w:tc>
        <w:tc>
          <w:tcPr>
            <w:tcW w:w="100" w:type="dxa"/>
            <w:vAlign w:val="bottom"/>
            <w:shd w:val="clear" w:color="auto" w:fill="007CBA"/>
          </w:tcPr>
          <w:p>
            <w:pPr>
              <w:spacing w:after="0"/>
              <w:rPr>
                <w:sz w:val="21"/>
                <w:szCs w:val="21"/>
                <w:color w:val="auto"/>
              </w:rPr>
            </w:pPr>
          </w:p>
        </w:tc>
        <w:tc>
          <w:tcPr>
            <w:tcW w:w="1040" w:type="dxa"/>
            <w:vAlign w:val="bottom"/>
            <w:tcBorders>
              <w:right w:val="single" w:sz="8" w:color="007CBA"/>
            </w:tcBorders>
            <w:gridSpan w:val="3"/>
            <w:shd w:val="clear" w:color="auto" w:fill="007CBA"/>
          </w:tcPr>
          <w:p>
            <w:pPr>
              <w:jc w:val="center"/>
              <w:ind w:right="30"/>
              <w:spacing w:after="0"/>
              <w:rPr>
                <w:sz w:val="20"/>
                <w:szCs w:val="20"/>
                <w:color w:val="auto"/>
              </w:rPr>
            </w:pPr>
            <w:r>
              <w:rPr>
                <w:rFonts w:ascii="Calibri" w:cs="Calibri" w:eastAsia="Calibri" w:hAnsi="Calibri"/>
                <w:sz w:val="18"/>
                <w:szCs w:val="18"/>
                <w:color w:val="FFFFFF"/>
              </w:rPr>
              <w:t>Discontnue</w:t>
            </w:r>
          </w:p>
        </w:tc>
        <w:tc>
          <w:tcPr>
            <w:tcW w:w="100" w:type="dxa"/>
            <w:vAlign w:val="bottom"/>
            <w:shd w:val="clear" w:color="auto" w:fill="007CBA"/>
          </w:tcPr>
          <w:p>
            <w:pPr>
              <w:spacing w:after="0"/>
              <w:rPr>
                <w:sz w:val="21"/>
                <w:szCs w:val="21"/>
                <w:color w:val="auto"/>
              </w:rPr>
            </w:pPr>
          </w:p>
        </w:tc>
        <w:tc>
          <w:tcPr>
            <w:tcW w:w="180" w:type="dxa"/>
            <w:vAlign w:val="bottom"/>
            <w:shd w:val="clear" w:color="auto" w:fill="007CBA"/>
          </w:tcPr>
          <w:p>
            <w:pPr>
              <w:spacing w:after="0"/>
              <w:rPr>
                <w:sz w:val="21"/>
                <w:szCs w:val="21"/>
                <w:color w:val="auto"/>
              </w:rPr>
            </w:pPr>
          </w:p>
        </w:tc>
        <w:tc>
          <w:tcPr>
            <w:tcW w:w="800" w:type="dxa"/>
            <w:vAlign w:val="bottom"/>
            <w:shd w:val="clear" w:color="auto" w:fill="007CBA"/>
          </w:tcPr>
          <w:p>
            <w:pPr>
              <w:spacing w:after="0"/>
              <w:rPr>
                <w:sz w:val="21"/>
                <w:szCs w:val="21"/>
                <w:color w:val="auto"/>
              </w:rPr>
            </w:pPr>
          </w:p>
        </w:tc>
      </w:tr>
      <w:tr>
        <w:trPr>
          <w:trHeight w:val="216"/>
        </w:trPr>
        <w:tc>
          <w:tcPr>
            <w:tcW w:w="4340" w:type="dxa"/>
            <w:vAlign w:val="bottom"/>
            <w:tcBorders>
              <w:right w:val="single" w:sz="8" w:color="007CBA"/>
            </w:tcBorders>
            <w:shd w:val="clear" w:color="auto" w:fill="007CBA"/>
          </w:tcPr>
          <w:p>
            <w:pPr>
              <w:ind w:left="120"/>
              <w:spacing w:after="0" w:line="216" w:lineRule="exact"/>
              <w:rPr>
                <w:sz w:val="20"/>
                <w:szCs w:val="20"/>
                <w:color w:val="auto"/>
              </w:rPr>
            </w:pPr>
            <w:r>
              <w:rPr>
                <w:rFonts w:ascii="Calibri" w:cs="Calibri" w:eastAsia="Calibri" w:hAnsi="Calibri"/>
                <w:sz w:val="18"/>
                <w:szCs w:val="18"/>
                <w:i w:val="1"/>
                <w:iCs w:val="1"/>
                <w:color w:val="FFFFFF"/>
              </w:rPr>
              <w:t>December 31</w:t>
            </w:r>
          </w:p>
        </w:tc>
        <w:tc>
          <w:tcPr>
            <w:tcW w:w="1240" w:type="dxa"/>
            <w:vAlign w:val="bottom"/>
            <w:tcBorders>
              <w:right w:val="single" w:sz="8" w:color="007CBA"/>
            </w:tcBorders>
            <w:gridSpan w:val="2"/>
            <w:shd w:val="clear" w:color="auto" w:fill="007CBA"/>
          </w:tcPr>
          <w:p>
            <w:pPr>
              <w:jc w:val="right"/>
              <w:ind w:right="150"/>
              <w:spacing w:after="0" w:line="216" w:lineRule="exact"/>
              <w:rPr>
                <w:sz w:val="20"/>
                <w:szCs w:val="20"/>
                <w:color w:val="auto"/>
              </w:rPr>
            </w:pPr>
            <w:r>
              <w:rPr>
                <w:rFonts w:ascii="Calibri" w:cs="Calibri" w:eastAsia="Calibri" w:hAnsi="Calibri"/>
                <w:sz w:val="18"/>
                <w:szCs w:val="18"/>
                <w:b w:val="1"/>
                <w:bCs w:val="1"/>
                <w:color w:val="FFFFFF"/>
              </w:rPr>
              <w:t>Contnuing</w:t>
            </w:r>
          </w:p>
        </w:tc>
        <w:tc>
          <w:tcPr>
            <w:tcW w:w="120" w:type="dxa"/>
            <w:vAlign w:val="bottom"/>
            <w:shd w:val="clear" w:color="auto" w:fill="007CBA"/>
          </w:tcPr>
          <w:p>
            <w:pPr>
              <w:spacing w:after="0"/>
              <w:rPr>
                <w:sz w:val="18"/>
                <w:szCs w:val="18"/>
                <w:color w:val="auto"/>
              </w:rPr>
            </w:pPr>
          </w:p>
        </w:tc>
        <w:tc>
          <w:tcPr>
            <w:tcW w:w="180" w:type="dxa"/>
            <w:vAlign w:val="bottom"/>
            <w:shd w:val="clear" w:color="auto" w:fill="007CBA"/>
          </w:tcPr>
          <w:p>
            <w:pPr>
              <w:spacing w:after="0"/>
              <w:rPr>
                <w:sz w:val="18"/>
                <w:szCs w:val="18"/>
                <w:color w:val="auto"/>
              </w:rPr>
            </w:pPr>
          </w:p>
        </w:tc>
        <w:tc>
          <w:tcPr>
            <w:tcW w:w="900" w:type="dxa"/>
            <w:vAlign w:val="bottom"/>
            <w:tcBorders>
              <w:right w:val="single" w:sz="8" w:color="007CBA"/>
            </w:tcBorders>
            <w:gridSpan w:val="2"/>
            <w:shd w:val="clear" w:color="auto" w:fill="007CBA"/>
          </w:tcPr>
          <w:p>
            <w:pPr>
              <w:jc w:val="center"/>
              <w:ind w:right="270"/>
              <w:spacing w:after="0" w:line="216" w:lineRule="exact"/>
              <w:rPr>
                <w:sz w:val="20"/>
                <w:szCs w:val="20"/>
                <w:color w:val="auto"/>
              </w:rPr>
            </w:pPr>
            <w:r>
              <w:rPr>
                <w:rFonts w:ascii="Calibri" w:cs="Calibri" w:eastAsia="Calibri" w:hAnsi="Calibri"/>
                <w:sz w:val="18"/>
                <w:szCs w:val="18"/>
                <w:b w:val="1"/>
                <w:bCs w:val="1"/>
                <w:color w:val="FFFFFF"/>
              </w:rPr>
              <w:t>d</w:t>
            </w:r>
          </w:p>
        </w:tc>
        <w:tc>
          <w:tcPr>
            <w:tcW w:w="120" w:type="dxa"/>
            <w:vAlign w:val="bottom"/>
            <w:shd w:val="clear" w:color="auto" w:fill="007CBA"/>
          </w:tcPr>
          <w:p>
            <w:pPr>
              <w:spacing w:after="0"/>
              <w:rPr>
                <w:sz w:val="18"/>
                <w:szCs w:val="18"/>
                <w:color w:val="auto"/>
              </w:rPr>
            </w:pPr>
          </w:p>
        </w:tc>
        <w:tc>
          <w:tcPr>
            <w:tcW w:w="260" w:type="dxa"/>
            <w:vAlign w:val="bottom"/>
            <w:shd w:val="clear" w:color="auto" w:fill="007CBA"/>
          </w:tcPr>
          <w:p>
            <w:pPr>
              <w:spacing w:after="0"/>
              <w:rPr>
                <w:sz w:val="18"/>
                <w:szCs w:val="18"/>
                <w:color w:val="auto"/>
              </w:rPr>
            </w:pPr>
          </w:p>
        </w:tc>
        <w:tc>
          <w:tcPr>
            <w:tcW w:w="760" w:type="dxa"/>
            <w:vAlign w:val="bottom"/>
            <w:tcBorders>
              <w:right w:val="single" w:sz="8" w:color="007CBA"/>
            </w:tcBorders>
            <w:shd w:val="clear" w:color="auto" w:fill="007CBA"/>
          </w:tcPr>
          <w:p>
            <w:pPr>
              <w:spacing w:after="0"/>
              <w:rPr>
                <w:sz w:val="18"/>
                <w:szCs w:val="18"/>
                <w:color w:val="auto"/>
              </w:rPr>
            </w:pPr>
          </w:p>
        </w:tc>
        <w:tc>
          <w:tcPr>
            <w:tcW w:w="100" w:type="dxa"/>
            <w:vAlign w:val="bottom"/>
            <w:shd w:val="clear" w:color="auto" w:fill="007CBA"/>
          </w:tcPr>
          <w:p>
            <w:pPr>
              <w:spacing w:after="0"/>
              <w:rPr>
                <w:sz w:val="18"/>
                <w:szCs w:val="18"/>
                <w:color w:val="auto"/>
              </w:rPr>
            </w:pPr>
          </w:p>
        </w:tc>
        <w:tc>
          <w:tcPr>
            <w:tcW w:w="880" w:type="dxa"/>
            <w:vAlign w:val="bottom"/>
            <w:gridSpan w:val="2"/>
            <w:shd w:val="clear" w:color="auto" w:fill="007CBA"/>
          </w:tcPr>
          <w:p>
            <w:pPr>
              <w:ind w:left="40"/>
              <w:spacing w:after="0" w:line="216" w:lineRule="exact"/>
              <w:rPr>
                <w:sz w:val="20"/>
                <w:szCs w:val="20"/>
                <w:color w:val="auto"/>
              </w:rPr>
            </w:pPr>
            <w:r>
              <w:rPr>
                <w:rFonts w:ascii="Calibri" w:cs="Calibri" w:eastAsia="Calibri" w:hAnsi="Calibri"/>
                <w:sz w:val="18"/>
                <w:szCs w:val="18"/>
                <w:color w:val="FFFFFF"/>
              </w:rPr>
              <w:t>Contnuing</w:t>
            </w:r>
          </w:p>
        </w:tc>
        <w:tc>
          <w:tcPr>
            <w:tcW w:w="120" w:type="dxa"/>
            <w:vAlign w:val="bottom"/>
            <w:tcBorders>
              <w:right w:val="single" w:sz="8" w:color="007CBA"/>
            </w:tcBorders>
            <w:shd w:val="clear" w:color="auto" w:fill="007CBA"/>
          </w:tcPr>
          <w:p>
            <w:pPr>
              <w:spacing w:after="0"/>
              <w:rPr>
                <w:sz w:val="18"/>
                <w:szCs w:val="18"/>
                <w:color w:val="auto"/>
              </w:rPr>
            </w:pPr>
          </w:p>
        </w:tc>
        <w:tc>
          <w:tcPr>
            <w:tcW w:w="100" w:type="dxa"/>
            <w:vAlign w:val="bottom"/>
            <w:shd w:val="clear" w:color="auto" w:fill="007CBA"/>
          </w:tcPr>
          <w:p>
            <w:pPr>
              <w:spacing w:after="0"/>
              <w:rPr>
                <w:sz w:val="18"/>
                <w:szCs w:val="18"/>
                <w:color w:val="auto"/>
              </w:rPr>
            </w:pPr>
          </w:p>
        </w:tc>
        <w:tc>
          <w:tcPr>
            <w:tcW w:w="500" w:type="dxa"/>
            <w:vAlign w:val="bottom"/>
            <w:gridSpan w:val="2"/>
            <w:shd w:val="clear" w:color="auto" w:fill="007CBA"/>
          </w:tcPr>
          <w:p>
            <w:pPr>
              <w:jc w:val="center"/>
              <w:ind w:left="290"/>
              <w:spacing w:after="0" w:line="216" w:lineRule="exact"/>
              <w:rPr>
                <w:sz w:val="20"/>
                <w:szCs w:val="20"/>
                <w:color w:val="auto"/>
              </w:rPr>
            </w:pPr>
            <w:r>
              <w:rPr>
                <w:rFonts w:ascii="Calibri" w:cs="Calibri" w:eastAsia="Calibri" w:hAnsi="Calibri"/>
                <w:sz w:val="18"/>
                <w:szCs w:val="18"/>
                <w:color w:val="FFFFFF"/>
                <w:w w:val="84"/>
              </w:rPr>
              <w:t>d</w:t>
            </w:r>
          </w:p>
        </w:tc>
        <w:tc>
          <w:tcPr>
            <w:tcW w:w="540" w:type="dxa"/>
            <w:vAlign w:val="bottom"/>
            <w:tcBorders>
              <w:right w:val="single" w:sz="8" w:color="007CBA"/>
            </w:tcBorders>
            <w:shd w:val="clear" w:color="auto" w:fill="007CBA"/>
          </w:tcPr>
          <w:p>
            <w:pPr>
              <w:spacing w:after="0"/>
              <w:rPr>
                <w:sz w:val="18"/>
                <w:szCs w:val="18"/>
                <w:color w:val="auto"/>
              </w:rPr>
            </w:pPr>
          </w:p>
        </w:tc>
        <w:tc>
          <w:tcPr>
            <w:tcW w:w="100" w:type="dxa"/>
            <w:vAlign w:val="bottom"/>
            <w:shd w:val="clear" w:color="auto" w:fill="007CBA"/>
          </w:tcPr>
          <w:p>
            <w:pPr>
              <w:spacing w:after="0"/>
              <w:rPr>
                <w:sz w:val="18"/>
                <w:szCs w:val="18"/>
                <w:color w:val="auto"/>
              </w:rPr>
            </w:pPr>
          </w:p>
        </w:tc>
        <w:tc>
          <w:tcPr>
            <w:tcW w:w="180" w:type="dxa"/>
            <w:vAlign w:val="bottom"/>
            <w:shd w:val="clear" w:color="auto" w:fill="007CBA"/>
          </w:tcPr>
          <w:p>
            <w:pPr>
              <w:spacing w:after="0"/>
              <w:rPr>
                <w:sz w:val="18"/>
                <w:szCs w:val="18"/>
                <w:color w:val="auto"/>
              </w:rPr>
            </w:pPr>
          </w:p>
        </w:tc>
        <w:tc>
          <w:tcPr>
            <w:tcW w:w="800" w:type="dxa"/>
            <w:vAlign w:val="bottom"/>
            <w:shd w:val="clear" w:color="auto" w:fill="007CBA"/>
          </w:tcPr>
          <w:p>
            <w:pPr>
              <w:spacing w:after="0"/>
              <w:rPr>
                <w:sz w:val="18"/>
                <w:szCs w:val="18"/>
                <w:color w:val="auto"/>
              </w:rPr>
            </w:pPr>
          </w:p>
        </w:tc>
      </w:tr>
      <w:tr>
        <w:trPr>
          <w:trHeight w:val="233"/>
        </w:trPr>
        <w:tc>
          <w:tcPr>
            <w:tcW w:w="4340" w:type="dxa"/>
            <w:vAlign w:val="bottom"/>
            <w:tcBorders>
              <w:bottom w:val="single" w:sz="8" w:color="007CBA"/>
              <w:right w:val="single" w:sz="8" w:color="007CBA"/>
            </w:tcBorders>
            <w:shd w:val="clear" w:color="auto" w:fill="007CBA"/>
          </w:tcPr>
          <w:p>
            <w:pPr>
              <w:ind w:left="120"/>
              <w:spacing w:after="0" w:line="216" w:lineRule="exact"/>
              <w:rPr>
                <w:sz w:val="20"/>
                <w:szCs w:val="20"/>
                <w:color w:val="auto"/>
              </w:rPr>
            </w:pPr>
            <w:r>
              <w:rPr>
                <w:rFonts w:ascii="Calibri" w:cs="Calibri" w:eastAsia="Calibri" w:hAnsi="Calibri"/>
                <w:sz w:val="18"/>
                <w:szCs w:val="18"/>
                <w:color w:val="FFFFFF"/>
              </w:rPr>
              <w:t>(in millions)</w:t>
            </w:r>
          </w:p>
        </w:tc>
        <w:tc>
          <w:tcPr>
            <w:tcW w:w="1240" w:type="dxa"/>
            <w:vAlign w:val="bottom"/>
            <w:tcBorders>
              <w:bottom w:val="single" w:sz="8" w:color="007CBA"/>
              <w:right w:val="single" w:sz="8" w:color="007CBA"/>
            </w:tcBorders>
            <w:gridSpan w:val="2"/>
            <w:shd w:val="clear" w:color="auto" w:fill="007CBA"/>
          </w:tcPr>
          <w:p>
            <w:pPr>
              <w:jc w:val="right"/>
              <w:ind w:right="130"/>
              <w:spacing w:after="0" w:line="216" w:lineRule="exact"/>
              <w:rPr>
                <w:sz w:val="20"/>
                <w:szCs w:val="20"/>
                <w:color w:val="auto"/>
              </w:rPr>
            </w:pPr>
            <w:r>
              <w:rPr>
                <w:rFonts w:ascii="Calibri" w:cs="Calibri" w:eastAsia="Calibri" w:hAnsi="Calibri"/>
                <w:sz w:val="18"/>
                <w:szCs w:val="18"/>
                <w:b w:val="1"/>
                <w:bCs w:val="1"/>
                <w:color w:val="FFFFFF"/>
              </w:rPr>
              <w:t>Operatons</w:t>
            </w:r>
          </w:p>
        </w:tc>
        <w:tc>
          <w:tcPr>
            <w:tcW w:w="120" w:type="dxa"/>
            <w:vAlign w:val="bottom"/>
            <w:tcBorders>
              <w:bottom w:val="single" w:sz="8" w:color="007CBA"/>
            </w:tcBorders>
            <w:shd w:val="clear" w:color="auto" w:fill="007CBA"/>
          </w:tcPr>
          <w:p>
            <w:pPr>
              <w:spacing w:after="0"/>
              <w:rPr>
                <w:sz w:val="20"/>
                <w:szCs w:val="20"/>
                <w:color w:val="auto"/>
              </w:rPr>
            </w:pPr>
          </w:p>
        </w:tc>
        <w:tc>
          <w:tcPr>
            <w:tcW w:w="1080" w:type="dxa"/>
            <w:vAlign w:val="bottom"/>
            <w:tcBorders>
              <w:bottom w:val="single" w:sz="8" w:color="007CBA"/>
              <w:right w:val="single" w:sz="8" w:color="007CBA"/>
            </w:tcBorders>
            <w:gridSpan w:val="3"/>
            <w:shd w:val="clear" w:color="auto" w:fill="007CBA"/>
          </w:tcPr>
          <w:p>
            <w:pPr>
              <w:jc w:val="center"/>
              <w:ind w:right="50"/>
              <w:spacing w:after="0" w:line="216" w:lineRule="exact"/>
              <w:rPr>
                <w:sz w:val="20"/>
                <w:szCs w:val="20"/>
                <w:color w:val="auto"/>
              </w:rPr>
            </w:pPr>
            <w:r>
              <w:rPr>
                <w:rFonts w:ascii="Calibri" w:cs="Calibri" w:eastAsia="Calibri" w:hAnsi="Calibri"/>
                <w:sz w:val="18"/>
                <w:szCs w:val="18"/>
                <w:b w:val="1"/>
                <w:bCs w:val="1"/>
                <w:color w:val="FFFFFF"/>
              </w:rPr>
              <w:t>Operatons</w:t>
            </w:r>
          </w:p>
        </w:tc>
        <w:tc>
          <w:tcPr>
            <w:tcW w:w="120" w:type="dxa"/>
            <w:vAlign w:val="bottom"/>
            <w:tcBorders>
              <w:bottom w:val="single" w:sz="8" w:color="007CBA"/>
            </w:tcBorders>
            <w:shd w:val="clear" w:color="auto" w:fill="007CBA"/>
          </w:tcPr>
          <w:p>
            <w:pPr>
              <w:spacing w:after="0"/>
              <w:rPr>
                <w:sz w:val="20"/>
                <w:szCs w:val="20"/>
                <w:color w:val="auto"/>
              </w:rPr>
            </w:pPr>
          </w:p>
        </w:tc>
        <w:tc>
          <w:tcPr>
            <w:tcW w:w="260" w:type="dxa"/>
            <w:vAlign w:val="bottom"/>
            <w:tcBorders>
              <w:bottom w:val="single" w:sz="8" w:color="007CBA"/>
            </w:tcBorders>
            <w:shd w:val="clear" w:color="auto" w:fill="007CBA"/>
          </w:tcPr>
          <w:p>
            <w:pPr>
              <w:spacing w:after="0"/>
              <w:rPr>
                <w:sz w:val="20"/>
                <w:szCs w:val="20"/>
                <w:color w:val="auto"/>
              </w:rPr>
            </w:pPr>
          </w:p>
        </w:tc>
        <w:tc>
          <w:tcPr>
            <w:tcW w:w="760" w:type="dxa"/>
            <w:vAlign w:val="bottom"/>
            <w:tcBorders>
              <w:bottom w:val="single" w:sz="8" w:color="007CBA"/>
              <w:right w:val="single" w:sz="8" w:color="007CBA"/>
            </w:tcBorders>
            <w:shd w:val="clear" w:color="auto" w:fill="007CBA"/>
          </w:tcPr>
          <w:p>
            <w:pPr>
              <w:jc w:val="right"/>
              <w:ind w:right="310"/>
              <w:spacing w:after="0" w:line="216" w:lineRule="exact"/>
              <w:rPr>
                <w:sz w:val="20"/>
                <w:szCs w:val="20"/>
                <w:color w:val="auto"/>
              </w:rPr>
            </w:pPr>
            <w:r>
              <w:rPr>
                <w:rFonts w:ascii="Calibri" w:cs="Calibri" w:eastAsia="Calibri" w:hAnsi="Calibri"/>
                <w:sz w:val="18"/>
                <w:szCs w:val="18"/>
                <w:b w:val="1"/>
                <w:bCs w:val="1"/>
                <w:color w:val="FFFFFF"/>
                <w:w w:val="88"/>
              </w:rPr>
              <w:t>Total</w:t>
            </w:r>
          </w:p>
        </w:tc>
        <w:tc>
          <w:tcPr>
            <w:tcW w:w="100" w:type="dxa"/>
            <w:vAlign w:val="bottom"/>
            <w:tcBorders>
              <w:bottom w:val="single" w:sz="8" w:color="007CBA"/>
            </w:tcBorders>
            <w:shd w:val="clear" w:color="auto" w:fill="007CBA"/>
          </w:tcPr>
          <w:p>
            <w:pPr>
              <w:spacing w:after="0"/>
              <w:rPr>
                <w:sz w:val="20"/>
                <w:szCs w:val="20"/>
                <w:color w:val="auto"/>
              </w:rPr>
            </w:pPr>
          </w:p>
        </w:tc>
        <w:tc>
          <w:tcPr>
            <w:tcW w:w="880" w:type="dxa"/>
            <w:vAlign w:val="bottom"/>
            <w:tcBorders>
              <w:bottom w:val="single" w:sz="8" w:color="007CBA"/>
            </w:tcBorders>
            <w:gridSpan w:val="2"/>
            <w:shd w:val="clear" w:color="auto" w:fill="007CBA"/>
          </w:tcPr>
          <w:p>
            <w:pPr>
              <w:ind w:left="40"/>
              <w:spacing w:after="0" w:line="216" w:lineRule="exact"/>
              <w:rPr>
                <w:sz w:val="20"/>
                <w:szCs w:val="20"/>
                <w:color w:val="auto"/>
              </w:rPr>
            </w:pPr>
            <w:r>
              <w:rPr>
                <w:rFonts w:ascii="Calibri" w:cs="Calibri" w:eastAsia="Calibri" w:hAnsi="Calibri"/>
                <w:sz w:val="18"/>
                <w:szCs w:val="18"/>
                <w:color w:val="FFFFFF"/>
              </w:rPr>
              <w:t>Operatons</w:t>
            </w:r>
          </w:p>
        </w:tc>
        <w:tc>
          <w:tcPr>
            <w:tcW w:w="120" w:type="dxa"/>
            <w:vAlign w:val="bottom"/>
            <w:tcBorders>
              <w:bottom w:val="single" w:sz="8" w:color="007CBA"/>
              <w:right w:val="single" w:sz="8" w:color="007CBA"/>
            </w:tcBorders>
            <w:shd w:val="clear" w:color="auto" w:fill="007CBA"/>
          </w:tcPr>
          <w:p>
            <w:pPr>
              <w:spacing w:after="0"/>
              <w:rPr>
                <w:sz w:val="20"/>
                <w:szCs w:val="20"/>
                <w:color w:val="auto"/>
              </w:rPr>
            </w:pPr>
          </w:p>
        </w:tc>
        <w:tc>
          <w:tcPr>
            <w:tcW w:w="100" w:type="dxa"/>
            <w:vAlign w:val="bottom"/>
            <w:tcBorders>
              <w:bottom w:val="single" w:sz="8" w:color="007CBA"/>
            </w:tcBorders>
            <w:shd w:val="clear" w:color="auto" w:fill="007CBA"/>
          </w:tcPr>
          <w:p>
            <w:pPr>
              <w:spacing w:after="0"/>
              <w:rPr>
                <w:sz w:val="20"/>
                <w:szCs w:val="20"/>
                <w:color w:val="auto"/>
              </w:rPr>
            </w:pPr>
          </w:p>
        </w:tc>
        <w:tc>
          <w:tcPr>
            <w:tcW w:w="1040" w:type="dxa"/>
            <w:vAlign w:val="bottom"/>
            <w:tcBorders>
              <w:bottom w:val="single" w:sz="8" w:color="007CBA"/>
              <w:right w:val="single" w:sz="8" w:color="007CBA"/>
            </w:tcBorders>
            <w:gridSpan w:val="3"/>
            <w:shd w:val="clear" w:color="auto" w:fill="007CBA"/>
          </w:tcPr>
          <w:p>
            <w:pPr>
              <w:jc w:val="center"/>
              <w:ind w:right="30"/>
              <w:spacing w:after="0" w:line="216" w:lineRule="exact"/>
              <w:rPr>
                <w:sz w:val="20"/>
                <w:szCs w:val="20"/>
                <w:color w:val="auto"/>
              </w:rPr>
            </w:pPr>
            <w:r>
              <w:rPr>
                <w:rFonts w:ascii="Calibri" w:cs="Calibri" w:eastAsia="Calibri" w:hAnsi="Calibri"/>
                <w:sz w:val="18"/>
                <w:szCs w:val="18"/>
                <w:color w:val="FFFFFF"/>
              </w:rPr>
              <w:t>Operatons</w:t>
            </w:r>
          </w:p>
        </w:tc>
        <w:tc>
          <w:tcPr>
            <w:tcW w:w="100" w:type="dxa"/>
            <w:vAlign w:val="bottom"/>
            <w:tcBorders>
              <w:bottom w:val="single" w:sz="8" w:color="007CBA"/>
            </w:tcBorders>
            <w:shd w:val="clear" w:color="auto" w:fill="007CBA"/>
          </w:tcPr>
          <w:p>
            <w:pPr>
              <w:spacing w:after="0"/>
              <w:rPr>
                <w:sz w:val="20"/>
                <w:szCs w:val="20"/>
                <w:color w:val="auto"/>
              </w:rPr>
            </w:pPr>
          </w:p>
        </w:tc>
        <w:tc>
          <w:tcPr>
            <w:tcW w:w="180" w:type="dxa"/>
            <w:vAlign w:val="bottom"/>
            <w:tcBorders>
              <w:bottom w:val="single" w:sz="8" w:color="007CBA"/>
            </w:tcBorders>
            <w:shd w:val="clear" w:color="auto" w:fill="007CBA"/>
          </w:tcPr>
          <w:p>
            <w:pPr>
              <w:spacing w:after="0"/>
              <w:rPr>
                <w:sz w:val="20"/>
                <w:szCs w:val="20"/>
                <w:color w:val="auto"/>
              </w:rPr>
            </w:pPr>
          </w:p>
        </w:tc>
        <w:tc>
          <w:tcPr>
            <w:tcW w:w="800" w:type="dxa"/>
            <w:vAlign w:val="bottom"/>
            <w:tcBorders>
              <w:bottom w:val="single" w:sz="8" w:color="007CBA"/>
            </w:tcBorders>
            <w:shd w:val="clear" w:color="auto" w:fill="007CBA"/>
          </w:tcPr>
          <w:p>
            <w:pPr>
              <w:jc w:val="right"/>
              <w:ind w:right="290"/>
              <w:spacing w:after="0" w:line="216" w:lineRule="exact"/>
              <w:rPr>
                <w:sz w:val="20"/>
                <w:szCs w:val="20"/>
                <w:color w:val="auto"/>
              </w:rPr>
            </w:pPr>
            <w:r>
              <w:rPr>
                <w:rFonts w:ascii="Calibri" w:cs="Calibri" w:eastAsia="Calibri" w:hAnsi="Calibri"/>
                <w:sz w:val="18"/>
                <w:szCs w:val="18"/>
                <w:color w:val="FFFFFF"/>
              </w:rPr>
              <w:t>Total</w:t>
            </w:r>
          </w:p>
        </w:tc>
      </w:tr>
      <w:tr>
        <w:trPr>
          <w:trHeight w:val="223"/>
        </w:trPr>
        <w:tc>
          <w:tcPr>
            <w:tcW w:w="434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Inventories, net</w:t>
            </w:r>
          </w:p>
        </w:tc>
        <w:tc>
          <w:tcPr>
            <w:tcW w:w="50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300" w:type="dxa"/>
            <w:vAlign w:val="bottom"/>
            <w:tcBorders>
              <w:bottom w:val="single" w:sz="8" w:color="E5F1F8"/>
            </w:tcBorders>
            <w:gridSpan w:val="2"/>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00" w:type="dxa"/>
            <w:vAlign w:val="bottom"/>
            <w:tcBorders>
              <w:bottom w:val="single" w:sz="8" w:color="E5F1F8"/>
              <w:right w:val="single" w:sz="8" w:color="007CBA"/>
            </w:tcBorders>
            <w:gridSpan w:val="2"/>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31.3</w:t>
            </w:r>
          </w:p>
        </w:tc>
        <w:tc>
          <w:tcPr>
            <w:tcW w:w="380" w:type="dxa"/>
            <w:vAlign w:val="bottom"/>
            <w:tcBorders>
              <w:bottom w:val="single" w:sz="8" w:color="E5F1F8"/>
            </w:tcBorders>
            <w:gridSpan w:val="2"/>
            <w:shd w:val="clear" w:color="auto" w:fill="E5F1F8"/>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76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31.3</w:t>
            </w:r>
          </w:p>
        </w:tc>
        <w:tc>
          <w:tcPr>
            <w:tcW w:w="420" w:type="dxa"/>
            <w:vAlign w:val="bottom"/>
            <w:tcBorders>
              <w:bottom w:val="single" w:sz="8" w:color="E5F1F8"/>
            </w:tcBorders>
            <w:gridSpan w:val="2"/>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5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E5F1F8"/>
              <w:right w:val="single" w:sz="8" w:color="007CBA"/>
            </w:tcBorders>
            <w:shd w:val="clear" w:color="auto" w:fill="E5F1F8"/>
          </w:tcPr>
          <w:p>
            <w:pPr>
              <w:spacing w:after="0"/>
              <w:rPr>
                <w:sz w:val="19"/>
                <w:szCs w:val="19"/>
                <w:color w:val="auto"/>
              </w:rPr>
            </w:pPr>
          </w:p>
        </w:tc>
        <w:tc>
          <w:tcPr>
            <w:tcW w:w="560" w:type="dxa"/>
            <w:vAlign w:val="bottom"/>
            <w:tcBorders>
              <w:bottom w:val="single" w:sz="8" w:color="E5F1F8"/>
              <w:right w:val="single" w:sz="8" w:color="E5F1F8"/>
            </w:tcBorders>
            <w:gridSpan w:val="2"/>
            <w:shd w:val="clear" w:color="auto" w:fill="E5F1F8"/>
          </w:tcPr>
          <w:p>
            <w:pPr>
              <w:jc w:val="center"/>
              <w:ind w:right="150"/>
              <w:spacing w:after="0" w:line="215" w:lineRule="exact"/>
              <w:rPr>
                <w:sz w:val="20"/>
                <w:szCs w:val="20"/>
                <w:color w:val="auto"/>
              </w:rPr>
            </w:pPr>
            <w:r>
              <w:rPr>
                <w:rFonts w:ascii="Calibri" w:cs="Calibri" w:eastAsia="Calibri" w:hAnsi="Calibri"/>
                <w:sz w:val="18"/>
                <w:szCs w:val="18"/>
                <w:color w:val="auto"/>
                <w:w w:val="87"/>
              </w:rPr>
              <w:t>$</w:t>
            </w:r>
          </w:p>
        </w:tc>
        <w:tc>
          <w:tcPr>
            <w:tcW w:w="40" w:type="dxa"/>
            <w:vAlign w:val="bottom"/>
            <w:tcBorders>
              <w:bottom w:val="single" w:sz="8" w:color="E5F1F8"/>
            </w:tcBorders>
            <w:shd w:val="clear" w:color="auto" w:fill="E5F1F8"/>
          </w:tcPr>
          <w:p>
            <w:pPr>
              <w:spacing w:after="0"/>
              <w:rPr>
                <w:sz w:val="19"/>
                <w:szCs w:val="19"/>
                <w:color w:val="auto"/>
              </w:rPr>
            </w:pPr>
          </w:p>
        </w:tc>
        <w:tc>
          <w:tcPr>
            <w:tcW w:w="54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53.1</w:t>
            </w:r>
          </w:p>
        </w:tc>
        <w:tc>
          <w:tcPr>
            <w:tcW w:w="280" w:type="dxa"/>
            <w:vAlign w:val="bottom"/>
            <w:tcBorders>
              <w:bottom w:val="single" w:sz="8" w:color="E5F1F8"/>
            </w:tcBorders>
            <w:gridSpan w:val="2"/>
            <w:shd w:val="clear" w:color="auto" w:fill="E5F1F8"/>
          </w:tcPr>
          <w:p>
            <w:pPr>
              <w:ind w:left="100"/>
              <w:spacing w:after="0" w:line="215" w:lineRule="exact"/>
              <w:rPr>
                <w:sz w:val="20"/>
                <w:szCs w:val="20"/>
                <w:color w:val="auto"/>
              </w:rPr>
            </w:pPr>
            <w:r>
              <w:rPr>
                <w:rFonts w:ascii="Calibri" w:cs="Calibri" w:eastAsia="Calibri" w:hAnsi="Calibri"/>
                <w:sz w:val="18"/>
                <w:szCs w:val="18"/>
                <w:color w:val="auto"/>
              </w:rPr>
              <w:t>$</w:t>
            </w:r>
          </w:p>
        </w:tc>
        <w:tc>
          <w:tcPr>
            <w:tcW w:w="80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53.1</w:t>
            </w:r>
          </w:p>
        </w:tc>
      </w:tr>
      <w:tr>
        <w:trPr>
          <w:trHeight w:val="243"/>
        </w:trPr>
        <w:tc>
          <w:tcPr>
            <w:tcW w:w="43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Investment land</w:t>
            </w:r>
          </w:p>
        </w:tc>
        <w:tc>
          <w:tcPr>
            <w:tcW w:w="500" w:type="dxa"/>
            <w:vAlign w:val="bottom"/>
          </w:tcPr>
          <w:p>
            <w:pPr>
              <w:spacing w:after="0"/>
              <w:rPr>
                <w:sz w:val="21"/>
                <w:szCs w:val="21"/>
                <w:color w:val="auto"/>
              </w:rPr>
            </w:pPr>
          </w:p>
        </w:tc>
        <w:tc>
          <w:tcPr>
            <w:tcW w:w="74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40.6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40.6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32.7</w:t>
            </w:r>
          </w:p>
        </w:tc>
        <w:tc>
          <w:tcPr>
            <w:tcW w:w="120" w:type="dxa"/>
            <w:vAlign w:val="bottom"/>
            <w:tcBorders>
              <w:right w:val="single" w:sz="8" w:color="007CBA"/>
            </w:tcBorders>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32.7</w:t>
            </w:r>
          </w:p>
        </w:tc>
      </w:tr>
      <w:tr>
        <w:trPr>
          <w:trHeight w:val="248"/>
        </w:trPr>
        <w:tc>
          <w:tcPr>
            <w:tcW w:w="434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Other assets</w:t>
            </w:r>
          </w:p>
        </w:tc>
        <w:tc>
          <w:tcPr>
            <w:tcW w:w="500" w:type="dxa"/>
            <w:vAlign w:val="bottom"/>
            <w:tcBorders>
              <w:bottom w:val="single" w:sz="8" w:color="E5F1F8"/>
            </w:tcBorders>
            <w:shd w:val="clear" w:color="auto" w:fill="E5F1F8"/>
          </w:tcPr>
          <w:p>
            <w:pPr>
              <w:spacing w:after="0"/>
              <w:rPr>
                <w:sz w:val="21"/>
                <w:szCs w:val="21"/>
                <w:color w:val="auto"/>
              </w:rPr>
            </w:pPr>
          </w:p>
        </w:tc>
        <w:tc>
          <w:tcPr>
            <w:tcW w:w="74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120" w:type="dxa"/>
            <w:vAlign w:val="bottom"/>
            <w:tcBorders>
              <w:bottom w:val="single" w:sz="8" w:color="E5F1F8"/>
            </w:tcBorders>
            <w:shd w:val="clear" w:color="auto" w:fill="E5F1F8"/>
          </w:tcPr>
          <w:p>
            <w:pPr>
              <w:spacing w:after="0"/>
              <w:rPr>
                <w:sz w:val="21"/>
                <w:szCs w:val="21"/>
                <w:color w:val="auto"/>
              </w:rPr>
            </w:pPr>
          </w:p>
        </w:tc>
        <w:tc>
          <w:tcPr>
            <w:tcW w:w="180" w:type="dxa"/>
            <w:vAlign w:val="bottom"/>
            <w:tcBorders>
              <w:bottom w:val="single" w:sz="8" w:color="E5F1F8"/>
            </w:tcBorders>
            <w:shd w:val="clear" w:color="auto" w:fill="E5F1F8"/>
          </w:tcPr>
          <w:p>
            <w:pPr>
              <w:spacing w:after="0"/>
              <w:rPr>
                <w:sz w:val="21"/>
                <w:szCs w:val="21"/>
                <w:color w:val="auto"/>
              </w:rPr>
            </w:pPr>
          </w:p>
        </w:tc>
        <w:tc>
          <w:tcPr>
            <w:tcW w:w="900" w:type="dxa"/>
            <w:vAlign w:val="bottom"/>
            <w:tcBorders>
              <w:bottom w:val="single" w:sz="8" w:color="E5F1F8"/>
              <w:right w:val="single" w:sz="8" w:color="E5F1F8"/>
            </w:tcBorders>
            <w:gridSpan w:val="2"/>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1.3</w:t>
            </w:r>
          </w:p>
        </w:tc>
        <w:tc>
          <w:tcPr>
            <w:tcW w:w="120" w:type="dxa"/>
            <w:vAlign w:val="bottom"/>
            <w:tcBorders>
              <w:bottom w:val="single" w:sz="8" w:color="E5F1F8"/>
            </w:tcBorders>
            <w:shd w:val="clear" w:color="auto" w:fill="E5F1F8"/>
          </w:tcPr>
          <w:p>
            <w:pPr>
              <w:spacing w:after="0"/>
              <w:rPr>
                <w:sz w:val="21"/>
                <w:szCs w:val="21"/>
                <w:color w:val="auto"/>
              </w:rPr>
            </w:pPr>
          </w:p>
        </w:tc>
        <w:tc>
          <w:tcPr>
            <w:tcW w:w="260" w:type="dxa"/>
            <w:vAlign w:val="bottom"/>
            <w:tcBorders>
              <w:bottom w:val="single" w:sz="8" w:color="E5F1F8"/>
            </w:tcBorders>
            <w:shd w:val="clear" w:color="auto" w:fill="E5F1F8"/>
          </w:tcPr>
          <w:p>
            <w:pPr>
              <w:spacing w:after="0"/>
              <w:rPr>
                <w:sz w:val="21"/>
                <w:szCs w:val="21"/>
                <w:color w:val="auto"/>
              </w:rPr>
            </w:pPr>
          </w:p>
        </w:tc>
        <w:tc>
          <w:tcPr>
            <w:tcW w:w="76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1.3</w:t>
            </w:r>
          </w:p>
        </w:tc>
        <w:tc>
          <w:tcPr>
            <w:tcW w:w="100" w:type="dxa"/>
            <w:vAlign w:val="bottom"/>
            <w:tcBorders>
              <w:bottom w:val="single" w:sz="8" w:color="E5F1F8"/>
            </w:tcBorders>
            <w:shd w:val="clear" w:color="auto" w:fill="E5F1F8"/>
          </w:tcPr>
          <w:p>
            <w:pPr>
              <w:spacing w:after="0"/>
              <w:rPr>
                <w:sz w:val="21"/>
                <w:szCs w:val="21"/>
                <w:color w:val="auto"/>
              </w:rPr>
            </w:pPr>
          </w:p>
        </w:tc>
        <w:tc>
          <w:tcPr>
            <w:tcW w:w="320" w:type="dxa"/>
            <w:vAlign w:val="bottom"/>
            <w:tcBorders>
              <w:bottom w:val="single" w:sz="8" w:color="E5F1F8"/>
            </w:tcBorders>
            <w:shd w:val="clear" w:color="auto" w:fill="E5F1F8"/>
          </w:tcPr>
          <w:p>
            <w:pPr>
              <w:spacing w:after="0"/>
              <w:rPr>
                <w:sz w:val="21"/>
                <w:szCs w:val="21"/>
                <w:color w:val="auto"/>
              </w:rPr>
            </w:pPr>
          </w:p>
        </w:tc>
        <w:tc>
          <w:tcPr>
            <w:tcW w:w="5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20" w:type="dxa"/>
            <w:vAlign w:val="bottom"/>
            <w:tcBorders>
              <w:bottom w:val="single" w:sz="8" w:color="E5F1F8"/>
              <w:right w:val="single" w:sz="8" w:color="E5F1F8"/>
            </w:tcBorders>
            <w:shd w:val="clear" w:color="auto" w:fill="E5F1F8"/>
          </w:tcPr>
          <w:p>
            <w:pPr>
              <w:spacing w:after="0"/>
              <w:rPr>
                <w:sz w:val="21"/>
                <w:szCs w:val="21"/>
                <w:color w:val="auto"/>
              </w:rPr>
            </w:pPr>
          </w:p>
        </w:tc>
        <w:tc>
          <w:tcPr>
            <w:tcW w:w="100" w:type="dxa"/>
            <w:vAlign w:val="bottom"/>
            <w:tcBorders>
              <w:bottom w:val="single" w:sz="8" w:color="E5F1F8"/>
            </w:tcBorders>
            <w:shd w:val="clear" w:color="auto" w:fill="E5F1F8"/>
          </w:tcPr>
          <w:p>
            <w:pPr>
              <w:spacing w:after="0"/>
              <w:rPr>
                <w:sz w:val="21"/>
                <w:szCs w:val="21"/>
                <w:color w:val="auto"/>
              </w:rPr>
            </w:pPr>
          </w:p>
        </w:tc>
        <w:tc>
          <w:tcPr>
            <w:tcW w:w="460" w:type="dxa"/>
            <w:vAlign w:val="bottom"/>
            <w:tcBorders>
              <w:bottom w:val="single" w:sz="8" w:color="E5F1F8"/>
              <w:right w:val="single" w:sz="8" w:color="E5F1F8"/>
            </w:tcBorders>
            <w:shd w:val="clear" w:color="auto" w:fill="E5F1F8"/>
          </w:tcPr>
          <w:p>
            <w:pPr>
              <w:spacing w:after="0"/>
              <w:rPr>
                <w:sz w:val="21"/>
                <w:szCs w:val="21"/>
                <w:color w:val="auto"/>
              </w:rPr>
            </w:pPr>
          </w:p>
        </w:tc>
        <w:tc>
          <w:tcPr>
            <w:tcW w:w="40" w:type="dxa"/>
            <w:vAlign w:val="bottom"/>
            <w:tcBorders>
              <w:bottom w:val="single" w:sz="8" w:color="E5F1F8"/>
            </w:tcBorders>
            <w:shd w:val="clear" w:color="auto" w:fill="E5F1F8"/>
          </w:tcPr>
          <w:p>
            <w:pPr>
              <w:spacing w:after="0"/>
              <w:rPr>
                <w:sz w:val="21"/>
                <w:szCs w:val="21"/>
                <w:color w:val="auto"/>
              </w:rPr>
            </w:pPr>
          </w:p>
        </w:tc>
        <w:tc>
          <w:tcPr>
            <w:tcW w:w="54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16.4</w:t>
            </w:r>
          </w:p>
        </w:tc>
        <w:tc>
          <w:tcPr>
            <w:tcW w:w="100" w:type="dxa"/>
            <w:vAlign w:val="bottom"/>
            <w:tcBorders>
              <w:bottom w:val="single" w:sz="8" w:color="E5F1F8"/>
            </w:tcBorders>
            <w:shd w:val="clear" w:color="auto" w:fill="E5F1F8"/>
          </w:tcPr>
          <w:p>
            <w:pPr>
              <w:spacing w:after="0"/>
              <w:rPr>
                <w:sz w:val="21"/>
                <w:szCs w:val="21"/>
                <w:color w:val="auto"/>
              </w:rPr>
            </w:pPr>
          </w:p>
        </w:tc>
        <w:tc>
          <w:tcPr>
            <w:tcW w:w="180" w:type="dxa"/>
            <w:vAlign w:val="bottom"/>
            <w:tcBorders>
              <w:bottom w:val="single" w:sz="8" w:color="E5F1F8"/>
            </w:tcBorders>
            <w:shd w:val="clear" w:color="auto" w:fill="E5F1F8"/>
          </w:tcPr>
          <w:p>
            <w:pPr>
              <w:spacing w:after="0"/>
              <w:rPr>
                <w:sz w:val="21"/>
                <w:szCs w:val="21"/>
                <w:color w:val="auto"/>
              </w:rPr>
            </w:pPr>
          </w:p>
        </w:tc>
        <w:tc>
          <w:tcPr>
            <w:tcW w:w="80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16.4</w:t>
            </w:r>
          </w:p>
        </w:tc>
      </w:tr>
      <w:tr>
        <w:trPr>
          <w:trHeight w:val="208"/>
        </w:trPr>
        <w:tc>
          <w:tcPr>
            <w:tcW w:w="434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 current assets held for sale</w:t>
            </w:r>
          </w:p>
        </w:tc>
        <w:tc>
          <w:tcPr>
            <w:tcW w:w="500" w:type="dxa"/>
            <w:vAlign w:val="bottom"/>
            <w:tcBorders>
              <w:top w:val="single" w:sz="8" w:color="auto"/>
            </w:tcBorders>
          </w:tcPr>
          <w:p>
            <w:pPr>
              <w:jc w:val="right"/>
              <w:ind w:right="190"/>
              <w:spacing w:after="0" w:line="208"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40.6</w:t>
            </w:r>
          </w:p>
        </w:tc>
        <w:tc>
          <w:tcPr>
            <w:tcW w:w="300" w:type="dxa"/>
            <w:vAlign w:val="bottom"/>
            <w:tcBorders>
              <w:top w:val="single" w:sz="8" w:color="auto"/>
            </w:tcBorders>
            <w:gridSpan w:val="2"/>
          </w:tcPr>
          <w:p>
            <w:pPr>
              <w:jc w:val="right"/>
              <w:spacing w:after="0" w:line="208" w:lineRule="exact"/>
              <w:rPr>
                <w:sz w:val="20"/>
                <w:szCs w:val="20"/>
                <w:color w:val="auto"/>
              </w:rPr>
            </w:pPr>
            <w:r>
              <w:rPr>
                <w:rFonts w:ascii="Calibri" w:cs="Calibri" w:eastAsia="Calibri" w:hAnsi="Calibri"/>
                <w:sz w:val="18"/>
                <w:szCs w:val="18"/>
                <w:b w:val="1"/>
                <w:bCs w:val="1"/>
                <w:color w:val="auto"/>
              </w:rPr>
              <w:t>$</w:t>
            </w:r>
          </w:p>
        </w:tc>
        <w:tc>
          <w:tcPr>
            <w:tcW w:w="900" w:type="dxa"/>
            <w:vAlign w:val="bottom"/>
            <w:tcBorders>
              <w:top w:val="single" w:sz="8" w:color="auto"/>
            </w:tcBorders>
            <w:gridSpan w:val="2"/>
          </w:tcPr>
          <w:p>
            <w:pPr>
              <w:jc w:val="right"/>
              <w:ind w:right="50"/>
              <w:spacing w:after="0" w:line="208" w:lineRule="exact"/>
              <w:rPr>
                <w:sz w:val="20"/>
                <w:szCs w:val="20"/>
                <w:color w:val="auto"/>
              </w:rPr>
            </w:pPr>
            <w:r>
              <w:rPr>
                <w:rFonts w:ascii="Calibri" w:cs="Calibri" w:eastAsia="Calibri" w:hAnsi="Calibri"/>
                <w:sz w:val="18"/>
                <w:szCs w:val="18"/>
                <w:b w:val="1"/>
                <w:bCs w:val="1"/>
                <w:color w:val="auto"/>
              </w:rPr>
              <w:t>32.6</w:t>
            </w:r>
          </w:p>
        </w:tc>
        <w:tc>
          <w:tcPr>
            <w:tcW w:w="380" w:type="dxa"/>
            <w:vAlign w:val="bottom"/>
            <w:tcBorders>
              <w:top w:val="single" w:sz="8" w:color="auto"/>
            </w:tcBorders>
            <w:gridSpan w:val="2"/>
          </w:tcPr>
          <w:p>
            <w:pPr>
              <w:jc w:val="right"/>
              <w:ind w:right="70"/>
              <w:spacing w:after="0" w:line="208" w:lineRule="exact"/>
              <w:rPr>
                <w:sz w:val="20"/>
                <w:szCs w:val="20"/>
                <w:color w:val="auto"/>
              </w:rPr>
            </w:pPr>
            <w:r>
              <w:rPr>
                <w:rFonts w:ascii="Calibri" w:cs="Calibri" w:eastAsia="Calibri" w:hAnsi="Calibri"/>
                <w:sz w:val="18"/>
                <w:szCs w:val="18"/>
                <w:b w:val="1"/>
                <w:bCs w:val="1"/>
                <w:color w:val="auto"/>
              </w:rPr>
              <w:t>$</w:t>
            </w:r>
          </w:p>
        </w:tc>
        <w:tc>
          <w:tcPr>
            <w:tcW w:w="76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73.2</w:t>
            </w:r>
          </w:p>
        </w:tc>
        <w:tc>
          <w:tcPr>
            <w:tcW w:w="420" w:type="dxa"/>
            <w:vAlign w:val="bottom"/>
            <w:tcBorders>
              <w:top w:val="single" w:sz="8" w:color="auto"/>
            </w:tcBorders>
            <w:gridSpan w:val="2"/>
          </w:tcPr>
          <w:p>
            <w:pPr>
              <w:jc w:val="right"/>
              <w:ind w:right="130"/>
              <w:spacing w:after="0" w:line="208" w:lineRule="exact"/>
              <w:rPr>
                <w:sz w:val="20"/>
                <w:szCs w:val="20"/>
                <w:color w:val="auto"/>
              </w:rPr>
            </w:pPr>
            <w:r>
              <w:rPr>
                <w:rFonts w:ascii="Calibri" w:cs="Calibri" w:eastAsia="Calibri" w:hAnsi="Calibri"/>
                <w:sz w:val="18"/>
                <w:szCs w:val="18"/>
                <w:color w:val="auto"/>
              </w:rPr>
              <w:t>$</w:t>
            </w:r>
          </w:p>
        </w:tc>
        <w:tc>
          <w:tcPr>
            <w:tcW w:w="5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32.7</w:t>
            </w: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gridSpan w:val="2"/>
          </w:tcPr>
          <w:p>
            <w:pPr>
              <w:jc w:val="center"/>
              <w:ind w:right="150"/>
              <w:spacing w:after="0" w:line="208" w:lineRule="exact"/>
              <w:rPr>
                <w:sz w:val="20"/>
                <w:szCs w:val="20"/>
                <w:color w:val="auto"/>
              </w:rPr>
            </w:pPr>
            <w:r>
              <w:rPr>
                <w:rFonts w:ascii="Calibri" w:cs="Calibri" w:eastAsia="Calibri" w:hAnsi="Calibri"/>
                <w:sz w:val="18"/>
                <w:szCs w:val="18"/>
                <w:color w:val="auto"/>
                <w:w w:val="87"/>
              </w:rPr>
              <w:t>$</w:t>
            </w:r>
          </w:p>
        </w:tc>
        <w:tc>
          <w:tcPr>
            <w:tcW w:w="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color w:val="auto"/>
              </w:rPr>
              <w:t>69.5</w:t>
            </w:r>
          </w:p>
        </w:tc>
        <w:tc>
          <w:tcPr>
            <w:tcW w:w="280" w:type="dxa"/>
            <w:vAlign w:val="bottom"/>
            <w:tcBorders>
              <w:top w:val="single" w:sz="8" w:color="auto"/>
            </w:tcBorders>
            <w:gridSpan w:val="2"/>
          </w:tcPr>
          <w:p>
            <w:pPr>
              <w:ind w:left="100"/>
              <w:spacing w:after="0" w:line="208" w:lineRule="exact"/>
              <w:rPr>
                <w:sz w:val="20"/>
                <w:szCs w:val="20"/>
                <w:color w:val="auto"/>
              </w:rPr>
            </w:pPr>
            <w:r>
              <w:rPr>
                <w:rFonts w:ascii="Calibri" w:cs="Calibri" w:eastAsia="Calibri" w:hAnsi="Calibri"/>
                <w:sz w:val="18"/>
                <w:szCs w:val="18"/>
                <w:color w:val="auto"/>
              </w:rPr>
              <w:t>$</w:t>
            </w:r>
          </w:p>
        </w:tc>
        <w:tc>
          <w:tcPr>
            <w:tcW w:w="80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102.2</w:t>
            </w:r>
          </w:p>
        </w:tc>
      </w:tr>
      <w:tr>
        <w:trPr>
          <w:trHeight w:val="28"/>
        </w:trPr>
        <w:tc>
          <w:tcPr>
            <w:tcW w:w="4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23"/>
        </w:trPr>
        <w:tc>
          <w:tcPr>
            <w:tcW w:w="4340" w:type="dxa"/>
            <w:vAlign w:val="bottom"/>
            <w:tcBorders>
              <w:right w:val="single" w:sz="8" w:color="007CBA"/>
            </w:tcBorders>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Borders>
              <w:right w:val="single" w:sz="8" w:color="007CBA"/>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right w:val="single" w:sz="8" w:color="007CBA"/>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Borders>
              <w:right w:val="single" w:sz="8" w:color="007CBA"/>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right w:val="single" w:sz="8" w:color="007CBA"/>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Borders>
              <w:right w:val="single" w:sz="8" w:color="007CBA"/>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434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Property, plant and equipment</w:t>
            </w:r>
          </w:p>
        </w:tc>
        <w:tc>
          <w:tcPr>
            <w:tcW w:w="50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300" w:type="dxa"/>
            <w:vAlign w:val="bottom"/>
            <w:tcBorders>
              <w:bottom w:val="single" w:sz="8" w:color="E5F1F8"/>
            </w:tcBorders>
            <w:gridSpan w:val="2"/>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00" w:type="dxa"/>
            <w:vAlign w:val="bottom"/>
            <w:tcBorders>
              <w:bottom w:val="single" w:sz="8" w:color="E5F1F8"/>
              <w:right w:val="single" w:sz="8" w:color="007CBA"/>
            </w:tcBorders>
            <w:gridSpan w:val="2"/>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124.5</w:t>
            </w:r>
          </w:p>
        </w:tc>
        <w:tc>
          <w:tcPr>
            <w:tcW w:w="380" w:type="dxa"/>
            <w:vAlign w:val="bottom"/>
            <w:tcBorders>
              <w:bottom w:val="single" w:sz="8" w:color="E5F1F8"/>
            </w:tcBorders>
            <w:gridSpan w:val="2"/>
            <w:shd w:val="clear" w:color="auto" w:fill="E5F1F8"/>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76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124.5</w:t>
            </w:r>
          </w:p>
        </w:tc>
        <w:tc>
          <w:tcPr>
            <w:tcW w:w="420" w:type="dxa"/>
            <w:vAlign w:val="bottom"/>
            <w:tcBorders>
              <w:bottom w:val="single" w:sz="8" w:color="E5F1F8"/>
            </w:tcBorders>
            <w:gridSpan w:val="2"/>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5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E5F1F8"/>
              <w:right w:val="single" w:sz="8" w:color="007CBA"/>
            </w:tcBorders>
            <w:shd w:val="clear" w:color="auto" w:fill="E5F1F8"/>
          </w:tcPr>
          <w:p>
            <w:pPr>
              <w:spacing w:after="0"/>
              <w:rPr>
                <w:sz w:val="19"/>
                <w:szCs w:val="19"/>
                <w:color w:val="auto"/>
              </w:rPr>
            </w:pPr>
          </w:p>
        </w:tc>
        <w:tc>
          <w:tcPr>
            <w:tcW w:w="560" w:type="dxa"/>
            <w:vAlign w:val="bottom"/>
            <w:tcBorders>
              <w:bottom w:val="single" w:sz="8" w:color="E5F1F8"/>
              <w:right w:val="single" w:sz="8" w:color="E5F1F8"/>
            </w:tcBorders>
            <w:gridSpan w:val="2"/>
            <w:shd w:val="clear" w:color="auto" w:fill="E5F1F8"/>
          </w:tcPr>
          <w:p>
            <w:pPr>
              <w:jc w:val="center"/>
              <w:ind w:right="150"/>
              <w:spacing w:after="0" w:line="215" w:lineRule="exact"/>
              <w:rPr>
                <w:sz w:val="20"/>
                <w:szCs w:val="20"/>
                <w:color w:val="auto"/>
              </w:rPr>
            </w:pPr>
            <w:r>
              <w:rPr>
                <w:rFonts w:ascii="Calibri" w:cs="Calibri" w:eastAsia="Calibri" w:hAnsi="Calibri"/>
                <w:sz w:val="18"/>
                <w:szCs w:val="18"/>
                <w:color w:val="auto"/>
                <w:w w:val="87"/>
              </w:rPr>
              <w:t>$</w:t>
            </w:r>
          </w:p>
        </w:tc>
        <w:tc>
          <w:tcPr>
            <w:tcW w:w="40" w:type="dxa"/>
            <w:vAlign w:val="bottom"/>
            <w:tcBorders>
              <w:bottom w:val="single" w:sz="8" w:color="E5F1F8"/>
            </w:tcBorders>
            <w:shd w:val="clear" w:color="auto" w:fill="E5F1F8"/>
          </w:tcPr>
          <w:p>
            <w:pPr>
              <w:spacing w:after="0"/>
              <w:rPr>
                <w:sz w:val="19"/>
                <w:szCs w:val="19"/>
                <w:color w:val="auto"/>
              </w:rPr>
            </w:pPr>
          </w:p>
        </w:tc>
        <w:tc>
          <w:tcPr>
            <w:tcW w:w="54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w w:val="92"/>
              </w:rPr>
              <w:t>226.0</w:t>
            </w:r>
          </w:p>
        </w:tc>
        <w:tc>
          <w:tcPr>
            <w:tcW w:w="280" w:type="dxa"/>
            <w:vAlign w:val="bottom"/>
            <w:tcBorders>
              <w:bottom w:val="single" w:sz="8" w:color="E5F1F8"/>
            </w:tcBorders>
            <w:gridSpan w:val="2"/>
            <w:shd w:val="clear" w:color="auto" w:fill="E5F1F8"/>
          </w:tcPr>
          <w:p>
            <w:pPr>
              <w:ind w:left="100"/>
              <w:spacing w:after="0" w:line="215" w:lineRule="exact"/>
              <w:rPr>
                <w:sz w:val="20"/>
                <w:szCs w:val="20"/>
                <w:color w:val="auto"/>
              </w:rPr>
            </w:pPr>
            <w:r>
              <w:rPr>
                <w:rFonts w:ascii="Calibri" w:cs="Calibri" w:eastAsia="Calibri" w:hAnsi="Calibri"/>
                <w:sz w:val="18"/>
                <w:szCs w:val="18"/>
                <w:color w:val="auto"/>
              </w:rPr>
              <w:t>$</w:t>
            </w:r>
          </w:p>
        </w:tc>
        <w:tc>
          <w:tcPr>
            <w:tcW w:w="80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226.0</w:t>
            </w:r>
          </w:p>
        </w:tc>
      </w:tr>
      <w:tr>
        <w:trPr>
          <w:trHeight w:val="215"/>
        </w:trPr>
        <w:tc>
          <w:tcPr>
            <w:tcW w:w="43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Intangible assets, excluding goodwill</w:t>
            </w:r>
          </w:p>
        </w:tc>
        <w:tc>
          <w:tcPr>
            <w:tcW w:w="500" w:type="dxa"/>
            <w:vAlign w:val="bottom"/>
          </w:tcPr>
          <w:p>
            <w:pPr>
              <w:spacing w:after="0"/>
              <w:rPr>
                <w:sz w:val="18"/>
                <w:szCs w:val="18"/>
                <w:color w:val="auto"/>
              </w:rPr>
            </w:pPr>
          </w:p>
        </w:tc>
        <w:tc>
          <w:tcPr>
            <w:tcW w:w="74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right w:val="single" w:sz="8" w:color="007CBA"/>
            </w:tcBorders>
            <w:gridSpan w:val="2"/>
          </w:tcPr>
          <w:p>
            <w:pPr>
              <w:jc w:val="right"/>
              <w:ind w:right="50"/>
              <w:spacing w:after="0" w:line="215" w:lineRule="exact"/>
              <w:rPr>
                <w:sz w:val="20"/>
                <w:szCs w:val="20"/>
                <w:color w:val="auto"/>
              </w:rPr>
            </w:pPr>
            <w:r>
              <w:rPr>
                <w:rFonts w:ascii="Calibri" w:cs="Calibri" w:eastAsia="Calibri" w:hAnsi="Calibri"/>
                <w:sz w:val="18"/>
                <w:szCs w:val="18"/>
                <w:b w:val="1"/>
                <w:bCs w:val="1"/>
                <w:color w:val="auto"/>
              </w:rPr>
              <w:t>208.5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208.5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right w:val="single" w:sz="8" w:color="007CBA"/>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w w:val="92"/>
              </w:rPr>
              <w:t>264.9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264.9</w:t>
            </w:r>
          </w:p>
        </w:tc>
      </w:tr>
      <w:tr>
        <w:trPr>
          <w:trHeight w:val="28"/>
        </w:trPr>
        <w:tc>
          <w:tcPr>
            <w:tcW w:w="4340" w:type="dxa"/>
            <w:vAlign w:val="bottom"/>
            <w:tcBorders>
              <w:right w:val="single" w:sz="8" w:color="007CBA"/>
            </w:tcBorders>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Borders>
              <w:right w:val="single" w:sz="8" w:color="007CBA"/>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Borders>
              <w:right w:val="single" w:sz="8" w:color="007CBA"/>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Borders>
              <w:right w:val="single" w:sz="8" w:color="007CBA"/>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Borders>
              <w:right w:val="single" w:sz="8" w:color="007CBA"/>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Borders>
              <w:right w:val="single" w:sz="8" w:color="007CBA"/>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3"/>
        </w:trPr>
        <w:tc>
          <w:tcPr>
            <w:tcW w:w="434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Operatng lease right-of-use assets</w:t>
            </w:r>
          </w:p>
        </w:tc>
        <w:tc>
          <w:tcPr>
            <w:tcW w:w="500" w:type="dxa"/>
            <w:vAlign w:val="bottom"/>
            <w:tcBorders>
              <w:bottom w:val="single" w:sz="8" w:color="E5F1F8"/>
            </w:tcBorders>
            <w:shd w:val="clear" w:color="auto" w:fill="E5F1F8"/>
          </w:tcPr>
          <w:p>
            <w:pPr>
              <w:spacing w:after="0"/>
              <w:rPr>
                <w:sz w:val="19"/>
                <w:szCs w:val="19"/>
                <w:color w:val="auto"/>
              </w:rPr>
            </w:pPr>
          </w:p>
        </w:tc>
        <w:tc>
          <w:tcPr>
            <w:tcW w:w="74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120" w:type="dxa"/>
            <w:vAlign w:val="bottom"/>
            <w:tcBorders>
              <w:bottom w:val="single" w:sz="8" w:color="E5F1F8"/>
            </w:tcBorders>
            <w:shd w:val="clear" w:color="auto" w:fill="E5F1F8"/>
          </w:tcPr>
          <w:p>
            <w:pPr>
              <w:spacing w:after="0"/>
              <w:rPr>
                <w:sz w:val="19"/>
                <w:szCs w:val="19"/>
                <w:color w:val="auto"/>
              </w:rPr>
            </w:pPr>
          </w:p>
        </w:tc>
        <w:tc>
          <w:tcPr>
            <w:tcW w:w="180" w:type="dxa"/>
            <w:vAlign w:val="bottom"/>
            <w:tcBorders>
              <w:bottom w:val="single" w:sz="8" w:color="E5F1F8"/>
            </w:tcBorders>
            <w:shd w:val="clear" w:color="auto" w:fill="E5F1F8"/>
          </w:tcPr>
          <w:p>
            <w:pPr>
              <w:spacing w:after="0"/>
              <w:rPr>
                <w:sz w:val="19"/>
                <w:szCs w:val="19"/>
                <w:color w:val="auto"/>
              </w:rPr>
            </w:pPr>
          </w:p>
        </w:tc>
        <w:tc>
          <w:tcPr>
            <w:tcW w:w="900" w:type="dxa"/>
            <w:vAlign w:val="bottom"/>
            <w:tcBorders>
              <w:bottom w:val="single" w:sz="8" w:color="E5F1F8"/>
              <w:right w:val="single" w:sz="8" w:color="007CBA"/>
            </w:tcBorders>
            <w:gridSpan w:val="2"/>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12.1</w:t>
            </w:r>
          </w:p>
        </w:tc>
        <w:tc>
          <w:tcPr>
            <w:tcW w:w="120" w:type="dxa"/>
            <w:vAlign w:val="bottom"/>
            <w:tcBorders>
              <w:bottom w:val="single" w:sz="8" w:color="E5F1F8"/>
            </w:tcBorders>
            <w:shd w:val="clear" w:color="auto" w:fill="E5F1F8"/>
          </w:tcPr>
          <w:p>
            <w:pPr>
              <w:spacing w:after="0"/>
              <w:rPr>
                <w:sz w:val="19"/>
                <w:szCs w:val="19"/>
                <w:color w:val="auto"/>
              </w:rPr>
            </w:pPr>
          </w:p>
        </w:tc>
        <w:tc>
          <w:tcPr>
            <w:tcW w:w="260" w:type="dxa"/>
            <w:vAlign w:val="bottom"/>
            <w:tcBorders>
              <w:bottom w:val="single" w:sz="8" w:color="E5F1F8"/>
            </w:tcBorders>
            <w:shd w:val="clear" w:color="auto" w:fill="E5F1F8"/>
          </w:tcPr>
          <w:p>
            <w:pPr>
              <w:spacing w:after="0"/>
              <w:rPr>
                <w:sz w:val="19"/>
                <w:szCs w:val="19"/>
                <w:color w:val="auto"/>
              </w:rPr>
            </w:pPr>
          </w:p>
        </w:tc>
        <w:tc>
          <w:tcPr>
            <w:tcW w:w="76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12.1</w:t>
            </w:r>
          </w:p>
        </w:tc>
        <w:tc>
          <w:tcPr>
            <w:tcW w:w="100" w:type="dxa"/>
            <w:vAlign w:val="bottom"/>
            <w:tcBorders>
              <w:bottom w:val="single" w:sz="8" w:color="E5F1F8"/>
            </w:tcBorders>
            <w:shd w:val="clear" w:color="auto" w:fill="E5F1F8"/>
          </w:tcPr>
          <w:p>
            <w:pPr>
              <w:spacing w:after="0"/>
              <w:rPr>
                <w:sz w:val="19"/>
                <w:szCs w:val="19"/>
                <w:color w:val="auto"/>
              </w:rPr>
            </w:pPr>
          </w:p>
        </w:tc>
        <w:tc>
          <w:tcPr>
            <w:tcW w:w="320" w:type="dxa"/>
            <w:vAlign w:val="bottom"/>
            <w:tcBorders>
              <w:bottom w:val="single" w:sz="8" w:color="E5F1F8"/>
            </w:tcBorders>
            <w:shd w:val="clear" w:color="auto" w:fill="E5F1F8"/>
          </w:tcPr>
          <w:p>
            <w:pPr>
              <w:spacing w:after="0"/>
              <w:rPr>
                <w:sz w:val="19"/>
                <w:szCs w:val="19"/>
                <w:color w:val="auto"/>
              </w:rPr>
            </w:pPr>
          </w:p>
        </w:tc>
        <w:tc>
          <w:tcPr>
            <w:tcW w:w="5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E5F1F8"/>
              <w:right w:val="single" w:sz="8" w:color="007CBA"/>
            </w:tcBorders>
            <w:shd w:val="clear" w:color="auto" w:fill="E5F1F8"/>
          </w:tcPr>
          <w:p>
            <w:pPr>
              <w:spacing w:after="0"/>
              <w:rPr>
                <w:sz w:val="19"/>
                <w:szCs w:val="19"/>
                <w:color w:val="auto"/>
              </w:rPr>
            </w:pPr>
          </w:p>
        </w:tc>
        <w:tc>
          <w:tcPr>
            <w:tcW w:w="100" w:type="dxa"/>
            <w:vAlign w:val="bottom"/>
            <w:tcBorders>
              <w:bottom w:val="single" w:sz="8" w:color="E5F1F8"/>
            </w:tcBorders>
            <w:shd w:val="clear" w:color="auto" w:fill="E5F1F8"/>
          </w:tcPr>
          <w:p>
            <w:pPr>
              <w:spacing w:after="0"/>
              <w:rPr>
                <w:sz w:val="19"/>
                <w:szCs w:val="19"/>
                <w:color w:val="auto"/>
              </w:rPr>
            </w:pPr>
          </w:p>
        </w:tc>
        <w:tc>
          <w:tcPr>
            <w:tcW w:w="460" w:type="dxa"/>
            <w:vAlign w:val="bottom"/>
            <w:tcBorders>
              <w:bottom w:val="single" w:sz="8" w:color="E5F1F8"/>
              <w:right w:val="single" w:sz="8" w:color="E5F1F8"/>
            </w:tcBorders>
            <w:shd w:val="clear" w:color="auto" w:fill="E5F1F8"/>
          </w:tcPr>
          <w:p>
            <w:pPr>
              <w:spacing w:after="0"/>
              <w:rPr>
                <w:sz w:val="19"/>
                <w:szCs w:val="19"/>
                <w:color w:val="auto"/>
              </w:rPr>
            </w:pPr>
          </w:p>
        </w:tc>
        <w:tc>
          <w:tcPr>
            <w:tcW w:w="40" w:type="dxa"/>
            <w:vAlign w:val="bottom"/>
            <w:tcBorders>
              <w:bottom w:val="single" w:sz="8" w:color="E5F1F8"/>
            </w:tcBorders>
            <w:shd w:val="clear" w:color="auto" w:fill="E5F1F8"/>
          </w:tcPr>
          <w:p>
            <w:pPr>
              <w:spacing w:after="0"/>
              <w:rPr>
                <w:sz w:val="19"/>
                <w:szCs w:val="19"/>
                <w:color w:val="auto"/>
              </w:rPr>
            </w:pPr>
          </w:p>
        </w:tc>
        <w:tc>
          <w:tcPr>
            <w:tcW w:w="54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18.1</w:t>
            </w:r>
          </w:p>
        </w:tc>
        <w:tc>
          <w:tcPr>
            <w:tcW w:w="100" w:type="dxa"/>
            <w:vAlign w:val="bottom"/>
            <w:tcBorders>
              <w:bottom w:val="single" w:sz="8" w:color="E5F1F8"/>
            </w:tcBorders>
            <w:shd w:val="clear" w:color="auto" w:fill="E5F1F8"/>
          </w:tcPr>
          <w:p>
            <w:pPr>
              <w:spacing w:after="0"/>
              <w:rPr>
                <w:sz w:val="19"/>
                <w:szCs w:val="19"/>
                <w:color w:val="auto"/>
              </w:rPr>
            </w:pPr>
          </w:p>
        </w:tc>
        <w:tc>
          <w:tcPr>
            <w:tcW w:w="180" w:type="dxa"/>
            <w:vAlign w:val="bottom"/>
            <w:tcBorders>
              <w:bottom w:val="single" w:sz="8" w:color="E5F1F8"/>
            </w:tcBorders>
            <w:shd w:val="clear" w:color="auto" w:fill="E5F1F8"/>
          </w:tcPr>
          <w:p>
            <w:pPr>
              <w:spacing w:after="0"/>
              <w:rPr>
                <w:sz w:val="19"/>
                <w:szCs w:val="19"/>
                <w:color w:val="auto"/>
              </w:rPr>
            </w:pPr>
          </w:p>
        </w:tc>
        <w:tc>
          <w:tcPr>
            <w:tcW w:w="80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18.1</w:t>
            </w:r>
          </w:p>
        </w:tc>
      </w:tr>
      <w:tr>
        <w:trPr>
          <w:trHeight w:val="215"/>
        </w:trPr>
        <w:tc>
          <w:tcPr>
            <w:tcW w:w="43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Goodwill</w:t>
            </w:r>
          </w:p>
        </w:tc>
        <w:tc>
          <w:tcPr>
            <w:tcW w:w="500" w:type="dxa"/>
            <w:vAlign w:val="bottom"/>
          </w:tcPr>
          <w:p>
            <w:pPr>
              <w:spacing w:after="0"/>
              <w:rPr>
                <w:sz w:val="18"/>
                <w:szCs w:val="18"/>
                <w:color w:val="auto"/>
              </w:rPr>
            </w:pPr>
          </w:p>
        </w:tc>
        <w:tc>
          <w:tcPr>
            <w:tcW w:w="74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right w:val="single" w:sz="8" w:color="007CBA"/>
            </w:tcBorders>
            <w:gridSpan w:val="2"/>
          </w:tcPr>
          <w:p>
            <w:pPr>
              <w:jc w:val="right"/>
              <w:ind w:right="50"/>
              <w:spacing w:after="0" w:line="215" w:lineRule="exact"/>
              <w:rPr>
                <w:sz w:val="20"/>
                <w:szCs w:val="20"/>
                <w:color w:val="auto"/>
              </w:rPr>
            </w:pPr>
            <w:r>
              <w:rPr>
                <w:rFonts w:ascii="Calibri" w:cs="Calibri" w:eastAsia="Calibri" w:hAnsi="Calibri"/>
                <w:sz w:val="18"/>
                <w:szCs w:val="18"/>
                <w:b w:val="1"/>
                <w:bCs w:val="1"/>
                <w:color w:val="auto"/>
              </w:rPr>
              <w:t>31.9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31.9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right w:val="single" w:sz="8" w:color="007CBA"/>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w w:val="92"/>
              </w:rPr>
              <w:t>109.3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109.3</w:t>
            </w:r>
          </w:p>
        </w:tc>
      </w:tr>
      <w:tr>
        <w:trPr>
          <w:trHeight w:val="28"/>
        </w:trPr>
        <w:tc>
          <w:tcPr>
            <w:tcW w:w="4340" w:type="dxa"/>
            <w:vAlign w:val="bottom"/>
            <w:tcBorders>
              <w:right w:val="single" w:sz="8" w:color="007CBA"/>
            </w:tcBorders>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Borders>
              <w:right w:val="single" w:sz="8" w:color="007CBA"/>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Borders>
              <w:right w:val="single" w:sz="8" w:color="007CBA"/>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Borders>
              <w:right w:val="single" w:sz="8" w:color="007CBA"/>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Borders>
              <w:right w:val="single" w:sz="8" w:color="007CBA"/>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Borders>
              <w:right w:val="single" w:sz="8" w:color="007CBA"/>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3"/>
        </w:trPr>
        <w:tc>
          <w:tcPr>
            <w:tcW w:w="434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Other assets</w:t>
            </w:r>
          </w:p>
        </w:tc>
        <w:tc>
          <w:tcPr>
            <w:tcW w:w="500" w:type="dxa"/>
            <w:vAlign w:val="bottom"/>
            <w:tcBorders>
              <w:bottom w:val="single" w:sz="8" w:color="E5F1F8"/>
            </w:tcBorders>
            <w:shd w:val="clear" w:color="auto" w:fill="E5F1F8"/>
          </w:tcPr>
          <w:p>
            <w:pPr>
              <w:spacing w:after="0"/>
              <w:rPr>
                <w:sz w:val="19"/>
                <w:szCs w:val="19"/>
                <w:color w:val="auto"/>
              </w:rPr>
            </w:pPr>
          </w:p>
        </w:tc>
        <w:tc>
          <w:tcPr>
            <w:tcW w:w="74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120" w:type="dxa"/>
            <w:vAlign w:val="bottom"/>
            <w:tcBorders>
              <w:bottom w:val="single" w:sz="8" w:color="E5F1F8"/>
            </w:tcBorders>
            <w:shd w:val="clear" w:color="auto" w:fill="E5F1F8"/>
          </w:tcPr>
          <w:p>
            <w:pPr>
              <w:spacing w:after="0"/>
              <w:rPr>
                <w:sz w:val="19"/>
                <w:szCs w:val="19"/>
                <w:color w:val="auto"/>
              </w:rPr>
            </w:pPr>
          </w:p>
        </w:tc>
        <w:tc>
          <w:tcPr>
            <w:tcW w:w="180" w:type="dxa"/>
            <w:vAlign w:val="bottom"/>
            <w:tcBorders>
              <w:bottom w:val="single" w:sz="8" w:color="E5F1F8"/>
            </w:tcBorders>
            <w:shd w:val="clear" w:color="auto" w:fill="E5F1F8"/>
          </w:tcPr>
          <w:p>
            <w:pPr>
              <w:spacing w:after="0"/>
              <w:rPr>
                <w:sz w:val="19"/>
                <w:szCs w:val="19"/>
                <w:color w:val="auto"/>
              </w:rPr>
            </w:pPr>
          </w:p>
        </w:tc>
        <w:tc>
          <w:tcPr>
            <w:tcW w:w="260" w:type="dxa"/>
            <w:vAlign w:val="bottom"/>
            <w:tcBorders>
              <w:bottom w:val="single" w:sz="8" w:color="E5F1F8"/>
              <w:right w:val="single" w:sz="8" w:color="E5F1F8"/>
            </w:tcBorders>
            <w:shd w:val="clear" w:color="auto" w:fill="E5F1F8"/>
          </w:tcPr>
          <w:p>
            <w:pPr>
              <w:spacing w:after="0"/>
              <w:rPr>
                <w:sz w:val="19"/>
                <w:szCs w:val="19"/>
                <w:color w:val="auto"/>
              </w:rPr>
            </w:pPr>
          </w:p>
        </w:tc>
        <w:tc>
          <w:tcPr>
            <w:tcW w:w="64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120" w:type="dxa"/>
            <w:vAlign w:val="bottom"/>
            <w:tcBorders>
              <w:bottom w:val="single" w:sz="8" w:color="E5F1F8"/>
            </w:tcBorders>
            <w:shd w:val="clear" w:color="auto" w:fill="E5F1F8"/>
          </w:tcPr>
          <w:p>
            <w:pPr>
              <w:spacing w:after="0"/>
              <w:rPr>
                <w:sz w:val="19"/>
                <w:szCs w:val="19"/>
                <w:color w:val="auto"/>
              </w:rPr>
            </w:pPr>
          </w:p>
        </w:tc>
        <w:tc>
          <w:tcPr>
            <w:tcW w:w="260" w:type="dxa"/>
            <w:vAlign w:val="bottom"/>
            <w:tcBorders>
              <w:bottom w:val="single" w:sz="8" w:color="E5F1F8"/>
            </w:tcBorders>
            <w:shd w:val="clear" w:color="auto" w:fill="E5F1F8"/>
          </w:tcPr>
          <w:p>
            <w:pPr>
              <w:spacing w:after="0"/>
              <w:rPr>
                <w:sz w:val="19"/>
                <w:szCs w:val="19"/>
                <w:color w:val="auto"/>
              </w:rPr>
            </w:pPr>
          </w:p>
        </w:tc>
        <w:tc>
          <w:tcPr>
            <w:tcW w:w="76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100" w:type="dxa"/>
            <w:vAlign w:val="bottom"/>
            <w:tcBorders>
              <w:bottom w:val="single" w:sz="8" w:color="E5F1F8"/>
            </w:tcBorders>
            <w:shd w:val="clear" w:color="auto" w:fill="E5F1F8"/>
          </w:tcPr>
          <w:p>
            <w:pPr>
              <w:spacing w:after="0"/>
              <w:rPr>
                <w:sz w:val="19"/>
                <w:szCs w:val="19"/>
                <w:color w:val="auto"/>
              </w:rPr>
            </w:pPr>
          </w:p>
        </w:tc>
        <w:tc>
          <w:tcPr>
            <w:tcW w:w="320" w:type="dxa"/>
            <w:vAlign w:val="bottom"/>
            <w:tcBorders>
              <w:bottom w:val="single" w:sz="8" w:color="E5F1F8"/>
            </w:tcBorders>
            <w:shd w:val="clear" w:color="auto" w:fill="E5F1F8"/>
          </w:tcPr>
          <w:p>
            <w:pPr>
              <w:spacing w:after="0"/>
              <w:rPr>
                <w:sz w:val="19"/>
                <w:szCs w:val="19"/>
                <w:color w:val="auto"/>
              </w:rPr>
            </w:pPr>
          </w:p>
        </w:tc>
        <w:tc>
          <w:tcPr>
            <w:tcW w:w="5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E5F1F8"/>
              <w:right w:val="single" w:sz="8" w:color="007CBA"/>
            </w:tcBorders>
            <w:shd w:val="clear" w:color="auto" w:fill="E5F1F8"/>
          </w:tcPr>
          <w:p>
            <w:pPr>
              <w:spacing w:after="0"/>
              <w:rPr>
                <w:sz w:val="19"/>
                <w:szCs w:val="19"/>
                <w:color w:val="auto"/>
              </w:rPr>
            </w:pPr>
          </w:p>
        </w:tc>
        <w:tc>
          <w:tcPr>
            <w:tcW w:w="100" w:type="dxa"/>
            <w:vAlign w:val="bottom"/>
            <w:tcBorders>
              <w:bottom w:val="single" w:sz="8" w:color="E5F1F8"/>
            </w:tcBorders>
            <w:shd w:val="clear" w:color="auto" w:fill="E5F1F8"/>
          </w:tcPr>
          <w:p>
            <w:pPr>
              <w:spacing w:after="0"/>
              <w:rPr>
                <w:sz w:val="19"/>
                <w:szCs w:val="19"/>
                <w:color w:val="auto"/>
              </w:rPr>
            </w:pPr>
          </w:p>
        </w:tc>
        <w:tc>
          <w:tcPr>
            <w:tcW w:w="460" w:type="dxa"/>
            <w:vAlign w:val="bottom"/>
            <w:tcBorders>
              <w:bottom w:val="single" w:sz="8" w:color="E5F1F8"/>
              <w:right w:val="single" w:sz="8" w:color="E5F1F8"/>
            </w:tcBorders>
            <w:shd w:val="clear" w:color="auto" w:fill="E5F1F8"/>
          </w:tcPr>
          <w:p>
            <w:pPr>
              <w:spacing w:after="0"/>
              <w:rPr>
                <w:sz w:val="19"/>
                <w:szCs w:val="19"/>
                <w:color w:val="auto"/>
              </w:rPr>
            </w:pPr>
          </w:p>
        </w:tc>
        <w:tc>
          <w:tcPr>
            <w:tcW w:w="40" w:type="dxa"/>
            <w:vAlign w:val="bottom"/>
            <w:tcBorders>
              <w:bottom w:val="single" w:sz="8" w:color="E5F1F8"/>
            </w:tcBorders>
            <w:shd w:val="clear" w:color="auto" w:fill="E5F1F8"/>
          </w:tcPr>
          <w:p>
            <w:pPr>
              <w:spacing w:after="0"/>
              <w:rPr>
                <w:sz w:val="19"/>
                <w:szCs w:val="19"/>
                <w:color w:val="auto"/>
              </w:rPr>
            </w:pPr>
          </w:p>
        </w:tc>
        <w:tc>
          <w:tcPr>
            <w:tcW w:w="54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4.6</w:t>
            </w:r>
          </w:p>
        </w:tc>
        <w:tc>
          <w:tcPr>
            <w:tcW w:w="100" w:type="dxa"/>
            <w:vAlign w:val="bottom"/>
            <w:tcBorders>
              <w:bottom w:val="single" w:sz="8" w:color="E5F1F8"/>
            </w:tcBorders>
            <w:shd w:val="clear" w:color="auto" w:fill="E5F1F8"/>
          </w:tcPr>
          <w:p>
            <w:pPr>
              <w:spacing w:after="0"/>
              <w:rPr>
                <w:sz w:val="19"/>
                <w:szCs w:val="19"/>
                <w:color w:val="auto"/>
              </w:rPr>
            </w:pPr>
          </w:p>
        </w:tc>
        <w:tc>
          <w:tcPr>
            <w:tcW w:w="180" w:type="dxa"/>
            <w:vAlign w:val="bottom"/>
            <w:tcBorders>
              <w:bottom w:val="single" w:sz="8" w:color="E5F1F8"/>
            </w:tcBorders>
            <w:shd w:val="clear" w:color="auto" w:fill="E5F1F8"/>
          </w:tcPr>
          <w:p>
            <w:pPr>
              <w:spacing w:after="0"/>
              <w:rPr>
                <w:sz w:val="19"/>
                <w:szCs w:val="19"/>
                <w:color w:val="auto"/>
              </w:rPr>
            </w:pPr>
          </w:p>
        </w:tc>
        <w:tc>
          <w:tcPr>
            <w:tcW w:w="80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4.6</w:t>
            </w:r>
          </w:p>
        </w:tc>
      </w:tr>
      <w:tr>
        <w:trPr>
          <w:trHeight w:val="215"/>
        </w:trPr>
        <w:tc>
          <w:tcPr>
            <w:tcW w:w="4340" w:type="dxa"/>
            <w:vAlign w:val="bottom"/>
          </w:tcPr>
          <w:p>
            <w:pPr>
              <w:ind w:left="120"/>
              <w:spacing w:after="0" w:line="215" w:lineRule="exact"/>
              <w:rPr>
                <w:sz w:val="20"/>
                <w:szCs w:val="20"/>
                <w:color w:val="auto"/>
              </w:rPr>
            </w:pPr>
            <w:r>
              <w:rPr>
                <w:rFonts w:ascii="Calibri" w:cs="Calibri" w:eastAsia="Calibri" w:hAnsi="Calibri"/>
                <w:sz w:val="18"/>
                <w:szCs w:val="18"/>
                <w:color w:val="auto"/>
              </w:rPr>
              <w:t>Valuaton allowance for loss on sale</w:t>
            </w:r>
          </w:p>
        </w:tc>
        <w:tc>
          <w:tcPr>
            <w:tcW w:w="500" w:type="dxa"/>
            <w:vAlign w:val="bottom"/>
          </w:tcPr>
          <w:p>
            <w:pPr>
              <w:spacing w:after="0"/>
              <w:rPr>
                <w:sz w:val="18"/>
                <w:szCs w:val="18"/>
                <w:color w:val="auto"/>
              </w:rPr>
            </w:pPr>
          </w:p>
        </w:tc>
        <w:tc>
          <w:tcPr>
            <w:tcW w:w="7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spacing w:after="0" w:line="215" w:lineRule="exact"/>
              <w:rPr>
                <w:sz w:val="20"/>
                <w:szCs w:val="20"/>
                <w:color w:val="auto"/>
              </w:rPr>
            </w:pPr>
            <w:r>
              <w:rPr>
                <w:rFonts w:ascii="Calibri" w:cs="Calibri" w:eastAsia="Calibri" w:hAnsi="Calibri"/>
                <w:sz w:val="18"/>
                <w:szCs w:val="18"/>
                <w:b w:val="1"/>
                <w:bCs w:val="1"/>
                <w:color w:val="auto"/>
              </w:rPr>
              <w:t>(4.5 )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(4.5 )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(6.0 )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(6.0 )</w:t>
            </w:r>
          </w:p>
        </w:tc>
      </w:tr>
      <w:tr>
        <w:trPr>
          <w:trHeight w:val="28"/>
        </w:trPr>
        <w:tc>
          <w:tcPr>
            <w:tcW w:w="4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81"/>
        </w:trPr>
        <w:tc>
          <w:tcPr>
            <w:tcW w:w="434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Total noncurrent assets held for sale</w:t>
            </w:r>
          </w:p>
        </w:tc>
        <w:tc>
          <w:tcPr>
            <w:tcW w:w="500" w:type="dxa"/>
            <w:vAlign w:val="bottom"/>
            <w:tcBorders>
              <w:bottom w:val="single" w:sz="8" w:color="E5F1F8"/>
            </w:tcBorders>
            <w:shd w:val="clear" w:color="auto" w:fill="E5F1F8"/>
          </w:tcPr>
          <w:p>
            <w:pPr>
              <w:jc w:val="right"/>
              <w:ind w:right="190"/>
              <w:spacing w:after="0" w:line="208"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b w:val="1"/>
                <w:bCs w:val="1"/>
                <w:color w:val="auto"/>
              </w:rPr>
              <w:t>—</w:t>
            </w:r>
          </w:p>
        </w:tc>
        <w:tc>
          <w:tcPr>
            <w:tcW w:w="300" w:type="dxa"/>
            <w:vAlign w:val="bottom"/>
            <w:tcBorders>
              <w:bottom w:val="single" w:sz="8" w:color="E5F1F8"/>
            </w:tcBorders>
            <w:gridSpan w:val="2"/>
            <w:shd w:val="clear" w:color="auto" w:fill="E5F1F8"/>
          </w:tcPr>
          <w:p>
            <w:pPr>
              <w:jc w:val="right"/>
              <w:spacing w:after="0" w:line="208" w:lineRule="exact"/>
              <w:rPr>
                <w:sz w:val="20"/>
                <w:szCs w:val="20"/>
                <w:color w:val="auto"/>
              </w:rPr>
            </w:pPr>
            <w:r>
              <w:rPr>
                <w:rFonts w:ascii="Calibri" w:cs="Calibri" w:eastAsia="Calibri" w:hAnsi="Calibri"/>
                <w:sz w:val="18"/>
                <w:szCs w:val="18"/>
                <w:b w:val="1"/>
                <w:bCs w:val="1"/>
                <w:color w:val="auto"/>
              </w:rPr>
              <w:t>$</w:t>
            </w:r>
          </w:p>
        </w:tc>
        <w:tc>
          <w:tcPr>
            <w:tcW w:w="900" w:type="dxa"/>
            <w:vAlign w:val="bottom"/>
            <w:tcBorders>
              <w:bottom w:val="single" w:sz="8" w:color="E5F1F8"/>
              <w:right w:val="single" w:sz="8" w:color="E5F1F8"/>
            </w:tcBorders>
            <w:gridSpan w:val="2"/>
            <w:shd w:val="clear" w:color="auto" w:fill="E5F1F8"/>
          </w:tcPr>
          <w:p>
            <w:pPr>
              <w:jc w:val="right"/>
              <w:ind w:right="50"/>
              <w:spacing w:after="0" w:line="208" w:lineRule="exact"/>
              <w:rPr>
                <w:sz w:val="20"/>
                <w:szCs w:val="20"/>
                <w:color w:val="auto"/>
              </w:rPr>
            </w:pPr>
            <w:r>
              <w:rPr>
                <w:rFonts w:ascii="Calibri" w:cs="Calibri" w:eastAsia="Calibri" w:hAnsi="Calibri"/>
                <w:sz w:val="18"/>
                <w:szCs w:val="18"/>
                <w:b w:val="1"/>
                <w:bCs w:val="1"/>
                <w:color w:val="auto"/>
              </w:rPr>
              <w:t>372.5</w:t>
            </w:r>
          </w:p>
        </w:tc>
        <w:tc>
          <w:tcPr>
            <w:tcW w:w="380" w:type="dxa"/>
            <w:vAlign w:val="bottom"/>
            <w:tcBorders>
              <w:bottom w:val="single" w:sz="8" w:color="E5F1F8"/>
            </w:tcBorders>
            <w:gridSpan w:val="2"/>
            <w:shd w:val="clear" w:color="auto" w:fill="E5F1F8"/>
          </w:tcPr>
          <w:p>
            <w:pPr>
              <w:jc w:val="right"/>
              <w:ind w:right="70"/>
              <w:spacing w:after="0" w:line="208" w:lineRule="exact"/>
              <w:rPr>
                <w:sz w:val="20"/>
                <w:szCs w:val="20"/>
                <w:color w:val="auto"/>
              </w:rPr>
            </w:pPr>
            <w:r>
              <w:rPr>
                <w:rFonts w:ascii="Calibri" w:cs="Calibri" w:eastAsia="Calibri" w:hAnsi="Calibri"/>
                <w:sz w:val="18"/>
                <w:szCs w:val="18"/>
                <w:b w:val="1"/>
                <w:bCs w:val="1"/>
                <w:color w:val="auto"/>
              </w:rPr>
              <w:t>$</w:t>
            </w:r>
          </w:p>
        </w:tc>
        <w:tc>
          <w:tcPr>
            <w:tcW w:w="76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b w:val="1"/>
                <w:bCs w:val="1"/>
                <w:color w:val="auto"/>
              </w:rPr>
              <w:t>372.5</w:t>
            </w:r>
          </w:p>
        </w:tc>
        <w:tc>
          <w:tcPr>
            <w:tcW w:w="420" w:type="dxa"/>
            <w:vAlign w:val="bottom"/>
            <w:tcBorders>
              <w:bottom w:val="single" w:sz="8" w:color="E5F1F8"/>
            </w:tcBorders>
            <w:gridSpan w:val="2"/>
            <w:shd w:val="clear" w:color="auto" w:fill="E5F1F8"/>
          </w:tcPr>
          <w:p>
            <w:pPr>
              <w:jc w:val="right"/>
              <w:ind w:right="130"/>
              <w:spacing w:after="0" w:line="208" w:lineRule="exact"/>
              <w:rPr>
                <w:sz w:val="20"/>
                <w:szCs w:val="20"/>
                <w:color w:val="auto"/>
              </w:rPr>
            </w:pPr>
            <w:r>
              <w:rPr>
                <w:rFonts w:ascii="Calibri" w:cs="Calibri" w:eastAsia="Calibri" w:hAnsi="Calibri"/>
                <w:sz w:val="18"/>
                <w:szCs w:val="18"/>
                <w:color w:val="auto"/>
              </w:rPr>
              <w:t>$</w:t>
            </w:r>
          </w:p>
        </w:tc>
        <w:tc>
          <w:tcPr>
            <w:tcW w:w="560" w:type="dxa"/>
            <w:vAlign w:val="bottom"/>
            <w:tcBorders>
              <w:bottom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E5F1F8"/>
              <w:right w:val="single" w:sz="8" w:color="E5F1F8"/>
            </w:tcBorders>
            <w:shd w:val="clear" w:color="auto" w:fill="E5F1F8"/>
          </w:tcPr>
          <w:p>
            <w:pPr>
              <w:spacing w:after="0"/>
              <w:rPr>
                <w:sz w:val="24"/>
                <w:szCs w:val="24"/>
                <w:color w:val="auto"/>
              </w:rPr>
            </w:pPr>
          </w:p>
        </w:tc>
        <w:tc>
          <w:tcPr>
            <w:tcW w:w="560" w:type="dxa"/>
            <w:vAlign w:val="bottom"/>
            <w:tcBorders>
              <w:bottom w:val="single" w:sz="8" w:color="E5F1F8"/>
              <w:right w:val="single" w:sz="8" w:color="E5F1F8"/>
            </w:tcBorders>
            <w:gridSpan w:val="2"/>
            <w:shd w:val="clear" w:color="auto" w:fill="E5F1F8"/>
          </w:tcPr>
          <w:p>
            <w:pPr>
              <w:jc w:val="center"/>
              <w:ind w:right="150"/>
              <w:spacing w:after="0" w:line="208" w:lineRule="exact"/>
              <w:rPr>
                <w:sz w:val="20"/>
                <w:szCs w:val="20"/>
                <w:color w:val="auto"/>
              </w:rPr>
            </w:pPr>
            <w:r>
              <w:rPr>
                <w:rFonts w:ascii="Calibri" w:cs="Calibri" w:eastAsia="Calibri" w:hAnsi="Calibri"/>
                <w:sz w:val="18"/>
                <w:szCs w:val="18"/>
                <w:color w:val="auto"/>
                <w:w w:val="87"/>
              </w:rPr>
              <w:t>$</w:t>
            </w:r>
          </w:p>
        </w:tc>
        <w:tc>
          <w:tcPr>
            <w:tcW w:w="40" w:type="dxa"/>
            <w:vAlign w:val="bottom"/>
            <w:tcBorders>
              <w:bottom w:val="single" w:sz="8" w:color="E5F1F8"/>
            </w:tcBorders>
            <w:shd w:val="clear" w:color="auto" w:fill="E5F1F8"/>
          </w:tcPr>
          <w:p>
            <w:pPr>
              <w:spacing w:after="0"/>
              <w:rPr>
                <w:sz w:val="24"/>
                <w:szCs w:val="24"/>
                <w:color w:val="auto"/>
              </w:rPr>
            </w:pPr>
          </w:p>
        </w:tc>
        <w:tc>
          <w:tcPr>
            <w:tcW w:w="54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color w:val="auto"/>
                <w:w w:val="92"/>
              </w:rPr>
              <w:t>616.9</w:t>
            </w:r>
          </w:p>
        </w:tc>
        <w:tc>
          <w:tcPr>
            <w:tcW w:w="280" w:type="dxa"/>
            <w:vAlign w:val="bottom"/>
            <w:tcBorders>
              <w:bottom w:val="single" w:sz="8" w:color="E5F1F8"/>
            </w:tcBorders>
            <w:gridSpan w:val="2"/>
            <w:shd w:val="clear" w:color="auto" w:fill="E5F1F8"/>
          </w:tcPr>
          <w:p>
            <w:pPr>
              <w:ind w:left="100"/>
              <w:spacing w:after="0" w:line="208" w:lineRule="exact"/>
              <w:rPr>
                <w:sz w:val="20"/>
                <w:szCs w:val="20"/>
                <w:color w:val="auto"/>
              </w:rPr>
            </w:pPr>
            <w:r>
              <w:rPr>
                <w:rFonts w:ascii="Calibri" w:cs="Calibri" w:eastAsia="Calibri" w:hAnsi="Calibri"/>
                <w:sz w:val="18"/>
                <w:szCs w:val="18"/>
                <w:color w:val="auto"/>
              </w:rPr>
              <w:t>$</w:t>
            </w:r>
          </w:p>
        </w:tc>
        <w:tc>
          <w:tcPr>
            <w:tcW w:w="80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616.9</w:t>
            </w:r>
          </w:p>
        </w:tc>
      </w:tr>
      <w:tr>
        <w:trPr>
          <w:trHeight w:val="224"/>
        </w:trPr>
        <w:tc>
          <w:tcPr>
            <w:tcW w:w="4340" w:type="dxa"/>
            <w:vAlign w:val="bottom"/>
            <w:tcBorders>
              <w:top w:val="single" w:sz="8" w:color="auto"/>
              <w:right w:val="single" w:sz="8" w:color="007CBA"/>
            </w:tcBorders>
            <w:shd w:val="clear" w:color="auto" w:fill="E5F1F8"/>
          </w:tcPr>
          <w:p>
            <w:pPr>
              <w:spacing w:after="0"/>
              <w:rPr>
                <w:sz w:val="19"/>
                <w:szCs w:val="19"/>
                <w:color w:val="auto"/>
              </w:rPr>
            </w:pPr>
          </w:p>
        </w:tc>
        <w:tc>
          <w:tcPr>
            <w:tcW w:w="500" w:type="dxa"/>
            <w:vAlign w:val="bottom"/>
            <w:tcBorders>
              <w:top w:val="single" w:sz="8" w:color="auto"/>
            </w:tcBorders>
            <w:shd w:val="clear" w:color="auto" w:fill="E5F1F8"/>
          </w:tcPr>
          <w:p>
            <w:pPr>
              <w:spacing w:after="0"/>
              <w:rPr>
                <w:sz w:val="19"/>
                <w:szCs w:val="19"/>
                <w:color w:val="auto"/>
              </w:rPr>
            </w:pPr>
          </w:p>
        </w:tc>
        <w:tc>
          <w:tcPr>
            <w:tcW w:w="740" w:type="dxa"/>
            <w:vAlign w:val="bottom"/>
            <w:tcBorders>
              <w:top w:val="single" w:sz="8" w:color="auto"/>
              <w:right w:val="single" w:sz="8" w:color="007CBA"/>
            </w:tcBorders>
            <w:shd w:val="clear" w:color="auto" w:fill="E5F1F8"/>
          </w:tcPr>
          <w:p>
            <w:pPr>
              <w:spacing w:after="0"/>
              <w:rPr>
                <w:sz w:val="19"/>
                <w:szCs w:val="19"/>
                <w:color w:val="auto"/>
              </w:rPr>
            </w:pPr>
          </w:p>
        </w:tc>
        <w:tc>
          <w:tcPr>
            <w:tcW w:w="120" w:type="dxa"/>
            <w:vAlign w:val="bottom"/>
            <w:tcBorders>
              <w:top w:val="single" w:sz="8" w:color="auto"/>
            </w:tcBorders>
            <w:shd w:val="clear" w:color="auto" w:fill="E5F1F8"/>
          </w:tcPr>
          <w:p>
            <w:pPr>
              <w:spacing w:after="0"/>
              <w:rPr>
                <w:sz w:val="19"/>
                <w:szCs w:val="19"/>
                <w:color w:val="auto"/>
              </w:rPr>
            </w:pPr>
          </w:p>
        </w:tc>
        <w:tc>
          <w:tcPr>
            <w:tcW w:w="180" w:type="dxa"/>
            <w:vAlign w:val="bottom"/>
            <w:tcBorders>
              <w:top w:val="single" w:sz="8" w:color="auto"/>
            </w:tcBorders>
            <w:shd w:val="clear" w:color="auto" w:fill="E5F1F8"/>
          </w:tcPr>
          <w:p>
            <w:pPr>
              <w:spacing w:after="0"/>
              <w:rPr>
                <w:sz w:val="19"/>
                <w:szCs w:val="19"/>
                <w:color w:val="auto"/>
              </w:rPr>
            </w:pPr>
          </w:p>
        </w:tc>
        <w:tc>
          <w:tcPr>
            <w:tcW w:w="260" w:type="dxa"/>
            <w:vAlign w:val="bottom"/>
            <w:tcBorders>
              <w:top w:val="single" w:sz="8" w:color="auto"/>
              <w:right w:val="single" w:sz="8" w:color="E5F1F8"/>
            </w:tcBorders>
            <w:shd w:val="clear" w:color="auto" w:fill="E5F1F8"/>
          </w:tcPr>
          <w:p>
            <w:pPr>
              <w:spacing w:after="0"/>
              <w:rPr>
                <w:sz w:val="19"/>
                <w:szCs w:val="19"/>
                <w:color w:val="auto"/>
              </w:rPr>
            </w:pPr>
          </w:p>
        </w:tc>
        <w:tc>
          <w:tcPr>
            <w:tcW w:w="640" w:type="dxa"/>
            <w:vAlign w:val="bottom"/>
            <w:tcBorders>
              <w:top w:val="single" w:sz="8" w:color="auto"/>
              <w:right w:val="single" w:sz="8" w:color="007CBA"/>
            </w:tcBorders>
            <w:shd w:val="clear" w:color="auto" w:fill="E5F1F8"/>
          </w:tcPr>
          <w:p>
            <w:pPr>
              <w:spacing w:after="0"/>
              <w:rPr>
                <w:sz w:val="19"/>
                <w:szCs w:val="19"/>
                <w:color w:val="auto"/>
              </w:rPr>
            </w:pPr>
          </w:p>
        </w:tc>
        <w:tc>
          <w:tcPr>
            <w:tcW w:w="120" w:type="dxa"/>
            <w:vAlign w:val="bottom"/>
            <w:tcBorders>
              <w:top w:val="single" w:sz="8" w:color="auto"/>
            </w:tcBorders>
            <w:shd w:val="clear" w:color="auto" w:fill="E5F1F8"/>
          </w:tcPr>
          <w:p>
            <w:pPr>
              <w:spacing w:after="0"/>
              <w:rPr>
                <w:sz w:val="19"/>
                <w:szCs w:val="19"/>
                <w:color w:val="auto"/>
              </w:rPr>
            </w:pPr>
          </w:p>
        </w:tc>
        <w:tc>
          <w:tcPr>
            <w:tcW w:w="260" w:type="dxa"/>
            <w:vAlign w:val="bottom"/>
            <w:tcBorders>
              <w:top w:val="single" w:sz="8" w:color="auto"/>
            </w:tcBorders>
            <w:shd w:val="clear" w:color="auto" w:fill="E5F1F8"/>
          </w:tcPr>
          <w:p>
            <w:pPr>
              <w:spacing w:after="0"/>
              <w:rPr>
                <w:sz w:val="19"/>
                <w:szCs w:val="19"/>
                <w:color w:val="auto"/>
              </w:rPr>
            </w:pPr>
          </w:p>
        </w:tc>
        <w:tc>
          <w:tcPr>
            <w:tcW w:w="760" w:type="dxa"/>
            <w:vAlign w:val="bottom"/>
            <w:tcBorders>
              <w:top w:val="single" w:sz="8" w:color="auto"/>
              <w:right w:val="single" w:sz="8" w:color="007CBA"/>
            </w:tcBorders>
            <w:shd w:val="clear" w:color="auto" w:fill="E5F1F8"/>
          </w:tcPr>
          <w:p>
            <w:pPr>
              <w:spacing w:after="0"/>
              <w:rPr>
                <w:sz w:val="19"/>
                <w:szCs w:val="19"/>
                <w:color w:val="auto"/>
              </w:rPr>
            </w:pPr>
          </w:p>
        </w:tc>
        <w:tc>
          <w:tcPr>
            <w:tcW w:w="100" w:type="dxa"/>
            <w:vAlign w:val="bottom"/>
            <w:tcBorders>
              <w:top w:val="single" w:sz="8" w:color="auto"/>
            </w:tcBorders>
            <w:shd w:val="clear" w:color="auto" w:fill="E5F1F8"/>
          </w:tcPr>
          <w:p>
            <w:pPr>
              <w:spacing w:after="0"/>
              <w:rPr>
                <w:sz w:val="19"/>
                <w:szCs w:val="19"/>
                <w:color w:val="auto"/>
              </w:rPr>
            </w:pPr>
          </w:p>
        </w:tc>
        <w:tc>
          <w:tcPr>
            <w:tcW w:w="320" w:type="dxa"/>
            <w:vAlign w:val="bottom"/>
            <w:tcBorders>
              <w:top w:val="single" w:sz="8" w:color="auto"/>
            </w:tcBorders>
            <w:shd w:val="clear" w:color="auto" w:fill="E5F1F8"/>
          </w:tcPr>
          <w:p>
            <w:pPr>
              <w:spacing w:after="0"/>
              <w:rPr>
                <w:sz w:val="19"/>
                <w:szCs w:val="19"/>
                <w:color w:val="auto"/>
              </w:rPr>
            </w:pPr>
          </w:p>
        </w:tc>
        <w:tc>
          <w:tcPr>
            <w:tcW w:w="560" w:type="dxa"/>
            <w:vAlign w:val="bottom"/>
            <w:tcBorders>
              <w:top w:val="single" w:sz="8" w:color="auto"/>
            </w:tcBorders>
            <w:shd w:val="clear" w:color="auto" w:fill="E5F1F8"/>
          </w:tcPr>
          <w:p>
            <w:pPr>
              <w:spacing w:after="0"/>
              <w:rPr>
                <w:sz w:val="19"/>
                <w:szCs w:val="19"/>
                <w:color w:val="auto"/>
              </w:rPr>
            </w:pPr>
          </w:p>
        </w:tc>
        <w:tc>
          <w:tcPr>
            <w:tcW w:w="120" w:type="dxa"/>
            <w:vAlign w:val="bottom"/>
            <w:tcBorders>
              <w:top w:val="single" w:sz="8" w:color="auto"/>
              <w:right w:val="single" w:sz="8" w:color="007CBA"/>
            </w:tcBorders>
            <w:shd w:val="clear" w:color="auto" w:fill="E5F1F8"/>
          </w:tcPr>
          <w:p>
            <w:pPr>
              <w:spacing w:after="0"/>
              <w:rPr>
                <w:sz w:val="19"/>
                <w:szCs w:val="19"/>
                <w:color w:val="auto"/>
              </w:rPr>
            </w:pPr>
          </w:p>
        </w:tc>
        <w:tc>
          <w:tcPr>
            <w:tcW w:w="100" w:type="dxa"/>
            <w:vAlign w:val="bottom"/>
            <w:tcBorders>
              <w:top w:val="single" w:sz="8" w:color="auto"/>
            </w:tcBorders>
            <w:shd w:val="clear" w:color="auto" w:fill="E5F1F8"/>
          </w:tcPr>
          <w:p>
            <w:pPr>
              <w:spacing w:after="0"/>
              <w:rPr>
                <w:sz w:val="19"/>
                <w:szCs w:val="19"/>
                <w:color w:val="auto"/>
              </w:rPr>
            </w:pPr>
          </w:p>
        </w:tc>
        <w:tc>
          <w:tcPr>
            <w:tcW w:w="460" w:type="dxa"/>
            <w:vAlign w:val="bottom"/>
            <w:tcBorders>
              <w:top w:val="single" w:sz="8" w:color="auto"/>
              <w:right w:val="single" w:sz="8" w:color="E5F1F8"/>
            </w:tcBorders>
            <w:shd w:val="clear" w:color="auto" w:fill="E5F1F8"/>
          </w:tcPr>
          <w:p>
            <w:pPr>
              <w:spacing w:after="0"/>
              <w:rPr>
                <w:sz w:val="19"/>
                <w:szCs w:val="19"/>
                <w:color w:val="auto"/>
              </w:rPr>
            </w:pPr>
          </w:p>
        </w:tc>
        <w:tc>
          <w:tcPr>
            <w:tcW w:w="40" w:type="dxa"/>
            <w:vAlign w:val="bottom"/>
            <w:tcBorders>
              <w:top w:val="single" w:sz="8" w:color="auto"/>
            </w:tcBorders>
            <w:shd w:val="clear" w:color="auto" w:fill="E5F1F8"/>
          </w:tcPr>
          <w:p>
            <w:pPr>
              <w:spacing w:after="0"/>
              <w:rPr>
                <w:sz w:val="19"/>
                <w:szCs w:val="19"/>
                <w:color w:val="auto"/>
              </w:rPr>
            </w:pPr>
          </w:p>
        </w:tc>
        <w:tc>
          <w:tcPr>
            <w:tcW w:w="540" w:type="dxa"/>
            <w:vAlign w:val="bottom"/>
            <w:tcBorders>
              <w:top w:val="single" w:sz="8" w:color="auto"/>
              <w:right w:val="single" w:sz="8" w:color="007CBA"/>
            </w:tcBorders>
            <w:shd w:val="clear" w:color="auto" w:fill="E5F1F8"/>
          </w:tcPr>
          <w:p>
            <w:pPr>
              <w:spacing w:after="0"/>
              <w:rPr>
                <w:sz w:val="19"/>
                <w:szCs w:val="19"/>
                <w:color w:val="auto"/>
              </w:rPr>
            </w:pPr>
          </w:p>
        </w:tc>
        <w:tc>
          <w:tcPr>
            <w:tcW w:w="100" w:type="dxa"/>
            <w:vAlign w:val="bottom"/>
            <w:tcBorders>
              <w:top w:val="single" w:sz="8" w:color="auto"/>
            </w:tcBorders>
            <w:shd w:val="clear" w:color="auto" w:fill="E5F1F8"/>
          </w:tcPr>
          <w:p>
            <w:pPr>
              <w:spacing w:after="0"/>
              <w:rPr>
                <w:sz w:val="19"/>
                <w:szCs w:val="19"/>
                <w:color w:val="auto"/>
              </w:rPr>
            </w:pPr>
          </w:p>
        </w:tc>
        <w:tc>
          <w:tcPr>
            <w:tcW w:w="180" w:type="dxa"/>
            <w:vAlign w:val="bottom"/>
            <w:tcBorders>
              <w:top w:val="single" w:sz="8" w:color="auto"/>
            </w:tcBorders>
            <w:shd w:val="clear" w:color="auto" w:fill="E5F1F8"/>
          </w:tcPr>
          <w:p>
            <w:pPr>
              <w:spacing w:after="0"/>
              <w:rPr>
                <w:sz w:val="19"/>
                <w:szCs w:val="19"/>
                <w:color w:val="auto"/>
              </w:rPr>
            </w:pPr>
          </w:p>
        </w:tc>
        <w:tc>
          <w:tcPr>
            <w:tcW w:w="800" w:type="dxa"/>
            <w:vAlign w:val="bottom"/>
            <w:tcBorders>
              <w:top w:val="single" w:sz="8" w:color="auto"/>
            </w:tcBorders>
            <w:shd w:val="clear" w:color="auto" w:fill="E5F1F8"/>
          </w:tcPr>
          <w:p>
            <w:pPr>
              <w:spacing w:after="0"/>
              <w:rPr>
                <w:sz w:val="19"/>
                <w:szCs w:val="19"/>
                <w:color w:val="auto"/>
              </w:rPr>
            </w:pPr>
          </w:p>
        </w:tc>
      </w:tr>
      <w:tr>
        <w:trPr>
          <w:trHeight w:val="215"/>
        </w:trPr>
        <w:tc>
          <w:tcPr>
            <w:tcW w:w="4340" w:type="dxa"/>
            <w:vAlign w:val="bottom"/>
          </w:tcPr>
          <w:p>
            <w:pPr>
              <w:ind w:left="120"/>
              <w:spacing w:after="0" w:line="215" w:lineRule="exact"/>
              <w:rPr>
                <w:sz w:val="20"/>
                <w:szCs w:val="20"/>
                <w:color w:val="auto"/>
              </w:rPr>
            </w:pPr>
            <w:r>
              <w:rPr>
                <w:rFonts w:ascii="Calibri" w:cs="Calibri" w:eastAsia="Calibri" w:hAnsi="Calibri"/>
                <w:sz w:val="18"/>
                <w:szCs w:val="18"/>
                <w:color w:val="auto"/>
              </w:rPr>
              <w:t>Lease obligatons</w:t>
            </w:r>
          </w:p>
        </w:tc>
        <w:tc>
          <w:tcPr>
            <w:tcW w:w="50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300" w:type="dxa"/>
            <w:vAlign w:val="bottom"/>
            <w:gridSpan w:val="2"/>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00" w:type="dxa"/>
            <w:vAlign w:val="bottom"/>
            <w:gridSpan w:val="2"/>
          </w:tcPr>
          <w:p>
            <w:pPr>
              <w:jc w:val="right"/>
              <w:spacing w:after="0" w:line="215" w:lineRule="exact"/>
              <w:rPr>
                <w:sz w:val="20"/>
                <w:szCs w:val="20"/>
                <w:color w:val="auto"/>
              </w:rPr>
            </w:pPr>
            <w:r>
              <w:rPr>
                <w:rFonts w:ascii="Calibri" w:cs="Calibri" w:eastAsia="Calibri" w:hAnsi="Calibri"/>
                <w:sz w:val="18"/>
                <w:szCs w:val="18"/>
                <w:b w:val="1"/>
                <w:bCs w:val="1"/>
                <w:color w:val="auto"/>
              </w:rPr>
              <w:t>(4.5 )</w:t>
            </w:r>
          </w:p>
        </w:tc>
        <w:tc>
          <w:tcPr>
            <w:tcW w:w="380" w:type="dxa"/>
            <w:vAlign w:val="bottom"/>
            <w:gridSpan w:val="2"/>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(4.5 )</w:t>
            </w:r>
          </w:p>
        </w:tc>
        <w:tc>
          <w:tcPr>
            <w:tcW w:w="42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680" w:type="dxa"/>
            <w:vAlign w:val="bottom"/>
            <w:gridSpan w:val="3"/>
          </w:tcPr>
          <w:p>
            <w:pPr>
              <w:jc w:val="center"/>
              <w:ind w:right="30"/>
              <w:spacing w:after="0" w:line="215" w:lineRule="exact"/>
              <w:rPr>
                <w:sz w:val="20"/>
                <w:szCs w:val="20"/>
                <w:color w:val="auto"/>
              </w:rPr>
            </w:pPr>
            <w:r>
              <w:rPr>
                <w:rFonts w:ascii="Calibri" w:cs="Calibri" w:eastAsia="Calibri" w:hAnsi="Calibri"/>
                <w:sz w:val="18"/>
                <w:szCs w:val="18"/>
                <w:color w:val="auto"/>
                <w:w w:val="87"/>
              </w:rPr>
              <w:t>$</w:t>
            </w:r>
          </w:p>
        </w:tc>
        <w:tc>
          <w:tcPr>
            <w:tcW w:w="40" w:type="dxa"/>
            <w:vAlign w:val="bottom"/>
          </w:tcPr>
          <w:p>
            <w:pPr>
              <w:spacing w:after="0"/>
              <w:rPr>
                <w:sz w:val="18"/>
                <w:szCs w:val="18"/>
                <w:color w:val="auto"/>
              </w:rPr>
            </w:pP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(7.5 )</w:t>
            </w:r>
          </w:p>
        </w:tc>
        <w:tc>
          <w:tcPr>
            <w:tcW w:w="280" w:type="dxa"/>
            <w:vAlign w:val="bottom"/>
            <w:gridSpan w:val="2"/>
          </w:tcPr>
          <w:p>
            <w:pPr>
              <w:ind w:left="100"/>
              <w:spacing w:after="0" w:line="215" w:lineRule="exact"/>
              <w:rPr>
                <w:sz w:val="20"/>
                <w:szCs w:val="20"/>
                <w:color w:val="auto"/>
              </w:rPr>
            </w:pPr>
            <w:r>
              <w:rPr>
                <w:rFonts w:ascii="Calibri" w:cs="Calibri" w:eastAsia="Calibri" w:hAnsi="Calibri"/>
                <w:sz w:val="18"/>
                <w:szCs w:val="18"/>
                <w:color w:val="auto"/>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(7.5 )</w:t>
            </w:r>
          </w:p>
        </w:tc>
      </w:tr>
      <w:tr>
        <w:trPr>
          <w:trHeight w:val="28"/>
        </w:trPr>
        <w:tc>
          <w:tcPr>
            <w:tcW w:w="4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81"/>
        </w:trPr>
        <w:tc>
          <w:tcPr>
            <w:tcW w:w="434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Total current liabilites held for sale</w:t>
            </w:r>
          </w:p>
        </w:tc>
        <w:tc>
          <w:tcPr>
            <w:tcW w:w="500" w:type="dxa"/>
            <w:vAlign w:val="bottom"/>
            <w:tcBorders>
              <w:bottom w:val="single" w:sz="8" w:color="E5F1F8"/>
            </w:tcBorders>
            <w:shd w:val="clear" w:color="auto" w:fill="E5F1F8"/>
          </w:tcPr>
          <w:p>
            <w:pPr>
              <w:jc w:val="right"/>
              <w:ind w:right="190"/>
              <w:spacing w:after="0" w:line="208"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b w:val="1"/>
                <w:bCs w:val="1"/>
                <w:color w:val="auto"/>
              </w:rPr>
              <w:t>—</w:t>
            </w:r>
          </w:p>
        </w:tc>
        <w:tc>
          <w:tcPr>
            <w:tcW w:w="300" w:type="dxa"/>
            <w:vAlign w:val="bottom"/>
            <w:tcBorders>
              <w:bottom w:val="single" w:sz="8" w:color="E5F1F8"/>
            </w:tcBorders>
            <w:gridSpan w:val="2"/>
            <w:shd w:val="clear" w:color="auto" w:fill="E5F1F8"/>
          </w:tcPr>
          <w:p>
            <w:pPr>
              <w:jc w:val="right"/>
              <w:spacing w:after="0" w:line="208" w:lineRule="exact"/>
              <w:rPr>
                <w:sz w:val="20"/>
                <w:szCs w:val="20"/>
                <w:color w:val="auto"/>
              </w:rPr>
            </w:pPr>
            <w:r>
              <w:rPr>
                <w:rFonts w:ascii="Calibri" w:cs="Calibri" w:eastAsia="Calibri" w:hAnsi="Calibri"/>
                <w:sz w:val="18"/>
                <w:szCs w:val="18"/>
                <w:b w:val="1"/>
                <w:bCs w:val="1"/>
                <w:color w:val="auto"/>
              </w:rPr>
              <w:t>$</w:t>
            </w:r>
          </w:p>
        </w:tc>
        <w:tc>
          <w:tcPr>
            <w:tcW w:w="900" w:type="dxa"/>
            <w:vAlign w:val="bottom"/>
            <w:tcBorders>
              <w:bottom w:val="single" w:sz="8" w:color="E5F1F8"/>
              <w:right w:val="single" w:sz="8" w:color="E5F1F8"/>
            </w:tcBorders>
            <w:gridSpan w:val="2"/>
            <w:shd w:val="clear" w:color="auto" w:fill="E5F1F8"/>
          </w:tcPr>
          <w:p>
            <w:pPr>
              <w:jc w:val="right"/>
              <w:spacing w:after="0" w:line="208" w:lineRule="exact"/>
              <w:rPr>
                <w:sz w:val="20"/>
                <w:szCs w:val="20"/>
                <w:color w:val="auto"/>
              </w:rPr>
            </w:pPr>
            <w:r>
              <w:rPr>
                <w:rFonts w:ascii="Calibri" w:cs="Calibri" w:eastAsia="Calibri" w:hAnsi="Calibri"/>
                <w:sz w:val="18"/>
                <w:szCs w:val="18"/>
                <w:b w:val="1"/>
                <w:bCs w:val="1"/>
                <w:color w:val="auto"/>
              </w:rPr>
              <w:t>(4.5 )</w:t>
            </w:r>
          </w:p>
        </w:tc>
        <w:tc>
          <w:tcPr>
            <w:tcW w:w="380" w:type="dxa"/>
            <w:vAlign w:val="bottom"/>
            <w:tcBorders>
              <w:bottom w:val="single" w:sz="8" w:color="E5F1F8"/>
            </w:tcBorders>
            <w:gridSpan w:val="2"/>
            <w:shd w:val="clear" w:color="auto" w:fill="E5F1F8"/>
          </w:tcPr>
          <w:p>
            <w:pPr>
              <w:jc w:val="right"/>
              <w:ind w:right="70"/>
              <w:spacing w:after="0" w:line="208" w:lineRule="exact"/>
              <w:rPr>
                <w:sz w:val="20"/>
                <w:szCs w:val="20"/>
                <w:color w:val="auto"/>
              </w:rPr>
            </w:pPr>
            <w:r>
              <w:rPr>
                <w:rFonts w:ascii="Calibri" w:cs="Calibri" w:eastAsia="Calibri" w:hAnsi="Calibri"/>
                <w:sz w:val="18"/>
                <w:szCs w:val="18"/>
                <w:b w:val="1"/>
                <w:bCs w:val="1"/>
                <w:color w:val="auto"/>
              </w:rPr>
              <w:t>$</w:t>
            </w:r>
          </w:p>
        </w:tc>
        <w:tc>
          <w:tcPr>
            <w:tcW w:w="760" w:type="dxa"/>
            <w:vAlign w:val="bottom"/>
            <w:tcBorders>
              <w:bottom w:val="single" w:sz="8" w:color="E5F1F8"/>
              <w:right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b w:val="1"/>
                <w:bCs w:val="1"/>
                <w:color w:val="auto"/>
              </w:rPr>
              <w:t>(4.5 )</w:t>
            </w:r>
          </w:p>
        </w:tc>
        <w:tc>
          <w:tcPr>
            <w:tcW w:w="420" w:type="dxa"/>
            <w:vAlign w:val="bottom"/>
            <w:tcBorders>
              <w:bottom w:val="single" w:sz="8" w:color="E5F1F8"/>
            </w:tcBorders>
            <w:gridSpan w:val="2"/>
            <w:shd w:val="clear" w:color="auto" w:fill="E5F1F8"/>
          </w:tcPr>
          <w:p>
            <w:pPr>
              <w:jc w:val="right"/>
              <w:ind w:right="130"/>
              <w:spacing w:after="0" w:line="208" w:lineRule="exact"/>
              <w:rPr>
                <w:sz w:val="20"/>
                <w:szCs w:val="20"/>
                <w:color w:val="auto"/>
              </w:rPr>
            </w:pPr>
            <w:r>
              <w:rPr>
                <w:rFonts w:ascii="Calibri" w:cs="Calibri" w:eastAsia="Calibri" w:hAnsi="Calibri"/>
                <w:sz w:val="18"/>
                <w:szCs w:val="18"/>
                <w:color w:val="auto"/>
              </w:rPr>
              <w:t>$</w:t>
            </w:r>
          </w:p>
        </w:tc>
        <w:tc>
          <w:tcPr>
            <w:tcW w:w="560" w:type="dxa"/>
            <w:vAlign w:val="bottom"/>
            <w:tcBorders>
              <w:bottom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E5F1F8"/>
              <w:right w:val="single" w:sz="8" w:color="E5F1F8"/>
            </w:tcBorders>
            <w:shd w:val="clear" w:color="auto" w:fill="E5F1F8"/>
          </w:tcPr>
          <w:p>
            <w:pPr>
              <w:spacing w:after="0"/>
              <w:rPr>
                <w:sz w:val="24"/>
                <w:szCs w:val="24"/>
                <w:color w:val="auto"/>
              </w:rPr>
            </w:pPr>
          </w:p>
        </w:tc>
        <w:tc>
          <w:tcPr>
            <w:tcW w:w="560" w:type="dxa"/>
            <w:vAlign w:val="bottom"/>
            <w:tcBorders>
              <w:bottom w:val="single" w:sz="8" w:color="E5F1F8"/>
              <w:right w:val="single" w:sz="8" w:color="E5F1F8"/>
            </w:tcBorders>
            <w:gridSpan w:val="2"/>
            <w:shd w:val="clear" w:color="auto" w:fill="E5F1F8"/>
          </w:tcPr>
          <w:p>
            <w:pPr>
              <w:jc w:val="center"/>
              <w:ind w:right="150"/>
              <w:spacing w:after="0" w:line="208" w:lineRule="exact"/>
              <w:rPr>
                <w:sz w:val="20"/>
                <w:szCs w:val="20"/>
                <w:color w:val="auto"/>
              </w:rPr>
            </w:pPr>
            <w:r>
              <w:rPr>
                <w:rFonts w:ascii="Calibri" w:cs="Calibri" w:eastAsia="Calibri" w:hAnsi="Calibri"/>
                <w:sz w:val="18"/>
                <w:szCs w:val="18"/>
                <w:color w:val="auto"/>
                <w:w w:val="87"/>
              </w:rPr>
              <w:t>$</w:t>
            </w:r>
          </w:p>
        </w:tc>
        <w:tc>
          <w:tcPr>
            <w:tcW w:w="40" w:type="dxa"/>
            <w:vAlign w:val="bottom"/>
            <w:tcBorders>
              <w:bottom w:val="single" w:sz="8" w:color="E5F1F8"/>
            </w:tcBorders>
            <w:shd w:val="clear" w:color="auto" w:fill="E5F1F8"/>
          </w:tcPr>
          <w:p>
            <w:pPr>
              <w:spacing w:after="0"/>
              <w:rPr>
                <w:sz w:val="24"/>
                <w:szCs w:val="24"/>
                <w:color w:val="auto"/>
              </w:rPr>
            </w:pPr>
          </w:p>
        </w:tc>
        <w:tc>
          <w:tcPr>
            <w:tcW w:w="540" w:type="dxa"/>
            <w:vAlign w:val="bottom"/>
            <w:tcBorders>
              <w:bottom w:val="single" w:sz="8" w:color="E5F1F8"/>
              <w:right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color w:val="auto"/>
              </w:rPr>
              <w:t>(7.5 )</w:t>
            </w:r>
          </w:p>
        </w:tc>
        <w:tc>
          <w:tcPr>
            <w:tcW w:w="280" w:type="dxa"/>
            <w:vAlign w:val="bottom"/>
            <w:tcBorders>
              <w:bottom w:val="single" w:sz="8" w:color="E5F1F8"/>
            </w:tcBorders>
            <w:gridSpan w:val="2"/>
            <w:shd w:val="clear" w:color="auto" w:fill="E5F1F8"/>
          </w:tcPr>
          <w:p>
            <w:pPr>
              <w:ind w:left="100"/>
              <w:spacing w:after="0" w:line="208" w:lineRule="exact"/>
              <w:rPr>
                <w:sz w:val="20"/>
                <w:szCs w:val="20"/>
                <w:color w:val="auto"/>
              </w:rPr>
            </w:pPr>
            <w:r>
              <w:rPr>
                <w:rFonts w:ascii="Calibri" w:cs="Calibri" w:eastAsia="Calibri" w:hAnsi="Calibri"/>
                <w:sz w:val="18"/>
                <w:szCs w:val="18"/>
                <w:color w:val="auto"/>
              </w:rPr>
              <w:t>$</w:t>
            </w:r>
          </w:p>
        </w:tc>
        <w:tc>
          <w:tcPr>
            <w:tcW w:w="800" w:type="dxa"/>
            <w:vAlign w:val="bottom"/>
            <w:tcBorders>
              <w:bottom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color w:val="auto"/>
              </w:rPr>
              <w:t>(7.5 )</w:t>
            </w:r>
          </w:p>
        </w:tc>
      </w:tr>
      <w:tr>
        <w:trPr>
          <w:trHeight w:val="224"/>
        </w:trPr>
        <w:tc>
          <w:tcPr>
            <w:tcW w:w="4340" w:type="dxa"/>
            <w:vAlign w:val="bottom"/>
            <w:tcBorders>
              <w:top w:val="single" w:sz="8" w:color="auto"/>
              <w:right w:val="single" w:sz="8" w:color="007CBA"/>
            </w:tcBorders>
            <w:shd w:val="clear" w:color="auto" w:fill="E5F1F8"/>
          </w:tcPr>
          <w:p>
            <w:pPr>
              <w:spacing w:after="0"/>
              <w:rPr>
                <w:sz w:val="19"/>
                <w:szCs w:val="19"/>
                <w:color w:val="auto"/>
              </w:rPr>
            </w:pPr>
          </w:p>
        </w:tc>
        <w:tc>
          <w:tcPr>
            <w:tcW w:w="500" w:type="dxa"/>
            <w:vAlign w:val="bottom"/>
            <w:tcBorders>
              <w:top w:val="single" w:sz="8" w:color="auto"/>
            </w:tcBorders>
            <w:shd w:val="clear" w:color="auto" w:fill="E5F1F8"/>
          </w:tcPr>
          <w:p>
            <w:pPr>
              <w:spacing w:after="0"/>
              <w:rPr>
                <w:sz w:val="19"/>
                <w:szCs w:val="19"/>
                <w:color w:val="auto"/>
              </w:rPr>
            </w:pPr>
          </w:p>
        </w:tc>
        <w:tc>
          <w:tcPr>
            <w:tcW w:w="740" w:type="dxa"/>
            <w:vAlign w:val="bottom"/>
            <w:tcBorders>
              <w:top w:val="single" w:sz="8" w:color="auto"/>
              <w:right w:val="single" w:sz="8" w:color="007CBA"/>
            </w:tcBorders>
            <w:shd w:val="clear" w:color="auto" w:fill="E5F1F8"/>
          </w:tcPr>
          <w:p>
            <w:pPr>
              <w:spacing w:after="0"/>
              <w:rPr>
                <w:sz w:val="19"/>
                <w:szCs w:val="19"/>
                <w:color w:val="auto"/>
              </w:rPr>
            </w:pPr>
          </w:p>
        </w:tc>
        <w:tc>
          <w:tcPr>
            <w:tcW w:w="120" w:type="dxa"/>
            <w:vAlign w:val="bottom"/>
            <w:tcBorders>
              <w:top w:val="single" w:sz="8" w:color="auto"/>
            </w:tcBorders>
            <w:shd w:val="clear" w:color="auto" w:fill="E5F1F8"/>
          </w:tcPr>
          <w:p>
            <w:pPr>
              <w:spacing w:after="0"/>
              <w:rPr>
                <w:sz w:val="19"/>
                <w:szCs w:val="19"/>
                <w:color w:val="auto"/>
              </w:rPr>
            </w:pPr>
          </w:p>
        </w:tc>
        <w:tc>
          <w:tcPr>
            <w:tcW w:w="180" w:type="dxa"/>
            <w:vAlign w:val="bottom"/>
            <w:tcBorders>
              <w:top w:val="single" w:sz="8" w:color="auto"/>
            </w:tcBorders>
            <w:shd w:val="clear" w:color="auto" w:fill="E5F1F8"/>
          </w:tcPr>
          <w:p>
            <w:pPr>
              <w:spacing w:after="0"/>
              <w:rPr>
                <w:sz w:val="19"/>
                <w:szCs w:val="19"/>
                <w:color w:val="auto"/>
              </w:rPr>
            </w:pPr>
          </w:p>
        </w:tc>
        <w:tc>
          <w:tcPr>
            <w:tcW w:w="260" w:type="dxa"/>
            <w:vAlign w:val="bottom"/>
            <w:tcBorders>
              <w:top w:val="single" w:sz="8" w:color="auto"/>
              <w:right w:val="single" w:sz="8" w:color="E5F1F8"/>
            </w:tcBorders>
            <w:shd w:val="clear" w:color="auto" w:fill="E5F1F8"/>
          </w:tcPr>
          <w:p>
            <w:pPr>
              <w:spacing w:after="0"/>
              <w:rPr>
                <w:sz w:val="19"/>
                <w:szCs w:val="19"/>
                <w:color w:val="auto"/>
              </w:rPr>
            </w:pPr>
          </w:p>
        </w:tc>
        <w:tc>
          <w:tcPr>
            <w:tcW w:w="640" w:type="dxa"/>
            <w:vAlign w:val="bottom"/>
            <w:tcBorders>
              <w:top w:val="single" w:sz="8" w:color="auto"/>
              <w:right w:val="single" w:sz="8" w:color="007CBA"/>
            </w:tcBorders>
            <w:shd w:val="clear" w:color="auto" w:fill="E5F1F8"/>
          </w:tcPr>
          <w:p>
            <w:pPr>
              <w:spacing w:after="0"/>
              <w:rPr>
                <w:sz w:val="19"/>
                <w:szCs w:val="19"/>
                <w:color w:val="auto"/>
              </w:rPr>
            </w:pPr>
          </w:p>
        </w:tc>
        <w:tc>
          <w:tcPr>
            <w:tcW w:w="120" w:type="dxa"/>
            <w:vAlign w:val="bottom"/>
            <w:tcBorders>
              <w:top w:val="single" w:sz="8" w:color="auto"/>
            </w:tcBorders>
            <w:shd w:val="clear" w:color="auto" w:fill="E5F1F8"/>
          </w:tcPr>
          <w:p>
            <w:pPr>
              <w:spacing w:after="0"/>
              <w:rPr>
                <w:sz w:val="19"/>
                <w:szCs w:val="19"/>
                <w:color w:val="auto"/>
              </w:rPr>
            </w:pPr>
          </w:p>
        </w:tc>
        <w:tc>
          <w:tcPr>
            <w:tcW w:w="260" w:type="dxa"/>
            <w:vAlign w:val="bottom"/>
            <w:tcBorders>
              <w:top w:val="single" w:sz="8" w:color="auto"/>
            </w:tcBorders>
            <w:shd w:val="clear" w:color="auto" w:fill="E5F1F8"/>
          </w:tcPr>
          <w:p>
            <w:pPr>
              <w:spacing w:after="0"/>
              <w:rPr>
                <w:sz w:val="19"/>
                <w:szCs w:val="19"/>
                <w:color w:val="auto"/>
              </w:rPr>
            </w:pPr>
          </w:p>
        </w:tc>
        <w:tc>
          <w:tcPr>
            <w:tcW w:w="760" w:type="dxa"/>
            <w:vAlign w:val="bottom"/>
            <w:tcBorders>
              <w:top w:val="single" w:sz="8" w:color="auto"/>
              <w:right w:val="single" w:sz="8" w:color="007CBA"/>
            </w:tcBorders>
            <w:shd w:val="clear" w:color="auto" w:fill="E5F1F8"/>
          </w:tcPr>
          <w:p>
            <w:pPr>
              <w:spacing w:after="0"/>
              <w:rPr>
                <w:sz w:val="19"/>
                <w:szCs w:val="19"/>
                <w:color w:val="auto"/>
              </w:rPr>
            </w:pPr>
          </w:p>
        </w:tc>
        <w:tc>
          <w:tcPr>
            <w:tcW w:w="100" w:type="dxa"/>
            <w:vAlign w:val="bottom"/>
            <w:tcBorders>
              <w:top w:val="single" w:sz="8" w:color="auto"/>
            </w:tcBorders>
            <w:shd w:val="clear" w:color="auto" w:fill="E5F1F8"/>
          </w:tcPr>
          <w:p>
            <w:pPr>
              <w:spacing w:after="0"/>
              <w:rPr>
                <w:sz w:val="19"/>
                <w:szCs w:val="19"/>
                <w:color w:val="auto"/>
              </w:rPr>
            </w:pPr>
          </w:p>
        </w:tc>
        <w:tc>
          <w:tcPr>
            <w:tcW w:w="320" w:type="dxa"/>
            <w:vAlign w:val="bottom"/>
            <w:tcBorders>
              <w:top w:val="single" w:sz="8" w:color="auto"/>
            </w:tcBorders>
            <w:shd w:val="clear" w:color="auto" w:fill="E5F1F8"/>
          </w:tcPr>
          <w:p>
            <w:pPr>
              <w:spacing w:after="0"/>
              <w:rPr>
                <w:sz w:val="19"/>
                <w:szCs w:val="19"/>
                <w:color w:val="auto"/>
              </w:rPr>
            </w:pPr>
          </w:p>
        </w:tc>
        <w:tc>
          <w:tcPr>
            <w:tcW w:w="560" w:type="dxa"/>
            <w:vAlign w:val="bottom"/>
            <w:tcBorders>
              <w:top w:val="single" w:sz="8" w:color="auto"/>
            </w:tcBorders>
            <w:shd w:val="clear" w:color="auto" w:fill="E5F1F8"/>
          </w:tcPr>
          <w:p>
            <w:pPr>
              <w:spacing w:after="0"/>
              <w:rPr>
                <w:sz w:val="19"/>
                <w:szCs w:val="19"/>
                <w:color w:val="auto"/>
              </w:rPr>
            </w:pPr>
          </w:p>
        </w:tc>
        <w:tc>
          <w:tcPr>
            <w:tcW w:w="120" w:type="dxa"/>
            <w:vAlign w:val="bottom"/>
            <w:tcBorders>
              <w:top w:val="single" w:sz="8" w:color="auto"/>
              <w:right w:val="single" w:sz="8" w:color="007CBA"/>
            </w:tcBorders>
            <w:shd w:val="clear" w:color="auto" w:fill="E5F1F8"/>
          </w:tcPr>
          <w:p>
            <w:pPr>
              <w:spacing w:after="0"/>
              <w:rPr>
                <w:sz w:val="19"/>
                <w:szCs w:val="19"/>
                <w:color w:val="auto"/>
              </w:rPr>
            </w:pPr>
          </w:p>
        </w:tc>
        <w:tc>
          <w:tcPr>
            <w:tcW w:w="100" w:type="dxa"/>
            <w:vAlign w:val="bottom"/>
            <w:tcBorders>
              <w:top w:val="single" w:sz="8" w:color="auto"/>
            </w:tcBorders>
            <w:shd w:val="clear" w:color="auto" w:fill="E5F1F8"/>
          </w:tcPr>
          <w:p>
            <w:pPr>
              <w:spacing w:after="0"/>
              <w:rPr>
                <w:sz w:val="19"/>
                <w:szCs w:val="19"/>
                <w:color w:val="auto"/>
              </w:rPr>
            </w:pPr>
          </w:p>
        </w:tc>
        <w:tc>
          <w:tcPr>
            <w:tcW w:w="460" w:type="dxa"/>
            <w:vAlign w:val="bottom"/>
            <w:tcBorders>
              <w:top w:val="single" w:sz="8" w:color="auto"/>
              <w:right w:val="single" w:sz="8" w:color="E5F1F8"/>
            </w:tcBorders>
            <w:shd w:val="clear" w:color="auto" w:fill="E5F1F8"/>
          </w:tcPr>
          <w:p>
            <w:pPr>
              <w:spacing w:after="0"/>
              <w:rPr>
                <w:sz w:val="19"/>
                <w:szCs w:val="19"/>
                <w:color w:val="auto"/>
              </w:rPr>
            </w:pPr>
          </w:p>
        </w:tc>
        <w:tc>
          <w:tcPr>
            <w:tcW w:w="40" w:type="dxa"/>
            <w:vAlign w:val="bottom"/>
            <w:tcBorders>
              <w:top w:val="single" w:sz="8" w:color="auto"/>
            </w:tcBorders>
            <w:shd w:val="clear" w:color="auto" w:fill="E5F1F8"/>
          </w:tcPr>
          <w:p>
            <w:pPr>
              <w:spacing w:after="0"/>
              <w:rPr>
                <w:sz w:val="19"/>
                <w:szCs w:val="19"/>
                <w:color w:val="auto"/>
              </w:rPr>
            </w:pPr>
          </w:p>
        </w:tc>
        <w:tc>
          <w:tcPr>
            <w:tcW w:w="540" w:type="dxa"/>
            <w:vAlign w:val="bottom"/>
            <w:tcBorders>
              <w:top w:val="single" w:sz="8" w:color="auto"/>
              <w:right w:val="single" w:sz="8" w:color="007CBA"/>
            </w:tcBorders>
            <w:shd w:val="clear" w:color="auto" w:fill="E5F1F8"/>
          </w:tcPr>
          <w:p>
            <w:pPr>
              <w:spacing w:after="0"/>
              <w:rPr>
                <w:sz w:val="19"/>
                <w:szCs w:val="19"/>
                <w:color w:val="auto"/>
              </w:rPr>
            </w:pPr>
          </w:p>
        </w:tc>
        <w:tc>
          <w:tcPr>
            <w:tcW w:w="100" w:type="dxa"/>
            <w:vAlign w:val="bottom"/>
            <w:tcBorders>
              <w:top w:val="single" w:sz="8" w:color="auto"/>
            </w:tcBorders>
            <w:shd w:val="clear" w:color="auto" w:fill="E5F1F8"/>
          </w:tcPr>
          <w:p>
            <w:pPr>
              <w:spacing w:after="0"/>
              <w:rPr>
                <w:sz w:val="19"/>
                <w:szCs w:val="19"/>
                <w:color w:val="auto"/>
              </w:rPr>
            </w:pPr>
          </w:p>
        </w:tc>
        <w:tc>
          <w:tcPr>
            <w:tcW w:w="180" w:type="dxa"/>
            <w:vAlign w:val="bottom"/>
            <w:tcBorders>
              <w:top w:val="single" w:sz="8" w:color="auto"/>
            </w:tcBorders>
            <w:shd w:val="clear" w:color="auto" w:fill="E5F1F8"/>
          </w:tcPr>
          <w:p>
            <w:pPr>
              <w:spacing w:after="0"/>
              <w:rPr>
                <w:sz w:val="19"/>
                <w:szCs w:val="19"/>
                <w:color w:val="auto"/>
              </w:rPr>
            </w:pPr>
          </w:p>
        </w:tc>
        <w:tc>
          <w:tcPr>
            <w:tcW w:w="800" w:type="dxa"/>
            <w:vAlign w:val="bottom"/>
            <w:tcBorders>
              <w:top w:val="single" w:sz="8" w:color="auto"/>
            </w:tcBorders>
            <w:shd w:val="clear" w:color="auto" w:fill="E5F1F8"/>
          </w:tcPr>
          <w:p>
            <w:pPr>
              <w:spacing w:after="0"/>
              <w:rPr>
                <w:sz w:val="19"/>
                <w:szCs w:val="19"/>
                <w:color w:val="auto"/>
              </w:rPr>
            </w:pPr>
          </w:p>
        </w:tc>
      </w:tr>
      <w:tr>
        <w:trPr>
          <w:trHeight w:val="243"/>
        </w:trPr>
        <w:tc>
          <w:tcPr>
            <w:tcW w:w="43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Lease obligatons</w:t>
            </w:r>
          </w:p>
        </w:tc>
        <w:tc>
          <w:tcPr>
            <w:tcW w:w="50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300" w:type="dxa"/>
            <w:vAlign w:val="bottom"/>
            <w:gridSpan w:val="2"/>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00" w:type="dxa"/>
            <w:vAlign w:val="bottom"/>
            <w:tcBorders>
              <w:right w:val="single" w:sz="8" w:color="007CBA"/>
            </w:tcBorders>
            <w:gridSpan w:val="2"/>
          </w:tcPr>
          <w:p>
            <w:pPr>
              <w:jc w:val="right"/>
              <w:spacing w:after="0" w:line="215" w:lineRule="exact"/>
              <w:rPr>
                <w:sz w:val="20"/>
                <w:szCs w:val="20"/>
                <w:color w:val="auto"/>
              </w:rPr>
            </w:pPr>
            <w:r>
              <w:rPr>
                <w:rFonts w:ascii="Calibri" w:cs="Calibri" w:eastAsia="Calibri" w:hAnsi="Calibri"/>
                <w:sz w:val="18"/>
                <w:szCs w:val="18"/>
                <w:b w:val="1"/>
                <w:bCs w:val="1"/>
                <w:color w:val="auto"/>
              </w:rPr>
              <w:t>(4.1 )</w:t>
            </w:r>
          </w:p>
        </w:tc>
        <w:tc>
          <w:tcPr>
            <w:tcW w:w="380" w:type="dxa"/>
            <w:vAlign w:val="bottom"/>
            <w:gridSpan w:val="2"/>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76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b w:val="1"/>
                <w:bCs w:val="1"/>
                <w:color w:val="auto"/>
              </w:rPr>
              <w:t>(4.1 )</w:t>
            </w:r>
          </w:p>
        </w:tc>
        <w:tc>
          <w:tcPr>
            <w:tcW w:w="42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right w:val="single" w:sz="8" w:color="007CBA"/>
            </w:tcBorders>
          </w:tcPr>
          <w:p>
            <w:pPr>
              <w:spacing w:after="0"/>
              <w:rPr>
                <w:sz w:val="21"/>
                <w:szCs w:val="21"/>
                <w:color w:val="auto"/>
              </w:rPr>
            </w:pPr>
          </w:p>
        </w:tc>
        <w:tc>
          <w:tcPr>
            <w:tcW w:w="560" w:type="dxa"/>
            <w:vAlign w:val="bottom"/>
            <w:gridSpan w:val="2"/>
          </w:tcPr>
          <w:p>
            <w:pPr>
              <w:jc w:val="center"/>
              <w:ind w:right="150"/>
              <w:spacing w:after="0" w:line="215" w:lineRule="exact"/>
              <w:rPr>
                <w:sz w:val="20"/>
                <w:szCs w:val="20"/>
                <w:color w:val="auto"/>
              </w:rPr>
            </w:pPr>
            <w:r>
              <w:rPr>
                <w:rFonts w:ascii="Calibri" w:cs="Calibri" w:eastAsia="Calibri" w:hAnsi="Calibri"/>
                <w:sz w:val="18"/>
                <w:szCs w:val="18"/>
                <w:color w:val="auto"/>
                <w:w w:val="87"/>
              </w:rPr>
              <w:t>$</w:t>
            </w:r>
          </w:p>
        </w:tc>
        <w:tc>
          <w:tcPr>
            <w:tcW w:w="40" w:type="dxa"/>
            <w:vAlign w:val="bottom"/>
          </w:tcPr>
          <w:p>
            <w:pPr>
              <w:spacing w:after="0"/>
              <w:rPr>
                <w:sz w:val="21"/>
                <w:szCs w:val="21"/>
                <w:color w:val="auto"/>
              </w:rPr>
            </w:pPr>
          </w:p>
        </w:tc>
        <w:tc>
          <w:tcPr>
            <w:tcW w:w="54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color w:val="auto"/>
                <w:w w:val="97"/>
              </w:rPr>
              <w:t>(22.0 )</w:t>
            </w:r>
          </w:p>
        </w:tc>
        <w:tc>
          <w:tcPr>
            <w:tcW w:w="280" w:type="dxa"/>
            <w:vAlign w:val="bottom"/>
            <w:gridSpan w:val="2"/>
          </w:tcPr>
          <w:p>
            <w:pPr>
              <w:ind w:left="100"/>
              <w:spacing w:after="0" w:line="215" w:lineRule="exact"/>
              <w:rPr>
                <w:sz w:val="20"/>
                <w:szCs w:val="20"/>
                <w:color w:val="auto"/>
              </w:rPr>
            </w:pPr>
            <w:r>
              <w:rPr>
                <w:rFonts w:ascii="Calibri" w:cs="Calibri" w:eastAsia="Calibri" w:hAnsi="Calibri"/>
                <w:sz w:val="18"/>
                <w:szCs w:val="18"/>
                <w:color w:val="auto"/>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(22.0 )</w:t>
            </w:r>
          </w:p>
        </w:tc>
      </w:tr>
      <w:tr>
        <w:trPr>
          <w:trHeight w:val="248"/>
        </w:trPr>
        <w:tc>
          <w:tcPr>
            <w:tcW w:w="434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Asset retrement obligatons</w:t>
            </w:r>
          </w:p>
        </w:tc>
        <w:tc>
          <w:tcPr>
            <w:tcW w:w="500" w:type="dxa"/>
            <w:vAlign w:val="bottom"/>
            <w:tcBorders>
              <w:bottom w:val="single" w:sz="8" w:color="E5F1F8"/>
            </w:tcBorders>
            <w:shd w:val="clear" w:color="auto" w:fill="E5F1F8"/>
          </w:tcPr>
          <w:p>
            <w:pPr>
              <w:spacing w:after="0"/>
              <w:rPr>
                <w:sz w:val="21"/>
                <w:szCs w:val="21"/>
                <w:color w:val="auto"/>
              </w:rPr>
            </w:pPr>
          </w:p>
        </w:tc>
        <w:tc>
          <w:tcPr>
            <w:tcW w:w="74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120" w:type="dxa"/>
            <w:vAlign w:val="bottom"/>
            <w:tcBorders>
              <w:bottom w:val="single" w:sz="8" w:color="E5F1F8"/>
            </w:tcBorders>
            <w:shd w:val="clear" w:color="auto" w:fill="E5F1F8"/>
          </w:tcPr>
          <w:p>
            <w:pPr>
              <w:spacing w:after="0"/>
              <w:rPr>
                <w:sz w:val="21"/>
                <w:szCs w:val="21"/>
                <w:color w:val="auto"/>
              </w:rPr>
            </w:pPr>
          </w:p>
        </w:tc>
        <w:tc>
          <w:tcPr>
            <w:tcW w:w="180" w:type="dxa"/>
            <w:vAlign w:val="bottom"/>
            <w:tcBorders>
              <w:bottom w:val="single" w:sz="8" w:color="E5F1F8"/>
            </w:tcBorders>
            <w:shd w:val="clear" w:color="auto" w:fill="E5F1F8"/>
          </w:tcPr>
          <w:p>
            <w:pPr>
              <w:spacing w:after="0"/>
              <w:rPr>
                <w:sz w:val="21"/>
                <w:szCs w:val="21"/>
                <w:color w:val="auto"/>
              </w:rPr>
            </w:pPr>
          </w:p>
        </w:tc>
        <w:tc>
          <w:tcPr>
            <w:tcW w:w="900" w:type="dxa"/>
            <w:vAlign w:val="bottom"/>
            <w:tcBorders>
              <w:bottom w:val="single" w:sz="8" w:color="E5F1F8"/>
              <w:right w:val="single" w:sz="8" w:color="E5F1F8"/>
            </w:tcBorders>
            <w:gridSpan w:val="2"/>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(17.7 )</w:t>
            </w:r>
          </w:p>
        </w:tc>
        <w:tc>
          <w:tcPr>
            <w:tcW w:w="120" w:type="dxa"/>
            <w:vAlign w:val="bottom"/>
            <w:tcBorders>
              <w:bottom w:val="single" w:sz="8" w:color="E5F1F8"/>
            </w:tcBorders>
            <w:shd w:val="clear" w:color="auto" w:fill="E5F1F8"/>
          </w:tcPr>
          <w:p>
            <w:pPr>
              <w:spacing w:after="0"/>
              <w:rPr>
                <w:sz w:val="21"/>
                <w:szCs w:val="21"/>
                <w:color w:val="auto"/>
              </w:rPr>
            </w:pPr>
          </w:p>
        </w:tc>
        <w:tc>
          <w:tcPr>
            <w:tcW w:w="260" w:type="dxa"/>
            <w:vAlign w:val="bottom"/>
            <w:tcBorders>
              <w:bottom w:val="single" w:sz="8" w:color="E5F1F8"/>
            </w:tcBorders>
            <w:shd w:val="clear" w:color="auto" w:fill="E5F1F8"/>
          </w:tcPr>
          <w:p>
            <w:pPr>
              <w:spacing w:after="0"/>
              <w:rPr>
                <w:sz w:val="21"/>
                <w:szCs w:val="21"/>
                <w:color w:val="auto"/>
              </w:rPr>
            </w:pPr>
          </w:p>
        </w:tc>
        <w:tc>
          <w:tcPr>
            <w:tcW w:w="76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(17.7 )</w:t>
            </w:r>
          </w:p>
        </w:tc>
        <w:tc>
          <w:tcPr>
            <w:tcW w:w="100" w:type="dxa"/>
            <w:vAlign w:val="bottom"/>
            <w:tcBorders>
              <w:bottom w:val="single" w:sz="8" w:color="E5F1F8"/>
            </w:tcBorders>
            <w:shd w:val="clear" w:color="auto" w:fill="E5F1F8"/>
          </w:tcPr>
          <w:p>
            <w:pPr>
              <w:spacing w:after="0"/>
              <w:rPr>
                <w:sz w:val="21"/>
                <w:szCs w:val="21"/>
                <w:color w:val="auto"/>
              </w:rPr>
            </w:pPr>
          </w:p>
        </w:tc>
        <w:tc>
          <w:tcPr>
            <w:tcW w:w="320" w:type="dxa"/>
            <w:vAlign w:val="bottom"/>
            <w:tcBorders>
              <w:bottom w:val="single" w:sz="8" w:color="E5F1F8"/>
            </w:tcBorders>
            <w:shd w:val="clear" w:color="auto" w:fill="E5F1F8"/>
          </w:tcPr>
          <w:p>
            <w:pPr>
              <w:spacing w:after="0"/>
              <w:rPr>
                <w:sz w:val="21"/>
                <w:szCs w:val="21"/>
                <w:color w:val="auto"/>
              </w:rPr>
            </w:pPr>
          </w:p>
        </w:tc>
        <w:tc>
          <w:tcPr>
            <w:tcW w:w="5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E5F1F8"/>
              <w:right w:val="single" w:sz="8" w:color="E5F1F8"/>
            </w:tcBorders>
            <w:shd w:val="clear" w:color="auto" w:fill="E5F1F8"/>
          </w:tcPr>
          <w:p>
            <w:pPr>
              <w:spacing w:after="0"/>
              <w:rPr>
                <w:sz w:val="21"/>
                <w:szCs w:val="21"/>
                <w:color w:val="auto"/>
              </w:rPr>
            </w:pPr>
          </w:p>
        </w:tc>
        <w:tc>
          <w:tcPr>
            <w:tcW w:w="100" w:type="dxa"/>
            <w:vAlign w:val="bottom"/>
            <w:tcBorders>
              <w:bottom w:val="single" w:sz="8" w:color="E5F1F8"/>
            </w:tcBorders>
            <w:shd w:val="clear" w:color="auto" w:fill="E5F1F8"/>
          </w:tcPr>
          <w:p>
            <w:pPr>
              <w:spacing w:after="0"/>
              <w:rPr>
                <w:sz w:val="21"/>
                <w:szCs w:val="21"/>
                <w:color w:val="auto"/>
              </w:rPr>
            </w:pPr>
          </w:p>
        </w:tc>
        <w:tc>
          <w:tcPr>
            <w:tcW w:w="460" w:type="dxa"/>
            <w:vAlign w:val="bottom"/>
            <w:tcBorders>
              <w:bottom w:val="single" w:sz="8" w:color="E5F1F8"/>
              <w:right w:val="single" w:sz="8" w:color="E5F1F8"/>
            </w:tcBorders>
            <w:shd w:val="clear" w:color="auto" w:fill="E5F1F8"/>
          </w:tcPr>
          <w:p>
            <w:pPr>
              <w:spacing w:after="0"/>
              <w:rPr>
                <w:sz w:val="21"/>
                <w:szCs w:val="21"/>
                <w:color w:val="auto"/>
              </w:rPr>
            </w:pPr>
          </w:p>
        </w:tc>
        <w:tc>
          <w:tcPr>
            <w:tcW w:w="40" w:type="dxa"/>
            <w:vAlign w:val="bottom"/>
            <w:tcBorders>
              <w:bottom w:val="single" w:sz="8" w:color="E5F1F8"/>
            </w:tcBorders>
            <w:shd w:val="clear" w:color="auto" w:fill="E5F1F8"/>
          </w:tcPr>
          <w:p>
            <w:pPr>
              <w:spacing w:after="0"/>
              <w:rPr>
                <w:sz w:val="21"/>
                <w:szCs w:val="21"/>
                <w:color w:val="auto"/>
              </w:rPr>
            </w:pPr>
          </w:p>
        </w:tc>
        <w:tc>
          <w:tcPr>
            <w:tcW w:w="54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w w:val="97"/>
              </w:rPr>
              <w:t>(31.5 )</w:t>
            </w:r>
          </w:p>
        </w:tc>
        <w:tc>
          <w:tcPr>
            <w:tcW w:w="100" w:type="dxa"/>
            <w:vAlign w:val="bottom"/>
            <w:tcBorders>
              <w:bottom w:val="single" w:sz="8" w:color="E5F1F8"/>
            </w:tcBorders>
            <w:shd w:val="clear" w:color="auto" w:fill="E5F1F8"/>
          </w:tcPr>
          <w:p>
            <w:pPr>
              <w:spacing w:after="0"/>
              <w:rPr>
                <w:sz w:val="21"/>
                <w:szCs w:val="21"/>
                <w:color w:val="auto"/>
              </w:rPr>
            </w:pPr>
          </w:p>
        </w:tc>
        <w:tc>
          <w:tcPr>
            <w:tcW w:w="180" w:type="dxa"/>
            <w:vAlign w:val="bottom"/>
            <w:tcBorders>
              <w:bottom w:val="single" w:sz="8" w:color="E5F1F8"/>
            </w:tcBorders>
            <w:shd w:val="clear" w:color="auto" w:fill="E5F1F8"/>
          </w:tcPr>
          <w:p>
            <w:pPr>
              <w:spacing w:after="0"/>
              <w:rPr>
                <w:sz w:val="21"/>
                <w:szCs w:val="21"/>
                <w:color w:val="auto"/>
              </w:rPr>
            </w:pPr>
          </w:p>
        </w:tc>
        <w:tc>
          <w:tcPr>
            <w:tcW w:w="80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(31.5 )</w:t>
            </w:r>
          </w:p>
        </w:tc>
      </w:tr>
      <w:tr>
        <w:trPr>
          <w:trHeight w:val="208"/>
        </w:trPr>
        <w:tc>
          <w:tcPr>
            <w:tcW w:w="434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 noncurrent liabilites held for sale</w:t>
            </w:r>
          </w:p>
        </w:tc>
        <w:tc>
          <w:tcPr>
            <w:tcW w:w="500" w:type="dxa"/>
            <w:vAlign w:val="bottom"/>
            <w:tcBorders>
              <w:top w:val="single" w:sz="8" w:color="auto"/>
            </w:tcBorders>
          </w:tcPr>
          <w:p>
            <w:pPr>
              <w:jc w:val="right"/>
              <w:ind w:right="190"/>
              <w:spacing w:after="0" w:line="208"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w:t>
            </w:r>
          </w:p>
        </w:tc>
        <w:tc>
          <w:tcPr>
            <w:tcW w:w="120" w:type="dxa"/>
            <w:vAlign w:val="bottom"/>
            <w:tcBorders>
              <w:top w:val="single" w:sz="8" w:color="E5F1F8"/>
            </w:tcBorders>
          </w:tcPr>
          <w:p>
            <w:pPr>
              <w:spacing w:after="0"/>
              <w:rPr>
                <w:sz w:val="18"/>
                <w:szCs w:val="18"/>
                <w:color w:val="auto"/>
              </w:rPr>
            </w:pPr>
          </w:p>
        </w:tc>
        <w:tc>
          <w:tcPr>
            <w:tcW w:w="1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w w:val="87"/>
              </w:rPr>
              <w:t>$</w:t>
            </w:r>
          </w:p>
        </w:tc>
        <w:tc>
          <w:tcPr>
            <w:tcW w:w="900" w:type="dxa"/>
            <w:vAlign w:val="bottom"/>
            <w:tcBorders>
              <w:top w:val="single" w:sz="8" w:color="auto"/>
            </w:tcBorders>
            <w:gridSpan w:val="2"/>
          </w:tcPr>
          <w:p>
            <w:pPr>
              <w:jc w:val="right"/>
              <w:spacing w:after="0" w:line="208" w:lineRule="exact"/>
              <w:rPr>
                <w:sz w:val="20"/>
                <w:szCs w:val="20"/>
                <w:color w:val="auto"/>
              </w:rPr>
            </w:pPr>
            <w:r>
              <w:rPr>
                <w:rFonts w:ascii="Calibri" w:cs="Calibri" w:eastAsia="Calibri" w:hAnsi="Calibri"/>
                <w:sz w:val="18"/>
                <w:szCs w:val="18"/>
                <w:b w:val="1"/>
                <w:bCs w:val="1"/>
                <w:color w:val="auto"/>
              </w:rPr>
              <w:t>(21.8 )</w:t>
            </w:r>
          </w:p>
        </w:tc>
        <w:tc>
          <w:tcPr>
            <w:tcW w:w="120" w:type="dxa"/>
            <w:vAlign w:val="bottom"/>
            <w:tcBorders>
              <w:top w:val="single" w:sz="8" w:color="E5F1F8"/>
            </w:tcBorders>
          </w:tcPr>
          <w:p>
            <w:pPr>
              <w:spacing w:after="0"/>
              <w:rPr>
                <w:sz w:val="18"/>
                <w:szCs w:val="18"/>
                <w:color w:val="auto"/>
              </w:rPr>
            </w:pPr>
          </w:p>
        </w:tc>
        <w:tc>
          <w:tcPr>
            <w:tcW w:w="260" w:type="dxa"/>
            <w:vAlign w:val="bottom"/>
            <w:tcBorders>
              <w:top w:val="single" w:sz="8" w:color="auto"/>
            </w:tcBorders>
          </w:tcPr>
          <w:p>
            <w:pPr>
              <w:jc w:val="right"/>
              <w:ind w:right="70"/>
              <w:spacing w:after="0" w:line="208" w:lineRule="exact"/>
              <w:rPr>
                <w:sz w:val="20"/>
                <w:szCs w:val="20"/>
                <w:color w:val="auto"/>
              </w:rPr>
            </w:pPr>
            <w:r>
              <w:rPr>
                <w:rFonts w:ascii="Calibri" w:cs="Calibri" w:eastAsia="Calibri" w:hAnsi="Calibri"/>
                <w:sz w:val="18"/>
                <w:szCs w:val="18"/>
                <w:b w:val="1"/>
                <w:bCs w:val="1"/>
                <w:color w:val="auto"/>
                <w:w w:val="87"/>
              </w:rPr>
              <w:t>$</w:t>
            </w:r>
          </w:p>
        </w:tc>
        <w:tc>
          <w:tcPr>
            <w:tcW w:w="7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(21.8 )</w:t>
            </w:r>
          </w:p>
        </w:tc>
        <w:tc>
          <w:tcPr>
            <w:tcW w:w="100" w:type="dxa"/>
            <w:vAlign w:val="bottom"/>
            <w:tcBorders>
              <w:top w:val="single" w:sz="8" w:color="E5F1F8"/>
            </w:tcBorders>
          </w:tcPr>
          <w:p>
            <w:pPr>
              <w:spacing w:after="0"/>
              <w:rPr>
                <w:sz w:val="18"/>
                <w:szCs w:val="18"/>
                <w:color w:val="auto"/>
              </w:rPr>
            </w:pPr>
          </w:p>
        </w:tc>
        <w:tc>
          <w:tcPr>
            <w:tcW w:w="320" w:type="dxa"/>
            <w:vAlign w:val="bottom"/>
            <w:tcBorders>
              <w:top w:val="single" w:sz="8" w:color="auto"/>
            </w:tcBorders>
          </w:tcPr>
          <w:p>
            <w:pPr>
              <w:jc w:val="right"/>
              <w:ind w:right="130"/>
              <w:spacing w:after="0" w:line="208" w:lineRule="exact"/>
              <w:rPr>
                <w:sz w:val="20"/>
                <w:szCs w:val="20"/>
                <w:color w:val="auto"/>
              </w:rPr>
            </w:pPr>
            <w:r>
              <w:rPr>
                <w:rFonts w:ascii="Calibri" w:cs="Calibri" w:eastAsia="Calibri" w:hAnsi="Calibri"/>
                <w:sz w:val="18"/>
                <w:szCs w:val="18"/>
                <w:color w:val="auto"/>
                <w:w w:val="87"/>
              </w:rPr>
              <w:t>$</w:t>
            </w:r>
          </w:p>
        </w:tc>
        <w:tc>
          <w:tcPr>
            <w:tcW w:w="5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E5F1F8"/>
            </w:tcBorders>
          </w:tcPr>
          <w:p>
            <w:pPr>
              <w:spacing w:after="0"/>
              <w:rPr>
                <w:sz w:val="18"/>
                <w:szCs w:val="18"/>
                <w:color w:val="auto"/>
              </w:rPr>
            </w:pPr>
          </w:p>
        </w:tc>
        <w:tc>
          <w:tcPr>
            <w:tcW w:w="460" w:type="dxa"/>
            <w:vAlign w:val="bottom"/>
            <w:tcBorders>
              <w:top w:val="single" w:sz="8" w:color="auto"/>
            </w:tcBorders>
          </w:tcPr>
          <w:p>
            <w:pPr>
              <w:jc w:val="center"/>
              <w:ind w:right="250"/>
              <w:spacing w:after="0" w:line="208" w:lineRule="exact"/>
              <w:rPr>
                <w:sz w:val="20"/>
                <w:szCs w:val="20"/>
                <w:color w:val="auto"/>
              </w:rPr>
            </w:pPr>
            <w:r>
              <w:rPr>
                <w:rFonts w:ascii="Calibri" w:cs="Calibri" w:eastAsia="Calibri" w:hAnsi="Calibri"/>
                <w:sz w:val="18"/>
                <w:szCs w:val="18"/>
                <w:color w:val="auto"/>
                <w:w w:val="87"/>
              </w:rPr>
              <w:t>$</w:t>
            </w:r>
          </w:p>
        </w:tc>
        <w:tc>
          <w:tcPr>
            <w:tcW w:w="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w w:val="97"/>
              </w:rPr>
              <w:t>(53.5 )</w:t>
            </w:r>
          </w:p>
        </w:tc>
        <w:tc>
          <w:tcPr>
            <w:tcW w:w="100" w:type="dxa"/>
            <w:vAlign w:val="bottom"/>
            <w:tcBorders>
              <w:top w:val="single" w:sz="8" w:color="E5F1F8"/>
            </w:tcBorders>
          </w:tcPr>
          <w:p>
            <w:pPr>
              <w:spacing w:after="0"/>
              <w:rPr>
                <w:sz w:val="18"/>
                <w:szCs w:val="18"/>
                <w:color w:val="auto"/>
              </w:rPr>
            </w:pPr>
          </w:p>
        </w:tc>
        <w:tc>
          <w:tcPr>
            <w:tcW w:w="180" w:type="dxa"/>
            <w:vAlign w:val="bottom"/>
            <w:tcBorders>
              <w:top w:val="single" w:sz="8" w:color="auto"/>
            </w:tcBorders>
          </w:tcPr>
          <w:p>
            <w:pPr>
              <w:spacing w:after="0" w:line="208" w:lineRule="exact"/>
              <w:rPr>
                <w:sz w:val="20"/>
                <w:szCs w:val="20"/>
                <w:color w:val="auto"/>
              </w:rPr>
            </w:pPr>
            <w:r>
              <w:rPr>
                <w:rFonts w:ascii="Calibri" w:cs="Calibri" w:eastAsia="Calibri" w:hAnsi="Calibri"/>
                <w:sz w:val="18"/>
                <w:szCs w:val="18"/>
                <w:color w:val="auto"/>
              </w:rPr>
              <w:t>$</w:t>
            </w:r>
          </w:p>
        </w:tc>
        <w:tc>
          <w:tcPr>
            <w:tcW w:w="8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(53.5 )</w:t>
            </w:r>
          </w:p>
        </w:tc>
      </w:tr>
      <w:tr>
        <w:trPr>
          <w:trHeight w:val="28"/>
        </w:trPr>
        <w:tc>
          <w:tcPr>
            <w:tcW w:w="4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51"/>
        </w:trPr>
        <w:tc>
          <w:tcPr>
            <w:tcW w:w="4340" w:type="dxa"/>
            <w:vAlign w:val="bottom"/>
          </w:tcPr>
          <w:p>
            <w:pPr>
              <w:spacing w:after="0"/>
              <w:rPr>
                <w:sz w:val="20"/>
                <w:szCs w:val="20"/>
                <w:color w:val="auto"/>
              </w:rPr>
            </w:pPr>
            <w:r>
              <w:rPr>
                <w:rFonts w:ascii="Calibri" w:cs="Calibri" w:eastAsia="Calibri" w:hAnsi="Calibri"/>
                <w:sz w:val="22"/>
                <w:szCs w:val="22"/>
                <w:b w:val="1"/>
                <w:bCs w:val="1"/>
                <w:color w:val="007DC6"/>
              </w:rPr>
              <w:t>Note D: Goodwill and Other Intangible Assets</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5"/>
        </w:trPr>
        <w:tc>
          <w:tcPr>
            <w:tcW w:w="6780" w:type="dxa"/>
            <w:vAlign w:val="bottom"/>
            <w:gridSpan w:val="7"/>
          </w:tcPr>
          <w:p>
            <w:pPr>
              <w:spacing w:after="0"/>
              <w:rPr>
                <w:sz w:val="20"/>
                <w:szCs w:val="20"/>
                <w:color w:val="auto"/>
              </w:rPr>
            </w:pPr>
            <w:r>
              <w:rPr>
                <w:rFonts w:ascii="Calibri" w:cs="Calibri" w:eastAsia="Calibri" w:hAnsi="Calibri"/>
                <w:sz w:val="18"/>
                <w:szCs w:val="18"/>
                <w:color w:val="auto"/>
              </w:rPr>
              <w:t>The following table shows the changes in goodwill by reportable segment and in total:</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131"/>
        </w:trPr>
        <w:tc>
          <w:tcPr>
            <w:tcW w:w="4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gridSpan w:val="2"/>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4"/>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07"/>
        </w:trPr>
        <w:tc>
          <w:tcPr>
            <w:tcW w:w="4340" w:type="dxa"/>
            <w:vAlign w:val="bottom"/>
            <w:tcBorders>
              <w:right w:val="single" w:sz="8" w:color="007CBA"/>
            </w:tcBorders>
            <w:shd w:val="clear" w:color="auto" w:fill="007CBA"/>
          </w:tcPr>
          <w:p>
            <w:pPr>
              <w:spacing w:after="0"/>
              <w:rPr>
                <w:sz w:val="18"/>
                <w:szCs w:val="18"/>
                <w:color w:val="auto"/>
              </w:rPr>
            </w:pPr>
          </w:p>
        </w:tc>
        <w:tc>
          <w:tcPr>
            <w:tcW w:w="500" w:type="dxa"/>
            <w:vAlign w:val="bottom"/>
            <w:shd w:val="clear" w:color="auto" w:fill="007CBA"/>
          </w:tcPr>
          <w:p>
            <w:pPr>
              <w:spacing w:after="0"/>
              <w:rPr>
                <w:sz w:val="18"/>
                <w:szCs w:val="18"/>
                <w:color w:val="auto"/>
              </w:rPr>
            </w:pPr>
          </w:p>
        </w:tc>
        <w:tc>
          <w:tcPr>
            <w:tcW w:w="740" w:type="dxa"/>
            <w:vAlign w:val="bottom"/>
            <w:tcBorders>
              <w:right w:val="single" w:sz="8" w:color="007CBA"/>
            </w:tcBorders>
            <w:shd w:val="clear" w:color="auto" w:fill="007CBA"/>
          </w:tcPr>
          <w:p>
            <w:pPr>
              <w:spacing w:after="0"/>
              <w:rPr>
                <w:sz w:val="18"/>
                <w:szCs w:val="18"/>
                <w:color w:val="auto"/>
              </w:rPr>
            </w:pPr>
          </w:p>
        </w:tc>
        <w:tc>
          <w:tcPr>
            <w:tcW w:w="120" w:type="dxa"/>
            <w:vAlign w:val="bottom"/>
            <w:shd w:val="clear" w:color="auto" w:fill="007CBA"/>
          </w:tcPr>
          <w:p>
            <w:pPr>
              <w:spacing w:after="0"/>
              <w:rPr>
                <w:sz w:val="18"/>
                <w:szCs w:val="18"/>
                <w:color w:val="auto"/>
              </w:rPr>
            </w:pPr>
          </w:p>
        </w:tc>
        <w:tc>
          <w:tcPr>
            <w:tcW w:w="180" w:type="dxa"/>
            <w:vAlign w:val="bottom"/>
            <w:shd w:val="clear" w:color="auto" w:fill="007CBA"/>
          </w:tcPr>
          <w:p>
            <w:pPr>
              <w:spacing w:after="0"/>
              <w:rPr>
                <w:sz w:val="18"/>
                <w:szCs w:val="18"/>
                <w:color w:val="auto"/>
              </w:rPr>
            </w:pPr>
          </w:p>
        </w:tc>
        <w:tc>
          <w:tcPr>
            <w:tcW w:w="260" w:type="dxa"/>
            <w:vAlign w:val="bottom"/>
            <w:tcBorders>
              <w:right w:val="single" w:sz="8" w:color="007CBA"/>
            </w:tcBorders>
            <w:shd w:val="clear" w:color="auto" w:fill="007CBA"/>
          </w:tcPr>
          <w:p>
            <w:pPr>
              <w:spacing w:after="0"/>
              <w:rPr>
                <w:sz w:val="18"/>
                <w:szCs w:val="18"/>
                <w:color w:val="auto"/>
              </w:rPr>
            </w:pPr>
          </w:p>
        </w:tc>
        <w:tc>
          <w:tcPr>
            <w:tcW w:w="640" w:type="dxa"/>
            <w:vAlign w:val="bottom"/>
            <w:tcBorders>
              <w:right w:val="single" w:sz="8" w:color="007CBA"/>
            </w:tcBorders>
            <w:shd w:val="clear" w:color="auto" w:fill="007CBA"/>
          </w:tcPr>
          <w:p>
            <w:pPr>
              <w:spacing w:after="0"/>
              <w:rPr>
                <w:sz w:val="18"/>
                <w:szCs w:val="18"/>
                <w:color w:val="auto"/>
              </w:rPr>
            </w:pPr>
          </w:p>
        </w:tc>
        <w:tc>
          <w:tcPr>
            <w:tcW w:w="380" w:type="dxa"/>
            <w:vAlign w:val="bottom"/>
            <w:gridSpan w:val="2"/>
            <w:shd w:val="clear" w:color="auto" w:fill="007CBA"/>
          </w:tcPr>
          <w:p>
            <w:pPr>
              <w:jc w:val="right"/>
              <w:spacing w:after="0" w:line="207" w:lineRule="exact"/>
              <w:rPr>
                <w:sz w:val="20"/>
                <w:szCs w:val="20"/>
                <w:color w:val="auto"/>
              </w:rPr>
            </w:pPr>
            <w:r>
              <w:rPr>
                <w:rFonts w:ascii="Calibri" w:cs="Calibri" w:eastAsia="Calibri" w:hAnsi="Calibri"/>
                <w:sz w:val="18"/>
                <w:szCs w:val="18"/>
                <w:b w:val="1"/>
                <w:bCs w:val="1"/>
                <w:color w:val="FFFFFF"/>
              </w:rPr>
              <w:t>East</w:t>
            </w:r>
          </w:p>
        </w:tc>
        <w:tc>
          <w:tcPr>
            <w:tcW w:w="760" w:type="dxa"/>
            <w:vAlign w:val="bottom"/>
            <w:tcBorders>
              <w:right w:val="single" w:sz="8" w:color="007CBA"/>
            </w:tcBorders>
            <w:shd w:val="clear" w:color="auto" w:fill="007CBA"/>
          </w:tcPr>
          <w:p>
            <w:pPr>
              <w:spacing w:after="0"/>
              <w:rPr>
                <w:sz w:val="18"/>
                <w:szCs w:val="18"/>
                <w:color w:val="auto"/>
              </w:rPr>
            </w:pPr>
          </w:p>
        </w:tc>
        <w:tc>
          <w:tcPr>
            <w:tcW w:w="100" w:type="dxa"/>
            <w:vAlign w:val="bottom"/>
            <w:shd w:val="clear" w:color="auto" w:fill="007CBA"/>
          </w:tcPr>
          <w:p>
            <w:pPr>
              <w:spacing w:after="0"/>
              <w:rPr>
                <w:sz w:val="18"/>
                <w:szCs w:val="18"/>
                <w:color w:val="auto"/>
              </w:rPr>
            </w:pPr>
          </w:p>
        </w:tc>
        <w:tc>
          <w:tcPr>
            <w:tcW w:w="320" w:type="dxa"/>
            <w:vAlign w:val="bottom"/>
            <w:shd w:val="clear" w:color="auto" w:fill="007CBA"/>
          </w:tcPr>
          <w:p>
            <w:pPr>
              <w:spacing w:after="0"/>
              <w:rPr>
                <w:sz w:val="18"/>
                <w:szCs w:val="18"/>
                <w:color w:val="auto"/>
              </w:rPr>
            </w:pPr>
          </w:p>
        </w:tc>
        <w:tc>
          <w:tcPr>
            <w:tcW w:w="1280" w:type="dxa"/>
            <w:vAlign w:val="bottom"/>
            <w:gridSpan w:val="5"/>
            <w:shd w:val="clear" w:color="auto" w:fill="007CBA"/>
          </w:tcPr>
          <w:p>
            <w:pPr>
              <w:ind w:left="200"/>
              <w:spacing w:after="0" w:line="207" w:lineRule="exact"/>
              <w:rPr>
                <w:sz w:val="20"/>
                <w:szCs w:val="20"/>
                <w:color w:val="auto"/>
              </w:rPr>
            </w:pPr>
            <w:r>
              <w:rPr>
                <w:rFonts w:ascii="Calibri" w:cs="Calibri" w:eastAsia="Calibri" w:hAnsi="Calibri"/>
                <w:sz w:val="18"/>
                <w:szCs w:val="18"/>
                <w:b w:val="1"/>
                <w:bCs w:val="1"/>
                <w:color w:val="FFFFFF"/>
              </w:rPr>
              <w:t>West</w:t>
            </w:r>
          </w:p>
        </w:tc>
        <w:tc>
          <w:tcPr>
            <w:tcW w:w="540" w:type="dxa"/>
            <w:vAlign w:val="bottom"/>
            <w:tcBorders>
              <w:right w:val="single" w:sz="8" w:color="007CBA"/>
            </w:tcBorders>
            <w:shd w:val="clear" w:color="auto" w:fill="007CBA"/>
          </w:tcPr>
          <w:p>
            <w:pPr>
              <w:spacing w:after="0"/>
              <w:rPr>
                <w:sz w:val="18"/>
                <w:szCs w:val="18"/>
                <w:color w:val="auto"/>
              </w:rPr>
            </w:pPr>
          </w:p>
        </w:tc>
        <w:tc>
          <w:tcPr>
            <w:tcW w:w="100" w:type="dxa"/>
            <w:vAlign w:val="bottom"/>
            <w:shd w:val="clear" w:color="auto" w:fill="007CBA"/>
          </w:tcPr>
          <w:p>
            <w:pPr>
              <w:spacing w:after="0"/>
              <w:rPr>
                <w:sz w:val="18"/>
                <w:szCs w:val="18"/>
                <w:color w:val="auto"/>
              </w:rPr>
            </w:pPr>
          </w:p>
        </w:tc>
        <w:tc>
          <w:tcPr>
            <w:tcW w:w="180" w:type="dxa"/>
            <w:vAlign w:val="bottom"/>
            <w:shd w:val="clear" w:color="auto" w:fill="007CBA"/>
          </w:tcPr>
          <w:p>
            <w:pPr>
              <w:spacing w:after="0"/>
              <w:rPr>
                <w:sz w:val="18"/>
                <w:szCs w:val="18"/>
                <w:color w:val="auto"/>
              </w:rPr>
            </w:pPr>
          </w:p>
        </w:tc>
        <w:tc>
          <w:tcPr>
            <w:tcW w:w="800" w:type="dxa"/>
            <w:vAlign w:val="bottom"/>
            <w:shd w:val="clear" w:color="auto" w:fill="007CBA"/>
          </w:tcPr>
          <w:p>
            <w:pPr>
              <w:spacing w:after="0"/>
              <w:rPr>
                <w:sz w:val="18"/>
                <w:szCs w:val="18"/>
                <w:color w:val="auto"/>
              </w:rPr>
            </w:pPr>
          </w:p>
        </w:tc>
      </w:tr>
      <w:tr>
        <w:trPr>
          <w:trHeight w:val="228"/>
        </w:trPr>
        <w:tc>
          <w:tcPr>
            <w:tcW w:w="434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December 31</w:t>
            </w:r>
          </w:p>
        </w:tc>
        <w:tc>
          <w:tcPr>
            <w:tcW w:w="500" w:type="dxa"/>
            <w:vAlign w:val="bottom"/>
            <w:shd w:val="clear" w:color="auto" w:fill="007CBA"/>
          </w:tcPr>
          <w:p>
            <w:pPr>
              <w:spacing w:after="0"/>
              <w:rPr>
                <w:sz w:val="19"/>
                <w:szCs w:val="19"/>
                <w:color w:val="auto"/>
              </w:rPr>
            </w:pPr>
          </w:p>
        </w:tc>
        <w:tc>
          <w:tcPr>
            <w:tcW w:w="740" w:type="dxa"/>
            <w:vAlign w:val="bottom"/>
            <w:tcBorders>
              <w:right w:val="single" w:sz="8" w:color="007CBA"/>
            </w:tcBorders>
            <w:shd w:val="clear" w:color="auto" w:fill="007CBA"/>
          </w:tcPr>
          <w:p>
            <w:pPr>
              <w:spacing w:after="0"/>
              <w:rPr>
                <w:sz w:val="19"/>
                <w:szCs w:val="19"/>
                <w:color w:val="auto"/>
              </w:rPr>
            </w:pPr>
          </w:p>
        </w:tc>
        <w:tc>
          <w:tcPr>
            <w:tcW w:w="120" w:type="dxa"/>
            <w:vAlign w:val="bottom"/>
            <w:shd w:val="clear" w:color="auto" w:fill="007CBA"/>
          </w:tcPr>
          <w:p>
            <w:pPr>
              <w:spacing w:after="0"/>
              <w:rPr>
                <w:sz w:val="19"/>
                <w:szCs w:val="19"/>
                <w:color w:val="auto"/>
              </w:rPr>
            </w:pPr>
          </w:p>
        </w:tc>
        <w:tc>
          <w:tcPr>
            <w:tcW w:w="180" w:type="dxa"/>
            <w:vAlign w:val="bottom"/>
            <w:shd w:val="clear" w:color="auto" w:fill="007CBA"/>
          </w:tcPr>
          <w:p>
            <w:pPr>
              <w:spacing w:after="0"/>
              <w:rPr>
                <w:sz w:val="19"/>
                <w:szCs w:val="19"/>
                <w:color w:val="auto"/>
              </w:rPr>
            </w:pPr>
          </w:p>
        </w:tc>
        <w:tc>
          <w:tcPr>
            <w:tcW w:w="260" w:type="dxa"/>
            <w:vAlign w:val="bottom"/>
            <w:tcBorders>
              <w:right w:val="single" w:sz="8" w:color="007CBA"/>
            </w:tcBorders>
            <w:shd w:val="clear" w:color="auto" w:fill="007CBA"/>
          </w:tcPr>
          <w:p>
            <w:pPr>
              <w:spacing w:after="0"/>
              <w:rPr>
                <w:sz w:val="19"/>
                <w:szCs w:val="19"/>
                <w:color w:val="auto"/>
              </w:rPr>
            </w:pPr>
          </w:p>
        </w:tc>
        <w:tc>
          <w:tcPr>
            <w:tcW w:w="640" w:type="dxa"/>
            <w:vAlign w:val="bottom"/>
            <w:tcBorders>
              <w:right w:val="single" w:sz="8" w:color="007CBA"/>
            </w:tcBorders>
            <w:shd w:val="clear" w:color="auto" w:fill="007CBA"/>
          </w:tcPr>
          <w:p>
            <w:pPr>
              <w:spacing w:after="0"/>
              <w:rPr>
                <w:sz w:val="19"/>
                <w:szCs w:val="19"/>
                <w:color w:val="auto"/>
              </w:rPr>
            </w:pPr>
          </w:p>
        </w:tc>
        <w:tc>
          <w:tcPr>
            <w:tcW w:w="1140" w:type="dxa"/>
            <w:vAlign w:val="bottom"/>
            <w:tcBorders>
              <w:right w:val="single" w:sz="8" w:color="007CBA"/>
            </w:tcBorders>
            <w:gridSpan w:val="3"/>
            <w:shd w:val="clear" w:color="auto" w:fill="007CBA"/>
          </w:tcPr>
          <w:p>
            <w:pPr>
              <w:jc w:val="right"/>
              <w:ind w:right="570"/>
              <w:spacing w:after="0" w:line="215" w:lineRule="exact"/>
              <w:rPr>
                <w:sz w:val="20"/>
                <w:szCs w:val="20"/>
                <w:color w:val="auto"/>
              </w:rPr>
            </w:pPr>
            <w:r>
              <w:rPr>
                <w:rFonts w:ascii="Calibri" w:cs="Calibri" w:eastAsia="Calibri" w:hAnsi="Calibri"/>
                <w:sz w:val="18"/>
                <w:szCs w:val="18"/>
                <w:b w:val="1"/>
                <w:bCs w:val="1"/>
                <w:color w:val="FFFFFF"/>
                <w:w w:val="98"/>
              </w:rPr>
              <w:t>Group</w:t>
            </w:r>
          </w:p>
        </w:tc>
        <w:tc>
          <w:tcPr>
            <w:tcW w:w="100" w:type="dxa"/>
            <w:vAlign w:val="bottom"/>
            <w:shd w:val="clear" w:color="auto" w:fill="007CBA"/>
          </w:tcPr>
          <w:p>
            <w:pPr>
              <w:spacing w:after="0"/>
              <w:rPr>
                <w:sz w:val="19"/>
                <w:szCs w:val="19"/>
                <w:color w:val="auto"/>
              </w:rPr>
            </w:pPr>
          </w:p>
        </w:tc>
        <w:tc>
          <w:tcPr>
            <w:tcW w:w="320" w:type="dxa"/>
            <w:vAlign w:val="bottom"/>
            <w:shd w:val="clear" w:color="auto" w:fill="007CBA"/>
          </w:tcPr>
          <w:p>
            <w:pPr>
              <w:spacing w:after="0"/>
              <w:rPr>
                <w:sz w:val="19"/>
                <w:szCs w:val="19"/>
                <w:color w:val="auto"/>
              </w:rPr>
            </w:pPr>
          </w:p>
        </w:tc>
        <w:tc>
          <w:tcPr>
            <w:tcW w:w="1280" w:type="dxa"/>
            <w:vAlign w:val="bottom"/>
            <w:gridSpan w:val="5"/>
            <w:shd w:val="clear" w:color="auto" w:fill="007CBA"/>
          </w:tcPr>
          <w:p>
            <w:pPr>
              <w:ind w:left="180"/>
              <w:spacing w:after="0" w:line="215" w:lineRule="exact"/>
              <w:rPr>
                <w:sz w:val="20"/>
                <w:szCs w:val="20"/>
                <w:color w:val="auto"/>
              </w:rPr>
            </w:pPr>
            <w:r>
              <w:rPr>
                <w:rFonts w:ascii="Calibri" w:cs="Calibri" w:eastAsia="Calibri" w:hAnsi="Calibri"/>
                <w:sz w:val="18"/>
                <w:szCs w:val="18"/>
                <w:b w:val="1"/>
                <w:bCs w:val="1"/>
                <w:color w:val="FFFFFF"/>
              </w:rPr>
              <w:t>Group</w:t>
            </w:r>
          </w:p>
        </w:tc>
        <w:tc>
          <w:tcPr>
            <w:tcW w:w="540" w:type="dxa"/>
            <w:vAlign w:val="bottom"/>
            <w:tcBorders>
              <w:right w:val="single" w:sz="8" w:color="007CBA"/>
            </w:tcBorders>
            <w:shd w:val="clear" w:color="auto" w:fill="007CBA"/>
          </w:tcPr>
          <w:p>
            <w:pPr>
              <w:spacing w:after="0"/>
              <w:rPr>
                <w:sz w:val="19"/>
                <w:szCs w:val="19"/>
                <w:color w:val="auto"/>
              </w:rPr>
            </w:pPr>
          </w:p>
        </w:tc>
        <w:tc>
          <w:tcPr>
            <w:tcW w:w="1080" w:type="dxa"/>
            <w:vAlign w:val="bottom"/>
            <w:gridSpan w:val="3"/>
            <w:shd w:val="clear" w:color="auto" w:fill="007CBA"/>
          </w:tcPr>
          <w:p>
            <w:pPr>
              <w:ind w:left="100"/>
              <w:spacing w:after="0" w:line="215" w:lineRule="exact"/>
              <w:rPr>
                <w:sz w:val="20"/>
                <w:szCs w:val="20"/>
                <w:color w:val="auto"/>
              </w:rPr>
            </w:pPr>
            <w:r>
              <w:rPr>
                <w:rFonts w:ascii="Calibri" w:cs="Calibri" w:eastAsia="Calibri" w:hAnsi="Calibri"/>
                <w:sz w:val="18"/>
                <w:szCs w:val="18"/>
                <w:b w:val="1"/>
                <w:bCs w:val="1"/>
                <w:color w:val="FFFFFF"/>
              </w:rPr>
              <w:t>Total</w:t>
            </w:r>
          </w:p>
        </w:tc>
      </w:tr>
      <w:tr>
        <w:trPr>
          <w:trHeight w:val="260"/>
        </w:trPr>
        <w:tc>
          <w:tcPr>
            <w:tcW w:w="4340" w:type="dxa"/>
            <w:vAlign w:val="bottom"/>
            <w:tcBorders>
              <w:bottom w:val="single" w:sz="8" w:color="007CBA"/>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color w:val="FFFFFF"/>
              </w:rPr>
              <w:t>(in millions)</w:t>
            </w:r>
          </w:p>
        </w:tc>
        <w:tc>
          <w:tcPr>
            <w:tcW w:w="500" w:type="dxa"/>
            <w:vAlign w:val="bottom"/>
            <w:tcBorders>
              <w:bottom w:val="single" w:sz="8" w:color="007CBA"/>
            </w:tcBorders>
            <w:shd w:val="clear" w:color="auto" w:fill="007CBA"/>
          </w:tcPr>
          <w:p>
            <w:pPr>
              <w:spacing w:after="0"/>
              <w:rPr>
                <w:sz w:val="22"/>
                <w:szCs w:val="22"/>
                <w:color w:val="auto"/>
              </w:rPr>
            </w:pPr>
          </w:p>
        </w:tc>
        <w:tc>
          <w:tcPr>
            <w:tcW w:w="740" w:type="dxa"/>
            <w:vAlign w:val="bottom"/>
            <w:tcBorders>
              <w:bottom w:val="single" w:sz="8" w:color="007CBA"/>
              <w:right w:val="single" w:sz="8" w:color="007CBA"/>
            </w:tcBorders>
            <w:shd w:val="clear" w:color="auto" w:fill="007CBA"/>
          </w:tcPr>
          <w:p>
            <w:pPr>
              <w:spacing w:after="0"/>
              <w:rPr>
                <w:sz w:val="22"/>
                <w:szCs w:val="22"/>
                <w:color w:val="auto"/>
              </w:rPr>
            </w:pPr>
          </w:p>
        </w:tc>
        <w:tc>
          <w:tcPr>
            <w:tcW w:w="120" w:type="dxa"/>
            <w:vAlign w:val="bottom"/>
            <w:tcBorders>
              <w:bottom w:val="single" w:sz="8" w:color="007CBA"/>
            </w:tcBorders>
            <w:shd w:val="clear" w:color="auto" w:fill="007CBA"/>
          </w:tcPr>
          <w:p>
            <w:pPr>
              <w:spacing w:after="0"/>
              <w:rPr>
                <w:sz w:val="22"/>
                <w:szCs w:val="22"/>
                <w:color w:val="auto"/>
              </w:rPr>
            </w:pPr>
          </w:p>
        </w:tc>
        <w:tc>
          <w:tcPr>
            <w:tcW w:w="180" w:type="dxa"/>
            <w:vAlign w:val="bottom"/>
            <w:tcBorders>
              <w:bottom w:val="single" w:sz="8" w:color="007CBA"/>
            </w:tcBorders>
            <w:shd w:val="clear" w:color="auto" w:fill="007CBA"/>
          </w:tcPr>
          <w:p>
            <w:pPr>
              <w:spacing w:after="0"/>
              <w:rPr>
                <w:sz w:val="22"/>
                <w:szCs w:val="22"/>
                <w:color w:val="auto"/>
              </w:rPr>
            </w:pPr>
          </w:p>
        </w:tc>
        <w:tc>
          <w:tcPr>
            <w:tcW w:w="260" w:type="dxa"/>
            <w:vAlign w:val="bottom"/>
            <w:tcBorders>
              <w:bottom w:val="single" w:sz="8" w:color="007CBA"/>
              <w:right w:val="single" w:sz="8" w:color="007CBA"/>
            </w:tcBorders>
            <w:shd w:val="clear" w:color="auto" w:fill="007CBA"/>
          </w:tcPr>
          <w:p>
            <w:pPr>
              <w:spacing w:after="0"/>
              <w:rPr>
                <w:sz w:val="22"/>
                <w:szCs w:val="22"/>
                <w:color w:val="auto"/>
              </w:rPr>
            </w:pPr>
          </w:p>
        </w:tc>
        <w:tc>
          <w:tcPr>
            <w:tcW w:w="640" w:type="dxa"/>
            <w:vAlign w:val="bottom"/>
            <w:tcBorders>
              <w:bottom w:val="single" w:sz="8" w:color="007CBA"/>
              <w:right w:val="single" w:sz="8" w:color="007CBA"/>
            </w:tcBorders>
            <w:shd w:val="clear" w:color="auto" w:fill="007CBA"/>
          </w:tcPr>
          <w:p>
            <w:pPr>
              <w:spacing w:after="0"/>
              <w:rPr>
                <w:sz w:val="22"/>
                <w:szCs w:val="22"/>
                <w:color w:val="auto"/>
              </w:rPr>
            </w:pPr>
          </w:p>
        </w:tc>
        <w:tc>
          <w:tcPr>
            <w:tcW w:w="120" w:type="dxa"/>
            <w:vAlign w:val="bottom"/>
            <w:tcBorders>
              <w:bottom w:val="single" w:sz="8" w:color="007CBA"/>
            </w:tcBorders>
            <w:shd w:val="clear" w:color="auto" w:fill="007CBA"/>
          </w:tcPr>
          <w:p>
            <w:pPr>
              <w:spacing w:after="0"/>
              <w:rPr>
                <w:sz w:val="22"/>
                <w:szCs w:val="22"/>
                <w:color w:val="auto"/>
              </w:rPr>
            </w:pPr>
          </w:p>
        </w:tc>
        <w:tc>
          <w:tcPr>
            <w:tcW w:w="260" w:type="dxa"/>
            <w:vAlign w:val="bottom"/>
            <w:tcBorders>
              <w:bottom w:val="single" w:sz="8" w:color="007CBA"/>
            </w:tcBorders>
            <w:shd w:val="clear" w:color="auto" w:fill="007CBA"/>
          </w:tcPr>
          <w:p>
            <w:pPr>
              <w:spacing w:after="0"/>
              <w:rPr>
                <w:sz w:val="22"/>
                <w:szCs w:val="22"/>
                <w:color w:val="auto"/>
              </w:rPr>
            </w:pPr>
          </w:p>
        </w:tc>
        <w:tc>
          <w:tcPr>
            <w:tcW w:w="760" w:type="dxa"/>
            <w:vAlign w:val="bottom"/>
            <w:tcBorders>
              <w:bottom w:val="single" w:sz="8" w:color="007CBA"/>
              <w:right w:val="single" w:sz="8" w:color="007CBA"/>
            </w:tcBorders>
            <w:shd w:val="clear" w:color="auto" w:fill="007CBA"/>
          </w:tcPr>
          <w:p>
            <w:pPr>
              <w:spacing w:after="0"/>
              <w:rPr>
                <w:sz w:val="22"/>
                <w:szCs w:val="22"/>
                <w:color w:val="auto"/>
              </w:rPr>
            </w:pPr>
          </w:p>
        </w:tc>
        <w:tc>
          <w:tcPr>
            <w:tcW w:w="100" w:type="dxa"/>
            <w:vAlign w:val="bottom"/>
            <w:tcBorders>
              <w:bottom w:val="single" w:sz="8" w:color="007CBA"/>
            </w:tcBorders>
            <w:shd w:val="clear" w:color="auto" w:fill="007CBA"/>
          </w:tcPr>
          <w:p>
            <w:pPr>
              <w:spacing w:after="0"/>
              <w:rPr>
                <w:sz w:val="22"/>
                <w:szCs w:val="22"/>
                <w:color w:val="auto"/>
              </w:rPr>
            </w:pPr>
          </w:p>
        </w:tc>
        <w:tc>
          <w:tcPr>
            <w:tcW w:w="320" w:type="dxa"/>
            <w:vAlign w:val="bottom"/>
            <w:tcBorders>
              <w:bottom w:val="single" w:sz="8" w:color="007CBA"/>
            </w:tcBorders>
            <w:shd w:val="clear" w:color="auto" w:fill="007CBA"/>
          </w:tcPr>
          <w:p>
            <w:pPr>
              <w:spacing w:after="0"/>
              <w:rPr>
                <w:sz w:val="22"/>
                <w:szCs w:val="22"/>
                <w:color w:val="auto"/>
              </w:rPr>
            </w:pPr>
          </w:p>
        </w:tc>
        <w:tc>
          <w:tcPr>
            <w:tcW w:w="560" w:type="dxa"/>
            <w:vAlign w:val="bottom"/>
            <w:tcBorders>
              <w:bottom w:val="single" w:sz="8" w:color="007CBA"/>
            </w:tcBorders>
            <w:shd w:val="clear" w:color="auto" w:fill="007CBA"/>
          </w:tcPr>
          <w:p>
            <w:pPr>
              <w:jc w:val="right"/>
              <w:spacing w:after="0"/>
              <w:rPr>
                <w:sz w:val="20"/>
                <w:szCs w:val="20"/>
                <w:color w:val="auto"/>
              </w:rPr>
            </w:pPr>
            <w:r>
              <w:rPr>
                <w:rFonts w:ascii="Calibri" w:cs="Calibri" w:eastAsia="Calibri" w:hAnsi="Calibri"/>
                <w:sz w:val="18"/>
                <w:szCs w:val="18"/>
                <w:b w:val="1"/>
                <w:bCs w:val="1"/>
                <w:color w:val="FFFFFF"/>
              </w:rPr>
              <w:t>2022</w:t>
            </w:r>
          </w:p>
        </w:tc>
        <w:tc>
          <w:tcPr>
            <w:tcW w:w="120" w:type="dxa"/>
            <w:vAlign w:val="bottom"/>
            <w:tcBorders>
              <w:bottom w:val="single" w:sz="8" w:color="007CBA"/>
              <w:right w:val="single" w:sz="8" w:color="007CBA"/>
            </w:tcBorders>
            <w:shd w:val="clear" w:color="auto" w:fill="007CBA"/>
          </w:tcPr>
          <w:p>
            <w:pPr>
              <w:spacing w:after="0"/>
              <w:rPr>
                <w:sz w:val="22"/>
                <w:szCs w:val="22"/>
                <w:color w:val="auto"/>
              </w:rPr>
            </w:pPr>
          </w:p>
        </w:tc>
        <w:tc>
          <w:tcPr>
            <w:tcW w:w="100" w:type="dxa"/>
            <w:vAlign w:val="bottom"/>
            <w:tcBorders>
              <w:bottom w:val="single" w:sz="8" w:color="007CBA"/>
            </w:tcBorders>
            <w:shd w:val="clear" w:color="auto" w:fill="007CBA"/>
          </w:tcPr>
          <w:p>
            <w:pPr>
              <w:spacing w:after="0"/>
              <w:rPr>
                <w:sz w:val="22"/>
                <w:szCs w:val="22"/>
                <w:color w:val="auto"/>
              </w:rPr>
            </w:pPr>
          </w:p>
        </w:tc>
        <w:tc>
          <w:tcPr>
            <w:tcW w:w="460" w:type="dxa"/>
            <w:vAlign w:val="bottom"/>
            <w:tcBorders>
              <w:bottom w:val="single" w:sz="8" w:color="007CBA"/>
              <w:right w:val="single" w:sz="8" w:color="007CBA"/>
            </w:tcBorders>
            <w:shd w:val="clear" w:color="auto" w:fill="007CBA"/>
          </w:tcPr>
          <w:p>
            <w:pPr>
              <w:spacing w:after="0"/>
              <w:rPr>
                <w:sz w:val="22"/>
                <w:szCs w:val="22"/>
                <w:color w:val="auto"/>
              </w:rPr>
            </w:pPr>
          </w:p>
        </w:tc>
        <w:tc>
          <w:tcPr>
            <w:tcW w:w="40" w:type="dxa"/>
            <w:vAlign w:val="bottom"/>
            <w:tcBorders>
              <w:bottom w:val="single" w:sz="8" w:color="007CBA"/>
            </w:tcBorders>
            <w:shd w:val="clear" w:color="auto" w:fill="007CBA"/>
          </w:tcPr>
          <w:p>
            <w:pPr>
              <w:spacing w:after="0"/>
              <w:rPr>
                <w:sz w:val="22"/>
                <w:szCs w:val="22"/>
                <w:color w:val="auto"/>
              </w:rPr>
            </w:pPr>
          </w:p>
        </w:tc>
        <w:tc>
          <w:tcPr>
            <w:tcW w:w="540" w:type="dxa"/>
            <w:vAlign w:val="bottom"/>
            <w:tcBorders>
              <w:bottom w:val="single" w:sz="8" w:color="007CBA"/>
              <w:right w:val="single" w:sz="8" w:color="007CBA"/>
            </w:tcBorders>
            <w:shd w:val="clear" w:color="auto" w:fill="007CBA"/>
          </w:tcPr>
          <w:p>
            <w:pPr>
              <w:spacing w:after="0"/>
              <w:rPr>
                <w:sz w:val="22"/>
                <w:szCs w:val="22"/>
                <w:color w:val="auto"/>
              </w:rPr>
            </w:pPr>
          </w:p>
        </w:tc>
        <w:tc>
          <w:tcPr>
            <w:tcW w:w="100" w:type="dxa"/>
            <w:vAlign w:val="bottom"/>
            <w:tcBorders>
              <w:bottom w:val="single" w:sz="8" w:color="007CBA"/>
            </w:tcBorders>
            <w:shd w:val="clear" w:color="auto" w:fill="007CBA"/>
          </w:tcPr>
          <w:p>
            <w:pPr>
              <w:spacing w:after="0"/>
              <w:rPr>
                <w:sz w:val="22"/>
                <w:szCs w:val="22"/>
                <w:color w:val="auto"/>
              </w:rPr>
            </w:pPr>
          </w:p>
        </w:tc>
        <w:tc>
          <w:tcPr>
            <w:tcW w:w="180" w:type="dxa"/>
            <w:vAlign w:val="bottom"/>
            <w:tcBorders>
              <w:bottom w:val="single" w:sz="8" w:color="007CBA"/>
            </w:tcBorders>
            <w:shd w:val="clear" w:color="auto" w:fill="007CBA"/>
          </w:tcPr>
          <w:p>
            <w:pPr>
              <w:spacing w:after="0"/>
              <w:rPr>
                <w:sz w:val="22"/>
                <w:szCs w:val="22"/>
                <w:color w:val="auto"/>
              </w:rPr>
            </w:pPr>
          </w:p>
        </w:tc>
        <w:tc>
          <w:tcPr>
            <w:tcW w:w="800" w:type="dxa"/>
            <w:vAlign w:val="bottom"/>
            <w:tcBorders>
              <w:bottom w:val="single" w:sz="8" w:color="007CBA"/>
            </w:tcBorders>
            <w:shd w:val="clear" w:color="auto" w:fill="007CBA"/>
          </w:tcPr>
          <w:p>
            <w:pPr>
              <w:spacing w:after="0"/>
              <w:rPr>
                <w:sz w:val="22"/>
                <w:szCs w:val="22"/>
                <w:color w:val="auto"/>
              </w:rPr>
            </w:pPr>
          </w:p>
        </w:tc>
      </w:tr>
      <w:tr>
        <w:trPr>
          <w:trHeight w:val="215"/>
        </w:trPr>
        <w:tc>
          <w:tcPr>
            <w:tcW w:w="4340" w:type="dxa"/>
            <w:vAlign w:val="bottom"/>
          </w:tcPr>
          <w:p>
            <w:pPr>
              <w:ind w:left="120"/>
              <w:spacing w:after="0" w:line="215" w:lineRule="exact"/>
              <w:rPr>
                <w:sz w:val="20"/>
                <w:szCs w:val="20"/>
                <w:color w:val="auto"/>
              </w:rPr>
            </w:pPr>
            <w:r>
              <w:rPr>
                <w:rFonts w:ascii="Calibri" w:cs="Calibri" w:eastAsia="Calibri" w:hAnsi="Calibri"/>
                <w:sz w:val="18"/>
                <w:szCs w:val="18"/>
                <w:color w:val="auto"/>
              </w:rPr>
              <w:t>Balance at beginning of period</w:t>
            </w: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right w:val="single" w:sz="8" w:color="007CBA"/>
            </w:tcBorders>
          </w:tcPr>
          <w:p>
            <w:pPr>
              <w:spacing w:after="0"/>
              <w:rPr>
                <w:sz w:val="18"/>
                <w:szCs w:val="18"/>
                <w:color w:val="auto"/>
              </w:rPr>
            </w:pPr>
          </w:p>
        </w:tc>
        <w:tc>
          <w:tcPr>
            <w:tcW w:w="640" w:type="dxa"/>
            <w:vAlign w:val="bottom"/>
          </w:tcPr>
          <w:p>
            <w:pPr>
              <w:jc w:val="right"/>
              <w:ind w:right="270"/>
              <w:spacing w:after="0" w:line="215" w:lineRule="exact"/>
              <w:rPr>
                <w:sz w:val="20"/>
                <w:szCs w:val="20"/>
                <w:color w:val="auto"/>
              </w:rPr>
            </w:pPr>
            <w:r>
              <w:rPr>
                <w:rFonts w:ascii="Calibri" w:cs="Calibri" w:eastAsia="Calibri" w:hAnsi="Calibri"/>
                <w:sz w:val="18"/>
                <w:szCs w:val="18"/>
                <w:b w:val="1"/>
                <w:bCs w:val="1"/>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Borders>
              <w:right w:val="single" w:sz="8" w:color="007CBA"/>
            </w:tcBorders>
          </w:tcPr>
          <w:p>
            <w:pPr>
              <w:jc w:val="right"/>
              <w:ind w:right="90"/>
              <w:spacing w:after="0" w:line="215" w:lineRule="exact"/>
              <w:rPr>
                <w:sz w:val="20"/>
                <w:szCs w:val="20"/>
                <w:color w:val="auto"/>
              </w:rPr>
            </w:pPr>
            <w:r>
              <w:rPr>
                <w:rFonts w:ascii="Calibri" w:cs="Calibri" w:eastAsia="Calibri" w:hAnsi="Calibri"/>
                <w:sz w:val="18"/>
                <w:szCs w:val="18"/>
                <w:b w:val="1"/>
                <w:bCs w:val="1"/>
                <w:color w:val="auto"/>
              </w:rPr>
              <w:t>759.4</w:t>
            </w:r>
          </w:p>
        </w:tc>
        <w:tc>
          <w:tcPr>
            <w:tcW w:w="420" w:type="dxa"/>
            <w:vAlign w:val="bottom"/>
            <w:gridSpan w:val="2"/>
          </w:tcPr>
          <w:p>
            <w:pPr>
              <w:ind w:left="140"/>
              <w:spacing w:after="0" w:line="215" w:lineRule="exact"/>
              <w:rPr>
                <w:sz w:val="20"/>
                <w:szCs w:val="20"/>
                <w:color w:val="auto"/>
              </w:rPr>
            </w:pPr>
            <w:r>
              <w:rPr>
                <w:rFonts w:ascii="Calibri" w:cs="Calibri" w:eastAsia="Calibri" w:hAnsi="Calibri"/>
                <w:sz w:val="18"/>
                <w:szCs w:val="18"/>
                <w:b w:val="1"/>
                <w:bCs w:val="1"/>
                <w:color w:val="auto"/>
              </w:rPr>
              <w:t>$</w:t>
            </w:r>
          </w:p>
        </w:tc>
        <w:tc>
          <w:tcPr>
            <w:tcW w:w="560" w:type="dxa"/>
            <w:vAlign w:val="bottom"/>
          </w:tcPr>
          <w:p>
            <w:pPr>
              <w:spacing w:after="0"/>
              <w:rPr>
                <w:sz w:val="18"/>
                <w:szCs w:val="18"/>
                <w:color w:val="auto"/>
              </w:rPr>
            </w:pPr>
          </w:p>
        </w:tc>
        <w:tc>
          <w:tcPr>
            <w:tcW w:w="680" w:type="dxa"/>
            <w:vAlign w:val="bottom"/>
            <w:tcBorders>
              <w:right w:val="single" w:sz="8" w:color="007CBA"/>
            </w:tcBorders>
            <w:gridSpan w:val="3"/>
          </w:tcPr>
          <w:p>
            <w:pPr>
              <w:jc w:val="center"/>
              <w:ind w:right="50"/>
              <w:spacing w:after="0" w:line="215" w:lineRule="exact"/>
              <w:rPr>
                <w:sz w:val="20"/>
                <w:szCs w:val="20"/>
                <w:color w:val="auto"/>
              </w:rPr>
            </w:pPr>
            <w:r>
              <w:rPr>
                <w:rFonts w:ascii="Calibri" w:cs="Calibri" w:eastAsia="Calibri" w:hAnsi="Calibri"/>
                <w:sz w:val="18"/>
                <w:szCs w:val="18"/>
                <w:b w:val="1"/>
                <w:bCs w:val="1"/>
                <w:color w:val="auto"/>
                <w:w w:val="97"/>
              </w:rPr>
              <w:t>2,735.0</w:t>
            </w:r>
          </w:p>
        </w:tc>
        <w:tc>
          <w:tcPr>
            <w:tcW w:w="40" w:type="dxa"/>
            <w:vAlign w:val="bottom"/>
          </w:tcPr>
          <w:p>
            <w:pPr>
              <w:spacing w:after="0"/>
              <w:rPr>
                <w:sz w:val="18"/>
                <w:szCs w:val="18"/>
                <w:color w:val="auto"/>
              </w:rPr>
            </w:pPr>
          </w:p>
        </w:tc>
        <w:tc>
          <w:tcPr>
            <w:tcW w:w="540" w:type="dxa"/>
            <w:vAlign w:val="bottom"/>
          </w:tcPr>
          <w:p>
            <w:pPr>
              <w:jc w:val="right"/>
              <w:ind w:right="230"/>
              <w:spacing w:after="0" w:line="215" w:lineRule="exact"/>
              <w:rPr>
                <w:sz w:val="20"/>
                <w:szCs w:val="20"/>
                <w:color w:val="auto"/>
              </w:rPr>
            </w:pPr>
            <w:r>
              <w:rPr>
                <w:rFonts w:ascii="Calibri" w:cs="Calibri" w:eastAsia="Calibri" w:hAnsi="Calibri"/>
                <w:sz w:val="18"/>
                <w:szCs w:val="18"/>
                <w:b w:val="1"/>
                <w:bCs w:val="1"/>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3,494.4</w:t>
            </w:r>
          </w:p>
        </w:tc>
      </w:tr>
      <w:tr>
        <w:trPr>
          <w:trHeight w:val="28"/>
        </w:trPr>
        <w:tc>
          <w:tcPr>
            <w:tcW w:w="4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right w:val="single" w:sz="8" w:color="007CBA"/>
            </w:tcBorders>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Borders>
              <w:right w:val="single" w:sz="8" w:color="007CBA"/>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Borders>
              <w:right w:val="single" w:sz="8" w:color="007CBA"/>
            </w:tcBorders>
            <w:gridSpan w:val="3"/>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3"/>
        </w:trPr>
        <w:tc>
          <w:tcPr>
            <w:tcW w:w="434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Acquisitons</w:t>
            </w:r>
          </w:p>
        </w:tc>
        <w:tc>
          <w:tcPr>
            <w:tcW w:w="500" w:type="dxa"/>
            <w:vAlign w:val="bottom"/>
            <w:tcBorders>
              <w:bottom w:val="single" w:sz="8" w:color="E5F1F8"/>
            </w:tcBorders>
            <w:shd w:val="clear" w:color="auto" w:fill="E5F1F8"/>
          </w:tcPr>
          <w:p>
            <w:pPr>
              <w:spacing w:after="0"/>
              <w:rPr>
                <w:sz w:val="19"/>
                <w:szCs w:val="19"/>
                <w:color w:val="auto"/>
              </w:rPr>
            </w:pPr>
          </w:p>
        </w:tc>
        <w:tc>
          <w:tcPr>
            <w:tcW w:w="740" w:type="dxa"/>
            <w:vAlign w:val="bottom"/>
            <w:tcBorders>
              <w:bottom w:val="single" w:sz="8" w:color="E5F1F8"/>
              <w:right w:val="single" w:sz="8" w:color="E5F1F8"/>
            </w:tcBorders>
            <w:shd w:val="clear" w:color="auto" w:fill="E5F1F8"/>
          </w:tcPr>
          <w:p>
            <w:pPr>
              <w:spacing w:after="0"/>
              <w:rPr>
                <w:sz w:val="19"/>
                <w:szCs w:val="19"/>
                <w:color w:val="auto"/>
              </w:rPr>
            </w:pPr>
          </w:p>
        </w:tc>
        <w:tc>
          <w:tcPr>
            <w:tcW w:w="120" w:type="dxa"/>
            <w:vAlign w:val="bottom"/>
            <w:tcBorders>
              <w:bottom w:val="single" w:sz="8" w:color="E5F1F8"/>
            </w:tcBorders>
            <w:shd w:val="clear" w:color="auto" w:fill="E5F1F8"/>
          </w:tcPr>
          <w:p>
            <w:pPr>
              <w:spacing w:after="0"/>
              <w:rPr>
                <w:sz w:val="19"/>
                <w:szCs w:val="19"/>
                <w:color w:val="auto"/>
              </w:rPr>
            </w:pPr>
          </w:p>
        </w:tc>
        <w:tc>
          <w:tcPr>
            <w:tcW w:w="180" w:type="dxa"/>
            <w:vAlign w:val="bottom"/>
            <w:tcBorders>
              <w:bottom w:val="single" w:sz="8" w:color="E5F1F8"/>
            </w:tcBorders>
            <w:shd w:val="clear" w:color="auto" w:fill="E5F1F8"/>
          </w:tcPr>
          <w:p>
            <w:pPr>
              <w:spacing w:after="0"/>
              <w:rPr>
                <w:sz w:val="19"/>
                <w:szCs w:val="19"/>
                <w:color w:val="auto"/>
              </w:rPr>
            </w:pPr>
          </w:p>
        </w:tc>
        <w:tc>
          <w:tcPr>
            <w:tcW w:w="260" w:type="dxa"/>
            <w:vAlign w:val="bottom"/>
            <w:tcBorders>
              <w:bottom w:val="single" w:sz="8" w:color="E5F1F8"/>
              <w:right w:val="single" w:sz="8" w:color="007CBA"/>
            </w:tcBorders>
            <w:shd w:val="clear" w:color="auto" w:fill="E5F1F8"/>
          </w:tcPr>
          <w:p>
            <w:pPr>
              <w:spacing w:after="0"/>
              <w:rPr>
                <w:sz w:val="19"/>
                <w:szCs w:val="19"/>
                <w:color w:val="auto"/>
              </w:rPr>
            </w:pPr>
          </w:p>
        </w:tc>
        <w:tc>
          <w:tcPr>
            <w:tcW w:w="640" w:type="dxa"/>
            <w:vAlign w:val="bottom"/>
            <w:tcBorders>
              <w:bottom w:val="single" w:sz="8" w:color="E5F1F8"/>
              <w:right w:val="single" w:sz="8" w:color="E5F1F8"/>
            </w:tcBorders>
            <w:shd w:val="clear" w:color="auto" w:fill="E5F1F8"/>
          </w:tcPr>
          <w:p>
            <w:pPr>
              <w:spacing w:after="0"/>
              <w:rPr>
                <w:sz w:val="19"/>
                <w:szCs w:val="19"/>
                <w:color w:val="auto"/>
              </w:rPr>
            </w:pPr>
          </w:p>
        </w:tc>
        <w:tc>
          <w:tcPr>
            <w:tcW w:w="120" w:type="dxa"/>
            <w:vAlign w:val="bottom"/>
            <w:tcBorders>
              <w:bottom w:val="single" w:sz="8" w:color="E5F1F8"/>
            </w:tcBorders>
            <w:shd w:val="clear" w:color="auto" w:fill="E5F1F8"/>
          </w:tcPr>
          <w:p>
            <w:pPr>
              <w:spacing w:after="0"/>
              <w:rPr>
                <w:sz w:val="19"/>
                <w:szCs w:val="19"/>
                <w:color w:val="auto"/>
              </w:rPr>
            </w:pPr>
          </w:p>
        </w:tc>
        <w:tc>
          <w:tcPr>
            <w:tcW w:w="260" w:type="dxa"/>
            <w:vAlign w:val="bottom"/>
            <w:tcBorders>
              <w:bottom w:val="single" w:sz="8" w:color="E5F1F8"/>
            </w:tcBorders>
            <w:shd w:val="clear" w:color="auto" w:fill="E5F1F8"/>
          </w:tcPr>
          <w:p>
            <w:pPr>
              <w:spacing w:after="0"/>
              <w:rPr>
                <w:sz w:val="19"/>
                <w:szCs w:val="19"/>
                <w:color w:val="auto"/>
              </w:rPr>
            </w:pPr>
          </w:p>
        </w:tc>
        <w:tc>
          <w:tcPr>
            <w:tcW w:w="760" w:type="dxa"/>
            <w:vAlign w:val="bottom"/>
            <w:tcBorders>
              <w:bottom w:val="single" w:sz="8" w:color="E5F1F8"/>
              <w:right w:val="single" w:sz="8" w:color="007CBA"/>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b w:val="1"/>
                <w:bCs w:val="1"/>
                <w:color w:val="auto"/>
              </w:rPr>
              <w:t>—</w:t>
            </w:r>
          </w:p>
        </w:tc>
        <w:tc>
          <w:tcPr>
            <w:tcW w:w="100" w:type="dxa"/>
            <w:vAlign w:val="bottom"/>
            <w:tcBorders>
              <w:bottom w:val="single" w:sz="8" w:color="E5F1F8"/>
            </w:tcBorders>
            <w:shd w:val="clear" w:color="auto" w:fill="E5F1F8"/>
          </w:tcPr>
          <w:p>
            <w:pPr>
              <w:spacing w:after="0"/>
              <w:rPr>
                <w:sz w:val="19"/>
                <w:szCs w:val="19"/>
                <w:color w:val="auto"/>
              </w:rPr>
            </w:pPr>
          </w:p>
        </w:tc>
        <w:tc>
          <w:tcPr>
            <w:tcW w:w="320" w:type="dxa"/>
            <w:vAlign w:val="bottom"/>
            <w:tcBorders>
              <w:bottom w:val="single" w:sz="8" w:color="E5F1F8"/>
            </w:tcBorders>
            <w:shd w:val="clear" w:color="auto" w:fill="E5F1F8"/>
          </w:tcPr>
          <w:p>
            <w:pPr>
              <w:spacing w:after="0"/>
              <w:rPr>
                <w:sz w:val="19"/>
                <w:szCs w:val="19"/>
                <w:color w:val="auto"/>
              </w:rPr>
            </w:pPr>
          </w:p>
        </w:tc>
        <w:tc>
          <w:tcPr>
            <w:tcW w:w="560" w:type="dxa"/>
            <w:vAlign w:val="bottom"/>
            <w:tcBorders>
              <w:bottom w:val="single" w:sz="8" w:color="E5F1F8"/>
            </w:tcBorders>
            <w:shd w:val="clear" w:color="auto" w:fill="E5F1F8"/>
          </w:tcPr>
          <w:p>
            <w:pPr>
              <w:spacing w:after="0"/>
              <w:rPr>
                <w:sz w:val="19"/>
                <w:szCs w:val="19"/>
                <w:color w:val="auto"/>
              </w:rPr>
            </w:pPr>
          </w:p>
        </w:tc>
        <w:tc>
          <w:tcPr>
            <w:tcW w:w="680" w:type="dxa"/>
            <w:vAlign w:val="bottom"/>
            <w:tcBorders>
              <w:bottom w:val="single" w:sz="8" w:color="E5F1F8"/>
              <w:right w:val="single" w:sz="8" w:color="007CBA"/>
            </w:tcBorders>
            <w:gridSpan w:val="3"/>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3.7</w:t>
            </w:r>
          </w:p>
        </w:tc>
        <w:tc>
          <w:tcPr>
            <w:tcW w:w="40" w:type="dxa"/>
            <w:vAlign w:val="bottom"/>
            <w:tcBorders>
              <w:bottom w:val="single" w:sz="8" w:color="E5F1F8"/>
            </w:tcBorders>
            <w:shd w:val="clear" w:color="auto" w:fill="E5F1F8"/>
          </w:tcPr>
          <w:p>
            <w:pPr>
              <w:spacing w:after="0"/>
              <w:rPr>
                <w:sz w:val="19"/>
                <w:szCs w:val="19"/>
                <w:color w:val="auto"/>
              </w:rPr>
            </w:pPr>
          </w:p>
        </w:tc>
        <w:tc>
          <w:tcPr>
            <w:tcW w:w="540" w:type="dxa"/>
            <w:vAlign w:val="bottom"/>
            <w:tcBorders>
              <w:bottom w:val="single" w:sz="8" w:color="E5F1F8"/>
              <w:right w:val="single" w:sz="8" w:color="E5F1F8"/>
            </w:tcBorders>
            <w:shd w:val="clear" w:color="auto" w:fill="E5F1F8"/>
          </w:tcPr>
          <w:p>
            <w:pPr>
              <w:spacing w:after="0"/>
              <w:rPr>
                <w:sz w:val="19"/>
                <w:szCs w:val="19"/>
                <w:color w:val="auto"/>
              </w:rPr>
            </w:pPr>
          </w:p>
        </w:tc>
        <w:tc>
          <w:tcPr>
            <w:tcW w:w="100" w:type="dxa"/>
            <w:vAlign w:val="bottom"/>
            <w:tcBorders>
              <w:bottom w:val="single" w:sz="8" w:color="E5F1F8"/>
            </w:tcBorders>
            <w:shd w:val="clear" w:color="auto" w:fill="E5F1F8"/>
          </w:tcPr>
          <w:p>
            <w:pPr>
              <w:spacing w:after="0"/>
              <w:rPr>
                <w:sz w:val="19"/>
                <w:szCs w:val="19"/>
                <w:color w:val="auto"/>
              </w:rPr>
            </w:pPr>
          </w:p>
        </w:tc>
        <w:tc>
          <w:tcPr>
            <w:tcW w:w="180" w:type="dxa"/>
            <w:vAlign w:val="bottom"/>
            <w:tcBorders>
              <w:bottom w:val="single" w:sz="8" w:color="E5F1F8"/>
            </w:tcBorders>
            <w:shd w:val="clear" w:color="auto" w:fill="E5F1F8"/>
          </w:tcPr>
          <w:p>
            <w:pPr>
              <w:spacing w:after="0"/>
              <w:rPr>
                <w:sz w:val="19"/>
                <w:szCs w:val="19"/>
                <w:color w:val="auto"/>
              </w:rPr>
            </w:pPr>
          </w:p>
        </w:tc>
        <w:tc>
          <w:tcPr>
            <w:tcW w:w="80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3.7</w:t>
            </w:r>
          </w:p>
        </w:tc>
      </w:tr>
      <w:tr>
        <w:trPr>
          <w:trHeight w:val="215"/>
        </w:trPr>
        <w:tc>
          <w:tcPr>
            <w:tcW w:w="4340" w:type="dxa"/>
            <w:vAlign w:val="bottom"/>
          </w:tcPr>
          <w:p>
            <w:pPr>
              <w:ind w:left="120"/>
              <w:spacing w:after="0" w:line="215" w:lineRule="exact"/>
              <w:rPr>
                <w:sz w:val="20"/>
                <w:szCs w:val="20"/>
                <w:color w:val="auto"/>
              </w:rPr>
            </w:pPr>
            <w:r>
              <w:rPr>
                <w:rFonts w:ascii="Calibri" w:cs="Calibri" w:eastAsia="Calibri" w:hAnsi="Calibri"/>
                <w:sz w:val="18"/>
                <w:szCs w:val="18"/>
                <w:color w:val="auto"/>
              </w:rPr>
              <w:t>Goodwill reclassifed from assets held for sale</w:t>
            </w: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right w:val="single" w:sz="8" w:color="007CBA"/>
            </w:tcBorders>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Borders>
              <w:right w:val="single" w:sz="8" w:color="007CBA"/>
            </w:tcBorders>
          </w:tcPr>
          <w:p>
            <w:pPr>
              <w:jc w:val="right"/>
              <w:ind w:right="90"/>
              <w:spacing w:after="0" w:line="215" w:lineRule="exact"/>
              <w:rPr>
                <w:sz w:val="20"/>
                <w:szCs w:val="20"/>
                <w:color w:val="auto"/>
              </w:rPr>
            </w:pPr>
            <w:r>
              <w:rPr>
                <w:rFonts w:ascii="Calibri" w:cs="Calibri" w:eastAsia="Calibri" w:hAnsi="Calibri"/>
                <w:sz w:val="18"/>
                <w:szCs w:val="18"/>
                <w:b w:val="1"/>
                <w:bCs w:val="1"/>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Borders>
              <w:right w:val="single" w:sz="8" w:color="007CBA"/>
            </w:tcBorders>
            <w:gridSpan w:val="3"/>
          </w:tcPr>
          <w:p>
            <w:pPr>
              <w:jc w:val="right"/>
              <w:ind w:right="50"/>
              <w:spacing w:after="0" w:line="215" w:lineRule="exact"/>
              <w:rPr>
                <w:sz w:val="20"/>
                <w:szCs w:val="20"/>
                <w:color w:val="auto"/>
              </w:rPr>
            </w:pPr>
            <w:r>
              <w:rPr>
                <w:rFonts w:ascii="Calibri" w:cs="Calibri" w:eastAsia="Calibri" w:hAnsi="Calibri"/>
                <w:sz w:val="18"/>
                <w:szCs w:val="18"/>
                <w:b w:val="1"/>
                <w:bCs w:val="1"/>
                <w:color w:val="auto"/>
              </w:rPr>
              <w:t>8.1</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8.1</w:t>
            </w:r>
          </w:p>
        </w:tc>
      </w:tr>
      <w:tr>
        <w:trPr>
          <w:trHeight w:val="28"/>
        </w:trPr>
        <w:tc>
          <w:tcPr>
            <w:tcW w:w="4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right w:val="single" w:sz="8" w:color="007CBA"/>
            </w:tcBorders>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Borders>
              <w:right w:val="single" w:sz="8" w:color="007CBA"/>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Borders>
              <w:right w:val="single" w:sz="8" w:color="007CBA"/>
            </w:tcBorders>
            <w:gridSpan w:val="3"/>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3"/>
        </w:trPr>
        <w:tc>
          <w:tcPr>
            <w:tcW w:w="434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Divesttures</w:t>
            </w:r>
          </w:p>
        </w:tc>
        <w:tc>
          <w:tcPr>
            <w:tcW w:w="500" w:type="dxa"/>
            <w:vAlign w:val="bottom"/>
            <w:tcBorders>
              <w:bottom w:val="single" w:sz="8" w:color="E5F1F8"/>
            </w:tcBorders>
            <w:shd w:val="clear" w:color="auto" w:fill="E5F1F8"/>
          </w:tcPr>
          <w:p>
            <w:pPr>
              <w:spacing w:after="0"/>
              <w:rPr>
                <w:sz w:val="19"/>
                <w:szCs w:val="19"/>
                <w:color w:val="auto"/>
              </w:rPr>
            </w:pPr>
          </w:p>
        </w:tc>
        <w:tc>
          <w:tcPr>
            <w:tcW w:w="740" w:type="dxa"/>
            <w:vAlign w:val="bottom"/>
            <w:tcBorders>
              <w:bottom w:val="single" w:sz="8" w:color="E5F1F8"/>
              <w:right w:val="single" w:sz="8" w:color="E5F1F8"/>
            </w:tcBorders>
            <w:shd w:val="clear" w:color="auto" w:fill="E5F1F8"/>
          </w:tcPr>
          <w:p>
            <w:pPr>
              <w:spacing w:after="0"/>
              <w:rPr>
                <w:sz w:val="19"/>
                <w:szCs w:val="19"/>
                <w:color w:val="auto"/>
              </w:rPr>
            </w:pPr>
          </w:p>
        </w:tc>
        <w:tc>
          <w:tcPr>
            <w:tcW w:w="120" w:type="dxa"/>
            <w:vAlign w:val="bottom"/>
            <w:tcBorders>
              <w:bottom w:val="single" w:sz="8" w:color="E5F1F8"/>
            </w:tcBorders>
            <w:shd w:val="clear" w:color="auto" w:fill="E5F1F8"/>
          </w:tcPr>
          <w:p>
            <w:pPr>
              <w:spacing w:after="0"/>
              <w:rPr>
                <w:sz w:val="19"/>
                <w:szCs w:val="19"/>
                <w:color w:val="auto"/>
              </w:rPr>
            </w:pPr>
          </w:p>
        </w:tc>
        <w:tc>
          <w:tcPr>
            <w:tcW w:w="180" w:type="dxa"/>
            <w:vAlign w:val="bottom"/>
            <w:tcBorders>
              <w:bottom w:val="single" w:sz="8" w:color="E5F1F8"/>
            </w:tcBorders>
            <w:shd w:val="clear" w:color="auto" w:fill="E5F1F8"/>
          </w:tcPr>
          <w:p>
            <w:pPr>
              <w:spacing w:after="0"/>
              <w:rPr>
                <w:sz w:val="19"/>
                <w:szCs w:val="19"/>
                <w:color w:val="auto"/>
              </w:rPr>
            </w:pPr>
          </w:p>
        </w:tc>
        <w:tc>
          <w:tcPr>
            <w:tcW w:w="260" w:type="dxa"/>
            <w:vAlign w:val="bottom"/>
            <w:tcBorders>
              <w:bottom w:val="single" w:sz="8" w:color="E5F1F8"/>
              <w:right w:val="single" w:sz="8" w:color="007CBA"/>
            </w:tcBorders>
            <w:shd w:val="clear" w:color="auto" w:fill="E5F1F8"/>
          </w:tcPr>
          <w:p>
            <w:pPr>
              <w:spacing w:after="0"/>
              <w:rPr>
                <w:sz w:val="19"/>
                <w:szCs w:val="19"/>
                <w:color w:val="auto"/>
              </w:rPr>
            </w:pPr>
          </w:p>
        </w:tc>
        <w:tc>
          <w:tcPr>
            <w:tcW w:w="640" w:type="dxa"/>
            <w:vAlign w:val="bottom"/>
            <w:tcBorders>
              <w:bottom w:val="single" w:sz="8" w:color="E5F1F8"/>
              <w:right w:val="single" w:sz="8" w:color="E5F1F8"/>
            </w:tcBorders>
            <w:shd w:val="clear" w:color="auto" w:fill="E5F1F8"/>
          </w:tcPr>
          <w:p>
            <w:pPr>
              <w:spacing w:after="0"/>
              <w:rPr>
                <w:sz w:val="19"/>
                <w:szCs w:val="19"/>
                <w:color w:val="auto"/>
              </w:rPr>
            </w:pPr>
          </w:p>
        </w:tc>
        <w:tc>
          <w:tcPr>
            <w:tcW w:w="120" w:type="dxa"/>
            <w:vAlign w:val="bottom"/>
            <w:tcBorders>
              <w:bottom w:val="single" w:sz="8" w:color="E5F1F8"/>
            </w:tcBorders>
            <w:shd w:val="clear" w:color="auto" w:fill="E5F1F8"/>
          </w:tcPr>
          <w:p>
            <w:pPr>
              <w:spacing w:after="0"/>
              <w:rPr>
                <w:sz w:val="19"/>
                <w:szCs w:val="19"/>
                <w:color w:val="auto"/>
              </w:rPr>
            </w:pPr>
          </w:p>
        </w:tc>
        <w:tc>
          <w:tcPr>
            <w:tcW w:w="260" w:type="dxa"/>
            <w:vAlign w:val="bottom"/>
            <w:tcBorders>
              <w:bottom w:val="single" w:sz="8" w:color="E5F1F8"/>
            </w:tcBorders>
            <w:shd w:val="clear" w:color="auto" w:fill="E5F1F8"/>
          </w:tcPr>
          <w:p>
            <w:pPr>
              <w:spacing w:after="0"/>
              <w:rPr>
                <w:sz w:val="19"/>
                <w:szCs w:val="19"/>
                <w:color w:val="auto"/>
              </w:rPr>
            </w:pPr>
          </w:p>
        </w:tc>
        <w:tc>
          <w:tcPr>
            <w:tcW w:w="760" w:type="dxa"/>
            <w:vAlign w:val="bottom"/>
            <w:tcBorders>
              <w:bottom w:val="single" w:sz="8" w:color="E5F1F8"/>
              <w:right w:val="single" w:sz="8" w:color="007CBA"/>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b w:val="1"/>
                <w:bCs w:val="1"/>
                <w:color w:val="auto"/>
              </w:rPr>
              <w:t>—</w:t>
            </w:r>
          </w:p>
        </w:tc>
        <w:tc>
          <w:tcPr>
            <w:tcW w:w="100" w:type="dxa"/>
            <w:vAlign w:val="bottom"/>
            <w:tcBorders>
              <w:bottom w:val="single" w:sz="8" w:color="E5F1F8"/>
            </w:tcBorders>
            <w:shd w:val="clear" w:color="auto" w:fill="E5F1F8"/>
          </w:tcPr>
          <w:p>
            <w:pPr>
              <w:spacing w:after="0"/>
              <w:rPr>
                <w:sz w:val="19"/>
                <w:szCs w:val="19"/>
                <w:color w:val="auto"/>
              </w:rPr>
            </w:pPr>
          </w:p>
        </w:tc>
        <w:tc>
          <w:tcPr>
            <w:tcW w:w="320" w:type="dxa"/>
            <w:vAlign w:val="bottom"/>
            <w:tcBorders>
              <w:bottom w:val="single" w:sz="8" w:color="E5F1F8"/>
            </w:tcBorders>
            <w:shd w:val="clear" w:color="auto" w:fill="E5F1F8"/>
          </w:tcPr>
          <w:p>
            <w:pPr>
              <w:spacing w:after="0"/>
              <w:rPr>
                <w:sz w:val="19"/>
                <w:szCs w:val="19"/>
                <w:color w:val="auto"/>
              </w:rPr>
            </w:pPr>
          </w:p>
        </w:tc>
        <w:tc>
          <w:tcPr>
            <w:tcW w:w="560" w:type="dxa"/>
            <w:vAlign w:val="bottom"/>
            <w:tcBorders>
              <w:bottom w:val="single" w:sz="8" w:color="E5F1F8"/>
            </w:tcBorders>
            <w:shd w:val="clear" w:color="auto" w:fill="E5F1F8"/>
          </w:tcPr>
          <w:p>
            <w:pPr>
              <w:spacing w:after="0"/>
              <w:rPr>
                <w:sz w:val="19"/>
                <w:szCs w:val="19"/>
                <w:color w:val="auto"/>
              </w:rPr>
            </w:pPr>
          </w:p>
        </w:tc>
        <w:tc>
          <w:tcPr>
            <w:tcW w:w="680" w:type="dxa"/>
            <w:vAlign w:val="bottom"/>
            <w:tcBorders>
              <w:bottom w:val="single" w:sz="8" w:color="E5F1F8"/>
              <w:right w:val="single" w:sz="8" w:color="007CBA"/>
            </w:tcBorders>
            <w:gridSpan w:val="3"/>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(159.7 )</w:t>
            </w:r>
          </w:p>
        </w:tc>
        <w:tc>
          <w:tcPr>
            <w:tcW w:w="40" w:type="dxa"/>
            <w:vAlign w:val="bottom"/>
            <w:tcBorders>
              <w:bottom w:val="single" w:sz="8" w:color="E5F1F8"/>
            </w:tcBorders>
            <w:shd w:val="clear" w:color="auto" w:fill="E5F1F8"/>
          </w:tcPr>
          <w:p>
            <w:pPr>
              <w:spacing w:after="0"/>
              <w:rPr>
                <w:sz w:val="19"/>
                <w:szCs w:val="19"/>
                <w:color w:val="auto"/>
              </w:rPr>
            </w:pPr>
          </w:p>
        </w:tc>
        <w:tc>
          <w:tcPr>
            <w:tcW w:w="540" w:type="dxa"/>
            <w:vAlign w:val="bottom"/>
            <w:tcBorders>
              <w:bottom w:val="single" w:sz="8" w:color="E5F1F8"/>
              <w:right w:val="single" w:sz="8" w:color="E5F1F8"/>
            </w:tcBorders>
            <w:shd w:val="clear" w:color="auto" w:fill="E5F1F8"/>
          </w:tcPr>
          <w:p>
            <w:pPr>
              <w:spacing w:after="0"/>
              <w:rPr>
                <w:sz w:val="19"/>
                <w:szCs w:val="19"/>
                <w:color w:val="auto"/>
              </w:rPr>
            </w:pPr>
          </w:p>
        </w:tc>
        <w:tc>
          <w:tcPr>
            <w:tcW w:w="100" w:type="dxa"/>
            <w:vAlign w:val="bottom"/>
            <w:tcBorders>
              <w:bottom w:val="single" w:sz="8" w:color="E5F1F8"/>
            </w:tcBorders>
            <w:shd w:val="clear" w:color="auto" w:fill="E5F1F8"/>
          </w:tcPr>
          <w:p>
            <w:pPr>
              <w:spacing w:after="0"/>
              <w:rPr>
                <w:sz w:val="19"/>
                <w:szCs w:val="19"/>
                <w:color w:val="auto"/>
              </w:rPr>
            </w:pPr>
          </w:p>
        </w:tc>
        <w:tc>
          <w:tcPr>
            <w:tcW w:w="180" w:type="dxa"/>
            <w:vAlign w:val="bottom"/>
            <w:tcBorders>
              <w:bottom w:val="single" w:sz="8" w:color="E5F1F8"/>
            </w:tcBorders>
            <w:shd w:val="clear" w:color="auto" w:fill="E5F1F8"/>
          </w:tcPr>
          <w:p>
            <w:pPr>
              <w:spacing w:after="0"/>
              <w:rPr>
                <w:sz w:val="19"/>
                <w:szCs w:val="19"/>
                <w:color w:val="auto"/>
              </w:rPr>
            </w:pPr>
          </w:p>
        </w:tc>
        <w:tc>
          <w:tcPr>
            <w:tcW w:w="80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(159.7 )</w:t>
            </w:r>
          </w:p>
        </w:tc>
      </w:tr>
      <w:tr>
        <w:trPr>
          <w:trHeight w:val="215"/>
        </w:trPr>
        <w:tc>
          <w:tcPr>
            <w:tcW w:w="4340" w:type="dxa"/>
            <w:vAlign w:val="bottom"/>
          </w:tcPr>
          <w:p>
            <w:pPr>
              <w:ind w:left="120"/>
              <w:spacing w:after="0" w:line="215" w:lineRule="exact"/>
              <w:rPr>
                <w:sz w:val="20"/>
                <w:szCs w:val="20"/>
                <w:color w:val="auto"/>
              </w:rPr>
            </w:pPr>
            <w:r>
              <w:rPr>
                <w:rFonts w:ascii="Calibri" w:cs="Calibri" w:eastAsia="Calibri" w:hAnsi="Calibri"/>
                <w:sz w:val="18"/>
                <w:szCs w:val="18"/>
                <w:color w:val="auto"/>
              </w:rPr>
              <w:t>Measurement period adjustments</w:t>
            </w: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90"/>
              <w:spacing w:after="0" w:line="215" w:lineRule="exact"/>
              <w:rPr>
                <w:sz w:val="20"/>
                <w:szCs w:val="20"/>
                <w:color w:val="auto"/>
              </w:rPr>
            </w:pPr>
            <w:r>
              <w:rPr>
                <w:rFonts w:ascii="Calibri" w:cs="Calibri" w:eastAsia="Calibri" w:hAnsi="Calibri"/>
                <w:sz w:val="18"/>
                <w:szCs w:val="18"/>
                <w:b w:val="1"/>
                <w:bCs w:val="1"/>
                <w:color w:val="auto"/>
              </w:rPr>
              <w:t>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3"/>
          </w:tcPr>
          <w:p>
            <w:pPr>
              <w:jc w:val="right"/>
              <w:ind w:right="50"/>
              <w:spacing w:after="0" w:line="215" w:lineRule="exact"/>
              <w:rPr>
                <w:sz w:val="20"/>
                <w:szCs w:val="20"/>
                <w:color w:val="auto"/>
              </w:rPr>
            </w:pPr>
            <w:r>
              <w:rPr>
                <w:rFonts w:ascii="Calibri" w:cs="Calibri" w:eastAsia="Calibri" w:hAnsi="Calibri"/>
                <w:sz w:val="18"/>
                <w:szCs w:val="18"/>
                <w:b w:val="1"/>
                <w:bCs w:val="1"/>
                <w:color w:val="auto"/>
              </w:rPr>
              <w:t>298.0</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303.0</w:t>
            </w:r>
          </w:p>
        </w:tc>
      </w:tr>
      <w:tr>
        <w:trPr>
          <w:trHeight w:val="28"/>
        </w:trPr>
        <w:tc>
          <w:tcPr>
            <w:tcW w:w="4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82"/>
        </w:trPr>
        <w:tc>
          <w:tcPr>
            <w:tcW w:w="434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Balance at end of period</w:t>
            </w:r>
          </w:p>
        </w:tc>
        <w:tc>
          <w:tcPr>
            <w:tcW w:w="500" w:type="dxa"/>
            <w:vAlign w:val="bottom"/>
            <w:tcBorders>
              <w:bottom w:val="single" w:sz="8" w:color="E5F1F8"/>
            </w:tcBorders>
            <w:shd w:val="clear" w:color="auto" w:fill="E5F1F8"/>
          </w:tcPr>
          <w:p>
            <w:pPr>
              <w:spacing w:after="0"/>
              <w:rPr>
                <w:sz w:val="24"/>
                <w:szCs w:val="24"/>
                <w:color w:val="auto"/>
              </w:rPr>
            </w:pPr>
          </w:p>
        </w:tc>
        <w:tc>
          <w:tcPr>
            <w:tcW w:w="740" w:type="dxa"/>
            <w:vAlign w:val="bottom"/>
            <w:tcBorders>
              <w:bottom w:val="single" w:sz="8" w:color="E5F1F8"/>
              <w:right w:val="single" w:sz="8" w:color="E5F1F8"/>
            </w:tcBorders>
            <w:shd w:val="clear" w:color="auto" w:fill="E5F1F8"/>
          </w:tcPr>
          <w:p>
            <w:pPr>
              <w:spacing w:after="0"/>
              <w:rPr>
                <w:sz w:val="24"/>
                <w:szCs w:val="24"/>
                <w:color w:val="auto"/>
              </w:rPr>
            </w:pPr>
          </w:p>
        </w:tc>
        <w:tc>
          <w:tcPr>
            <w:tcW w:w="120" w:type="dxa"/>
            <w:vAlign w:val="bottom"/>
            <w:tcBorders>
              <w:bottom w:val="single" w:sz="8" w:color="E5F1F8"/>
            </w:tcBorders>
            <w:shd w:val="clear" w:color="auto" w:fill="E5F1F8"/>
          </w:tcPr>
          <w:p>
            <w:pPr>
              <w:spacing w:after="0"/>
              <w:rPr>
                <w:sz w:val="24"/>
                <w:szCs w:val="24"/>
                <w:color w:val="auto"/>
              </w:rPr>
            </w:pPr>
          </w:p>
        </w:tc>
        <w:tc>
          <w:tcPr>
            <w:tcW w:w="180" w:type="dxa"/>
            <w:vAlign w:val="bottom"/>
            <w:tcBorders>
              <w:bottom w:val="single" w:sz="8" w:color="E5F1F8"/>
            </w:tcBorders>
            <w:shd w:val="clear" w:color="auto" w:fill="E5F1F8"/>
          </w:tcPr>
          <w:p>
            <w:pPr>
              <w:spacing w:after="0"/>
              <w:rPr>
                <w:sz w:val="24"/>
                <w:szCs w:val="24"/>
                <w:color w:val="auto"/>
              </w:rPr>
            </w:pPr>
          </w:p>
        </w:tc>
        <w:tc>
          <w:tcPr>
            <w:tcW w:w="260" w:type="dxa"/>
            <w:vAlign w:val="bottom"/>
            <w:tcBorders>
              <w:bottom w:val="single" w:sz="8" w:color="E5F1F8"/>
              <w:right w:val="single" w:sz="8" w:color="E5F1F8"/>
            </w:tcBorders>
            <w:shd w:val="clear" w:color="auto" w:fill="E5F1F8"/>
          </w:tcPr>
          <w:p>
            <w:pPr>
              <w:spacing w:after="0"/>
              <w:rPr>
                <w:sz w:val="24"/>
                <w:szCs w:val="24"/>
                <w:color w:val="auto"/>
              </w:rPr>
            </w:pPr>
          </w:p>
        </w:tc>
        <w:tc>
          <w:tcPr>
            <w:tcW w:w="640" w:type="dxa"/>
            <w:vAlign w:val="bottom"/>
            <w:tcBorders>
              <w:bottom w:val="single" w:sz="8" w:color="E5F1F8"/>
              <w:right w:val="single" w:sz="8" w:color="E5F1F8"/>
            </w:tcBorders>
            <w:shd w:val="clear" w:color="auto" w:fill="E5F1F8"/>
          </w:tcPr>
          <w:p>
            <w:pPr>
              <w:jc w:val="right"/>
              <w:ind w:right="270"/>
              <w:spacing w:after="0" w:line="208" w:lineRule="exact"/>
              <w:rPr>
                <w:sz w:val="20"/>
                <w:szCs w:val="20"/>
                <w:color w:val="auto"/>
              </w:rPr>
            </w:pPr>
            <w:r>
              <w:rPr>
                <w:rFonts w:ascii="Calibri" w:cs="Calibri" w:eastAsia="Calibri" w:hAnsi="Calibri"/>
                <w:sz w:val="18"/>
                <w:szCs w:val="18"/>
                <w:b w:val="1"/>
                <w:bCs w:val="1"/>
                <w:color w:val="auto"/>
              </w:rPr>
              <w:t>$</w:t>
            </w:r>
          </w:p>
        </w:tc>
        <w:tc>
          <w:tcPr>
            <w:tcW w:w="120" w:type="dxa"/>
            <w:vAlign w:val="bottom"/>
            <w:tcBorders>
              <w:bottom w:val="single" w:sz="8" w:color="E5F1F8"/>
            </w:tcBorders>
            <w:shd w:val="clear" w:color="auto" w:fill="E5F1F8"/>
          </w:tcPr>
          <w:p>
            <w:pPr>
              <w:spacing w:after="0"/>
              <w:rPr>
                <w:sz w:val="24"/>
                <w:szCs w:val="24"/>
                <w:color w:val="auto"/>
              </w:rPr>
            </w:pPr>
          </w:p>
        </w:tc>
        <w:tc>
          <w:tcPr>
            <w:tcW w:w="260" w:type="dxa"/>
            <w:vAlign w:val="bottom"/>
            <w:tcBorders>
              <w:bottom w:val="single" w:sz="8" w:color="E5F1F8"/>
            </w:tcBorders>
            <w:shd w:val="clear" w:color="auto" w:fill="E5F1F8"/>
          </w:tcPr>
          <w:p>
            <w:pPr>
              <w:spacing w:after="0"/>
              <w:rPr>
                <w:sz w:val="24"/>
                <w:szCs w:val="24"/>
                <w:color w:val="auto"/>
              </w:rPr>
            </w:pPr>
          </w:p>
        </w:tc>
        <w:tc>
          <w:tcPr>
            <w:tcW w:w="760" w:type="dxa"/>
            <w:vAlign w:val="bottom"/>
            <w:tcBorders>
              <w:bottom w:val="single" w:sz="8" w:color="E5F1F8"/>
              <w:right w:val="single" w:sz="8" w:color="E5F1F8"/>
            </w:tcBorders>
            <w:shd w:val="clear" w:color="auto" w:fill="E5F1F8"/>
          </w:tcPr>
          <w:p>
            <w:pPr>
              <w:jc w:val="right"/>
              <w:ind w:right="90"/>
              <w:spacing w:after="0" w:line="208" w:lineRule="exact"/>
              <w:rPr>
                <w:sz w:val="20"/>
                <w:szCs w:val="20"/>
                <w:color w:val="auto"/>
              </w:rPr>
            </w:pPr>
            <w:r>
              <w:rPr>
                <w:rFonts w:ascii="Calibri" w:cs="Calibri" w:eastAsia="Calibri" w:hAnsi="Calibri"/>
                <w:sz w:val="18"/>
                <w:szCs w:val="18"/>
                <w:b w:val="1"/>
                <w:bCs w:val="1"/>
                <w:color w:val="auto"/>
              </w:rPr>
              <w:t>764.4</w:t>
            </w:r>
          </w:p>
        </w:tc>
        <w:tc>
          <w:tcPr>
            <w:tcW w:w="420" w:type="dxa"/>
            <w:vAlign w:val="bottom"/>
            <w:tcBorders>
              <w:bottom w:val="single" w:sz="8" w:color="E5F1F8"/>
            </w:tcBorders>
            <w:gridSpan w:val="2"/>
            <w:shd w:val="clear" w:color="auto" w:fill="E5F1F8"/>
          </w:tcPr>
          <w:p>
            <w:pPr>
              <w:ind w:left="140"/>
              <w:spacing w:after="0" w:line="208" w:lineRule="exact"/>
              <w:rPr>
                <w:sz w:val="20"/>
                <w:szCs w:val="20"/>
                <w:color w:val="auto"/>
              </w:rPr>
            </w:pPr>
            <w:r>
              <w:rPr>
                <w:rFonts w:ascii="Calibri" w:cs="Calibri" w:eastAsia="Calibri" w:hAnsi="Calibri"/>
                <w:sz w:val="18"/>
                <w:szCs w:val="18"/>
                <w:b w:val="1"/>
                <w:bCs w:val="1"/>
                <w:color w:val="auto"/>
              </w:rPr>
              <w:t>$</w:t>
            </w:r>
          </w:p>
        </w:tc>
        <w:tc>
          <w:tcPr>
            <w:tcW w:w="560" w:type="dxa"/>
            <w:vAlign w:val="bottom"/>
            <w:tcBorders>
              <w:bottom w:val="single" w:sz="8" w:color="E5F1F8"/>
            </w:tcBorders>
            <w:shd w:val="clear" w:color="auto" w:fill="E5F1F8"/>
          </w:tcPr>
          <w:p>
            <w:pPr>
              <w:spacing w:after="0"/>
              <w:rPr>
                <w:sz w:val="24"/>
                <w:szCs w:val="24"/>
                <w:color w:val="auto"/>
              </w:rPr>
            </w:pPr>
          </w:p>
        </w:tc>
        <w:tc>
          <w:tcPr>
            <w:tcW w:w="680" w:type="dxa"/>
            <w:vAlign w:val="bottom"/>
            <w:tcBorders>
              <w:bottom w:val="single" w:sz="8" w:color="E5F1F8"/>
              <w:right w:val="single" w:sz="8" w:color="E5F1F8"/>
            </w:tcBorders>
            <w:gridSpan w:val="3"/>
            <w:shd w:val="clear" w:color="auto" w:fill="E5F1F8"/>
          </w:tcPr>
          <w:p>
            <w:pPr>
              <w:jc w:val="center"/>
              <w:ind w:right="50"/>
              <w:spacing w:after="0" w:line="208" w:lineRule="exact"/>
              <w:rPr>
                <w:sz w:val="20"/>
                <w:szCs w:val="20"/>
                <w:color w:val="auto"/>
              </w:rPr>
            </w:pPr>
            <w:r>
              <w:rPr>
                <w:rFonts w:ascii="Calibri" w:cs="Calibri" w:eastAsia="Calibri" w:hAnsi="Calibri"/>
                <w:sz w:val="18"/>
                <w:szCs w:val="18"/>
                <w:b w:val="1"/>
                <w:bCs w:val="1"/>
                <w:color w:val="auto"/>
                <w:w w:val="97"/>
              </w:rPr>
              <w:t>2,885.1</w:t>
            </w:r>
          </w:p>
        </w:tc>
        <w:tc>
          <w:tcPr>
            <w:tcW w:w="40" w:type="dxa"/>
            <w:vAlign w:val="bottom"/>
            <w:tcBorders>
              <w:bottom w:val="single" w:sz="8" w:color="E5F1F8"/>
            </w:tcBorders>
            <w:shd w:val="clear" w:color="auto" w:fill="E5F1F8"/>
          </w:tcPr>
          <w:p>
            <w:pPr>
              <w:spacing w:after="0"/>
              <w:rPr>
                <w:sz w:val="24"/>
                <w:szCs w:val="24"/>
                <w:color w:val="auto"/>
              </w:rPr>
            </w:pPr>
          </w:p>
        </w:tc>
        <w:tc>
          <w:tcPr>
            <w:tcW w:w="540" w:type="dxa"/>
            <w:vAlign w:val="bottom"/>
            <w:tcBorders>
              <w:bottom w:val="single" w:sz="8" w:color="E5F1F8"/>
              <w:right w:val="single" w:sz="8" w:color="E5F1F8"/>
            </w:tcBorders>
            <w:shd w:val="clear" w:color="auto" w:fill="E5F1F8"/>
          </w:tcPr>
          <w:p>
            <w:pPr>
              <w:jc w:val="right"/>
              <w:ind w:right="230"/>
              <w:spacing w:after="0" w:line="208" w:lineRule="exact"/>
              <w:rPr>
                <w:sz w:val="20"/>
                <w:szCs w:val="20"/>
                <w:color w:val="auto"/>
              </w:rPr>
            </w:pPr>
            <w:r>
              <w:rPr>
                <w:rFonts w:ascii="Calibri" w:cs="Calibri" w:eastAsia="Calibri" w:hAnsi="Calibri"/>
                <w:sz w:val="18"/>
                <w:szCs w:val="18"/>
                <w:b w:val="1"/>
                <w:bCs w:val="1"/>
                <w:color w:val="auto"/>
              </w:rPr>
              <w:t>$</w:t>
            </w:r>
          </w:p>
        </w:tc>
        <w:tc>
          <w:tcPr>
            <w:tcW w:w="100" w:type="dxa"/>
            <w:vAlign w:val="bottom"/>
            <w:tcBorders>
              <w:bottom w:val="single" w:sz="8" w:color="E5F1F8"/>
            </w:tcBorders>
            <w:shd w:val="clear" w:color="auto" w:fill="E5F1F8"/>
          </w:tcPr>
          <w:p>
            <w:pPr>
              <w:spacing w:after="0"/>
              <w:rPr>
                <w:sz w:val="24"/>
                <w:szCs w:val="24"/>
                <w:color w:val="auto"/>
              </w:rPr>
            </w:pPr>
          </w:p>
        </w:tc>
        <w:tc>
          <w:tcPr>
            <w:tcW w:w="180" w:type="dxa"/>
            <w:vAlign w:val="bottom"/>
            <w:tcBorders>
              <w:bottom w:val="single" w:sz="8" w:color="E5F1F8"/>
            </w:tcBorders>
            <w:shd w:val="clear" w:color="auto" w:fill="E5F1F8"/>
          </w:tcPr>
          <w:p>
            <w:pPr>
              <w:spacing w:after="0"/>
              <w:rPr>
                <w:sz w:val="24"/>
                <w:szCs w:val="24"/>
                <w:color w:val="auto"/>
              </w:rPr>
            </w:pPr>
          </w:p>
        </w:tc>
        <w:tc>
          <w:tcPr>
            <w:tcW w:w="80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b w:val="1"/>
                <w:bCs w:val="1"/>
                <w:color w:val="auto"/>
              </w:rPr>
              <w:t>3,649.5</w:t>
            </w:r>
          </w:p>
        </w:tc>
      </w:tr>
      <w:tr>
        <w:trPr>
          <w:trHeight w:val="223"/>
        </w:trPr>
        <w:tc>
          <w:tcPr>
            <w:tcW w:w="43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r>
      <w:tr>
        <w:trPr>
          <w:trHeight w:val="223"/>
        </w:trPr>
        <w:tc>
          <w:tcPr>
            <w:tcW w:w="4340" w:type="dxa"/>
            <w:vAlign w:val="bottom"/>
            <w:tcBorders>
              <w:bottom w:val="single" w:sz="8" w:color="007CBA"/>
              <w:right w:val="single" w:sz="8" w:color="007CBA"/>
            </w:tcBorders>
            <w:shd w:val="clear" w:color="auto" w:fill="007CBA"/>
          </w:tcPr>
          <w:p>
            <w:pPr>
              <w:spacing w:after="0"/>
              <w:rPr>
                <w:sz w:val="19"/>
                <w:szCs w:val="19"/>
                <w:color w:val="auto"/>
              </w:rPr>
            </w:pPr>
          </w:p>
        </w:tc>
        <w:tc>
          <w:tcPr>
            <w:tcW w:w="500" w:type="dxa"/>
            <w:vAlign w:val="bottom"/>
            <w:tcBorders>
              <w:bottom w:val="single" w:sz="8" w:color="007CBA"/>
            </w:tcBorders>
            <w:shd w:val="clear" w:color="auto" w:fill="007CBA"/>
          </w:tcPr>
          <w:p>
            <w:pPr>
              <w:spacing w:after="0"/>
              <w:rPr>
                <w:sz w:val="19"/>
                <w:szCs w:val="19"/>
                <w:color w:val="auto"/>
              </w:rPr>
            </w:pPr>
          </w:p>
        </w:tc>
        <w:tc>
          <w:tcPr>
            <w:tcW w:w="740" w:type="dxa"/>
            <w:vAlign w:val="bottom"/>
            <w:tcBorders>
              <w:bottom w:val="single" w:sz="8" w:color="007CBA"/>
              <w:right w:val="single" w:sz="8" w:color="007CBA"/>
            </w:tcBorders>
            <w:shd w:val="clear" w:color="auto" w:fill="007CBA"/>
          </w:tcPr>
          <w:p>
            <w:pPr>
              <w:spacing w:after="0"/>
              <w:rPr>
                <w:sz w:val="19"/>
                <w:szCs w:val="19"/>
                <w:color w:val="auto"/>
              </w:rPr>
            </w:pPr>
          </w:p>
        </w:tc>
        <w:tc>
          <w:tcPr>
            <w:tcW w:w="120" w:type="dxa"/>
            <w:vAlign w:val="bottom"/>
            <w:tcBorders>
              <w:bottom w:val="single" w:sz="8" w:color="007CBA"/>
            </w:tcBorders>
            <w:shd w:val="clear" w:color="auto" w:fill="007CBA"/>
          </w:tcPr>
          <w:p>
            <w:pPr>
              <w:spacing w:after="0"/>
              <w:rPr>
                <w:sz w:val="19"/>
                <w:szCs w:val="19"/>
                <w:color w:val="auto"/>
              </w:rPr>
            </w:pPr>
          </w:p>
        </w:tc>
        <w:tc>
          <w:tcPr>
            <w:tcW w:w="180" w:type="dxa"/>
            <w:vAlign w:val="bottom"/>
            <w:tcBorders>
              <w:bottom w:val="single" w:sz="8" w:color="007CBA"/>
            </w:tcBorders>
            <w:shd w:val="clear" w:color="auto" w:fill="007CBA"/>
          </w:tcPr>
          <w:p>
            <w:pPr>
              <w:spacing w:after="0"/>
              <w:rPr>
                <w:sz w:val="19"/>
                <w:szCs w:val="19"/>
                <w:color w:val="auto"/>
              </w:rPr>
            </w:pPr>
          </w:p>
        </w:tc>
        <w:tc>
          <w:tcPr>
            <w:tcW w:w="260" w:type="dxa"/>
            <w:vAlign w:val="bottom"/>
            <w:tcBorders>
              <w:bottom w:val="single" w:sz="8" w:color="007CBA"/>
              <w:right w:val="single" w:sz="8" w:color="007CBA"/>
            </w:tcBorders>
            <w:shd w:val="clear" w:color="auto" w:fill="007CBA"/>
          </w:tcPr>
          <w:p>
            <w:pPr>
              <w:spacing w:after="0"/>
              <w:rPr>
                <w:sz w:val="19"/>
                <w:szCs w:val="19"/>
                <w:color w:val="auto"/>
              </w:rPr>
            </w:pPr>
          </w:p>
        </w:tc>
        <w:tc>
          <w:tcPr>
            <w:tcW w:w="640" w:type="dxa"/>
            <w:vAlign w:val="bottom"/>
            <w:tcBorders>
              <w:bottom w:val="single" w:sz="8" w:color="007CBA"/>
              <w:right w:val="single" w:sz="8" w:color="007CBA"/>
            </w:tcBorders>
            <w:shd w:val="clear" w:color="auto" w:fill="007CBA"/>
          </w:tcPr>
          <w:p>
            <w:pPr>
              <w:spacing w:after="0"/>
              <w:rPr>
                <w:sz w:val="19"/>
                <w:szCs w:val="19"/>
                <w:color w:val="auto"/>
              </w:rPr>
            </w:pPr>
          </w:p>
        </w:tc>
        <w:tc>
          <w:tcPr>
            <w:tcW w:w="120" w:type="dxa"/>
            <w:vAlign w:val="bottom"/>
            <w:tcBorders>
              <w:bottom w:val="single" w:sz="8" w:color="007CBA"/>
            </w:tcBorders>
            <w:shd w:val="clear" w:color="auto" w:fill="007CBA"/>
          </w:tcPr>
          <w:p>
            <w:pPr>
              <w:spacing w:after="0"/>
              <w:rPr>
                <w:sz w:val="19"/>
                <w:szCs w:val="19"/>
                <w:color w:val="auto"/>
              </w:rPr>
            </w:pPr>
          </w:p>
        </w:tc>
        <w:tc>
          <w:tcPr>
            <w:tcW w:w="260" w:type="dxa"/>
            <w:vAlign w:val="bottom"/>
            <w:tcBorders>
              <w:bottom w:val="single" w:sz="8" w:color="007CBA"/>
            </w:tcBorders>
            <w:shd w:val="clear" w:color="auto" w:fill="007CBA"/>
          </w:tcPr>
          <w:p>
            <w:pPr>
              <w:spacing w:after="0"/>
              <w:rPr>
                <w:sz w:val="19"/>
                <w:szCs w:val="19"/>
                <w:color w:val="auto"/>
              </w:rPr>
            </w:pPr>
          </w:p>
        </w:tc>
        <w:tc>
          <w:tcPr>
            <w:tcW w:w="760" w:type="dxa"/>
            <w:vAlign w:val="bottom"/>
            <w:tcBorders>
              <w:bottom w:val="single" w:sz="8" w:color="007CBA"/>
              <w:right w:val="single" w:sz="8" w:color="007CBA"/>
            </w:tcBorders>
            <w:shd w:val="clear" w:color="auto" w:fill="007CBA"/>
          </w:tcPr>
          <w:p>
            <w:pPr>
              <w:spacing w:after="0"/>
              <w:rPr>
                <w:sz w:val="19"/>
                <w:szCs w:val="19"/>
                <w:color w:val="auto"/>
              </w:rPr>
            </w:pPr>
          </w:p>
        </w:tc>
        <w:tc>
          <w:tcPr>
            <w:tcW w:w="100" w:type="dxa"/>
            <w:vAlign w:val="bottom"/>
            <w:tcBorders>
              <w:bottom w:val="single" w:sz="8" w:color="007CBA"/>
            </w:tcBorders>
            <w:shd w:val="clear" w:color="auto" w:fill="007CBA"/>
          </w:tcPr>
          <w:p>
            <w:pPr>
              <w:spacing w:after="0"/>
              <w:rPr>
                <w:sz w:val="19"/>
                <w:szCs w:val="19"/>
                <w:color w:val="auto"/>
              </w:rPr>
            </w:pPr>
          </w:p>
        </w:tc>
        <w:tc>
          <w:tcPr>
            <w:tcW w:w="320" w:type="dxa"/>
            <w:vAlign w:val="bottom"/>
            <w:tcBorders>
              <w:bottom w:val="single" w:sz="8" w:color="007CBA"/>
            </w:tcBorders>
            <w:shd w:val="clear" w:color="auto" w:fill="007CBA"/>
          </w:tcPr>
          <w:p>
            <w:pPr>
              <w:spacing w:after="0"/>
              <w:rPr>
                <w:sz w:val="19"/>
                <w:szCs w:val="19"/>
                <w:color w:val="auto"/>
              </w:rPr>
            </w:pPr>
          </w:p>
        </w:tc>
        <w:tc>
          <w:tcPr>
            <w:tcW w:w="560" w:type="dxa"/>
            <w:vAlign w:val="bottom"/>
            <w:tcBorders>
              <w:bottom w:val="single" w:sz="8" w:color="007CBA"/>
            </w:tcBorders>
            <w:shd w:val="clear" w:color="auto" w:fill="007CBA"/>
          </w:tcPr>
          <w:p>
            <w:pPr>
              <w:jc w:val="right"/>
              <w:spacing w:after="0" w:line="215" w:lineRule="exact"/>
              <w:rPr>
                <w:sz w:val="20"/>
                <w:szCs w:val="20"/>
                <w:color w:val="auto"/>
              </w:rPr>
            </w:pPr>
            <w:r>
              <w:rPr>
                <w:rFonts w:ascii="Calibri" w:cs="Calibri" w:eastAsia="Calibri" w:hAnsi="Calibri"/>
                <w:sz w:val="18"/>
                <w:szCs w:val="18"/>
                <w:color w:val="FFFFFF"/>
              </w:rPr>
              <w:t>2021</w:t>
            </w:r>
          </w:p>
        </w:tc>
        <w:tc>
          <w:tcPr>
            <w:tcW w:w="120" w:type="dxa"/>
            <w:vAlign w:val="bottom"/>
            <w:tcBorders>
              <w:bottom w:val="single" w:sz="8" w:color="007CBA"/>
              <w:right w:val="single" w:sz="8" w:color="007CBA"/>
            </w:tcBorders>
            <w:shd w:val="clear" w:color="auto" w:fill="007CBA"/>
          </w:tcPr>
          <w:p>
            <w:pPr>
              <w:spacing w:after="0"/>
              <w:rPr>
                <w:sz w:val="19"/>
                <w:szCs w:val="19"/>
                <w:color w:val="auto"/>
              </w:rPr>
            </w:pPr>
          </w:p>
        </w:tc>
        <w:tc>
          <w:tcPr>
            <w:tcW w:w="100" w:type="dxa"/>
            <w:vAlign w:val="bottom"/>
            <w:tcBorders>
              <w:bottom w:val="single" w:sz="8" w:color="007CBA"/>
            </w:tcBorders>
            <w:shd w:val="clear" w:color="auto" w:fill="007CBA"/>
          </w:tcPr>
          <w:p>
            <w:pPr>
              <w:spacing w:after="0"/>
              <w:rPr>
                <w:sz w:val="19"/>
                <w:szCs w:val="19"/>
                <w:color w:val="auto"/>
              </w:rPr>
            </w:pPr>
          </w:p>
        </w:tc>
        <w:tc>
          <w:tcPr>
            <w:tcW w:w="460" w:type="dxa"/>
            <w:vAlign w:val="bottom"/>
            <w:tcBorders>
              <w:bottom w:val="single" w:sz="8" w:color="007CBA"/>
              <w:right w:val="single" w:sz="8" w:color="007CBA"/>
            </w:tcBorders>
            <w:shd w:val="clear" w:color="auto" w:fill="007CBA"/>
          </w:tcPr>
          <w:p>
            <w:pPr>
              <w:spacing w:after="0"/>
              <w:rPr>
                <w:sz w:val="19"/>
                <w:szCs w:val="19"/>
                <w:color w:val="auto"/>
              </w:rPr>
            </w:pPr>
          </w:p>
        </w:tc>
        <w:tc>
          <w:tcPr>
            <w:tcW w:w="40" w:type="dxa"/>
            <w:vAlign w:val="bottom"/>
            <w:tcBorders>
              <w:bottom w:val="single" w:sz="8" w:color="007CBA"/>
            </w:tcBorders>
            <w:shd w:val="clear" w:color="auto" w:fill="007CBA"/>
          </w:tcPr>
          <w:p>
            <w:pPr>
              <w:spacing w:after="0"/>
              <w:rPr>
                <w:sz w:val="19"/>
                <w:szCs w:val="19"/>
                <w:color w:val="auto"/>
              </w:rPr>
            </w:pPr>
          </w:p>
        </w:tc>
        <w:tc>
          <w:tcPr>
            <w:tcW w:w="540" w:type="dxa"/>
            <w:vAlign w:val="bottom"/>
            <w:tcBorders>
              <w:bottom w:val="single" w:sz="8" w:color="007CBA"/>
              <w:right w:val="single" w:sz="8" w:color="007CBA"/>
            </w:tcBorders>
            <w:shd w:val="clear" w:color="auto" w:fill="007CBA"/>
          </w:tcPr>
          <w:p>
            <w:pPr>
              <w:spacing w:after="0"/>
              <w:rPr>
                <w:sz w:val="19"/>
                <w:szCs w:val="19"/>
                <w:color w:val="auto"/>
              </w:rPr>
            </w:pPr>
          </w:p>
        </w:tc>
        <w:tc>
          <w:tcPr>
            <w:tcW w:w="100" w:type="dxa"/>
            <w:vAlign w:val="bottom"/>
            <w:tcBorders>
              <w:bottom w:val="single" w:sz="8" w:color="007CBA"/>
            </w:tcBorders>
            <w:shd w:val="clear" w:color="auto" w:fill="007CBA"/>
          </w:tcPr>
          <w:p>
            <w:pPr>
              <w:spacing w:after="0"/>
              <w:rPr>
                <w:sz w:val="19"/>
                <w:szCs w:val="19"/>
                <w:color w:val="auto"/>
              </w:rPr>
            </w:pPr>
          </w:p>
        </w:tc>
        <w:tc>
          <w:tcPr>
            <w:tcW w:w="180" w:type="dxa"/>
            <w:vAlign w:val="bottom"/>
            <w:tcBorders>
              <w:bottom w:val="single" w:sz="8" w:color="007CBA"/>
            </w:tcBorders>
            <w:shd w:val="clear" w:color="auto" w:fill="007CBA"/>
          </w:tcPr>
          <w:p>
            <w:pPr>
              <w:spacing w:after="0"/>
              <w:rPr>
                <w:sz w:val="19"/>
                <w:szCs w:val="19"/>
                <w:color w:val="auto"/>
              </w:rPr>
            </w:pPr>
          </w:p>
        </w:tc>
        <w:tc>
          <w:tcPr>
            <w:tcW w:w="800" w:type="dxa"/>
            <w:vAlign w:val="bottom"/>
            <w:tcBorders>
              <w:bottom w:val="single" w:sz="8" w:color="007CBA"/>
            </w:tcBorders>
            <w:shd w:val="clear" w:color="auto" w:fill="007CBA"/>
          </w:tcPr>
          <w:p>
            <w:pPr>
              <w:spacing w:after="0"/>
              <w:rPr>
                <w:sz w:val="19"/>
                <w:szCs w:val="19"/>
                <w:color w:val="auto"/>
              </w:rPr>
            </w:pPr>
          </w:p>
        </w:tc>
      </w:tr>
      <w:tr>
        <w:trPr>
          <w:trHeight w:val="243"/>
        </w:trPr>
        <w:tc>
          <w:tcPr>
            <w:tcW w:w="4340" w:type="dxa"/>
            <w:vAlign w:val="bottom"/>
          </w:tcPr>
          <w:p>
            <w:pPr>
              <w:ind w:left="120"/>
              <w:spacing w:after="0" w:line="215" w:lineRule="exact"/>
              <w:rPr>
                <w:sz w:val="20"/>
                <w:szCs w:val="20"/>
                <w:color w:val="auto"/>
              </w:rPr>
            </w:pPr>
            <w:r>
              <w:rPr>
                <w:rFonts w:ascii="Calibri" w:cs="Calibri" w:eastAsia="Calibri" w:hAnsi="Calibri"/>
                <w:sz w:val="18"/>
                <w:szCs w:val="18"/>
                <w:color w:val="auto"/>
              </w:rPr>
              <w:t>Balance at beginning of period</w:t>
            </w: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Borders>
              <w:right w:val="single" w:sz="8" w:color="007CBA"/>
            </w:tcBorders>
          </w:tcPr>
          <w:p>
            <w:pPr>
              <w:spacing w:after="0"/>
              <w:rPr>
                <w:sz w:val="21"/>
                <w:szCs w:val="21"/>
                <w:color w:val="auto"/>
              </w:rPr>
            </w:pPr>
          </w:p>
        </w:tc>
        <w:tc>
          <w:tcPr>
            <w:tcW w:w="6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Borders>
              <w:right w:val="single" w:sz="8" w:color="007CBA"/>
            </w:tcBorders>
          </w:tcPr>
          <w:p>
            <w:pPr>
              <w:jc w:val="right"/>
              <w:ind w:right="90"/>
              <w:spacing w:after="0" w:line="215" w:lineRule="exact"/>
              <w:rPr>
                <w:sz w:val="20"/>
                <w:szCs w:val="20"/>
                <w:color w:val="auto"/>
              </w:rPr>
            </w:pPr>
            <w:r>
              <w:rPr>
                <w:rFonts w:ascii="Calibri" w:cs="Calibri" w:eastAsia="Calibri" w:hAnsi="Calibri"/>
                <w:sz w:val="18"/>
                <w:szCs w:val="18"/>
                <w:color w:val="auto"/>
              </w:rPr>
              <w:t>572.5</w:t>
            </w:r>
          </w:p>
        </w:tc>
        <w:tc>
          <w:tcPr>
            <w:tcW w:w="420" w:type="dxa"/>
            <w:vAlign w:val="bottom"/>
            <w:gridSpan w:val="2"/>
          </w:tcPr>
          <w:p>
            <w:pPr>
              <w:ind w:left="140"/>
              <w:spacing w:after="0" w:line="215" w:lineRule="exact"/>
              <w:rPr>
                <w:sz w:val="20"/>
                <w:szCs w:val="20"/>
                <w:color w:val="auto"/>
              </w:rPr>
            </w:pPr>
            <w:r>
              <w:rPr>
                <w:rFonts w:ascii="Calibri" w:cs="Calibri" w:eastAsia="Calibri" w:hAnsi="Calibri"/>
                <w:sz w:val="18"/>
                <w:szCs w:val="18"/>
                <w:color w:val="auto"/>
              </w:rPr>
              <w:t>$</w:t>
            </w:r>
          </w:p>
        </w:tc>
        <w:tc>
          <w:tcPr>
            <w:tcW w:w="560" w:type="dxa"/>
            <w:vAlign w:val="bottom"/>
          </w:tcPr>
          <w:p>
            <w:pPr>
              <w:spacing w:after="0"/>
              <w:rPr>
                <w:sz w:val="21"/>
                <w:szCs w:val="21"/>
                <w:color w:val="auto"/>
              </w:rPr>
            </w:pPr>
          </w:p>
        </w:tc>
        <w:tc>
          <w:tcPr>
            <w:tcW w:w="680" w:type="dxa"/>
            <w:vAlign w:val="bottom"/>
            <w:tcBorders>
              <w:right w:val="single" w:sz="8" w:color="007CBA"/>
            </w:tcBorders>
            <w:gridSpan w:val="3"/>
          </w:tcPr>
          <w:p>
            <w:pPr>
              <w:jc w:val="center"/>
              <w:ind w:right="30"/>
              <w:spacing w:after="0" w:line="215" w:lineRule="exact"/>
              <w:rPr>
                <w:sz w:val="20"/>
                <w:szCs w:val="20"/>
                <w:color w:val="auto"/>
              </w:rPr>
            </w:pPr>
            <w:r>
              <w:rPr>
                <w:rFonts w:ascii="Calibri" w:cs="Calibri" w:eastAsia="Calibri" w:hAnsi="Calibri"/>
                <w:sz w:val="18"/>
                <w:szCs w:val="18"/>
                <w:color w:val="auto"/>
                <w:w w:val="95"/>
              </w:rPr>
              <w:t>1,841.5</w:t>
            </w:r>
          </w:p>
        </w:tc>
        <w:tc>
          <w:tcPr>
            <w:tcW w:w="40" w:type="dxa"/>
            <w:vAlign w:val="bottom"/>
          </w:tcPr>
          <w:p>
            <w:pPr>
              <w:spacing w:after="0"/>
              <w:rPr>
                <w:sz w:val="21"/>
                <w:szCs w:val="21"/>
                <w:color w:val="auto"/>
              </w:rPr>
            </w:pPr>
          </w:p>
        </w:tc>
        <w:tc>
          <w:tcPr>
            <w:tcW w:w="540" w:type="dxa"/>
            <w:vAlign w:val="bottom"/>
          </w:tcPr>
          <w:p>
            <w:pPr>
              <w:jc w:val="right"/>
              <w:ind w:right="23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2,414.0</w:t>
            </w:r>
          </w:p>
        </w:tc>
      </w:tr>
      <w:tr>
        <w:trPr>
          <w:trHeight w:val="248"/>
        </w:trPr>
        <w:tc>
          <w:tcPr>
            <w:tcW w:w="434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Acquisitons</w:t>
            </w:r>
          </w:p>
        </w:tc>
        <w:tc>
          <w:tcPr>
            <w:tcW w:w="500" w:type="dxa"/>
            <w:vAlign w:val="bottom"/>
            <w:tcBorders>
              <w:bottom w:val="single" w:sz="8" w:color="E5F1F8"/>
            </w:tcBorders>
            <w:shd w:val="clear" w:color="auto" w:fill="E5F1F8"/>
          </w:tcPr>
          <w:p>
            <w:pPr>
              <w:spacing w:after="0"/>
              <w:rPr>
                <w:sz w:val="21"/>
                <w:szCs w:val="21"/>
                <w:color w:val="auto"/>
              </w:rPr>
            </w:pPr>
          </w:p>
        </w:tc>
        <w:tc>
          <w:tcPr>
            <w:tcW w:w="740" w:type="dxa"/>
            <w:vAlign w:val="bottom"/>
            <w:tcBorders>
              <w:bottom w:val="single" w:sz="8" w:color="E5F1F8"/>
              <w:right w:val="single" w:sz="8" w:color="E5F1F8"/>
            </w:tcBorders>
            <w:shd w:val="clear" w:color="auto" w:fill="E5F1F8"/>
          </w:tcPr>
          <w:p>
            <w:pPr>
              <w:spacing w:after="0"/>
              <w:rPr>
                <w:sz w:val="21"/>
                <w:szCs w:val="21"/>
                <w:color w:val="auto"/>
              </w:rPr>
            </w:pPr>
          </w:p>
        </w:tc>
        <w:tc>
          <w:tcPr>
            <w:tcW w:w="120" w:type="dxa"/>
            <w:vAlign w:val="bottom"/>
            <w:tcBorders>
              <w:bottom w:val="single" w:sz="8" w:color="E5F1F8"/>
            </w:tcBorders>
            <w:shd w:val="clear" w:color="auto" w:fill="E5F1F8"/>
          </w:tcPr>
          <w:p>
            <w:pPr>
              <w:spacing w:after="0"/>
              <w:rPr>
                <w:sz w:val="21"/>
                <w:szCs w:val="21"/>
                <w:color w:val="auto"/>
              </w:rPr>
            </w:pPr>
          </w:p>
        </w:tc>
        <w:tc>
          <w:tcPr>
            <w:tcW w:w="180" w:type="dxa"/>
            <w:vAlign w:val="bottom"/>
            <w:tcBorders>
              <w:bottom w:val="single" w:sz="8" w:color="E5F1F8"/>
            </w:tcBorders>
            <w:shd w:val="clear" w:color="auto" w:fill="E5F1F8"/>
          </w:tcPr>
          <w:p>
            <w:pPr>
              <w:spacing w:after="0"/>
              <w:rPr>
                <w:sz w:val="21"/>
                <w:szCs w:val="21"/>
                <w:color w:val="auto"/>
              </w:rPr>
            </w:pPr>
          </w:p>
        </w:tc>
        <w:tc>
          <w:tcPr>
            <w:tcW w:w="260" w:type="dxa"/>
            <w:vAlign w:val="bottom"/>
            <w:tcBorders>
              <w:bottom w:val="single" w:sz="8" w:color="E5F1F8"/>
              <w:right w:val="single" w:sz="8" w:color="E5F1F8"/>
            </w:tcBorders>
            <w:shd w:val="clear" w:color="auto" w:fill="E5F1F8"/>
          </w:tcPr>
          <w:p>
            <w:pPr>
              <w:spacing w:after="0"/>
              <w:rPr>
                <w:sz w:val="21"/>
                <w:szCs w:val="21"/>
                <w:color w:val="auto"/>
              </w:rPr>
            </w:pPr>
          </w:p>
        </w:tc>
        <w:tc>
          <w:tcPr>
            <w:tcW w:w="640" w:type="dxa"/>
            <w:vAlign w:val="bottom"/>
            <w:tcBorders>
              <w:bottom w:val="single" w:sz="8" w:color="E5F1F8"/>
              <w:right w:val="single" w:sz="8" w:color="E5F1F8"/>
            </w:tcBorders>
            <w:shd w:val="clear" w:color="auto" w:fill="E5F1F8"/>
          </w:tcPr>
          <w:p>
            <w:pPr>
              <w:spacing w:after="0"/>
              <w:rPr>
                <w:sz w:val="21"/>
                <w:szCs w:val="21"/>
                <w:color w:val="auto"/>
              </w:rPr>
            </w:pPr>
          </w:p>
        </w:tc>
        <w:tc>
          <w:tcPr>
            <w:tcW w:w="120" w:type="dxa"/>
            <w:vAlign w:val="bottom"/>
            <w:tcBorders>
              <w:bottom w:val="single" w:sz="8" w:color="E5F1F8"/>
            </w:tcBorders>
            <w:shd w:val="clear" w:color="auto" w:fill="E5F1F8"/>
          </w:tcPr>
          <w:p>
            <w:pPr>
              <w:spacing w:after="0"/>
              <w:rPr>
                <w:sz w:val="21"/>
                <w:szCs w:val="21"/>
                <w:color w:val="auto"/>
              </w:rPr>
            </w:pPr>
          </w:p>
        </w:tc>
        <w:tc>
          <w:tcPr>
            <w:tcW w:w="260" w:type="dxa"/>
            <w:vAlign w:val="bottom"/>
            <w:tcBorders>
              <w:bottom w:val="single" w:sz="8" w:color="E5F1F8"/>
            </w:tcBorders>
            <w:shd w:val="clear" w:color="auto" w:fill="E5F1F8"/>
          </w:tcPr>
          <w:p>
            <w:pPr>
              <w:spacing w:after="0"/>
              <w:rPr>
                <w:sz w:val="21"/>
                <w:szCs w:val="21"/>
                <w:color w:val="auto"/>
              </w:rPr>
            </w:pPr>
          </w:p>
        </w:tc>
        <w:tc>
          <w:tcPr>
            <w:tcW w:w="760" w:type="dxa"/>
            <w:vAlign w:val="bottom"/>
            <w:tcBorders>
              <w:bottom w:val="single" w:sz="8" w:color="E5F1F8"/>
              <w:right w:val="single" w:sz="8" w:color="E5F1F8"/>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186.9</w:t>
            </w:r>
          </w:p>
        </w:tc>
        <w:tc>
          <w:tcPr>
            <w:tcW w:w="100" w:type="dxa"/>
            <w:vAlign w:val="bottom"/>
            <w:tcBorders>
              <w:bottom w:val="single" w:sz="8" w:color="E5F1F8"/>
            </w:tcBorders>
            <w:shd w:val="clear" w:color="auto" w:fill="E5F1F8"/>
          </w:tcPr>
          <w:p>
            <w:pPr>
              <w:spacing w:after="0"/>
              <w:rPr>
                <w:sz w:val="21"/>
                <w:szCs w:val="21"/>
                <w:color w:val="auto"/>
              </w:rPr>
            </w:pPr>
          </w:p>
        </w:tc>
        <w:tc>
          <w:tcPr>
            <w:tcW w:w="320" w:type="dxa"/>
            <w:vAlign w:val="bottom"/>
            <w:tcBorders>
              <w:bottom w:val="single" w:sz="8" w:color="E5F1F8"/>
            </w:tcBorders>
            <w:shd w:val="clear" w:color="auto" w:fill="E5F1F8"/>
          </w:tcPr>
          <w:p>
            <w:pPr>
              <w:spacing w:after="0"/>
              <w:rPr>
                <w:sz w:val="21"/>
                <w:szCs w:val="21"/>
                <w:color w:val="auto"/>
              </w:rPr>
            </w:pPr>
          </w:p>
        </w:tc>
        <w:tc>
          <w:tcPr>
            <w:tcW w:w="560" w:type="dxa"/>
            <w:vAlign w:val="bottom"/>
            <w:tcBorders>
              <w:bottom w:val="single" w:sz="8" w:color="E5F1F8"/>
            </w:tcBorders>
            <w:shd w:val="clear" w:color="auto" w:fill="E5F1F8"/>
          </w:tcPr>
          <w:p>
            <w:pPr>
              <w:spacing w:after="0"/>
              <w:rPr>
                <w:sz w:val="21"/>
                <w:szCs w:val="21"/>
                <w:color w:val="auto"/>
              </w:rPr>
            </w:pPr>
          </w:p>
        </w:tc>
        <w:tc>
          <w:tcPr>
            <w:tcW w:w="680" w:type="dxa"/>
            <w:vAlign w:val="bottom"/>
            <w:tcBorders>
              <w:bottom w:val="single" w:sz="8" w:color="E5F1F8"/>
              <w:right w:val="single" w:sz="8" w:color="E5F1F8"/>
            </w:tcBorders>
            <w:gridSpan w:val="3"/>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893.5</w:t>
            </w:r>
          </w:p>
        </w:tc>
        <w:tc>
          <w:tcPr>
            <w:tcW w:w="40" w:type="dxa"/>
            <w:vAlign w:val="bottom"/>
            <w:tcBorders>
              <w:bottom w:val="single" w:sz="8" w:color="E5F1F8"/>
            </w:tcBorders>
            <w:shd w:val="clear" w:color="auto" w:fill="E5F1F8"/>
          </w:tcPr>
          <w:p>
            <w:pPr>
              <w:spacing w:after="0"/>
              <w:rPr>
                <w:sz w:val="21"/>
                <w:szCs w:val="21"/>
                <w:color w:val="auto"/>
              </w:rPr>
            </w:pPr>
          </w:p>
        </w:tc>
        <w:tc>
          <w:tcPr>
            <w:tcW w:w="540" w:type="dxa"/>
            <w:vAlign w:val="bottom"/>
            <w:tcBorders>
              <w:bottom w:val="single" w:sz="8" w:color="E5F1F8"/>
              <w:right w:val="single" w:sz="8" w:color="E5F1F8"/>
            </w:tcBorders>
            <w:shd w:val="clear" w:color="auto" w:fill="E5F1F8"/>
          </w:tcPr>
          <w:p>
            <w:pPr>
              <w:spacing w:after="0"/>
              <w:rPr>
                <w:sz w:val="21"/>
                <w:szCs w:val="21"/>
                <w:color w:val="auto"/>
              </w:rPr>
            </w:pPr>
          </w:p>
        </w:tc>
        <w:tc>
          <w:tcPr>
            <w:tcW w:w="100" w:type="dxa"/>
            <w:vAlign w:val="bottom"/>
            <w:tcBorders>
              <w:bottom w:val="single" w:sz="8" w:color="E5F1F8"/>
            </w:tcBorders>
            <w:shd w:val="clear" w:color="auto" w:fill="E5F1F8"/>
          </w:tcPr>
          <w:p>
            <w:pPr>
              <w:spacing w:after="0"/>
              <w:rPr>
                <w:sz w:val="21"/>
                <w:szCs w:val="21"/>
                <w:color w:val="auto"/>
              </w:rPr>
            </w:pPr>
          </w:p>
        </w:tc>
        <w:tc>
          <w:tcPr>
            <w:tcW w:w="180" w:type="dxa"/>
            <w:vAlign w:val="bottom"/>
            <w:tcBorders>
              <w:bottom w:val="single" w:sz="8" w:color="E5F1F8"/>
            </w:tcBorders>
            <w:shd w:val="clear" w:color="auto" w:fill="E5F1F8"/>
          </w:tcPr>
          <w:p>
            <w:pPr>
              <w:spacing w:after="0"/>
              <w:rPr>
                <w:sz w:val="21"/>
                <w:szCs w:val="21"/>
                <w:color w:val="auto"/>
              </w:rPr>
            </w:pPr>
          </w:p>
        </w:tc>
        <w:tc>
          <w:tcPr>
            <w:tcW w:w="80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1,080.4</w:t>
            </w:r>
          </w:p>
        </w:tc>
      </w:tr>
      <w:tr>
        <w:trPr>
          <w:trHeight w:val="208"/>
        </w:trPr>
        <w:tc>
          <w:tcPr>
            <w:tcW w:w="434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Balance at end of period</w:t>
            </w:r>
          </w:p>
        </w:tc>
        <w:tc>
          <w:tcPr>
            <w:tcW w:w="5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270"/>
              <w:spacing w:after="0" w:line="208" w:lineRule="exact"/>
              <w:rPr>
                <w:sz w:val="20"/>
                <w:szCs w:val="20"/>
                <w:color w:val="auto"/>
              </w:rPr>
            </w:pPr>
            <w:r>
              <w:rPr>
                <w:rFonts w:ascii="Calibri" w:cs="Calibri" w:eastAsia="Calibri" w:hAnsi="Calibri"/>
                <w:sz w:val="18"/>
                <w:szCs w:val="18"/>
                <w:color w:val="auto"/>
              </w:rPr>
              <w:t>$</w:t>
            </w: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90"/>
              <w:spacing w:after="0" w:line="208" w:lineRule="exact"/>
              <w:rPr>
                <w:sz w:val="20"/>
                <w:szCs w:val="20"/>
                <w:color w:val="auto"/>
              </w:rPr>
            </w:pPr>
            <w:r>
              <w:rPr>
                <w:rFonts w:ascii="Calibri" w:cs="Calibri" w:eastAsia="Calibri" w:hAnsi="Calibri"/>
                <w:sz w:val="18"/>
                <w:szCs w:val="18"/>
                <w:color w:val="auto"/>
              </w:rPr>
              <w:t>759.4</w:t>
            </w:r>
          </w:p>
        </w:tc>
        <w:tc>
          <w:tcPr>
            <w:tcW w:w="420" w:type="dxa"/>
            <w:vAlign w:val="bottom"/>
            <w:tcBorders>
              <w:top w:val="single" w:sz="8" w:color="auto"/>
            </w:tcBorders>
            <w:gridSpan w:val="2"/>
          </w:tcPr>
          <w:p>
            <w:pPr>
              <w:ind w:left="140"/>
              <w:spacing w:after="0" w:line="208" w:lineRule="exact"/>
              <w:rPr>
                <w:sz w:val="20"/>
                <w:szCs w:val="20"/>
                <w:color w:val="auto"/>
              </w:rPr>
            </w:pPr>
            <w:r>
              <w:rPr>
                <w:rFonts w:ascii="Calibri" w:cs="Calibri" w:eastAsia="Calibri" w:hAnsi="Calibri"/>
                <w:sz w:val="18"/>
                <w:szCs w:val="18"/>
                <w:color w:val="auto"/>
              </w:rPr>
              <w:t>$</w:t>
            </w:r>
          </w:p>
        </w:tc>
        <w:tc>
          <w:tcPr>
            <w:tcW w:w="5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3"/>
          </w:tcPr>
          <w:p>
            <w:pPr>
              <w:jc w:val="center"/>
              <w:ind w:right="30"/>
              <w:spacing w:after="0" w:line="208" w:lineRule="exact"/>
              <w:rPr>
                <w:sz w:val="20"/>
                <w:szCs w:val="20"/>
                <w:color w:val="auto"/>
              </w:rPr>
            </w:pPr>
            <w:r>
              <w:rPr>
                <w:rFonts w:ascii="Calibri" w:cs="Calibri" w:eastAsia="Calibri" w:hAnsi="Calibri"/>
                <w:sz w:val="18"/>
                <w:szCs w:val="18"/>
                <w:color w:val="auto"/>
                <w:w w:val="95"/>
              </w:rPr>
              <w:t>2,735.0</w:t>
            </w:r>
          </w:p>
        </w:tc>
        <w:tc>
          <w:tcPr>
            <w:tcW w:w="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230"/>
              <w:spacing w:after="0" w:line="208" w:lineRule="exact"/>
              <w:rPr>
                <w:sz w:val="20"/>
                <w:szCs w:val="20"/>
                <w:color w:val="auto"/>
              </w:rPr>
            </w:pPr>
            <w:r>
              <w:rPr>
                <w:rFonts w:ascii="Calibri" w:cs="Calibri" w:eastAsia="Calibri" w:hAnsi="Calibri"/>
                <w:sz w:val="18"/>
                <w:szCs w:val="18"/>
                <w:color w:val="auto"/>
              </w:rPr>
              <w:t>$</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3,494.4</w:t>
            </w:r>
          </w:p>
        </w:tc>
      </w:tr>
      <w:tr>
        <w:trPr>
          <w:trHeight w:val="28"/>
        </w:trPr>
        <w:tc>
          <w:tcPr>
            <w:tcW w:w="4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-6282690</wp:posOffset>
            </wp:positionV>
            <wp:extent cx="438023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43802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-5549900</wp:posOffset>
            </wp:positionV>
            <wp:extent cx="7132320" cy="5099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7132320" cy="509905"/>
                    </a:xfrm>
                    <a:prstGeom prst="rect">
                      <a:avLst/>
                    </a:prstGeom>
                    <a:noFill/>
                  </pic:spPr>
                </pic:pic>
              </a:graphicData>
            </a:graphic>
          </wp:anchor>
        </w:drawing>
        <w:drawing>
          <wp:anchor simplePos="0" relativeHeight="251657728" behindDoc="1" locked="0" layoutInCell="0" allowOverlap="1">
            <wp:simplePos x="0" y="0"/>
            <wp:positionH relativeFrom="column">
              <wp:posOffset>2735580</wp:posOffset>
            </wp:positionH>
            <wp:positionV relativeFrom="paragraph">
              <wp:posOffset>-4281170</wp:posOffset>
            </wp:positionV>
            <wp:extent cx="4401820" cy="3683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4401820" cy="368300"/>
                    </a:xfrm>
                    <a:prstGeom prst="rect">
                      <a:avLst/>
                    </a:prstGeom>
                    <a:noFill/>
                  </pic:spPr>
                </pic:pic>
              </a:graphicData>
            </a:graphic>
          </wp:anchor>
        </w:drawing>
        <w:drawing>
          <wp:anchor simplePos="0" relativeHeight="251657728" behindDoc="1" locked="0" layoutInCell="0" allowOverlap="1">
            <wp:simplePos x="0" y="0"/>
            <wp:positionH relativeFrom="column">
              <wp:posOffset>2735580</wp:posOffset>
            </wp:positionH>
            <wp:positionV relativeFrom="paragraph">
              <wp:posOffset>-3783965</wp:posOffset>
            </wp:positionV>
            <wp:extent cx="4401820" cy="3683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4401820" cy="3683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-3132455</wp:posOffset>
            </wp:positionV>
            <wp:extent cx="7132320" cy="3683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7132320" cy="36830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-1927860</wp:posOffset>
            </wp:positionV>
            <wp:extent cx="324040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32404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-1160780</wp:posOffset>
            </wp:positionV>
            <wp:extent cx="7132320" cy="5099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7132320" cy="509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3683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7132320" cy="36830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213995</wp:posOffset>
            </wp:positionV>
            <wp:extent cx="325755" cy="1974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34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308"/>
        </w:trPr>
        <w:tc>
          <w:tcPr>
            <w:tcW w:w="6580" w:type="dxa"/>
            <w:vAlign w:val="bottom"/>
          </w:tcPr>
          <w:p>
            <w:pPr>
              <w:spacing w:after="0"/>
              <w:rPr>
                <w:sz w:val="24"/>
                <w:szCs w:val="24"/>
                <w:color w:val="auto"/>
              </w:rPr>
            </w:pPr>
          </w:p>
        </w:tc>
        <w:tc>
          <w:tcPr>
            <w:tcW w:w="4680" w:type="dxa"/>
            <w:vAlign w:val="bottom"/>
            <w:gridSpan w:val="7"/>
          </w:tcPr>
          <w:p>
            <w:pPr>
              <w:ind w:left="60"/>
              <w:spacing w:after="0"/>
              <w:rPr>
                <w:sz w:val="20"/>
                <w:szCs w:val="20"/>
                <w:color w:val="auto"/>
              </w:rPr>
            </w:pPr>
            <w:r>
              <w:rPr>
                <w:rFonts w:ascii="Calibri" w:cs="Calibri" w:eastAsia="Calibri" w:hAnsi="Calibri"/>
                <w:sz w:val="18"/>
                <w:szCs w:val="18"/>
                <w:color w:val="auto"/>
                <w:w w:val="98"/>
              </w:rPr>
              <w:t xml:space="preserve">Part II </w:t>
            </w:r>
            <w:r>
              <w:rPr>
                <w:rFonts w:ascii="Arial" w:cs="Arial" w:eastAsia="Arial" w:hAnsi="Arial"/>
                <w:sz w:val="23"/>
                <w:szCs w:val="23"/>
                <w:color w:val="0070C0"/>
                <w:w w:val="98"/>
              </w:rPr>
              <w:t>♦</w:t>
            </w:r>
            <w:r>
              <w:rPr>
                <w:rFonts w:ascii="Calibri" w:cs="Calibri" w:eastAsia="Calibri" w:hAnsi="Calibri"/>
                <w:sz w:val="18"/>
                <w:szCs w:val="18"/>
                <w:color w:val="auto"/>
                <w:w w:val="98"/>
              </w:rPr>
              <w:t xml:space="preserve"> Item 8 – Financial Statements and Supplementary Data</w:t>
            </w:r>
          </w:p>
        </w:tc>
        <w:tc>
          <w:tcPr>
            <w:tcW w:w="0" w:type="dxa"/>
            <w:vAlign w:val="bottom"/>
          </w:tcPr>
          <w:p>
            <w:pPr>
              <w:spacing w:after="0"/>
              <w:rPr>
                <w:sz w:val="1"/>
                <w:szCs w:val="1"/>
                <w:color w:val="auto"/>
              </w:rPr>
            </w:pPr>
          </w:p>
        </w:tc>
      </w:tr>
      <w:tr>
        <w:trPr>
          <w:trHeight w:val="362"/>
        </w:trPr>
        <w:tc>
          <w:tcPr>
            <w:tcW w:w="6580" w:type="dxa"/>
            <w:vAlign w:val="bottom"/>
          </w:tcPr>
          <w:p>
            <w:pPr>
              <w:spacing w:after="0"/>
              <w:rPr>
                <w:sz w:val="20"/>
                <w:szCs w:val="20"/>
                <w:color w:val="auto"/>
              </w:rPr>
            </w:pPr>
            <w:r>
              <w:rPr>
                <w:rFonts w:ascii="Calibri" w:cs="Calibri" w:eastAsia="Calibri" w:hAnsi="Calibri"/>
                <w:sz w:val="18"/>
                <w:szCs w:val="18"/>
                <w:color w:val="auto"/>
              </w:rPr>
              <w:t>Intangible assets subject to amortzaton consist of the following:</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6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6580" w:type="dxa"/>
            <w:vAlign w:val="bottom"/>
            <w:tcBorders>
              <w:right w:val="single" w:sz="8" w:color="007CBA"/>
            </w:tcBorders>
            <w:shd w:val="clear" w:color="auto" w:fill="007CBA"/>
          </w:tcPr>
          <w:p>
            <w:pPr>
              <w:spacing w:after="0"/>
              <w:rPr>
                <w:sz w:val="18"/>
                <w:szCs w:val="18"/>
                <w:color w:val="auto"/>
              </w:rPr>
            </w:pPr>
          </w:p>
        </w:tc>
        <w:tc>
          <w:tcPr>
            <w:tcW w:w="360" w:type="dxa"/>
            <w:vAlign w:val="bottom"/>
            <w:shd w:val="clear" w:color="auto" w:fill="007CBA"/>
          </w:tcPr>
          <w:p>
            <w:pPr>
              <w:spacing w:after="0"/>
              <w:rPr>
                <w:sz w:val="18"/>
                <w:szCs w:val="18"/>
                <w:color w:val="auto"/>
              </w:rPr>
            </w:pPr>
          </w:p>
        </w:tc>
        <w:tc>
          <w:tcPr>
            <w:tcW w:w="1220" w:type="dxa"/>
            <w:vAlign w:val="bottom"/>
            <w:tcBorders>
              <w:right w:val="single" w:sz="8" w:color="007CBA"/>
            </w:tcBorders>
            <w:shd w:val="clear" w:color="auto" w:fill="007CBA"/>
          </w:tcPr>
          <w:p>
            <w:pPr>
              <w:jc w:val="right"/>
              <w:ind w:right="510"/>
              <w:spacing w:after="0" w:line="207" w:lineRule="exact"/>
              <w:rPr>
                <w:sz w:val="20"/>
                <w:szCs w:val="20"/>
                <w:color w:val="auto"/>
              </w:rPr>
            </w:pPr>
            <w:r>
              <w:rPr>
                <w:rFonts w:ascii="Calibri" w:cs="Calibri" w:eastAsia="Calibri" w:hAnsi="Calibri"/>
                <w:sz w:val="18"/>
                <w:szCs w:val="18"/>
                <w:b w:val="1"/>
                <w:bCs w:val="1"/>
                <w:color w:val="FFFFFF"/>
              </w:rPr>
              <w:t>Gross</w:t>
            </w:r>
          </w:p>
        </w:tc>
        <w:tc>
          <w:tcPr>
            <w:tcW w:w="240" w:type="dxa"/>
            <w:vAlign w:val="bottom"/>
            <w:shd w:val="clear" w:color="auto" w:fill="007CBA"/>
          </w:tcPr>
          <w:p>
            <w:pPr>
              <w:spacing w:after="0"/>
              <w:rPr>
                <w:sz w:val="18"/>
                <w:szCs w:val="18"/>
                <w:color w:val="auto"/>
              </w:rPr>
            </w:pPr>
          </w:p>
        </w:tc>
        <w:tc>
          <w:tcPr>
            <w:tcW w:w="1360" w:type="dxa"/>
            <w:vAlign w:val="bottom"/>
            <w:tcBorders>
              <w:right w:val="single" w:sz="8" w:color="007CBA"/>
            </w:tcBorders>
            <w:shd w:val="clear" w:color="auto" w:fill="007CBA"/>
          </w:tcPr>
          <w:p>
            <w:pPr>
              <w:jc w:val="center"/>
              <w:ind w:right="190"/>
              <w:spacing w:after="0" w:line="207" w:lineRule="exact"/>
              <w:rPr>
                <w:sz w:val="20"/>
                <w:szCs w:val="20"/>
                <w:color w:val="auto"/>
              </w:rPr>
            </w:pPr>
            <w:r>
              <w:rPr>
                <w:rFonts w:ascii="Calibri" w:cs="Calibri" w:eastAsia="Calibri" w:hAnsi="Calibri"/>
                <w:sz w:val="18"/>
                <w:szCs w:val="18"/>
                <w:b w:val="1"/>
                <w:bCs w:val="1"/>
                <w:color w:val="FFFFFF"/>
                <w:w w:val="97"/>
              </w:rPr>
              <w:t>Accumulated</w:t>
            </w:r>
          </w:p>
        </w:tc>
        <w:tc>
          <w:tcPr>
            <w:tcW w:w="300" w:type="dxa"/>
            <w:vAlign w:val="bottom"/>
            <w:shd w:val="clear" w:color="auto" w:fill="007CBA"/>
          </w:tcPr>
          <w:p>
            <w:pPr>
              <w:spacing w:after="0"/>
              <w:rPr>
                <w:sz w:val="18"/>
                <w:szCs w:val="18"/>
                <w:color w:val="auto"/>
              </w:rPr>
            </w:pPr>
          </w:p>
        </w:tc>
        <w:tc>
          <w:tcPr>
            <w:tcW w:w="1180" w:type="dxa"/>
            <w:vAlign w:val="bottom"/>
            <w:shd w:val="clear" w:color="auto" w:fill="007CBA"/>
          </w:tcPr>
          <w:p>
            <w:pPr>
              <w:jc w:val="right"/>
              <w:ind w:right="550"/>
              <w:spacing w:after="0" w:line="207" w:lineRule="exact"/>
              <w:rPr>
                <w:sz w:val="20"/>
                <w:szCs w:val="20"/>
                <w:color w:val="auto"/>
              </w:rPr>
            </w:pPr>
            <w:r>
              <w:rPr>
                <w:rFonts w:ascii="Calibri" w:cs="Calibri" w:eastAsia="Calibri" w:hAnsi="Calibri"/>
                <w:sz w:val="18"/>
                <w:szCs w:val="18"/>
                <w:b w:val="1"/>
                <w:bCs w:val="1"/>
                <w:color w:val="FFFFFF"/>
              </w:rPr>
              <w:t>Net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58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December 31</w:t>
            </w:r>
          </w:p>
        </w:tc>
        <w:tc>
          <w:tcPr>
            <w:tcW w:w="360" w:type="dxa"/>
            <w:vAlign w:val="bottom"/>
            <w:shd w:val="clear" w:color="auto" w:fill="007CBA"/>
          </w:tcPr>
          <w:p>
            <w:pPr>
              <w:spacing w:after="0"/>
              <w:rPr>
                <w:sz w:val="19"/>
                <w:szCs w:val="19"/>
                <w:color w:val="auto"/>
              </w:rPr>
            </w:pPr>
          </w:p>
        </w:tc>
        <w:tc>
          <w:tcPr>
            <w:tcW w:w="1220" w:type="dxa"/>
            <w:vAlign w:val="bottom"/>
            <w:tcBorders>
              <w:right w:val="single" w:sz="8" w:color="007CBA"/>
            </w:tcBorders>
            <w:shd w:val="clear" w:color="auto" w:fill="007CBA"/>
          </w:tcPr>
          <w:p>
            <w:pPr>
              <w:jc w:val="right"/>
              <w:ind w:right="410"/>
              <w:spacing w:after="0" w:line="215" w:lineRule="exact"/>
              <w:rPr>
                <w:sz w:val="20"/>
                <w:szCs w:val="20"/>
                <w:color w:val="auto"/>
              </w:rPr>
            </w:pPr>
            <w:r>
              <w:rPr>
                <w:rFonts w:ascii="Calibri" w:cs="Calibri" w:eastAsia="Calibri" w:hAnsi="Calibri"/>
                <w:sz w:val="18"/>
                <w:szCs w:val="18"/>
                <w:b w:val="1"/>
                <w:bCs w:val="1"/>
                <w:color w:val="FFFFFF"/>
              </w:rPr>
              <w:t>Amount</w:t>
            </w:r>
          </w:p>
        </w:tc>
        <w:tc>
          <w:tcPr>
            <w:tcW w:w="240" w:type="dxa"/>
            <w:vAlign w:val="bottom"/>
            <w:shd w:val="clear" w:color="auto" w:fill="007CBA"/>
          </w:tcPr>
          <w:p>
            <w:pPr>
              <w:spacing w:after="0"/>
              <w:rPr>
                <w:sz w:val="19"/>
                <w:szCs w:val="19"/>
                <w:color w:val="auto"/>
              </w:rPr>
            </w:pPr>
          </w:p>
        </w:tc>
        <w:tc>
          <w:tcPr>
            <w:tcW w:w="1360" w:type="dxa"/>
            <w:vAlign w:val="bottom"/>
            <w:tcBorders>
              <w:right w:val="single" w:sz="8" w:color="007CBA"/>
            </w:tcBorders>
            <w:shd w:val="clear" w:color="auto" w:fill="007CBA"/>
          </w:tcPr>
          <w:p>
            <w:pPr>
              <w:jc w:val="center"/>
              <w:ind w:right="150"/>
              <w:spacing w:after="0" w:line="215" w:lineRule="exact"/>
              <w:rPr>
                <w:sz w:val="20"/>
                <w:szCs w:val="20"/>
                <w:color w:val="auto"/>
              </w:rPr>
            </w:pPr>
            <w:r>
              <w:rPr>
                <w:rFonts w:ascii="Calibri" w:cs="Calibri" w:eastAsia="Calibri" w:hAnsi="Calibri"/>
                <w:sz w:val="18"/>
                <w:szCs w:val="18"/>
                <w:b w:val="1"/>
                <w:bCs w:val="1"/>
                <w:color w:val="FFFFFF"/>
              </w:rPr>
              <w:t>Amortzaton</w:t>
            </w:r>
          </w:p>
        </w:tc>
        <w:tc>
          <w:tcPr>
            <w:tcW w:w="300" w:type="dxa"/>
            <w:vAlign w:val="bottom"/>
            <w:shd w:val="clear" w:color="auto" w:fill="007CBA"/>
          </w:tcPr>
          <w:p>
            <w:pPr>
              <w:spacing w:after="0"/>
              <w:rPr>
                <w:sz w:val="19"/>
                <w:szCs w:val="19"/>
                <w:color w:val="auto"/>
              </w:rPr>
            </w:pPr>
          </w:p>
        </w:tc>
        <w:tc>
          <w:tcPr>
            <w:tcW w:w="1180" w:type="dxa"/>
            <w:vAlign w:val="bottom"/>
            <w:shd w:val="clear" w:color="auto" w:fill="007CBA"/>
          </w:tcPr>
          <w:p>
            <w:pPr>
              <w:jc w:val="right"/>
              <w:ind w:right="390"/>
              <w:spacing w:after="0" w:line="215" w:lineRule="exact"/>
              <w:rPr>
                <w:sz w:val="20"/>
                <w:szCs w:val="20"/>
                <w:color w:val="auto"/>
              </w:rPr>
            </w:pPr>
            <w:r>
              <w:rPr>
                <w:rFonts w:ascii="Calibri" w:cs="Calibri" w:eastAsia="Calibri" w:hAnsi="Calibri"/>
                <w:sz w:val="18"/>
                <w:szCs w:val="18"/>
                <w:b w:val="1"/>
                <w:bCs w:val="1"/>
                <w:color w:val="FFFFFF"/>
              </w:rPr>
              <w:t>Balance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6580" w:type="dxa"/>
            <w:vAlign w:val="bottom"/>
            <w:tcBorders>
              <w:bottom w:val="single" w:sz="8" w:color="007CBA"/>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color w:val="FFFFFF"/>
              </w:rPr>
              <w:t>(in millions)</w:t>
            </w:r>
          </w:p>
        </w:tc>
        <w:tc>
          <w:tcPr>
            <w:tcW w:w="360" w:type="dxa"/>
            <w:vAlign w:val="bottom"/>
            <w:tcBorders>
              <w:bottom w:val="single" w:sz="8" w:color="007CBA"/>
            </w:tcBorders>
            <w:shd w:val="clear" w:color="auto" w:fill="007CBA"/>
          </w:tcPr>
          <w:p>
            <w:pPr>
              <w:spacing w:after="0"/>
              <w:rPr>
                <w:sz w:val="22"/>
                <w:szCs w:val="22"/>
                <w:color w:val="auto"/>
              </w:rPr>
            </w:pPr>
          </w:p>
        </w:tc>
        <w:tc>
          <w:tcPr>
            <w:tcW w:w="1220" w:type="dxa"/>
            <w:vAlign w:val="bottom"/>
            <w:tcBorders>
              <w:bottom w:val="single" w:sz="8" w:color="007CBA"/>
              <w:right w:val="single" w:sz="8" w:color="007CBA"/>
            </w:tcBorders>
            <w:shd w:val="clear" w:color="auto" w:fill="007CBA"/>
          </w:tcPr>
          <w:p>
            <w:pPr>
              <w:spacing w:after="0"/>
              <w:rPr>
                <w:sz w:val="22"/>
                <w:szCs w:val="22"/>
                <w:color w:val="auto"/>
              </w:rPr>
            </w:pPr>
          </w:p>
        </w:tc>
        <w:tc>
          <w:tcPr>
            <w:tcW w:w="240" w:type="dxa"/>
            <w:vAlign w:val="bottom"/>
            <w:tcBorders>
              <w:bottom w:val="single" w:sz="8" w:color="007CBA"/>
            </w:tcBorders>
            <w:shd w:val="clear" w:color="auto" w:fill="007CBA"/>
          </w:tcPr>
          <w:p>
            <w:pPr>
              <w:spacing w:after="0"/>
              <w:rPr>
                <w:sz w:val="22"/>
                <w:szCs w:val="22"/>
                <w:color w:val="auto"/>
              </w:rPr>
            </w:pPr>
          </w:p>
        </w:tc>
        <w:tc>
          <w:tcPr>
            <w:tcW w:w="1360" w:type="dxa"/>
            <w:vAlign w:val="bottom"/>
            <w:tcBorders>
              <w:bottom w:val="single" w:sz="8" w:color="007CBA"/>
              <w:right w:val="single" w:sz="8" w:color="007CBA"/>
            </w:tcBorders>
            <w:shd w:val="clear" w:color="auto" w:fill="007CBA"/>
          </w:tcPr>
          <w:p>
            <w:pPr>
              <w:jc w:val="center"/>
              <w:ind w:right="230"/>
              <w:spacing w:after="0"/>
              <w:rPr>
                <w:sz w:val="20"/>
                <w:szCs w:val="20"/>
                <w:color w:val="auto"/>
              </w:rPr>
            </w:pPr>
            <w:r>
              <w:rPr>
                <w:rFonts w:ascii="Calibri" w:cs="Calibri" w:eastAsia="Calibri" w:hAnsi="Calibri"/>
                <w:sz w:val="18"/>
                <w:szCs w:val="18"/>
                <w:b w:val="1"/>
                <w:bCs w:val="1"/>
                <w:color w:val="FFFFFF"/>
                <w:w w:val="98"/>
              </w:rPr>
              <w:t>2022</w:t>
            </w:r>
          </w:p>
        </w:tc>
        <w:tc>
          <w:tcPr>
            <w:tcW w:w="300" w:type="dxa"/>
            <w:vAlign w:val="bottom"/>
            <w:tcBorders>
              <w:bottom w:val="single" w:sz="8" w:color="007CBA"/>
            </w:tcBorders>
            <w:shd w:val="clear" w:color="auto" w:fill="007CBA"/>
          </w:tcPr>
          <w:p>
            <w:pPr>
              <w:spacing w:after="0"/>
              <w:rPr>
                <w:sz w:val="22"/>
                <w:szCs w:val="22"/>
                <w:color w:val="auto"/>
              </w:rPr>
            </w:pPr>
          </w:p>
        </w:tc>
        <w:tc>
          <w:tcPr>
            <w:tcW w:w="1180" w:type="dxa"/>
            <w:vAlign w:val="bottom"/>
            <w:tcBorders>
              <w:bottom w:val="single" w:sz="8" w:color="007CBA"/>
            </w:tcBorders>
            <w:shd w:val="clear" w:color="auto" w:fill="007CBA"/>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65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Noncompetton agreements</w:t>
            </w:r>
          </w:p>
        </w:tc>
        <w:tc>
          <w:tcPr>
            <w:tcW w:w="36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12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4.1</w:t>
            </w:r>
          </w:p>
        </w:tc>
        <w:tc>
          <w:tcPr>
            <w:tcW w:w="24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36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b w:val="1"/>
                <w:bCs w:val="1"/>
                <w:color w:val="auto"/>
              </w:rPr>
              <w:t>(4.0 )</w:t>
            </w:r>
          </w:p>
        </w:tc>
        <w:tc>
          <w:tcPr>
            <w:tcW w:w="30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118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580" w:type="dxa"/>
            <w:vAlign w:val="bottom"/>
            <w:tcBorders>
              <w:right w:val="single" w:sz="8" w:color="007CBA"/>
            </w:tcBorders>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Borders>
              <w:right w:val="single" w:sz="8" w:color="007CBA"/>
            </w:tcBorders>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Borders>
              <w:right w:val="single" w:sz="8" w:color="007CBA"/>
            </w:tcBorders>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58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Customer relatonships</w:t>
            </w:r>
          </w:p>
        </w:tc>
        <w:tc>
          <w:tcPr>
            <w:tcW w:w="360" w:type="dxa"/>
            <w:vAlign w:val="bottom"/>
            <w:tcBorders>
              <w:bottom w:val="single" w:sz="8" w:color="E5F1F8"/>
            </w:tcBorders>
            <w:shd w:val="clear" w:color="auto" w:fill="E5F1F8"/>
          </w:tcPr>
          <w:p>
            <w:pPr>
              <w:spacing w:after="0"/>
              <w:rPr>
                <w:sz w:val="19"/>
                <w:szCs w:val="19"/>
                <w:color w:val="auto"/>
              </w:rPr>
            </w:pPr>
          </w:p>
        </w:tc>
        <w:tc>
          <w:tcPr>
            <w:tcW w:w="122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423.7</w:t>
            </w:r>
          </w:p>
        </w:tc>
        <w:tc>
          <w:tcPr>
            <w:tcW w:w="240" w:type="dxa"/>
            <w:vAlign w:val="bottom"/>
            <w:tcBorders>
              <w:bottom w:val="single" w:sz="8" w:color="E5F1F8"/>
            </w:tcBorders>
            <w:shd w:val="clear" w:color="auto" w:fill="E5F1F8"/>
          </w:tcPr>
          <w:p>
            <w:pPr>
              <w:spacing w:after="0"/>
              <w:rPr>
                <w:sz w:val="19"/>
                <w:szCs w:val="19"/>
                <w:color w:val="auto"/>
              </w:rPr>
            </w:pPr>
          </w:p>
        </w:tc>
        <w:tc>
          <w:tcPr>
            <w:tcW w:w="1360" w:type="dxa"/>
            <w:vAlign w:val="bottom"/>
            <w:tcBorders>
              <w:bottom w:val="single" w:sz="8" w:color="E5F1F8"/>
              <w:right w:val="single" w:sz="8" w:color="007CBA"/>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(62.7 )</w:t>
            </w:r>
          </w:p>
        </w:tc>
        <w:tc>
          <w:tcPr>
            <w:tcW w:w="300" w:type="dxa"/>
            <w:vAlign w:val="bottom"/>
            <w:tcBorders>
              <w:bottom w:val="single" w:sz="8" w:color="E5F1F8"/>
            </w:tcBorders>
            <w:shd w:val="clear" w:color="auto" w:fill="E5F1F8"/>
          </w:tcPr>
          <w:p>
            <w:pPr>
              <w:spacing w:after="0"/>
              <w:rPr>
                <w:sz w:val="19"/>
                <w:szCs w:val="19"/>
                <w:color w:val="auto"/>
              </w:rPr>
            </w:pPr>
          </w:p>
        </w:tc>
        <w:tc>
          <w:tcPr>
            <w:tcW w:w="118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361.0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5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Operatng permits</w:t>
            </w:r>
          </w:p>
        </w:tc>
        <w:tc>
          <w:tcPr>
            <w:tcW w:w="360" w:type="dxa"/>
            <w:vAlign w:val="bottom"/>
          </w:tcPr>
          <w:p>
            <w:pPr>
              <w:spacing w:after="0"/>
              <w:rPr>
                <w:sz w:val="18"/>
                <w:szCs w:val="18"/>
                <w:color w:val="auto"/>
              </w:rPr>
            </w:pPr>
          </w:p>
        </w:tc>
        <w:tc>
          <w:tcPr>
            <w:tcW w:w="12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502.2</w:t>
            </w:r>
          </w:p>
        </w:tc>
        <w:tc>
          <w:tcPr>
            <w:tcW w:w="240" w:type="dxa"/>
            <w:vAlign w:val="bottom"/>
          </w:tcPr>
          <w:p>
            <w:pPr>
              <w:spacing w:after="0"/>
              <w:rPr>
                <w:sz w:val="18"/>
                <w:szCs w:val="18"/>
                <w:color w:val="auto"/>
              </w:rPr>
            </w:pPr>
          </w:p>
        </w:tc>
        <w:tc>
          <w:tcPr>
            <w:tcW w:w="136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b w:val="1"/>
                <w:bCs w:val="1"/>
                <w:color w:val="auto"/>
              </w:rPr>
              <w:t>(61.4 )</w:t>
            </w:r>
          </w:p>
        </w:tc>
        <w:tc>
          <w:tcPr>
            <w:tcW w:w="300" w:type="dxa"/>
            <w:vAlign w:val="bottom"/>
          </w:tcPr>
          <w:p>
            <w:pPr>
              <w:spacing w:after="0"/>
              <w:rPr>
                <w:sz w:val="18"/>
                <w:szCs w:val="18"/>
                <w:color w:val="auto"/>
              </w:rPr>
            </w:pPr>
          </w:p>
        </w:tc>
        <w:tc>
          <w:tcPr>
            <w:tcW w:w="118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440.8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580" w:type="dxa"/>
            <w:vAlign w:val="bottom"/>
            <w:tcBorders>
              <w:right w:val="single" w:sz="8" w:color="007CBA"/>
            </w:tcBorders>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Borders>
              <w:right w:val="single" w:sz="8" w:color="007CBA"/>
            </w:tcBorders>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Borders>
              <w:right w:val="single" w:sz="8" w:color="007CBA"/>
            </w:tcBorders>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58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Use rights and other</w:t>
            </w:r>
          </w:p>
        </w:tc>
        <w:tc>
          <w:tcPr>
            <w:tcW w:w="360" w:type="dxa"/>
            <w:vAlign w:val="bottom"/>
            <w:tcBorders>
              <w:bottom w:val="single" w:sz="8" w:color="E5F1F8"/>
            </w:tcBorders>
            <w:shd w:val="clear" w:color="auto" w:fill="E5F1F8"/>
          </w:tcPr>
          <w:p>
            <w:pPr>
              <w:spacing w:after="0"/>
              <w:rPr>
                <w:sz w:val="19"/>
                <w:szCs w:val="19"/>
                <w:color w:val="auto"/>
              </w:rPr>
            </w:pPr>
          </w:p>
        </w:tc>
        <w:tc>
          <w:tcPr>
            <w:tcW w:w="122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13.9</w:t>
            </w:r>
          </w:p>
        </w:tc>
        <w:tc>
          <w:tcPr>
            <w:tcW w:w="240" w:type="dxa"/>
            <w:vAlign w:val="bottom"/>
            <w:tcBorders>
              <w:bottom w:val="single" w:sz="8" w:color="E5F1F8"/>
            </w:tcBorders>
            <w:shd w:val="clear" w:color="auto" w:fill="E5F1F8"/>
          </w:tcPr>
          <w:p>
            <w:pPr>
              <w:spacing w:after="0"/>
              <w:rPr>
                <w:sz w:val="19"/>
                <w:szCs w:val="19"/>
                <w:color w:val="auto"/>
              </w:rPr>
            </w:pPr>
          </w:p>
        </w:tc>
        <w:tc>
          <w:tcPr>
            <w:tcW w:w="1360" w:type="dxa"/>
            <w:vAlign w:val="bottom"/>
            <w:tcBorders>
              <w:bottom w:val="single" w:sz="8" w:color="E5F1F8"/>
              <w:right w:val="single" w:sz="8" w:color="007CBA"/>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(12.4 )</w:t>
            </w:r>
          </w:p>
        </w:tc>
        <w:tc>
          <w:tcPr>
            <w:tcW w:w="300" w:type="dxa"/>
            <w:vAlign w:val="bottom"/>
            <w:tcBorders>
              <w:bottom w:val="single" w:sz="8" w:color="E5F1F8"/>
            </w:tcBorders>
            <w:shd w:val="clear" w:color="auto" w:fill="E5F1F8"/>
          </w:tcPr>
          <w:p>
            <w:pPr>
              <w:spacing w:after="0"/>
              <w:rPr>
                <w:sz w:val="19"/>
                <w:szCs w:val="19"/>
                <w:color w:val="auto"/>
              </w:rPr>
            </w:pPr>
          </w:p>
        </w:tc>
        <w:tc>
          <w:tcPr>
            <w:tcW w:w="118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580" w:type="dxa"/>
            <w:vAlign w:val="bottom"/>
          </w:tcPr>
          <w:p>
            <w:pPr>
              <w:ind w:left="120"/>
              <w:spacing w:after="0" w:line="215" w:lineRule="exact"/>
              <w:rPr>
                <w:sz w:val="20"/>
                <w:szCs w:val="20"/>
                <w:color w:val="auto"/>
              </w:rPr>
            </w:pPr>
            <w:r>
              <w:rPr>
                <w:rFonts w:ascii="Calibri" w:cs="Calibri" w:eastAsia="Calibri" w:hAnsi="Calibri"/>
                <w:sz w:val="18"/>
                <w:szCs w:val="18"/>
                <w:color w:val="auto"/>
              </w:rPr>
              <w:t>Trade names</w:t>
            </w:r>
          </w:p>
        </w:tc>
        <w:tc>
          <w:tcPr>
            <w:tcW w:w="360" w:type="dxa"/>
            <w:vAlign w:val="bottom"/>
          </w:tcPr>
          <w:p>
            <w:pPr>
              <w:spacing w:after="0"/>
              <w:rPr>
                <w:sz w:val="18"/>
                <w:szCs w:val="18"/>
                <w:color w:val="auto"/>
              </w:rPr>
            </w:pPr>
          </w:p>
        </w:tc>
        <w:tc>
          <w:tcPr>
            <w:tcW w:w="122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23.3</w:t>
            </w:r>
          </w:p>
        </w:tc>
        <w:tc>
          <w:tcPr>
            <w:tcW w:w="240" w:type="dxa"/>
            <w:vAlign w:val="bottom"/>
          </w:tcPr>
          <w:p>
            <w:pPr>
              <w:spacing w:after="0"/>
              <w:rPr>
                <w:sz w:val="18"/>
                <w:szCs w:val="18"/>
                <w:color w:val="auto"/>
              </w:rPr>
            </w:pP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(14.7 )</w:t>
            </w:r>
          </w:p>
        </w:tc>
        <w:tc>
          <w:tcPr>
            <w:tcW w:w="300" w:type="dxa"/>
            <w:vAlign w:val="bottom"/>
          </w:tcPr>
          <w:p>
            <w:pPr>
              <w:spacing w:after="0"/>
              <w:rPr>
                <w:sz w:val="18"/>
                <w:szCs w:val="18"/>
                <w:color w:val="auto"/>
              </w:rPr>
            </w:pPr>
          </w:p>
        </w:tc>
        <w:tc>
          <w:tcPr>
            <w:tcW w:w="118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658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Total</w:t>
            </w:r>
          </w:p>
        </w:tc>
        <w:tc>
          <w:tcPr>
            <w:tcW w:w="360" w:type="dxa"/>
            <w:vAlign w:val="bottom"/>
            <w:tcBorders>
              <w:bottom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b w:val="1"/>
                <w:bCs w:val="1"/>
                <w:color w:val="auto"/>
              </w:rPr>
              <w:t>$</w:t>
            </w:r>
          </w:p>
        </w:tc>
        <w:tc>
          <w:tcPr>
            <w:tcW w:w="122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b w:val="1"/>
                <w:bCs w:val="1"/>
                <w:color w:val="auto"/>
              </w:rPr>
              <w:t>967.2</w:t>
            </w:r>
          </w:p>
        </w:tc>
        <w:tc>
          <w:tcPr>
            <w:tcW w:w="240" w:type="dxa"/>
            <w:vAlign w:val="bottom"/>
            <w:tcBorders>
              <w:bottom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b w:val="1"/>
                <w:bCs w:val="1"/>
                <w:color w:val="auto"/>
              </w:rPr>
              <w:t>$</w:t>
            </w:r>
          </w:p>
        </w:tc>
        <w:tc>
          <w:tcPr>
            <w:tcW w:w="1360" w:type="dxa"/>
            <w:vAlign w:val="bottom"/>
            <w:tcBorders>
              <w:bottom w:val="single" w:sz="8" w:color="E5F1F8"/>
              <w:right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b w:val="1"/>
                <w:bCs w:val="1"/>
                <w:color w:val="auto"/>
              </w:rPr>
              <w:t>(155.2 )</w:t>
            </w:r>
          </w:p>
        </w:tc>
        <w:tc>
          <w:tcPr>
            <w:tcW w:w="300" w:type="dxa"/>
            <w:vAlign w:val="bottom"/>
            <w:tcBorders>
              <w:bottom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b w:val="1"/>
                <w:bCs w:val="1"/>
                <w:color w:val="auto"/>
              </w:rPr>
              <w:t>$</w:t>
            </w:r>
          </w:p>
        </w:tc>
        <w:tc>
          <w:tcPr>
            <w:tcW w:w="118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b w:val="1"/>
                <w:bCs w:val="1"/>
                <w:color w:val="auto"/>
              </w:rPr>
              <w:t>812.0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5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tcBorders>
              <w:bottom w:val="single" w:sz="8" w:color="007CBA"/>
              <w:right w:val="single" w:sz="8" w:color="007CBA"/>
            </w:tcBorders>
            <w:shd w:val="clear" w:color="auto" w:fill="007CBA"/>
          </w:tcPr>
          <w:p>
            <w:pPr>
              <w:spacing w:after="0"/>
              <w:rPr>
                <w:sz w:val="19"/>
                <w:szCs w:val="19"/>
                <w:color w:val="auto"/>
              </w:rPr>
            </w:pPr>
          </w:p>
        </w:tc>
        <w:tc>
          <w:tcPr>
            <w:tcW w:w="360" w:type="dxa"/>
            <w:vAlign w:val="bottom"/>
            <w:tcBorders>
              <w:bottom w:val="single" w:sz="8" w:color="007CBA"/>
            </w:tcBorders>
            <w:shd w:val="clear" w:color="auto" w:fill="007CBA"/>
          </w:tcPr>
          <w:p>
            <w:pPr>
              <w:spacing w:after="0"/>
              <w:rPr>
                <w:sz w:val="19"/>
                <w:szCs w:val="19"/>
                <w:color w:val="auto"/>
              </w:rPr>
            </w:pPr>
          </w:p>
        </w:tc>
        <w:tc>
          <w:tcPr>
            <w:tcW w:w="1220" w:type="dxa"/>
            <w:vAlign w:val="bottom"/>
            <w:tcBorders>
              <w:bottom w:val="single" w:sz="8" w:color="007CBA"/>
              <w:right w:val="single" w:sz="8" w:color="007CBA"/>
            </w:tcBorders>
            <w:shd w:val="clear" w:color="auto" w:fill="007CBA"/>
          </w:tcPr>
          <w:p>
            <w:pPr>
              <w:spacing w:after="0"/>
              <w:rPr>
                <w:sz w:val="19"/>
                <w:szCs w:val="19"/>
                <w:color w:val="auto"/>
              </w:rPr>
            </w:pPr>
          </w:p>
        </w:tc>
        <w:tc>
          <w:tcPr>
            <w:tcW w:w="240" w:type="dxa"/>
            <w:vAlign w:val="bottom"/>
            <w:tcBorders>
              <w:bottom w:val="single" w:sz="8" w:color="007CBA"/>
            </w:tcBorders>
            <w:shd w:val="clear" w:color="auto" w:fill="007CBA"/>
          </w:tcPr>
          <w:p>
            <w:pPr>
              <w:spacing w:after="0"/>
              <w:rPr>
                <w:sz w:val="19"/>
                <w:szCs w:val="19"/>
                <w:color w:val="auto"/>
              </w:rPr>
            </w:pPr>
          </w:p>
        </w:tc>
        <w:tc>
          <w:tcPr>
            <w:tcW w:w="1360" w:type="dxa"/>
            <w:vAlign w:val="bottom"/>
            <w:tcBorders>
              <w:bottom w:val="single" w:sz="8" w:color="007CBA"/>
              <w:right w:val="single" w:sz="8" w:color="007CBA"/>
            </w:tcBorders>
            <w:shd w:val="clear" w:color="auto" w:fill="007CBA"/>
          </w:tcPr>
          <w:p>
            <w:pPr>
              <w:jc w:val="center"/>
              <w:ind w:right="230"/>
              <w:spacing w:after="0" w:line="215" w:lineRule="exact"/>
              <w:rPr>
                <w:sz w:val="20"/>
                <w:szCs w:val="20"/>
                <w:color w:val="auto"/>
              </w:rPr>
            </w:pPr>
            <w:r>
              <w:rPr>
                <w:rFonts w:ascii="Calibri" w:cs="Calibri" w:eastAsia="Calibri" w:hAnsi="Calibri"/>
                <w:sz w:val="18"/>
                <w:szCs w:val="18"/>
                <w:color w:val="FFFFFF"/>
                <w:w w:val="98"/>
              </w:rPr>
              <w:t>2021</w:t>
            </w:r>
          </w:p>
        </w:tc>
        <w:tc>
          <w:tcPr>
            <w:tcW w:w="300" w:type="dxa"/>
            <w:vAlign w:val="bottom"/>
            <w:tcBorders>
              <w:bottom w:val="single" w:sz="8" w:color="007CBA"/>
            </w:tcBorders>
            <w:shd w:val="clear" w:color="auto" w:fill="007CBA"/>
          </w:tcPr>
          <w:p>
            <w:pPr>
              <w:spacing w:after="0"/>
              <w:rPr>
                <w:sz w:val="19"/>
                <w:szCs w:val="19"/>
                <w:color w:val="auto"/>
              </w:rPr>
            </w:pPr>
          </w:p>
        </w:tc>
        <w:tc>
          <w:tcPr>
            <w:tcW w:w="1180" w:type="dxa"/>
            <w:vAlign w:val="bottom"/>
            <w:tcBorders>
              <w:bottom w:val="single" w:sz="8" w:color="007CBA"/>
            </w:tcBorders>
            <w:shd w:val="clear" w:color="auto" w:fill="007CBA"/>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5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Noncompetton agreements</w:t>
            </w:r>
          </w:p>
        </w:tc>
        <w:tc>
          <w:tcPr>
            <w:tcW w:w="3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4.2</w:t>
            </w:r>
          </w:p>
        </w:tc>
        <w:tc>
          <w:tcPr>
            <w:tcW w:w="2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36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color w:val="auto"/>
              </w:rPr>
              <w:t>(4.1 )</w:t>
            </w:r>
          </w:p>
        </w:tc>
        <w:tc>
          <w:tcPr>
            <w:tcW w:w="30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580" w:type="dxa"/>
            <w:vAlign w:val="bottom"/>
            <w:tcBorders>
              <w:right w:val="single" w:sz="8" w:color="007CBA"/>
            </w:tcBorders>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Borders>
              <w:right w:val="single" w:sz="8" w:color="007CBA"/>
            </w:tcBorders>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Borders>
              <w:right w:val="single" w:sz="8" w:color="007CBA"/>
            </w:tcBorders>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58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Customer relatonships</w:t>
            </w:r>
          </w:p>
        </w:tc>
        <w:tc>
          <w:tcPr>
            <w:tcW w:w="360" w:type="dxa"/>
            <w:vAlign w:val="bottom"/>
            <w:tcBorders>
              <w:bottom w:val="single" w:sz="8" w:color="E5F1F8"/>
            </w:tcBorders>
            <w:shd w:val="clear" w:color="auto" w:fill="E5F1F8"/>
          </w:tcPr>
          <w:p>
            <w:pPr>
              <w:spacing w:after="0"/>
              <w:rPr>
                <w:sz w:val="19"/>
                <w:szCs w:val="19"/>
                <w:color w:val="auto"/>
              </w:rPr>
            </w:pPr>
          </w:p>
        </w:tc>
        <w:tc>
          <w:tcPr>
            <w:tcW w:w="122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425.3</w:t>
            </w:r>
          </w:p>
        </w:tc>
        <w:tc>
          <w:tcPr>
            <w:tcW w:w="240" w:type="dxa"/>
            <w:vAlign w:val="bottom"/>
            <w:tcBorders>
              <w:bottom w:val="single" w:sz="8" w:color="E5F1F8"/>
            </w:tcBorders>
            <w:shd w:val="clear" w:color="auto" w:fill="E5F1F8"/>
          </w:tcPr>
          <w:p>
            <w:pPr>
              <w:spacing w:after="0"/>
              <w:rPr>
                <w:sz w:val="19"/>
                <w:szCs w:val="19"/>
                <w:color w:val="auto"/>
              </w:rPr>
            </w:pPr>
          </w:p>
        </w:tc>
        <w:tc>
          <w:tcPr>
            <w:tcW w:w="1360" w:type="dxa"/>
            <w:vAlign w:val="bottom"/>
            <w:tcBorders>
              <w:bottom w:val="single" w:sz="8" w:color="E5F1F8"/>
              <w:right w:val="single" w:sz="8" w:color="007CBA"/>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(49.2 )</w:t>
            </w:r>
          </w:p>
        </w:tc>
        <w:tc>
          <w:tcPr>
            <w:tcW w:w="300" w:type="dxa"/>
            <w:vAlign w:val="bottom"/>
            <w:tcBorders>
              <w:bottom w:val="single" w:sz="8" w:color="E5F1F8"/>
            </w:tcBorders>
            <w:shd w:val="clear" w:color="auto" w:fill="E5F1F8"/>
          </w:tcPr>
          <w:p>
            <w:pPr>
              <w:spacing w:after="0"/>
              <w:rPr>
                <w:sz w:val="19"/>
                <w:szCs w:val="19"/>
                <w:color w:val="auto"/>
              </w:rPr>
            </w:pPr>
          </w:p>
        </w:tc>
        <w:tc>
          <w:tcPr>
            <w:tcW w:w="118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376.1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5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Operatng permits</w:t>
            </w:r>
          </w:p>
        </w:tc>
        <w:tc>
          <w:tcPr>
            <w:tcW w:w="360" w:type="dxa"/>
            <w:vAlign w:val="bottom"/>
          </w:tcPr>
          <w:p>
            <w:pPr>
              <w:spacing w:after="0"/>
              <w:rPr>
                <w:sz w:val="18"/>
                <w:szCs w:val="18"/>
                <w:color w:val="auto"/>
              </w:rPr>
            </w:pPr>
          </w:p>
        </w:tc>
        <w:tc>
          <w:tcPr>
            <w:tcW w:w="12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697.3</w:t>
            </w:r>
          </w:p>
        </w:tc>
        <w:tc>
          <w:tcPr>
            <w:tcW w:w="240" w:type="dxa"/>
            <w:vAlign w:val="bottom"/>
          </w:tcPr>
          <w:p>
            <w:pPr>
              <w:spacing w:after="0"/>
              <w:rPr>
                <w:sz w:val="18"/>
                <w:szCs w:val="18"/>
                <w:color w:val="auto"/>
              </w:rPr>
            </w:pPr>
          </w:p>
        </w:tc>
        <w:tc>
          <w:tcPr>
            <w:tcW w:w="136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color w:val="auto"/>
              </w:rPr>
              <w:t>(56.6 )</w:t>
            </w:r>
          </w:p>
        </w:tc>
        <w:tc>
          <w:tcPr>
            <w:tcW w:w="300" w:type="dxa"/>
            <w:vAlign w:val="bottom"/>
          </w:tcPr>
          <w:p>
            <w:pPr>
              <w:spacing w:after="0"/>
              <w:rPr>
                <w:sz w:val="18"/>
                <w:szCs w:val="18"/>
                <w:color w:val="auto"/>
              </w:rPr>
            </w:pPr>
          </w:p>
        </w:tc>
        <w:tc>
          <w:tcPr>
            <w:tcW w:w="11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640.7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580" w:type="dxa"/>
            <w:vAlign w:val="bottom"/>
            <w:tcBorders>
              <w:right w:val="single" w:sz="8" w:color="007CBA"/>
            </w:tcBorders>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Borders>
              <w:right w:val="single" w:sz="8" w:color="007CBA"/>
            </w:tcBorders>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Borders>
              <w:right w:val="single" w:sz="8" w:color="007CBA"/>
            </w:tcBorders>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58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Use rights and other</w:t>
            </w:r>
          </w:p>
        </w:tc>
        <w:tc>
          <w:tcPr>
            <w:tcW w:w="360" w:type="dxa"/>
            <w:vAlign w:val="bottom"/>
            <w:tcBorders>
              <w:bottom w:val="single" w:sz="8" w:color="E5F1F8"/>
            </w:tcBorders>
            <w:shd w:val="clear" w:color="auto" w:fill="E5F1F8"/>
          </w:tcPr>
          <w:p>
            <w:pPr>
              <w:spacing w:after="0"/>
              <w:rPr>
                <w:sz w:val="19"/>
                <w:szCs w:val="19"/>
                <w:color w:val="auto"/>
              </w:rPr>
            </w:pPr>
          </w:p>
        </w:tc>
        <w:tc>
          <w:tcPr>
            <w:tcW w:w="122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16.3</w:t>
            </w:r>
          </w:p>
        </w:tc>
        <w:tc>
          <w:tcPr>
            <w:tcW w:w="240" w:type="dxa"/>
            <w:vAlign w:val="bottom"/>
            <w:tcBorders>
              <w:bottom w:val="single" w:sz="8" w:color="E5F1F8"/>
            </w:tcBorders>
            <w:shd w:val="clear" w:color="auto" w:fill="E5F1F8"/>
          </w:tcPr>
          <w:p>
            <w:pPr>
              <w:spacing w:after="0"/>
              <w:rPr>
                <w:sz w:val="19"/>
                <w:szCs w:val="19"/>
                <w:color w:val="auto"/>
              </w:rPr>
            </w:pPr>
          </w:p>
        </w:tc>
        <w:tc>
          <w:tcPr>
            <w:tcW w:w="1360" w:type="dxa"/>
            <w:vAlign w:val="bottom"/>
            <w:tcBorders>
              <w:bottom w:val="single" w:sz="8" w:color="E5F1F8"/>
              <w:right w:val="single" w:sz="8" w:color="007CBA"/>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(13.9 )</w:t>
            </w:r>
          </w:p>
        </w:tc>
        <w:tc>
          <w:tcPr>
            <w:tcW w:w="300" w:type="dxa"/>
            <w:vAlign w:val="bottom"/>
            <w:tcBorders>
              <w:bottom w:val="single" w:sz="8" w:color="E5F1F8"/>
            </w:tcBorders>
            <w:shd w:val="clear" w:color="auto" w:fill="E5F1F8"/>
          </w:tcPr>
          <w:p>
            <w:pPr>
              <w:spacing w:after="0"/>
              <w:rPr>
                <w:sz w:val="19"/>
                <w:szCs w:val="19"/>
                <w:color w:val="auto"/>
              </w:rPr>
            </w:pPr>
          </w:p>
        </w:tc>
        <w:tc>
          <w:tcPr>
            <w:tcW w:w="118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580" w:type="dxa"/>
            <w:vAlign w:val="bottom"/>
          </w:tcPr>
          <w:p>
            <w:pPr>
              <w:ind w:left="120"/>
              <w:spacing w:after="0" w:line="215" w:lineRule="exact"/>
              <w:rPr>
                <w:sz w:val="20"/>
                <w:szCs w:val="20"/>
                <w:color w:val="auto"/>
              </w:rPr>
            </w:pPr>
            <w:r>
              <w:rPr>
                <w:rFonts w:ascii="Calibri" w:cs="Calibri" w:eastAsia="Calibri" w:hAnsi="Calibri"/>
                <w:sz w:val="18"/>
                <w:szCs w:val="18"/>
                <w:color w:val="auto"/>
              </w:rPr>
              <w:t>Trade names</w:t>
            </w:r>
          </w:p>
        </w:tc>
        <w:tc>
          <w:tcPr>
            <w:tcW w:w="360" w:type="dxa"/>
            <w:vAlign w:val="bottom"/>
          </w:tcPr>
          <w:p>
            <w:pPr>
              <w:spacing w:after="0"/>
              <w:rPr>
                <w:sz w:val="18"/>
                <w:szCs w:val="18"/>
                <w:color w:val="auto"/>
              </w:rPr>
            </w:pPr>
          </w:p>
        </w:tc>
        <w:tc>
          <w:tcPr>
            <w:tcW w:w="122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23.3</w:t>
            </w:r>
          </w:p>
        </w:tc>
        <w:tc>
          <w:tcPr>
            <w:tcW w:w="240" w:type="dxa"/>
            <w:vAlign w:val="bottom"/>
          </w:tcPr>
          <w:p>
            <w:pPr>
              <w:spacing w:after="0"/>
              <w:rPr>
                <w:sz w:val="18"/>
                <w:szCs w:val="18"/>
                <w:color w:val="auto"/>
              </w:rPr>
            </w:pP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(13.6 )</w:t>
            </w:r>
          </w:p>
        </w:tc>
        <w:tc>
          <w:tcPr>
            <w:tcW w:w="300" w:type="dxa"/>
            <w:vAlign w:val="bottom"/>
          </w:tcPr>
          <w:p>
            <w:pPr>
              <w:spacing w:after="0"/>
              <w:rPr>
                <w:sz w:val="18"/>
                <w:szCs w:val="18"/>
                <w:color w:val="auto"/>
              </w:rPr>
            </w:pPr>
          </w:p>
        </w:tc>
        <w:tc>
          <w:tcPr>
            <w:tcW w:w="11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658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Total</w:t>
            </w:r>
          </w:p>
        </w:tc>
        <w:tc>
          <w:tcPr>
            <w:tcW w:w="360" w:type="dxa"/>
            <w:vAlign w:val="bottom"/>
            <w:tcBorders>
              <w:bottom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color w:val="auto"/>
              </w:rPr>
              <w:t>$</w:t>
            </w:r>
          </w:p>
        </w:tc>
        <w:tc>
          <w:tcPr>
            <w:tcW w:w="122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color w:val="auto"/>
              </w:rPr>
              <w:t>1,166.4</w:t>
            </w:r>
          </w:p>
        </w:tc>
        <w:tc>
          <w:tcPr>
            <w:tcW w:w="240" w:type="dxa"/>
            <w:vAlign w:val="bottom"/>
            <w:tcBorders>
              <w:bottom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color w:val="auto"/>
              </w:rPr>
              <w:t>$</w:t>
            </w:r>
          </w:p>
        </w:tc>
        <w:tc>
          <w:tcPr>
            <w:tcW w:w="1360" w:type="dxa"/>
            <w:vAlign w:val="bottom"/>
            <w:tcBorders>
              <w:bottom w:val="single" w:sz="8" w:color="E5F1F8"/>
              <w:right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color w:val="auto"/>
              </w:rPr>
              <w:t>(137.4 )</w:t>
            </w:r>
          </w:p>
        </w:tc>
        <w:tc>
          <w:tcPr>
            <w:tcW w:w="300" w:type="dxa"/>
            <w:vAlign w:val="bottom"/>
            <w:tcBorders>
              <w:bottom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color w:val="auto"/>
              </w:rPr>
              <w:t>$</w:t>
            </w:r>
          </w:p>
        </w:tc>
        <w:tc>
          <w:tcPr>
            <w:tcW w:w="118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1,029.0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5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-2391410</wp:posOffset>
            </wp:positionV>
            <wp:extent cx="295719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29571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-1623695</wp:posOffset>
            </wp:positionV>
            <wp:extent cx="7132320" cy="5099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7132320" cy="50990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-354965</wp:posOffset>
            </wp:positionV>
            <wp:extent cx="2978785" cy="3683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2978785" cy="368300"/>
                    </a:xfrm>
                    <a:prstGeom prst="rect">
                      <a:avLst/>
                    </a:prstGeom>
                    <a:noFill/>
                  </pic:spPr>
                </pic:pic>
              </a:graphicData>
            </a:graphic>
          </wp:anchor>
        </w:drawing>
      </w:r>
    </w:p>
    <w:p>
      <w:pPr>
        <w:spacing w:after="0" w:line="1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Intangible assets subject to amortzaton decreased in 2022 due to measurement period adjustments to acquisiton-date fair values and the divestture of the Company's Colorado and Central Texas ready mixed concrete businesses (see Note C).</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Intangible assets deemed to have an indefnite life that are therefore not amortzed consist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840" w:type="dxa"/>
            <w:vAlign w:val="bottom"/>
            <w:tcBorders>
              <w:right w:val="single" w:sz="8" w:color="007CBA"/>
            </w:tcBorders>
            <w:shd w:val="clear" w:color="auto" w:fill="007CBA"/>
          </w:tcPr>
          <w:p>
            <w:pPr>
              <w:spacing w:after="0"/>
              <w:rPr>
                <w:sz w:val="19"/>
                <w:szCs w:val="19"/>
                <w:color w:val="auto"/>
              </w:rPr>
            </w:pPr>
          </w:p>
        </w:tc>
        <w:tc>
          <w:tcPr>
            <w:tcW w:w="1080" w:type="dxa"/>
            <w:vAlign w:val="bottom"/>
            <w:shd w:val="clear" w:color="auto" w:fill="007CBA"/>
          </w:tcPr>
          <w:p>
            <w:pPr>
              <w:jc w:val="center"/>
              <w:ind w:left="310"/>
              <w:spacing w:after="0"/>
              <w:rPr>
                <w:sz w:val="20"/>
                <w:szCs w:val="20"/>
                <w:color w:val="auto"/>
              </w:rPr>
            </w:pPr>
            <w:r>
              <w:rPr>
                <w:rFonts w:ascii="Calibri" w:cs="Calibri" w:eastAsia="Calibri" w:hAnsi="Calibri"/>
                <w:sz w:val="18"/>
                <w:szCs w:val="18"/>
                <w:b w:val="1"/>
                <w:bCs w:val="1"/>
                <w:color w:val="FFFFFF"/>
                <w:w w:val="98"/>
              </w:rPr>
              <w:t>Building</w:t>
            </w:r>
          </w:p>
        </w:tc>
        <w:tc>
          <w:tcPr>
            <w:tcW w:w="460" w:type="dxa"/>
            <w:vAlign w:val="bottom"/>
            <w:tcBorders>
              <w:right w:val="single" w:sz="8" w:color="007CBA"/>
            </w:tcBorders>
            <w:shd w:val="clear" w:color="auto" w:fill="007CBA"/>
          </w:tcPr>
          <w:p>
            <w:pPr>
              <w:spacing w:after="0"/>
              <w:rPr>
                <w:sz w:val="19"/>
                <w:szCs w:val="19"/>
                <w:color w:val="auto"/>
              </w:rPr>
            </w:pPr>
          </w:p>
        </w:tc>
        <w:tc>
          <w:tcPr>
            <w:tcW w:w="1100" w:type="dxa"/>
            <w:vAlign w:val="bottom"/>
            <w:shd w:val="clear" w:color="auto" w:fill="007CBA"/>
          </w:tcPr>
          <w:p>
            <w:pPr>
              <w:spacing w:after="0"/>
              <w:rPr>
                <w:sz w:val="19"/>
                <w:szCs w:val="19"/>
                <w:color w:val="auto"/>
              </w:rPr>
            </w:pPr>
          </w:p>
        </w:tc>
        <w:tc>
          <w:tcPr>
            <w:tcW w:w="380" w:type="dxa"/>
            <w:vAlign w:val="bottom"/>
            <w:tcBorders>
              <w:right w:val="single" w:sz="8" w:color="007CBA"/>
            </w:tcBorders>
            <w:shd w:val="clear" w:color="auto" w:fill="007CBA"/>
          </w:tcPr>
          <w:p>
            <w:pPr>
              <w:spacing w:after="0"/>
              <w:rPr>
                <w:sz w:val="19"/>
                <w:szCs w:val="19"/>
                <w:color w:val="auto"/>
              </w:rPr>
            </w:pPr>
          </w:p>
        </w:tc>
        <w:tc>
          <w:tcPr>
            <w:tcW w:w="300" w:type="dxa"/>
            <w:vAlign w:val="bottom"/>
            <w:shd w:val="clear" w:color="auto" w:fill="007CBA"/>
          </w:tcPr>
          <w:p>
            <w:pPr>
              <w:spacing w:after="0"/>
              <w:rPr>
                <w:sz w:val="19"/>
                <w:szCs w:val="19"/>
                <w:color w:val="auto"/>
              </w:rPr>
            </w:pPr>
          </w:p>
        </w:tc>
        <w:tc>
          <w:tcPr>
            <w:tcW w:w="1080" w:type="dxa"/>
            <w:vAlign w:val="bottom"/>
            <w:shd w:val="clear" w:color="auto" w:fill="007CBA"/>
          </w:tcPr>
          <w:p>
            <w:pPr>
              <w:spacing w:after="0"/>
              <w:rPr>
                <w:sz w:val="19"/>
                <w:szCs w:val="19"/>
                <w:color w:val="auto"/>
              </w:rPr>
            </w:pPr>
          </w:p>
        </w:tc>
      </w:tr>
      <w:tr>
        <w:trPr>
          <w:trHeight w:val="215"/>
        </w:trPr>
        <w:tc>
          <w:tcPr>
            <w:tcW w:w="6840" w:type="dxa"/>
            <w:vAlign w:val="bottom"/>
            <w:tcBorders>
              <w:right w:val="single" w:sz="8" w:color="007CBA"/>
            </w:tcBorders>
            <w:shd w:val="clear" w:color="auto" w:fill="007CBA"/>
          </w:tcPr>
          <w:p>
            <w:pPr>
              <w:spacing w:after="0"/>
              <w:rPr>
                <w:sz w:val="18"/>
                <w:szCs w:val="18"/>
                <w:color w:val="auto"/>
              </w:rPr>
            </w:pPr>
          </w:p>
        </w:tc>
        <w:tc>
          <w:tcPr>
            <w:tcW w:w="1080" w:type="dxa"/>
            <w:vAlign w:val="bottom"/>
            <w:shd w:val="clear" w:color="auto" w:fill="007CBA"/>
          </w:tcPr>
          <w:p>
            <w:pPr>
              <w:jc w:val="center"/>
              <w:ind w:left="310"/>
              <w:spacing w:after="0" w:line="215" w:lineRule="exact"/>
              <w:rPr>
                <w:sz w:val="20"/>
                <w:szCs w:val="20"/>
                <w:color w:val="auto"/>
              </w:rPr>
            </w:pPr>
            <w:r>
              <w:rPr>
                <w:rFonts w:ascii="Calibri" w:cs="Calibri" w:eastAsia="Calibri" w:hAnsi="Calibri"/>
                <w:sz w:val="18"/>
                <w:szCs w:val="18"/>
                <w:b w:val="1"/>
                <w:bCs w:val="1"/>
                <w:color w:val="FFFFFF"/>
                <w:w w:val="95"/>
              </w:rPr>
              <w:t>Materials</w:t>
            </w:r>
          </w:p>
        </w:tc>
        <w:tc>
          <w:tcPr>
            <w:tcW w:w="460" w:type="dxa"/>
            <w:vAlign w:val="bottom"/>
            <w:tcBorders>
              <w:right w:val="single" w:sz="8" w:color="007CBA"/>
            </w:tcBorders>
            <w:shd w:val="clear" w:color="auto" w:fill="007CBA"/>
          </w:tcPr>
          <w:p>
            <w:pPr>
              <w:spacing w:after="0"/>
              <w:rPr>
                <w:sz w:val="18"/>
                <w:szCs w:val="18"/>
                <w:color w:val="auto"/>
              </w:rPr>
            </w:pPr>
          </w:p>
        </w:tc>
        <w:tc>
          <w:tcPr>
            <w:tcW w:w="1100" w:type="dxa"/>
            <w:vAlign w:val="bottom"/>
            <w:shd w:val="clear" w:color="auto" w:fill="007CBA"/>
          </w:tcPr>
          <w:p>
            <w:pPr>
              <w:jc w:val="right"/>
              <w:spacing w:after="0" w:line="215" w:lineRule="exact"/>
              <w:rPr>
                <w:sz w:val="20"/>
                <w:szCs w:val="20"/>
                <w:color w:val="auto"/>
              </w:rPr>
            </w:pPr>
            <w:r>
              <w:rPr>
                <w:rFonts w:ascii="Calibri" w:cs="Calibri" w:eastAsia="Calibri" w:hAnsi="Calibri"/>
                <w:sz w:val="18"/>
                <w:szCs w:val="18"/>
                <w:b w:val="1"/>
                <w:bCs w:val="1"/>
                <w:color w:val="FFFFFF"/>
              </w:rPr>
              <w:t>Magnesia</w:t>
            </w:r>
          </w:p>
        </w:tc>
        <w:tc>
          <w:tcPr>
            <w:tcW w:w="380" w:type="dxa"/>
            <w:vAlign w:val="bottom"/>
            <w:tcBorders>
              <w:right w:val="single" w:sz="8" w:color="007CBA"/>
            </w:tcBorders>
            <w:shd w:val="clear" w:color="auto" w:fill="007CBA"/>
          </w:tcPr>
          <w:p>
            <w:pPr>
              <w:spacing w:after="0"/>
              <w:rPr>
                <w:sz w:val="18"/>
                <w:szCs w:val="18"/>
                <w:color w:val="auto"/>
              </w:rPr>
            </w:pPr>
          </w:p>
        </w:tc>
        <w:tc>
          <w:tcPr>
            <w:tcW w:w="300" w:type="dxa"/>
            <w:vAlign w:val="bottom"/>
            <w:shd w:val="clear" w:color="auto" w:fill="007CBA"/>
          </w:tcPr>
          <w:p>
            <w:pPr>
              <w:spacing w:after="0"/>
              <w:rPr>
                <w:sz w:val="18"/>
                <w:szCs w:val="18"/>
                <w:color w:val="auto"/>
              </w:rPr>
            </w:pPr>
          </w:p>
        </w:tc>
        <w:tc>
          <w:tcPr>
            <w:tcW w:w="1080" w:type="dxa"/>
            <w:vAlign w:val="bottom"/>
            <w:shd w:val="clear" w:color="auto" w:fill="007CBA"/>
          </w:tcPr>
          <w:p>
            <w:pPr>
              <w:spacing w:after="0"/>
              <w:rPr>
                <w:sz w:val="18"/>
                <w:szCs w:val="18"/>
                <w:color w:val="auto"/>
              </w:rPr>
            </w:pPr>
          </w:p>
        </w:tc>
      </w:tr>
      <w:tr>
        <w:trPr>
          <w:trHeight w:val="229"/>
        </w:trPr>
        <w:tc>
          <w:tcPr>
            <w:tcW w:w="684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December 31</w:t>
            </w:r>
          </w:p>
        </w:tc>
        <w:tc>
          <w:tcPr>
            <w:tcW w:w="1080" w:type="dxa"/>
            <w:vAlign w:val="bottom"/>
            <w:shd w:val="clear" w:color="auto" w:fill="007CBA"/>
          </w:tcPr>
          <w:p>
            <w:pPr>
              <w:jc w:val="center"/>
              <w:ind w:left="310"/>
              <w:spacing w:after="0" w:line="216" w:lineRule="exact"/>
              <w:rPr>
                <w:sz w:val="20"/>
                <w:szCs w:val="20"/>
                <w:color w:val="auto"/>
              </w:rPr>
            </w:pPr>
            <w:r>
              <w:rPr>
                <w:rFonts w:ascii="Calibri" w:cs="Calibri" w:eastAsia="Calibri" w:hAnsi="Calibri"/>
                <w:sz w:val="18"/>
                <w:szCs w:val="18"/>
                <w:b w:val="1"/>
                <w:bCs w:val="1"/>
                <w:color w:val="FFFFFF"/>
                <w:w w:val="99"/>
              </w:rPr>
              <w:t>Business</w:t>
            </w:r>
          </w:p>
        </w:tc>
        <w:tc>
          <w:tcPr>
            <w:tcW w:w="460" w:type="dxa"/>
            <w:vAlign w:val="bottom"/>
            <w:tcBorders>
              <w:right w:val="single" w:sz="8" w:color="007CBA"/>
            </w:tcBorders>
            <w:shd w:val="clear" w:color="auto" w:fill="007CBA"/>
          </w:tcPr>
          <w:p>
            <w:pPr>
              <w:spacing w:after="0"/>
              <w:rPr>
                <w:sz w:val="19"/>
                <w:szCs w:val="19"/>
                <w:color w:val="auto"/>
              </w:rPr>
            </w:pPr>
          </w:p>
        </w:tc>
        <w:tc>
          <w:tcPr>
            <w:tcW w:w="1100" w:type="dxa"/>
            <w:vAlign w:val="bottom"/>
            <w:shd w:val="clear" w:color="auto" w:fill="007CBA"/>
          </w:tcPr>
          <w:p>
            <w:pPr>
              <w:jc w:val="right"/>
              <w:spacing w:after="0" w:line="216" w:lineRule="exact"/>
              <w:rPr>
                <w:sz w:val="20"/>
                <w:szCs w:val="20"/>
                <w:color w:val="auto"/>
              </w:rPr>
            </w:pPr>
            <w:r>
              <w:rPr>
                <w:rFonts w:ascii="Calibri" w:cs="Calibri" w:eastAsia="Calibri" w:hAnsi="Calibri"/>
                <w:sz w:val="18"/>
                <w:szCs w:val="18"/>
                <w:b w:val="1"/>
                <w:bCs w:val="1"/>
                <w:color w:val="FFFFFF"/>
              </w:rPr>
              <w:t>Specialtes</w:t>
            </w:r>
          </w:p>
        </w:tc>
        <w:tc>
          <w:tcPr>
            <w:tcW w:w="380" w:type="dxa"/>
            <w:vAlign w:val="bottom"/>
            <w:tcBorders>
              <w:right w:val="single" w:sz="8" w:color="007CBA"/>
            </w:tcBorders>
            <w:shd w:val="clear" w:color="auto" w:fill="007CBA"/>
          </w:tcPr>
          <w:p>
            <w:pPr>
              <w:spacing w:after="0"/>
              <w:rPr>
                <w:sz w:val="19"/>
                <w:szCs w:val="19"/>
                <w:color w:val="auto"/>
              </w:rPr>
            </w:pPr>
          </w:p>
        </w:tc>
        <w:tc>
          <w:tcPr>
            <w:tcW w:w="300" w:type="dxa"/>
            <w:vAlign w:val="bottom"/>
            <w:shd w:val="clear" w:color="auto" w:fill="007CBA"/>
          </w:tcPr>
          <w:p>
            <w:pPr>
              <w:spacing w:after="0"/>
              <w:rPr>
                <w:sz w:val="19"/>
                <w:szCs w:val="19"/>
                <w:color w:val="auto"/>
              </w:rPr>
            </w:pPr>
          </w:p>
        </w:tc>
        <w:tc>
          <w:tcPr>
            <w:tcW w:w="1080" w:type="dxa"/>
            <w:vAlign w:val="bottom"/>
            <w:shd w:val="clear" w:color="auto" w:fill="007CBA"/>
          </w:tcPr>
          <w:p>
            <w:pPr>
              <w:jc w:val="right"/>
              <w:ind w:right="470"/>
              <w:spacing w:after="0" w:line="216" w:lineRule="exact"/>
              <w:rPr>
                <w:sz w:val="20"/>
                <w:szCs w:val="20"/>
                <w:color w:val="auto"/>
              </w:rPr>
            </w:pPr>
            <w:r>
              <w:rPr>
                <w:rFonts w:ascii="Calibri" w:cs="Calibri" w:eastAsia="Calibri" w:hAnsi="Calibri"/>
                <w:sz w:val="18"/>
                <w:szCs w:val="18"/>
                <w:b w:val="1"/>
                <w:bCs w:val="1"/>
                <w:color w:val="FFFFFF"/>
              </w:rPr>
              <w:t>Total</w:t>
            </w:r>
          </w:p>
        </w:tc>
      </w:tr>
      <w:tr>
        <w:trPr>
          <w:trHeight w:val="260"/>
        </w:trPr>
        <w:tc>
          <w:tcPr>
            <w:tcW w:w="6840" w:type="dxa"/>
            <w:vAlign w:val="bottom"/>
            <w:tcBorders>
              <w:bottom w:val="single" w:sz="8" w:color="007CBA"/>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color w:val="FFFFFF"/>
              </w:rPr>
              <w:t>(in millions)</w:t>
            </w:r>
          </w:p>
        </w:tc>
        <w:tc>
          <w:tcPr>
            <w:tcW w:w="1080" w:type="dxa"/>
            <w:vAlign w:val="bottom"/>
            <w:tcBorders>
              <w:bottom w:val="single" w:sz="8" w:color="007CBA"/>
            </w:tcBorders>
            <w:shd w:val="clear" w:color="auto" w:fill="007CBA"/>
          </w:tcPr>
          <w:p>
            <w:pPr>
              <w:spacing w:after="0"/>
              <w:rPr>
                <w:sz w:val="22"/>
                <w:szCs w:val="22"/>
                <w:color w:val="auto"/>
              </w:rPr>
            </w:pPr>
          </w:p>
        </w:tc>
        <w:tc>
          <w:tcPr>
            <w:tcW w:w="460" w:type="dxa"/>
            <w:vAlign w:val="bottom"/>
            <w:tcBorders>
              <w:bottom w:val="single" w:sz="8" w:color="007CBA"/>
              <w:right w:val="single" w:sz="8" w:color="007CBA"/>
            </w:tcBorders>
            <w:shd w:val="clear" w:color="auto" w:fill="007CBA"/>
          </w:tcPr>
          <w:p>
            <w:pPr>
              <w:spacing w:after="0"/>
              <w:rPr>
                <w:sz w:val="22"/>
                <w:szCs w:val="22"/>
                <w:color w:val="auto"/>
              </w:rPr>
            </w:pPr>
          </w:p>
        </w:tc>
        <w:tc>
          <w:tcPr>
            <w:tcW w:w="1100" w:type="dxa"/>
            <w:vAlign w:val="bottom"/>
            <w:tcBorders>
              <w:bottom w:val="single" w:sz="8" w:color="007CBA"/>
            </w:tcBorders>
            <w:shd w:val="clear" w:color="auto" w:fill="007CBA"/>
          </w:tcPr>
          <w:p>
            <w:pPr>
              <w:jc w:val="right"/>
              <w:ind w:right="190"/>
              <w:spacing w:after="0"/>
              <w:rPr>
                <w:sz w:val="20"/>
                <w:szCs w:val="20"/>
                <w:color w:val="auto"/>
              </w:rPr>
            </w:pPr>
            <w:r>
              <w:rPr>
                <w:rFonts w:ascii="Calibri" w:cs="Calibri" w:eastAsia="Calibri" w:hAnsi="Calibri"/>
                <w:sz w:val="18"/>
                <w:szCs w:val="18"/>
                <w:b w:val="1"/>
                <w:bCs w:val="1"/>
                <w:color w:val="FFFFFF"/>
              </w:rPr>
              <w:t>2022</w:t>
            </w:r>
          </w:p>
        </w:tc>
        <w:tc>
          <w:tcPr>
            <w:tcW w:w="380" w:type="dxa"/>
            <w:vAlign w:val="bottom"/>
            <w:tcBorders>
              <w:bottom w:val="single" w:sz="8" w:color="007CBA"/>
              <w:right w:val="single" w:sz="8" w:color="007CBA"/>
            </w:tcBorders>
            <w:shd w:val="clear" w:color="auto" w:fill="007CBA"/>
          </w:tcPr>
          <w:p>
            <w:pPr>
              <w:spacing w:after="0"/>
              <w:rPr>
                <w:sz w:val="22"/>
                <w:szCs w:val="22"/>
                <w:color w:val="auto"/>
              </w:rPr>
            </w:pPr>
          </w:p>
        </w:tc>
        <w:tc>
          <w:tcPr>
            <w:tcW w:w="300" w:type="dxa"/>
            <w:vAlign w:val="bottom"/>
            <w:tcBorders>
              <w:bottom w:val="single" w:sz="8" w:color="007CBA"/>
            </w:tcBorders>
            <w:shd w:val="clear" w:color="auto" w:fill="007CBA"/>
          </w:tcPr>
          <w:p>
            <w:pPr>
              <w:spacing w:after="0"/>
              <w:rPr>
                <w:sz w:val="22"/>
                <w:szCs w:val="22"/>
                <w:color w:val="auto"/>
              </w:rPr>
            </w:pPr>
          </w:p>
        </w:tc>
        <w:tc>
          <w:tcPr>
            <w:tcW w:w="1080" w:type="dxa"/>
            <w:vAlign w:val="bottom"/>
            <w:tcBorders>
              <w:bottom w:val="single" w:sz="8" w:color="007CBA"/>
            </w:tcBorders>
            <w:shd w:val="clear" w:color="auto" w:fill="007CBA"/>
          </w:tcPr>
          <w:p>
            <w:pPr>
              <w:spacing w:after="0"/>
              <w:rPr>
                <w:sz w:val="22"/>
                <w:szCs w:val="22"/>
                <w:color w:val="auto"/>
              </w:rPr>
            </w:pPr>
          </w:p>
        </w:tc>
      </w:tr>
      <w:tr>
        <w:trPr>
          <w:trHeight w:val="215"/>
        </w:trPr>
        <w:tc>
          <w:tcPr>
            <w:tcW w:w="68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Operatng permits</w:t>
            </w:r>
          </w:p>
        </w:tc>
        <w:tc>
          <w:tcPr>
            <w:tcW w:w="1080" w:type="dxa"/>
            <w:vAlign w:val="bottom"/>
          </w:tcPr>
          <w:p>
            <w:pPr>
              <w:jc w:val="right"/>
              <w:ind w:right="810"/>
              <w:spacing w:after="0" w:line="215" w:lineRule="exact"/>
              <w:rPr>
                <w:sz w:val="20"/>
                <w:szCs w:val="20"/>
                <w:color w:val="auto"/>
              </w:rPr>
            </w:pPr>
            <w:r>
              <w:rPr>
                <w:rFonts w:ascii="Calibri" w:cs="Calibri" w:eastAsia="Calibri" w:hAnsi="Calibri"/>
                <w:sz w:val="18"/>
                <w:szCs w:val="18"/>
                <w:b w:val="1"/>
                <w:bCs w:val="1"/>
                <w:color w:val="auto"/>
              </w:rPr>
              <w:t>$</w:t>
            </w:r>
          </w:p>
        </w:tc>
        <w:tc>
          <w:tcPr>
            <w:tcW w:w="4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6.6</w:t>
            </w:r>
          </w:p>
        </w:tc>
        <w:tc>
          <w:tcPr>
            <w:tcW w:w="1100" w:type="dxa"/>
            <w:vAlign w:val="bottom"/>
          </w:tcPr>
          <w:p>
            <w:pPr>
              <w:jc w:val="right"/>
              <w:ind w:right="870"/>
              <w:spacing w:after="0" w:line="215" w:lineRule="exact"/>
              <w:rPr>
                <w:sz w:val="20"/>
                <w:szCs w:val="20"/>
                <w:color w:val="auto"/>
              </w:rPr>
            </w:pPr>
            <w:r>
              <w:rPr>
                <w:rFonts w:ascii="Calibri" w:cs="Calibri" w:eastAsia="Calibri" w:hAnsi="Calibri"/>
                <w:sz w:val="18"/>
                <w:szCs w:val="18"/>
                <w:b w:val="1"/>
                <w:bCs w:val="1"/>
                <w:color w:val="auto"/>
              </w:rPr>
              <w:t>$</w:t>
            </w:r>
          </w:p>
        </w:tc>
        <w:tc>
          <w:tcPr>
            <w:tcW w:w="38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300" w:type="dxa"/>
            <w:vAlign w:val="bottom"/>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108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6.6</w:t>
            </w:r>
          </w:p>
        </w:tc>
      </w:tr>
      <w:tr>
        <w:trPr>
          <w:trHeight w:val="28"/>
        </w:trPr>
        <w:tc>
          <w:tcPr>
            <w:tcW w:w="6840" w:type="dxa"/>
            <w:vAlign w:val="bottom"/>
            <w:tcBorders>
              <w:right w:val="single" w:sz="8" w:color="007CBA"/>
            </w:tcBorders>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Borders>
              <w:right w:val="single" w:sz="8" w:color="007CBA"/>
            </w:tcBorders>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Borders>
              <w:right w:val="single" w:sz="8" w:color="007CBA"/>
            </w:tcBorders>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3"/>
        </w:trPr>
        <w:tc>
          <w:tcPr>
            <w:tcW w:w="684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Use rights</w:t>
            </w:r>
          </w:p>
        </w:tc>
        <w:tc>
          <w:tcPr>
            <w:tcW w:w="1080" w:type="dxa"/>
            <w:vAlign w:val="bottom"/>
            <w:tcBorders>
              <w:bottom w:val="single" w:sz="8" w:color="E5F1F8"/>
            </w:tcBorders>
            <w:shd w:val="clear" w:color="auto" w:fill="E5F1F8"/>
          </w:tcPr>
          <w:p>
            <w:pPr>
              <w:spacing w:after="0"/>
              <w:rPr>
                <w:sz w:val="19"/>
                <w:szCs w:val="19"/>
                <w:color w:val="auto"/>
              </w:rPr>
            </w:pPr>
          </w:p>
        </w:tc>
        <w:tc>
          <w:tcPr>
            <w:tcW w:w="46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w w:val="93"/>
              </w:rPr>
              <w:t>26.7</w:t>
            </w:r>
          </w:p>
        </w:tc>
        <w:tc>
          <w:tcPr>
            <w:tcW w:w="1100" w:type="dxa"/>
            <w:vAlign w:val="bottom"/>
            <w:tcBorders>
              <w:bottom w:val="single" w:sz="8" w:color="E5F1F8"/>
            </w:tcBorders>
            <w:shd w:val="clear" w:color="auto" w:fill="E5F1F8"/>
          </w:tcPr>
          <w:p>
            <w:pPr>
              <w:spacing w:after="0"/>
              <w:rPr>
                <w:sz w:val="19"/>
                <w:szCs w:val="19"/>
                <w:color w:val="auto"/>
              </w:rPr>
            </w:pPr>
          </w:p>
        </w:tc>
        <w:tc>
          <w:tcPr>
            <w:tcW w:w="38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300" w:type="dxa"/>
            <w:vAlign w:val="bottom"/>
            <w:tcBorders>
              <w:bottom w:val="single" w:sz="8" w:color="E5F1F8"/>
            </w:tcBorders>
            <w:shd w:val="clear" w:color="auto" w:fill="E5F1F8"/>
          </w:tcPr>
          <w:p>
            <w:pPr>
              <w:spacing w:after="0"/>
              <w:rPr>
                <w:sz w:val="19"/>
                <w:szCs w:val="19"/>
                <w:color w:val="auto"/>
              </w:rPr>
            </w:pPr>
          </w:p>
        </w:tc>
        <w:tc>
          <w:tcPr>
            <w:tcW w:w="108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26.7</w:t>
            </w:r>
          </w:p>
        </w:tc>
      </w:tr>
      <w:tr>
        <w:trPr>
          <w:trHeight w:val="215"/>
        </w:trPr>
        <w:tc>
          <w:tcPr>
            <w:tcW w:w="6840" w:type="dxa"/>
            <w:vAlign w:val="bottom"/>
          </w:tcPr>
          <w:p>
            <w:pPr>
              <w:ind w:left="120"/>
              <w:spacing w:after="0" w:line="215" w:lineRule="exact"/>
              <w:rPr>
                <w:sz w:val="20"/>
                <w:szCs w:val="20"/>
                <w:color w:val="auto"/>
              </w:rPr>
            </w:pPr>
            <w:r>
              <w:rPr>
                <w:rFonts w:ascii="Calibri" w:cs="Calibri" w:eastAsia="Calibri" w:hAnsi="Calibri"/>
                <w:sz w:val="18"/>
                <w:szCs w:val="18"/>
                <w:color w:val="auto"/>
              </w:rPr>
              <w:t>Trade names</w:t>
            </w:r>
          </w:p>
        </w:tc>
        <w:tc>
          <w:tcPr>
            <w:tcW w:w="1080" w:type="dxa"/>
            <w:vAlign w:val="bottom"/>
          </w:tcPr>
          <w:p>
            <w:pPr>
              <w:spacing w:after="0"/>
              <w:rPr>
                <w:sz w:val="18"/>
                <w:szCs w:val="18"/>
                <w:color w:val="auto"/>
              </w:rPr>
            </w:pPr>
          </w:p>
        </w:tc>
        <w:tc>
          <w:tcPr>
            <w:tcW w:w="46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1100" w:type="dxa"/>
            <w:vAlign w:val="bottom"/>
          </w:tcPr>
          <w:p>
            <w:pPr>
              <w:spacing w:after="0"/>
              <w:rPr>
                <w:sz w:val="18"/>
                <w:szCs w:val="18"/>
                <w:color w:val="auto"/>
              </w:rPr>
            </w:pPr>
          </w:p>
        </w:tc>
        <w:tc>
          <w:tcPr>
            <w:tcW w:w="38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2.5</w:t>
            </w:r>
          </w:p>
        </w:tc>
        <w:tc>
          <w:tcPr>
            <w:tcW w:w="300" w:type="dxa"/>
            <w:vAlign w:val="bottom"/>
          </w:tcPr>
          <w:p>
            <w:pPr>
              <w:spacing w:after="0"/>
              <w:rPr>
                <w:sz w:val="18"/>
                <w:szCs w:val="18"/>
                <w:color w:val="auto"/>
              </w:rPr>
            </w:pPr>
          </w:p>
        </w:tc>
        <w:tc>
          <w:tcPr>
            <w:tcW w:w="108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2.5</w:t>
            </w:r>
          </w:p>
        </w:tc>
      </w:tr>
      <w:tr>
        <w:trPr>
          <w:trHeight w:val="28"/>
        </w:trPr>
        <w:tc>
          <w:tcPr>
            <w:tcW w:w="68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2"/>
        </w:trPr>
        <w:tc>
          <w:tcPr>
            <w:tcW w:w="684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Total</w:t>
            </w:r>
          </w:p>
        </w:tc>
        <w:tc>
          <w:tcPr>
            <w:tcW w:w="1080" w:type="dxa"/>
            <w:vAlign w:val="bottom"/>
            <w:tcBorders>
              <w:bottom w:val="single" w:sz="8" w:color="E5F1F8"/>
            </w:tcBorders>
            <w:shd w:val="clear" w:color="auto" w:fill="E5F1F8"/>
          </w:tcPr>
          <w:p>
            <w:pPr>
              <w:jc w:val="right"/>
              <w:ind w:right="810"/>
              <w:spacing w:after="0" w:line="208" w:lineRule="exact"/>
              <w:rPr>
                <w:sz w:val="20"/>
                <w:szCs w:val="20"/>
                <w:color w:val="auto"/>
              </w:rPr>
            </w:pPr>
            <w:r>
              <w:rPr>
                <w:rFonts w:ascii="Calibri" w:cs="Calibri" w:eastAsia="Calibri" w:hAnsi="Calibri"/>
                <w:sz w:val="18"/>
                <w:szCs w:val="18"/>
                <w:b w:val="1"/>
                <w:bCs w:val="1"/>
                <w:color w:val="auto"/>
              </w:rPr>
              <w:t>$</w:t>
            </w:r>
          </w:p>
        </w:tc>
        <w:tc>
          <w:tcPr>
            <w:tcW w:w="46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b w:val="1"/>
                <w:bCs w:val="1"/>
                <w:color w:val="auto"/>
                <w:w w:val="93"/>
              </w:rPr>
              <w:t>33.3</w:t>
            </w:r>
          </w:p>
        </w:tc>
        <w:tc>
          <w:tcPr>
            <w:tcW w:w="1100" w:type="dxa"/>
            <w:vAlign w:val="bottom"/>
            <w:tcBorders>
              <w:bottom w:val="single" w:sz="8" w:color="E5F1F8"/>
            </w:tcBorders>
            <w:shd w:val="clear" w:color="auto" w:fill="E5F1F8"/>
          </w:tcPr>
          <w:p>
            <w:pPr>
              <w:jc w:val="right"/>
              <w:ind w:right="870"/>
              <w:spacing w:after="0" w:line="208" w:lineRule="exact"/>
              <w:rPr>
                <w:sz w:val="20"/>
                <w:szCs w:val="20"/>
                <w:color w:val="auto"/>
              </w:rPr>
            </w:pPr>
            <w:r>
              <w:rPr>
                <w:rFonts w:ascii="Calibri" w:cs="Calibri" w:eastAsia="Calibri" w:hAnsi="Calibri"/>
                <w:sz w:val="18"/>
                <w:szCs w:val="18"/>
                <w:b w:val="1"/>
                <w:bCs w:val="1"/>
                <w:color w:val="auto"/>
              </w:rPr>
              <w:t>$</w:t>
            </w:r>
          </w:p>
        </w:tc>
        <w:tc>
          <w:tcPr>
            <w:tcW w:w="380" w:type="dxa"/>
            <w:vAlign w:val="bottom"/>
            <w:tcBorders>
              <w:bottom w:val="single" w:sz="8" w:color="E5F1F8"/>
              <w:right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b w:val="1"/>
                <w:bCs w:val="1"/>
                <w:color w:val="auto"/>
              </w:rPr>
              <w:t>2.5</w:t>
            </w:r>
          </w:p>
        </w:tc>
        <w:tc>
          <w:tcPr>
            <w:tcW w:w="300" w:type="dxa"/>
            <w:vAlign w:val="bottom"/>
            <w:tcBorders>
              <w:bottom w:val="single" w:sz="8" w:color="E5F1F8"/>
            </w:tcBorders>
            <w:shd w:val="clear" w:color="auto" w:fill="E5F1F8"/>
          </w:tcPr>
          <w:p>
            <w:pPr>
              <w:jc w:val="right"/>
              <w:ind w:right="70"/>
              <w:spacing w:after="0" w:line="208" w:lineRule="exact"/>
              <w:rPr>
                <w:sz w:val="20"/>
                <w:szCs w:val="20"/>
                <w:color w:val="auto"/>
              </w:rPr>
            </w:pPr>
            <w:r>
              <w:rPr>
                <w:rFonts w:ascii="Calibri" w:cs="Calibri" w:eastAsia="Calibri" w:hAnsi="Calibri"/>
                <w:sz w:val="18"/>
                <w:szCs w:val="18"/>
                <w:b w:val="1"/>
                <w:bCs w:val="1"/>
                <w:color w:val="auto"/>
              </w:rPr>
              <w:t>$</w:t>
            </w:r>
          </w:p>
        </w:tc>
        <w:tc>
          <w:tcPr>
            <w:tcW w:w="108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b w:val="1"/>
                <w:bCs w:val="1"/>
                <w:color w:val="auto"/>
              </w:rPr>
              <w:t>35.8</w:t>
            </w:r>
          </w:p>
        </w:tc>
      </w:tr>
      <w:tr>
        <w:trPr>
          <w:trHeight w:val="237"/>
        </w:trPr>
        <w:tc>
          <w:tcPr>
            <w:tcW w:w="68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23"/>
        </w:trPr>
        <w:tc>
          <w:tcPr>
            <w:tcW w:w="6840" w:type="dxa"/>
            <w:vAlign w:val="bottom"/>
            <w:tcBorders>
              <w:bottom w:val="single" w:sz="8" w:color="007CBA"/>
              <w:right w:val="single" w:sz="8" w:color="007CBA"/>
            </w:tcBorders>
            <w:shd w:val="clear" w:color="auto" w:fill="007CBA"/>
          </w:tcPr>
          <w:p>
            <w:pPr>
              <w:spacing w:after="0"/>
              <w:rPr>
                <w:sz w:val="19"/>
                <w:szCs w:val="19"/>
                <w:color w:val="auto"/>
              </w:rPr>
            </w:pPr>
          </w:p>
        </w:tc>
        <w:tc>
          <w:tcPr>
            <w:tcW w:w="1080" w:type="dxa"/>
            <w:vAlign w:val="bottom"/>
            <w:tcBorders>
              <w:bottom w:val="single" w:sz="8" w:color="007CBA"/>
            </w:tcBorders>
            <w:shd w:val="clear" w:color="auto" w:fill="007CBA"/>
          </w:tcPr>
          <w:p>
            <w:pPr>
              <w:spacing w:after="0"/>
              <w:rPr>
                <w:sz w:val="19"/>
                <w:szCs w:val="19"/>
                <w:color w:val="auto"/>
              </w:rPr>
            </w:pPr>
          </w:p>
        </w:tc>
        <w:tc>
          <w:tcPr>
            <w:tcW w:w="460" w:type="dxa"/>
            <w:vAlign w:val="bottom"/>
            <w:tcBorders>
              <w:bottom w:val="single" w:sz="8" w:color="007CBA"/>
              <w:right w:val="single" w:sz="8" w:color="007CBA"/>
            </w:tcBorders>
            <w:shd w:val="clear" w:color="auto" w:fill="007CBA"/>
          </w:tcPr>
          <w:p>
            <w:pPr>
              <w:spacing w:after="0"/>
              <w:rPr>
                <w:sz w:val="19"/>
                <w:szCs w:val="19"/>
                <w:color w:val="auto"/>
              </w:rPr>
            </w:pPr>
          </w:p>
        </w:tc>
        <w:tc>
          <w:tcPr>
            <w:tcW w:w="1100" w:type="dxa"/>
            <w:vAlign w:val="bottom"/>
            <w:tcBorders>
              <w:bottom w:val="single" w:sz="8" w:color="007CBA"/>
            </w:tcBorders>
            <w:shd w:val="clear" w:color="auto" w:fill="007CBA"/>
          </w:tcPr>
          <w:p>
            <w:pPr>
              <w:jc w:val="right"/>
              <w:ind w:right="190"/>
              <w:spacing w:after="0" w:line="215" w:lineRule="exact"/>
              <w:rPr>
                <w:sz w:val="20"/>
                <w:szCs w:val="20"/>
                <w:color w:val="auto"/>
              </w:rPr>
            </w:pPr>
            <w:r>
              <w:rPr>
                <w:rFonts w:ascii="Calibri" w:cs="Calibri" w:eastAsia="Calibri" w:hAnsi="Calibri"/>
                <w:sz w:val="18"/>
                <w:szCs w:val="18"/>
                <w:color w:val="FFFFFF"/>
              </w:rPr>
              <w:t>2021</w:t>
            </w:r>
          </w:p>
        </w:tc>
        <w:tc>
          <w:tcPr>
            <w:tcW w:w="380" w:type="dxa"/>
            <w:vAlign w:val="bottom"/>
            <w:tcBorders>
              <w:bottom w:val="single" w:sz="8" w:color="007CBA"/>
              <w:right w:val="single" w:sz="8" w:color="007CBA"/>
            </w:tcBorders>
            <w:shd w:val="clear" w:color="auto" w:fill="007CBA"/>
          </w:tcPr>
          <w:p>
            <w:pPr>
              <w:spacing w:after="0"/>
              <w:rPr>
                <w:sz w:val="19"/>
                <w:szCs w:val="19"/>
                <w:color w:val="auto"/>
              </w:rPr>
            </w:pPr>
          </w:p>
        </w:tc>
        <w:tc>
          <w:tcPr>
            <w:tcW w:w="300" w:type="dxa"/>
            <w:vAlign w:val="bottom"/>
            <w:tcBorders>
              <w:bottom w:val="single" w:sz="8" w:color="007CBA"/>
            </w:tcBorders>
            <w:shd w:val="clear" w:color="auto" w:fill="007CBA"/>
          </w:tcPr>
          <w:p>
            <w:pPr>
              <w:spacing w:after="0"/>
              <w:rPr>
                <w:sz w:val="19"/>
                <w:szCs w:val="19"/>
                <w:color w:val="auto"/>
              </w:rPr>
            </w:pPr>
          </w:p>
        </w:tc>
        <w:tc>
          <w:tcPr>
            <w:tcW w:w="1080" w:type="dxa"/>
            <w:vAlign w:val="bottom"/>
            <w:tcBorders>
              <w:bottom w:val="single" w:sz="8" w:color="007CBA"/>
            </w:tcBorders>
            <w:shd w:val="clear" w:color="auto" w:fill="007CBA"/>
          </w:tcPr>
          <w:p>
            <w:pPr>
              <w:spacing w:after="0"/>
              <w:rPr>
                <w:sz w:val="19"/>
                <w:szCs w:val="19"/>
                <w:color w:val="auto"/>
              </w:rPr>
            </w:pPr>
          </w:p>
        </w:tc>
      </w:tr>
      <w:tr>
        <w:trPr>
          <w:trHeight w:val="215"/>
        </w:trPr>
        <w:tc>
          <w:tcPr>
            <w:tcW w:w="68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Operatng permits</w:t>
            </w:r>
          </w:p>
        </w:tc>
        <w:tc>
          <w:tcPr>
            <w:tcW w:w="1080" w:type="dxa"/>
            <w:vAlign w:val="bottom"/>
          </w:tcPr>
          <w:p>
            <w:pPr>
              <w:jc w:val="right"/>
              <w:ind w:right="810"/>
              <w:spacing w:after="0" w:line="215" w:lineRule="exact"/>
              <w:rPr>
                <w:sz w:val="20"/>
                <w:szCs w:val="20"/>
                <w:color w:val="auto"/>
              </w:rPr>
            </w:pPr>
            <w:r>
              <w:rPr>
                <w:rFonts w:ascii="Calibri" w:cs="Calibri" w:eastAsia="Calibri" w:hAnsi="Calibri"/>
                <w:sz w:val="18"/>
                <w:szCs w:val="18"/>
                <w:color w:val="auto"/>
              </w:rPr>
              <w:t>$</w:t>
            </w:r>
          </w:p>
        </w:tc>
        <w:tc>
          <w:tcPr>
            <w:tcW w:w="4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6.6</w:t>
            </w:r>
          </w:p>
        </w:tc>
        <w:tc>
          <w:tcPr>
            <w:tcW w:w="1100" w:type="dxa"/>
            <w:vAlign w:val="bottom"/>
          </w:tcPr>
          <w:p>
            <w:pPr>
              <w:jc w:val="right"/>
              <w:ind w:right="870"/>
              <w:spacing w:after="0" w:line="215" w:lineRule="exact"/>
              <w:rPr>
                <w:sz w:val="20"/>
                <w:szCs w:val="20"/>
                <w:color w:val="auto"/>
              </w:rPr>
            </w:pPr>
            <w:r>
              <w:rPr>
                <w:rFonts w:ascii="Calibri" w:cs="Calibri" w:eastAsia="Calibri" w:hAnsi="Calibri"/>
                <w:sz w:val="18"/>
                <w:szCs w:val="18"/>
                <w:color w:val="auto"/>
              </w:rPr>
              <w:t>$</w:t>
            </w:r>
          </w:p>
        </w:tc>
        <w:tc>
          <w:tcPr>
            <w:tcW w:w="38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6.6</w:t>
            </w:r>
          </w:p>
        </w:tc>
      </w:tr>
      <w:tr>
        <w:trPr>
          <w:trHeight w:val="28"/>
        </w:trPr>
        <w:tc>
          <w:tcPr>
            <w:tcW w:w="6840" w:type="dxa"/>
            <w:vAlign w:val="bottom"/>
            <w:tcBorders>
              <w:right w:val="single" w:sz="8" w:color="007CBA"/>
            </w:tcBorders>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Borders>
              <w:right w:val="single" w:sz="8" w:color="007CBA"/>
            </w:tcBorders>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Borders>
              <w:right w:val="single" w:sz="8" w:color="007CBA"/>
            </w:tcBorders>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3"/>
        </w:trPr>
        <w:tc>
          <w:tcPr>
            <w:tcW w:w="684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Use rights</w:t>
            </w:r>
          </w:p>
        </w:tc>
        <w:tc>
          <w:tcPr>
            <w:tcW w:w="1080" w:type="dxa"/>
            <w:vAlign w:val="bottom"/>
            <w:tcBorders>
              <w:bottom w:val="single" w:sz="8" w:color="E5F1F8"/>
            </w:tcBorders>
            <w:shd w:val="clear" w:color="auto" w:fill="E5F1F8"/>
          </w:tcPr>
          <w:p>
            <w:pPr>
              <w:spacing w:after="0"/>
              <w:rPr>
                <w:sz w:val="19"/>
                <w:szCs w:val="19"/>
                <w:color w:val="auto"/>
              </w:rPr>
            </w:pPr>
          </w:p>
        </w:tc>
        <w:tc>
          <w:tcPr>
            <w:tcW w:w="46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w w:val="93"/>
              </w:rPr>
              <w:t>26.7</w:t>
            </w:r>
          </w:p>
        </w:tc>
        <w:tc>
          <w:tcPr>
            <w:tcW w:w="1100" w:type="dxa"/>
            <w:vAlign w:val="bottom"/>
            <w:tcBorders>
              <w:bottom w:val="single" w:sz="8" w:color="E5F1F8"/>
            </w:tcBorders>
            <w:shd w:val="clear" w:color="auto" w:fill="E5F1F8"/>
          </w:tcPr>
          <w:p>
            <w:pPr>
              <w:spacing w:after="0"/>
              <w:rPr>
                <w:sz w:val="19"/>
                <w:szCs w:val="19"/>
                <w:color w:val="auto"/>
              </w:rPr>
            </w:pPr>
          </w:p>
        </w:tc>
        <w:tc>
          <w:tcPr>
            <w:tcW w:w="38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Borders>
              <w:bottom w:val="single" w:sz="8" w:color="E5F1F8"/>
            </w:tcBorders>
            <w:shd w:val="clear" w:color="auto" w:fill="E5F1F8"/>
          </w:tcPr>
          <w:p>
            <w:pPr>
              <w:spacing w:after="0"/>
              <w:rPr>
                <w:sz w:val="19"/>
                <w:szCs w:val="19"/>
                <w:color w:val="auto"/>
              </w:rPr>
            </w:pPr>
          </w:p>
        </w:tc>
        <w:tc>
          <w:tcPr>
            <w:tcW w:w="108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26.7</w:t>
            </w:r>
          </w:p>
        </w:tc>
      </w:tr>
      <w:tr>
        <w:trPr>
          <w:trHeight w:val="215"/>
        </w:trPr>
        <w:tc>
          <w:tcPr>
            <w:tcW w:w="6840" w:type="dxa"/>
            <w:vAlign w:val="bottom"/>
          </w:tcPr>
          <w:p>
            <w:pPr>
              <w:ind w:left="120"/>
              <w:spacing w:after="0" w:line="215" w:lineRule="exact"/>
              <w:rPr>
                <w:sz w:val="20"/>
                <w:szCs w:val="20"/>
                <w:color w:val="auto"/>
              </w:rPr>
            </w:pPr>
            <w:r>
              <w:rPr>
                <w:rFonts w:ascii="Calibri" w:cs="Calibri" w:eastAsia="Calibri" w:hAnsi="Calibri"/>
                <w:sz w:val="18"/>
                <w:szCs w:val="18"/>
                <w:color w:val="auto"/>
              </w:rPr>
              <w:t>Trade names</w:t>
            </w:r>
          </w:p>
        </w:tc>
        <w:tc>
          <w:tcPr>
            <w:tcW w:w="1080" w:type="dxa"/>
            <w:vAlign w:val="bottom"/>
          </w:tcPr>
          <w:p>
            <w:pPr>
              <w:spacing w:after="0"/>
              <w:rPr>
                <w:sz w:val="18"/>
                <w:szCs w:val="18"/>
                <w:color w:val="auto"/>
              </w:rPr>
            </w:pPr>
          </w:p>
        </w:tc>
        <w:tc>
          <w:tcPr>
            <w:tcW w:w="4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0.2</w:t>
            </w:r>
          </w:p>
        </w:tc>
        <w:tc>
          <w:tcPr>
            <w:tcW w:w="1100" w:type="dxa"/>
            <w:vAlign w:val="bottom"/>
          </w:tcPr>
          <w:p>
            <w:pPr>
              <w:spacing w:after="0"/>
              <w:rPr>
                <w:sz w:val="18"/>
                <w:szCs w:val="18"/>
                <w:color w:val="auto"/>
              </w:rPr>
            </w:pPr>
          </w:p>
        </w:tc>
        <w:tc>
          <w:tcPr>
            <w:tcW w:w="3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2.5</w:t>
            </w:r>
          </w:p>
        </w:tc>
        <w:tc>
          <w:tcPr>
            <w:tcW w:w="300" w:type="dxa"/>
            <w:vAlign w:val="bottom"/>
          </w:tcPr>
          <w:p>
            <w:pPr>
              <w:spacing w:after="0"/>
              <w:rPr>
                <w:sz w:val="18"/>
                <w:szCs w:val="18"/>
                <w:color w:val="auto"/>
              </w:rPr>
            </w:pPr>
          </w:p>
        </w:tc>
        <w:tc>
          <w:tcPr>
            <w:tcW w:w="10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2.7</w:t>
            </w:r>
          </w:p>
        </w:tc>
      </w:tr>
      <w:tr>
        <w:trPr>
          <w:trHeight w:val="28"/>
        </w:trPr>
        <w:tc>
          <w:tcPr>
            <w:tcW w:w="68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2"/>
        </w:trPr>
        <w:tc>
          <w:tcPr>
            <w:tcW w:w="684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Total</w:t>
            </w:r>
          </w:p>
        </w:tc>
        <w:tc>
          <w:tcPr>
            <w:tcW w:w="1080" w:type="dxa"/>
            <w:vAlign w:val="bottom"/>
            <w:tcBorders>
              <w:bottom w:val="single" w:sz="8" w:color="E5F1F8"/>
            </w:tcBorders>
            <w:shd w:val="clear" w:color="auto" w:fill="E5F1F8"/>
          </w:tcPr>
          <w:p>
            <w:pPr>
              <w:jc w:val="right"/>
              <w:ind w:right="810"/>
              <w:spacing w:after="0" w:line="208" w:lineRule="exact"/>
              <w:rPr>
                <w:sz w:val="20"/>
                <w:szCs w:val="20"/>
                <w:color w:val="auto"/>
              </w:rPr>
            </w:pPr>
            <w:r>
              <w:rPr>
                <w:rFonts w:ascii="Calibri" w:cs="Calibri" w:eastAsia="Calibri" w:hAnsi="Calibri"/>
                <w:sz w:val="18"/>
                <w:szCs w:val="18"/>
                <w:color w:val="auto"/>
              </w:rPr>
              <w:t>$</w:t>
            </w:r>
          </w:p>
        </w:tc>
        <w:tc>
          <w:tcPr>
            <w:tcW w:w="46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color w:val="auto"/>
                <w:w w:val="93"/>
              </w:rPr>
              <w:t>33.5</w:t>
            </w:r>
          </w:p>
        </w:tc>
        <w:tc>
          <w:tcPr>
            <w:tcW w:w="1100" w:type="dxa"/>
            <w:vAlign w:val="bottom"/>
            <w:tcBorders>
              <w:bottom w:val="single" w:sz="8" w:color="E5F1F8"/>
            </w:tcBorders>
            <w:shd w:val="clear" w:color="auto" w:fill="E5F1F8"/>
          </w:tcPr>
          <w:p>
            <w:pPr>
              <w:jc w:val="right"/>
              <w:ind w:right="870"/>
              <w:spacing w:after="0" w:line="208" w:lineRule="exact"/>
              <w:rPr>
                <w:sz w:val="20"/>
                <w:szCs w:val="20"/>
                <w:color w:val="auto"/>
              </w:rPr>
            </w:pPr>
            <w:r>
              <w:rPr>
                <w:rFonts w:ascii="Calibri" w:cs="Calibri" w:eastAsia="Calibri" w:hAnsi="Calibri"/>
                <w:sz w:val="18"/>
                <w:szCs w:val="18"/>
                <w:color w:val="auto"/>
              </w:rPr>
              <w:t>$</w:t>
            </w:r>
          </w:p>
        </w:tc>
        <w:tc>
          <w:tcPr>
            <w:tcW w:w="380" w:type="dxa"/>
            <w:vAlign w:val="bottom"/>
            <w:tcBorders>
              <w:bottom w:val="single" w:sz="8" w:color="E5F1F8"/>
              <w:right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2.5</w:t>
            </w:r>
          </w:p>
        </w:tc>
        <w:tc>
          <w:tcPr>
            <w:tcW w:w="300" w:type="dxa"/>
            <w:vAlign w:val="bottom"/>
            <w:tcBorders>
              <w:bottom w:val="single" w:sz="8" w:color="E5F1F8"/>
            </w:tcBorders>
            <w:shd w:val="clear" w:color="auto" w:fill="E5F1F8"/>
          </w:tcPr>
          <w:p>
            <w:pPr>
              <w:jc w:val="right"/>
              <w:ind w:right="70"/>
              <w:spacing w:after="0" w:line="208" w:lineRule="exact"/>
              <w:rPr>
                <w:sz w:val="20"/>
                <w:szCs w:val="20"/>
                <w:color w:val="auto"/>
              </w:rPr>
            </w:pPr>
            <w:r>
              <w:rPr>
                <w:rFonts w:ascii="Calibri" w:cs="Calibri" w:eastAsia="Calibri" w:hAnsi="Calibri"/>
                <w:sz w:val="18"/>
                <w:szCs w:val="18"/>
                <w:color w:val="auto"/>
              </w:rPr>
              <w:t>$</w:t>
            </w:r>
          </w:p>
        </w:tc>
        <w:tc>
          <w:tcPr>
            <w:tcW w:w="108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36.0</w:t>
            </w:r>
          </w:p>
        </w:tc>
      </w:tr>
      <w:tr>
        <w:trPr>
          <w:trHeight w:val="20"/>
        </w:trPr>
        <w:tc>
          <w:tcPr>
            <w:tcW w:w="68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-1782445</wp:posOffset>
            </wp:positionV>
            <wp:extent cx="275145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27514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-1323975</wp:posOffset>
            </wp:positionV>
            <wp:extent cx="7132320" cy="5181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7132320" cy="518160"/>
                    </a:xfrm>
                    <a:prstGeom prst="rect">
                      <a:avLst/>
                    </a:prstGeom>
                    <a:noFill/>
                  </pic:spPr>
                </pic:pic>
              </a:graphicData>
            </a:graphic>
          </wp:anchor>
        </w:drawing>
        <w:drawing>
          <wp:anchor simplePos="0" relativeHeight="251657728" behindDoc="1" locked="0" layoutInCell="0" allowOverlap="1">
            <wp:simplePos x="0" y="0"/>
            <wp:positionH relativeFrom="column">
              <wp:posOffset>4321175</wp:posOffset>
            </wp:positionH>
            <wp:positionV relativeFrom="paragraph">
              <wp:posOffset>-354965</wp:posOffset>
            </wp:positionV>
            <wp:extent cx="2815590" cy="3683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2815590" cy="368300"/>
                    </a:xfrm>
                    <a:prstGeom prst="rect">
                      <a:avLst/>
                    </a:prstGeom>
                    <a:noFill/>
                  </pic:spPr>
                </pic:pic>
              </a:graphicData>
            </a:graphic>
          </wp:anchor>
        </w:drawing>
      </w:r>
    </w:p>
    <w:p>
      <w:pPr>
        <w:spacing w:after="0" w:line="13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Total amortzaton expense for intangible assets for the years ended December 31, 2022, 2021 and 2020 was $26.6 million, $24.0 million and $13.4 million, respectvely. The intangible assets classifed as held for sale are not being amortzed.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000" w:type="dxa"/>
            <w:vAlign w:val="bottom"/>
          </w:tcPr>
          <w:p>
            <w:pPr>
              <w:spacing w:after="0"/>
              <w:rPr>
                <w:sz w:val="20"/>
                <w:szCs w:val="20"/>
                <w:color w:val="auto"/>
              </w:rPr>
            </w:pPr>
            <w:r>
              <w:rPr>
                <w:rFonts w:ascii="Calibri" w:cs="Calibri" w:eastAsia="Calibri" w:hAnsi="Calibri"/>
                <w:sz w:val="18"/>
                <w:szCs w:val="18"/>
                <w:color w:val="auto"/>
              </w:rPr>
              <w:t>The estmated amortzaton expense for intangible assets for each of the next fve years and thereafer is as follows:</w:t>
            </w:r>
          </w:p>
        </w:tc>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31"/>
        </w:trPr>
        <w:tc>
          <w:tcPr>
            <w:tcW w:w="9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223"/>
        </w:trPr>
        <w:tc>
          <w:tcPr>
            <w:tcW w:w="900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1020" w:type="dxa"/>
            <w:vAlign w:val="bottom"/>
            <w:tcBorders>
              <w:bottom w:val="single" w:sz="8" w:color="007CBA"/>
            </w:tcBorders>
            <w:shd w:val="clear" w:color="auto" w:fill="007CBA"/>
          </w:tcPr>
          <w:p>
            <w:pPr>
              <w:spacing w:after="0"/>
              <w:rPr>
                <w:sz w:val="19"/>
                <w:szCs w:val="19"/>
                <w:color w:val="auto"/>
              </w:rPr>
            </w:pPr>
          </w:p>
        </w:tc>
        <w:tc>
          <w:tcPr>
            <w:tcW w:w="1220" w:type="dxa"/>
            <w:vAlign w:val="bottom"/>
            <w:tcBorders>
              <w:bottom w:val="single" w:sz="8" w:color="007CBA"/>
            </w:tcBorders>
            <w:shd w:val="clear" w:color="auto" w:fill="007CBA"/>
          </w:tcPr>
          <w:p>
            <w:pPr>
              <w:spacing w:after="0"/>
              <w:rPr>
                <w:sz w:val="19"/>
                <w:szCs w:val="19"/>
                <w:color w:val="auto"/>
              </w:rPr>
            </w:pPr>
          </w:p>
        </w:tc>
      </w:tr>
      <w:tr>
        <w:trPr>
          <w:trHeight w:val="215"/>
        </w:trPr>
        <w:tc>
          <w:tcPr>
            <w:tcW w:w="90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2023</w:t>
            </w:r>
          </w:p>
        </w:tc>
        <w:tc>
          <w:tcPr>
            <w:tcW w:w="1020" w:type="dxa"/>
            <w:vAlign w:val="bottom"/>
          </w:tcPr>
          <w:p>
            <w:pPr>
              <w:jc w:val="right"/>
              <w:ind w:right="59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28.1</w:t>
            </w:r>
          </w:p>
        </w:tc>
      </w:tr>
      <w:tr>
        <w:trPr>
          <w:trHeight w:val="28"/>
        </w:trPr>
        <w:tc>
          <w:tcPr>
            <w:tcW w:w="9000" w:type="dxa"/>
            <w:vAlign w:val="bottom"/>
            <w:tcBorders>
              <w:right w:val="single" w:sz="8" w:color="007CBA"/>
            </w:tcBorders>
          </w:tcPr>
          <w:p>
            <w:pPr>
              <w:spacing w:after="0"/>
              <w:rPr>
                <w:sz w:val="2"/>
                <w:szCs w:val="2"/>
                <w:color w:val="auto"/>
              </w:rPr>
            </w:pPr>
          </w:p>
        </w:tc>
        <w:tc>
          <w:tcPr>
            <w:tcW w:w="10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900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2024</w:t>
            </w:r>
          </w:p>
        </w:tc>
        <w:tc>
          <w:tcPr>
            <w:tcW w:w="1020" w:type="dxa"/>
            <w:vAlign w:val="bottom"/>
            <w:tcBorders>
              <w:bottom w:val="single" w:sz="8" w:color="E5F1F8"/>
            </w:tcBorders>
            <w:shd w:val="clear" w:color="auto" w:fill="E5F1F8"/>
          </w:tcPr>
          <w:p>
            <w:pPr>
              <w:spacing w:after="0"/>
              <w:rPr>
                <w:sz w:val="19"/>
                <w:szCs w:val="19"/>
                <w:color w:val="auto"/>
              </w:rPr>
            </w:pPr>
          </w:p>
        </w:tc>
        <w:tc>
          <w:tcPr>
            <w:tcW w:w="12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28.0</w:t>
            </w:r>
          </w:p>
        </w:tc>
      </w:tr>
      <w:tr>
        <w:trPr>
          <w:trHeight w:val="215"/>
        </w:trPr>
        <w:tc>
          <w:tcPr>
            <w:tcW w:w="90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2025</w:t>
            </w:r>
          </w:p>
        </w:tc>
        <w:tc>
          <w:tcPr>
            <w:tcW w:w="1020" w:type="dxa"/>
            <w:vAlign w:val="bottom"/>
          </w:tcPr>
          <w:p>
            <w:pPr>
              <w:spacing w:after="0"/>
              <w:rPr>
                <w:sz w:val="18"/>
                <w:szCs w:val="18"/>
                <w:color w:val="auto"/>
              </w:rPr>
            </w:pPr>
          </w:p>
        </w:tc>
        <w:tc>
          <w:tcPr>
            <w:tcW w:w="1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27.9</w:t>
            </w:r>
          </w:p>
        </w:tc>
      </w:tr>
      <w:tr>
        <w:trPr>
          <w:trHeight w:val="28"/>
        </w:trPr>
        <w:tc>
          <w:tcPr>
            <w:tcW w:w="9000" w:type="dxa"/>
            <w:vAlign w:val="bottom"/>
            <w:tcBorders>
              <w:right w:val="single" w:sz="8" w:color="007CBA"/>
            </w:tcBorders>
          </w:tcPr>
          <w:p>
            <w:pPr>
              <w:spacing w:after="0"/>
              <w:rPr>
                <w:sz w:val="2"/>
                <w:szCs w:val="2"/>
                <w:color w:val="auto"/>
              </w:rPr>
            </w:pPr>
          </w:p>
        </w:tc>
        <w:tc>
          <w:tcPr>
            <w:tcW w:w="10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900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2026</w:t>
            </w:r>
          </w:p>
        </w:tc>
        <w:tc>
          <w:tcPr>
            <w:tcW w:w="1020" w:type="dxa"/>
            <w:vAlign w:val="bottom"/>
            <w:tcBorders>
              <w:bottom w:val="single" w:sz="8" w:color="E5F1F8"/>
            </w:tcBorders>
            <w:shd w:val="clear" w:color="auto" w:fill="E5F1F8"/>
          </w:tcPr>
          <w:p>
            <w:pPr>
              <w:spacing w:after="0"/>
              <w:rPr>
                <w:sz w:val="19"/>
                <w:szCs w:val="19"/>
                <w:color w:val="auto"/>
              </w:rPr>
            </w:pPr>
          </w:p>
        </w:tc>
        <w:tc>
          <w:tcPr>
            <w:tcW w:w="12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26.6</w:t>
            </w:r>
          </w:p>
        </w:tc>
      </w:tr>
      <w:tr>
        <w:trPr>
          <w:trHeight w:val="243"/>
        </w:trPr>
        <w:tc>
          <w:tcPr>
            <w:tcW w:w="90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2027</w:t>
            </w:r>
          </w:p>
        </w:tc>
        <w:tc>
          <w:tcPr>
            <w:tcW w:w="1020" w:type="dxa"/>
            <w:vAlign w:val="bottom"/>
          </w:tcPr>
          <w:p>
            <w:pPr>
              <w:spacing w:after="0"/>
              <w:rPr>
                <w:sz w:val="21"/>
                <w:szCs w:val="21"/>
                <w:color w:val="auto"/>
              </w:rPr>
            </w:pPr>
          </w:p>
        </w:tc>
        <w:tc>
          <w:tcPr>
            <w:tcW w:w="1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25.8</w:t>
            </w:r>
          </w:p>
        </w:tc>
      </w:tr>
      <w:tr>
        <w:trPr>
          <w:trHeight w:val="248"/>
        </w:trPr>
        <w:tc>
          <w:tcPr>
            <w:tcW w:w="900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Thereafer</w:t>
            </w:r>
          </w:p>
        </w:tc>
        <w:tc>
          <w:tcPr>
            <w:tcW w:w="1020" w:type="dxa"/>
            <w:vAlign w:val="bottom"/>
            <w:tcBorders>
              <w:bottom w:val="single" w:sz="8" w:color="E5F1F8"/>
            </w:tcBorders>
            <w:shd w:val="clear" w:color="auto" w:fill="E5F1F8"/>
          </w:tcPr>
          <w:p>
            <w:pPr>
              <w:spacing w:after="0"/>
              <w:rPr>
                <w:sz w:val="21"/>
                <w:szCs w:val="21"/>
                <w:color w:val="auto"/>
              </w:rPr>
            </w:pPr>
          </w:p>
        </w:tc>
        <w:tc>
          <w:tcPr>
            <w:tcW w:w="12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675.6</w:t>
            </w:r>
          </w:p>
        </w:tc>
      </w:tr>
      <w:tr>
        <w:trPr>
          <w:trHeight w:val="208"/>
        </w:trPr>
        <w:tc>
          <w:tcPr>
            <w:tcW w:w="900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w:t>
            </w:r>
          </w:p>
        </w:tc>
        <w:tc>
          <w:tcPr>
            <w:tcW w:w="1020" w:type="dxa"/>
            <w:vAlign w:val="bottom"/>
            <w:tcBorders>
              <w:top w:val="single" w:sz="8" w:color="auto"/>
            </w:tcBorders>
          </w:tcPr>
          <w:p>
            <w:pPr>
              <w:jc w:val="right"/>
              <w:ind w:right="590"/>
              <w:spacing w:after="0" w:line="208" w:lineRule="exact"/>
              <w:rPr>
                <w:sz w:val="20"/>
                <w:szCs w:val="20"/>
                <w:color w:val="auto"/>
              </w:rPr>
            </w:pPr>
            <w:r>
              <w:rPr>
                <w:rFonts w:ascii="Calibri" w:cs="Calibri" w:eastAsia="Calibri" w:hAnsi="Calibri"/>
                <w:sz w:val="18"/>
                <w:szCs w:val="18"/>
                <w:color w:val="auto"/>
              </w:rPr>
              <w:t>$</w:t>
            </w:r>
          </w:p>
        </w:tc>
        <w:tc>
          <w:tcPr>
            <w:tcW w:w="122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812.0</w:t>
            </w:r>
          </w:p>
        </w:tc>
      </w:tr>
      <w:tr>
        <w:trPr>
          <w:trHeight w:val="28"/>
        </w:trPr>
        <w:tc>
          <w:tcPr>
            <w:tcW w:w="9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90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3683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7132320" cy="36830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213995</wp:posOffset>
            </wp:positionV>
            <wp:extent cx="325755" cy="1968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34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92" w:name="page93"/>
    <w:bookmarkEnd w:id="92"/>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8 – Financial Statements and Supplementary Data</w:t>
      </w:r>
    </w:p>
    <w:p>
      <w:pPr>
        <w:spacing w:after="0" w:line="17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E: Accounts Receivable, Net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34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December 31</w:t>
            </w:r>
          </w:p>
        </w:tc>
        <w:tc>
          <w:tcPr>
            <w:tcW w:w="560" w:type="dxa"/>
            <w:vAlign w:val="bottom"/>
            <w:shd w:val="clear" w:color="auto" w:fill="007CBA"/>
          </w:tcPr>
          <w:p>
            <w:pPr>
              <w:spacing w:after="0"/>
              <w:rPr>
                <w:sz w:val="20"/>
                <w:szCs w:val="20"/>
                <w:color w:val="auto"/>
              </w:rPr>
            </w:pPr>
          </w:p>
        </w:tc>
        <w:tc>
          <w:tcPr>
            <w:tcW w:w="1400" w:type="dxa"/>
            <w:vAlign w:val="bottom"/>
            <w:tcBorders>
              <w:right w:val="single" w:sz="8" w:color="007CBA"/>
            </w:tcBorders>
            <w:shd w:val="clear" w:color="auto" w:fill="007CBA"/>
          </w:tcPr>
          <w:p>
            <w:pPr>
              <w:spacing w:after="0"/>
              <w:rPr>
                <w:sz w:val="20"/>
                <w:szCs w:val="20"/>
                <w:color w:val="auto"/>
              </w:rPr>
            </w:pPr>
          </w:p>
        </w:tc>
        <w:tc>
          <w:tcPr>
            <w:tcW w:w="560" w:type="dxa"/>
            <w:vAlign w:val="bottom"/>
            <w:shd w:val="clear" w:color="auto" w:fill="007CBA"/>
          </w:tcPr>
          <w:p>
            <w:pPr>
              <w:spacing w:after="0"/>
              <w:rPr>
                <w:sz w:val="20"/>
                <w:szCs w:val="20"/>
                <w:color w:val="auto"/>
              </w:rPr>
            </w:pPr>
          </w:p>
        </w:tc>
        <w:tc>
          <w:tcPr>
            <w:tcW w:w="1380" w:type="dxa"/>
            <w:vAlign w:val="bottom"/>
            <w:shd w:val="clear" w:color="auto" w:fill="007CBA"/>
          </w:tcPr>
          <w:p>
            <w:pPr>
              <w:spacing w:after="0"/>
              <w:rPr>
                <w:sz w:val="20"/>
                <w:szCs w:val="20"/>
                <w:color w:val="auto"/>
              </w:rPr>
            </w:pPr>
          </w:p>
        </w:tc>
      </w:tr>
      <w:tr>
        <w:trPr>
          <w:trHeight w:val="231"/>
        </w:trPr>
        <w:tc>
          <w:tcPr>
            <w:tcW w:w="734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560" w:type="dxa"/>
            <w:vAlign w:val="bottom"/>
            <w:tcBorders>
              <w:bottom w:val="single" w:sz="8" w:color="007CBA"/>
            </w:tcBorders>
            <w:shd w:val="clear" w:color="auto" w:fill="007CBA"/>
          </w:tcPr>
          <w:p>
            <w:pPr>
              <w:spacing w:after="0"/>
              <w:rPr>
                <w:sz w:val="20"/>
                <w:szCs w:val="20"/>
                <w:color w:val="auto"/>
              </w:rPr>
            </w:pPr>
          </w:p>
        </w:tc>
        <w:tc>
          <w:tcPr>
            <w:tcW w:w="1400" w:type="dxa"/>
            <w:vAlign w:val="bottom"/>
            <w:tcBorders>
              <w:bottom w:val="single" w:sz="8" w:color="007CBA"/>
              <w:right w:val="single" w:sz="8" w:color="007CBA"/>
            </w:tcBorders>
            <w:shd w:val="clear" w:color="auto" w:fill="007CBA"/>
          </w:tcPr>
          <w:p>
            <w:pPr>
              <w:jc w:val="right"/>
              <w:ind w:right="670"/>
              <w:spacing w:after="0" w:line="215" w:lineRule="exact"/>
              <w:rPr>
                <w:sz w:val="20"/>
                <w:szCs w:val="20"/>
                <w:color w:val="auto"/>
              </w:rPr>
            </w:pPr>
            <w:r>
              <w:rPr>
                <w:rFonts w:ascii="Calibri" w:cs="Calibri" w:eastAsia="Calibri" w:hAnsi="Calibri"/>
                <w:sz w:val="18"/>
                <w:szCs w:val="18"/>
                <w:b w:val="1"/>
                <w:bCs w:val="1"/>
                <w:color w:val="FFFFFF"/>
              </w:rPr>
              <w:t>2022</w:t>
            </w:r>
          </w:p>
        </w:tc>
        <w:tc>
          <w:tcPr>
            <w:tcW w:w="560" w:type="dxa"/>
            <w:vAlign w:val="bottom"/>
            <w:tcBorders>
              <w:bottom w:val="single" w:sz="8" w:color="007CBA"/>
            </w:tcBorders>
            <w:shd w:val="clear" w:color="auto" w:fill="007CBA"/>
          </w:tcPr>
          <w:p>
            <w:pPr>
              <w:spacing w:after="0"/>
              <w:rPr>
                <w:sz w:val="20"/>
                <w:szCs w:val="20"/>
                <w:color w:val="auto"/>
              </w:rPr>
            </w:pPr>
          </w:p>
        </w:tc>
        <w:tc>
          <w:tcPr>
            <w:tcW w:w="1380" w:type="dxa"/>
            <w:vAlign w:val="bottom"/>
            <w:tcBorders>
              <w:bottom w:val="single" w:sz="8" w:color="007CBA"/>
            </w:tcBorders>
            <w:shd w:val="clear" w:color="auto" w:fill="007CBA"/>
          </w:tcPr>
          <w:p>
            <w:pPr>
              <w:jc w:val="right"/>
              <w:ind w:right="670"/>
              <w:spacing w:after="0" w:line="215" w:lineRule="exact"/>
              <w:rPr>
                <w:sz w:val="20"/>
                <w:szCs w:val="20"/>
                <w:color w:val="auto"/>
              </w:rPr>
            </w:pPr>
            <w:r>
              <w:rPr>
                <w:rFonts w:ascii="Calibri" w:cs="Calibri" w:eastAsia="Calibri" w:hAnsi="Calibri"/>
                <w:sz w:val="18"/>
                <w:szCs w:val="18"/>
                <w:color w:val="FFFFFF"/>
              </w:rPr>
              <w:t>2021</w:t>
            </w:r>
          </w:p>
        </w:tc>
      </w:tr>
      <w:tr>
        <w:trPr>
          <w:trHeight w:val="243"/>
        </w:trPr>
        <w:tc>
          <w:tcPr>
            <w:tcW w:w="73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Customer receivables</w:t>
            </w:r>
          </w:p>
        </w:tc>
        <w:tc>
          <w:tcPr>
            <w:tcW w:w="560" w:type="dxa"/>
            <w:vAlign w:val="bottom"/>
          </w:tcPr>
          <w:p>
            <w:pPr>
              <w:jc w:val="right"/>
              <w:ind w:right="170"/>
              <w:spacing w:after="0" w:line="215" w:lineRule="exact"/>
              <w:rPr>
                <w:sz w:val="20"/>
                <w:szCs w:val="20"/>
                <w:color w:val="auto"/>
              </w:rPr>
            </w:pPr>
            <w:r>
              <w:rPr>
                <w:rFonts w:ascii="Calibri" w:cs="Calibri" w:eastAsia="Calibri" w:hAnsi="Calibri"/>
                <w:sz w:val="18"/>
                <w:szCs w:val="18"/>
                <w:b w:val="1"/>
                <w:bCs w:val="1"/>
                <w:color w:val="auto"/>
              </w:rPr>
              <w:t>$</w:t>
            </w:r>
          </w:p>
        </w:tc>
        <w:tc>
          <w:tcPr>
            <w:tcW w:w="140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781.0</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3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767.5</w:t>
            </w:r>
          </w:p>
        </w:tc>
      </w:tr>
      <w:tr>
        <w:trPr>
          <w:trHeight w:val="248"/>
        </w:trPr>
        <w:tc>
          <w:tcPr>
            <w:tcW w:w="734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Other current receivables</w:t>
            </w:r>
          </w:p>
        </w:tc>
        <w:tc>
          <w:tcPr>
            <w:tcW w:w="560" w:type="dxa"/>
            <w:vAlign w:val="bottom"/>
            <w:tcBorders>
              <w:bottom w:val="single" w:sz="8" w:color="E5F1F8"/>
            </w:tcBorders>
            <w:shd w:val="clear" w:color="auto" w:fill="E5F1F8"/>
          </w:tcPr>
          <w:p>
            <w:pPr>
              <w:spacing w:after="0"/>
              <w:rPr>
                <w:sz w:val="21"/>
                <w:szCs w:val="21"/>
                <w:color w:val="auto"/>
              </w:rPr>
            </w:pPr>
          </w:p>
        </w:tc>
        <w:tc>
          <w:tcPr>
            <w:tcW w:w="140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15.9</w:t>
            </w:r>
          </w:p>
        </w:tc>
        <w:tc>
          <w:tcPr>
            <w:tcW w:w="560" w:type="dxa"/>
            <w:vAlign w:val="bottom"/>
            <w:tcBorders>
              <w:bottom w:val="single" w:sz="8" w:color="E5F1F8"/>
            </w:tcBorders>
            <w:shd w:val="clear" w:color="auto" w:fill="E5F1F8"/>
          </w:tcPr>
          <w:p>
            <w:pPr>
              <w:spacing w:after="0"/>
              <w:rPr>
                <w:sz w:val="21"/>
                <w:szCs w:val="21"/>
                <w:color w:val="auto"/>
              </w:rPr>
            </w:pPr>
          </w:p>
        </w:tc>
        <w:tc>
          <w:tcPr>
            <w:tcW w:w="138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12.3</w:t>
            </w:r>
          </w:p>
        </w:tc>
      </w:tr>
      <w:tr>
        <w:trPr>
          <w:trHeight w:val="237"/>
        </w:trPr>
        <w:tc>
          <w:tcPr>
            <w:tcW w:w="734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color w:val="auto"/>
              </w:rPr>
              <w:t>Total accounts receivable</w:t>
            </w:r>
          </w:p>
        </w:tc>
        <w:tc>
          <w:tcPr>
            <w:tcW w:w="560" w:type="dxa"/>
            <w:vAlign w:val="bottom"/>
            <w:tcBorders>
              <w:top w:val="single" w:sz="8" w:color="auto"/>
            </w:tcBorders>
          </w:tcPr>
          <w:p>
            <w:pPr>
              <w:spacing w:after="0"/>
              <w:rPr>
                <w:sz w:val="20"/>
                <w:szCs w:val="20"/>
                <w:color w:val="auto"/>
              </w:rPr>
            </w:pPr>
          </w:p>
        </w:tc>
        <w:tc>
          <w:tcPr>
            <w:tcW w:w="140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796.9</w:t>
            </w:r>
          </w:p>
        </w:tc>
        <w:tc>
          <w:tcPr>
            <w:tcW w:w="5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779.8</w:t>
            </w:r>
          </w:p>
        </w:tc>
      </w:tr>
      <w:tr>
        <w:trPr>
          <w:trHeight w:val="248"/>
        </w:trPr>
        <w:tc>
          <w:tcPr>
            <w:tcW w:w="734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Less: allowance for estmated credit losses</w:t>
            </w:r>
          </w:p>
        </w:tc>
        <w:tc>
          <w:tcPr>
            <w:tcW w:w="560" w:type="dxa"/>
            <w:vAlign w:val="bottom"/>
            <w:tcBorders>
              <w:bottom w:val="single" w:sz="8" w:color="E5F1F8"/>
            </w:tcBorders>
            <w:shd w:val="clear" w:color="auto" w:fill="E5F1F8"/>
          </w:tcPr>
          <w:p>
            <w:pPr>
              <w:spacing w:after="0"/>
              <w:rPr>
                <w:sz w:val="21"/>
                <w:szCs w:val="21"/>
                <w:color w:val="auto"/>
              </w:rPr>
            </w:pPr>
          </w:p>
        </w:tc>
        <w:tc>
          <w:tcPr>
            <w:tcW w:w="140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(11.0 )</w:t>
            </w:r>
          </w:p>
        </w:tc>
        <w:tc>
          <w:tcPr>
            <w:tcW w:w="560" w:type="dxa"/>
            <w:vAlign w:val="bottom"/>
            <w:tcBorders>
              <w:bottom w:val="single" w:sz="8" w:color="E5F1F8"/>
            </w:tcBorders>
            <w:shd w:val="clear" w:color="auto" w:fill="E5F1F8"/>
          </w:tcPr>
          <w:p>
            <w:pPr>
              <w:spacing w:after="0"/>
              <w:rPr>
                <w:sz w:val="21"/>
                <w:szCs w:val="21"/>
                <w:color w:val="auto"/>
              </w:rPr>
            </w:pPr>
          </w:p>
        </w:tc>
        <w:tc>
          <w:tcPr>
            <w:tcW w:w="138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(5.8 )</w:t>
            </w:r>
          </w:p>
        </w:tc>
      </w:tr>
      <w:tr>
        <w:trPr>
          <w:trHeight w:val="208"/>
        </w:trPr>
        <w:tc>
          <w:tcPr>
            <w:tcW w:w="734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Accounts receivable, net</w:t>
            </w:r>
          </w:p>
        </w:tc>
        <w:tc>
          <w:tcPr>
            <w:tcW w:w="560" w:type="dxa"/>
            <w:vAlign w:val="bottom"/>
            <w:tcBorders>
              <w:top w:val="single" w:sz="8" w:color="auto"/>
            </w:tcBorders>
          </w:tcPr>
          <w:p>
            <w:pPr>
              <w:jc w:val="right"/>
              <w:ind w:right="170"/>
              <w:spacing w:after="0" w:line="208" w:lineRule="exact"/>
              <w:rPr>
                <w:sz w:val="20"/>
                <w:szCs w:val="20"/>
                <w:color w:val="auto"/>
              </w:rPr>
            </w:pPr>
            <w:r>
              <w:rPr>
                <w:rFonts w:ascii="Calibri" w:cs="Calibri" w:eastAsia="Calibri" w:hAnsi="Calibri"/>
                <w:sz w:val="18"/>
                <w:szCs w:val="18"/>
                <w:b w:val="1"/>
                <w:bCs w:val="1"/>
                <w:color w:val="auto"/>
              </w:rPr>
              <w:t>$</w:t>
            </w:r>
          </w:p>
        </w:tc>
        <w:tc>
          <w:tcPr>
            <w:tcW w:w="140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785.9</w:t>
            </w:r>
          </w:p>
        </w:tc>
        <w:tc>
          <w:tcPr>
            <w:tcW w:w="560" w:type="dxa"/>
            <w:vAlign w:val="bottom"/>
            <w:tcBorders>
              <w:top w:val="single" w:sz="8" w:color="auto"/>
            </w:tcBorders>
          </w:tcPr>
          <w:p>
            <w:pPr>
              <w:jc w:val="right"/>
              <w:ind w:right="190"/>
              <w:spacing w:after="0" w:line="208" w:lineRule="exact"/>
              <w:rPr>
                <w:sz w:val="20"/>
                <w:szCs w:val="20"/>
                <w:color w:val="auto"/>
              </w:rPr>
            </w:pPr>
            <w:r>
              <w:rPr>
                <w:rFonts w:ascii="Calibri" w:cs="Calibri" w:eastAsia="Calibri" w:hAnsi="Calibri"/>
                <w:sz w:val="18"/>
                <w:szCs w:val="18"/>
                <w:color w:val="auto"/>
              </w:rPr>
              <w:t>$</w:t>
            </w:r>
          </w:p>
        </w:tc>
        <w:tc>
          <w:tcPr>
            <w:tcW w:w="138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774.0</w:t>
            </w:r>
          </w:p>
        </w:tc>
      </w:tr>
      <w:tr>
        <w:trPr>
          <w:trHeight w:val="28"/>
        </w:trPr>
        <w:tc>
          <w:tcPr>
            <w:tcW w:w="7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7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-672465</wp:posOffset>
            </wp:positionV>
            <wp:extent cx="7132320" cy="68516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7132320" cy="685165"/>
                    </a:xfrm>
                    <a:prstGeom prst="rect">
                      <a:avLst/>
                    </a:prstGeom>
                    <a:noFill/>
                  </pic:spPr>
                </pic:pic>
              </a:graphicData>
            </a:graphic>
          </wp:anchor>
        </w:drawing>
      </w:r>
    </w:p>
    <w:p>
      <w:pPr>
        <w:spacing w:after="0" w:line="1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Of the total accounts receivable, net, balances, $3.0 million and $4.5 million at December 31, 2022 and 2021, respectvely, were due from unconsolidated afliates.</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F: Inventories, Net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34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December 31</w:t>
            </w:r>
          </w:p>
        </w:tc>
        <w:tc>
          <w:tcPr>
            <w:tcW w:w="560" w:type="dxa"/>
            <w:vAlign w:val="bottom"/>
            <w:shd w:val="clear" w:color="auto" w:fill="007CBA"/>
          </w:tcPr>
          <w:p>
            <w:pPr>
              <w:spacing w:after="0"/>
              <w:rPr>
                <w:sz w:val="19"/>
                <w:szCs w:val="19"/>
                <w:color w:val="auto"/>
              </w:rPr>
            </w:pPr>
          </w:p>
        </w:tc>
        <w:tc>
          <w:tcPr>
            <w:tcW w:w="1400" w:type="dxa"/>
            <w:vAlign w:val="bottom"/>
            <w:tcBorders>
              <w:right w:val="single" w:sz="8" w:color="007CBA"/>
            </w:tcBorders>
            <w:shd w:val="clear" w:color="auto" w:fill="007CBA"/>
          </w:tcPr>
          <w:p>
            <w:pPr>
              <w:spacing w:after="0"/>
              <w:rPr>
                <w:sz w:val="19"/>
                <w:szCs w:val="19"/>
                <w:color w:val="auto"/>
              </w:rPr>
            </w:pPr>
          </w:p>
        </w:tc>
        <w:tc>
          <w:tcPr>
            <w:tcW w:w="560" w:type="dxa"/>
            <w:vAlign w:val="bottom"/>
            <w:shd w:val="clear" w:color="auto" w:fill="007CBA"/>
          </w:tcPr>
          <w:p>
            <w:pPr>
              <w:spacing w:after="0"/>
              <w:rPr>
                <w:sz w:val="19"/>
                <w:szCs w:val="19"/>
                <w:color w:val="auto"/>
              </w:rPr>
            </w:pPr>
          </w:p>
        </w:tc>
        <w:tc>
          <w:tcPr>
            <w:tcW w:w="1380" w:type="dxa"/>
            <w:vAlign w:val="bottom"/>
            <w:shd w:val="clear" w:color="auto" w:fill="007CBA"/>
          </w:tcPr>
          <w:p>
            <w:pPr>
              <w:spacing w:after="0"/>
              <w:rPr>
                <w:sz w:val="19"/>
                <w:szCs w:val="19"/>
                <w:color w:val="auto"/>
              </w:rPr>
            </w:pPr>
          </w:p>
        </w:tc>
      </w:tr>
      <w:tr>
        <w:trPr>
          <w:trHeight w:val="232"/>
        </w:trPr>
        <w:tc>
          <w:tcPr>
            <w:tcW w:w="734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560" w:type="dxa"/>
            <w:vAlign w:val="bottom"/>
            <w:tcBorders>
              <w:bottom w:val="single" w:sz="8" w:color="007CBA"/>
            </w:tcBorders>
            <w:shd w:val="clear" w:color="auto" w:fill="007CBA"/>
          </w:tcPr>
          <w:p>
            <w:pPr>
              <w:spacing w:after="0"/>
              <w:rPr>
                <w:sz w:val="20"/>
                <w:szCs w:val="20"/>
                <w:color w:val="auto"/>
              </w:rPr>
            </w:pPr>
          </w:p>
        </w:tc>
        <w:tc>
          <w:tcPr>
            <w:tcW w:w="1400" w:type="dxa"/>
            <w:vAlign w:val="bottom"/>
            <w:tcBorders>
              <w:bottom w:val="single" w:sz="8" w:color="007CBA"/>
              <w:right w:val="single" w:sz="8" w:color="007CBA"/>
            </w:tcBorders>
            <w:shd w:val="clear" w:color="auto" w:fill="007CBA"/>
          </w:tcPr>
          <w:p>
            <w:pPr>
              <w:jc w:val="right"/>
              <w:ind w:right="670"/>
              <w:spacing w:after="0" w:line="215" w:lineRule="exact"/>
              <w:rPr>
                <w:sz w:val="20"/>
                <w:szCs w:val="20"/>
                <w:color w:val="auto"/>
              </w:rPr>
            </w:pPr>
            <w:r>
              <w:rPr>
                <w:rFonts w:ascii="Calibri" w:cs="Calibri" w:eastAsia="Calibri" w:hAnsi="Calibri"/>
                <w:sz w:val="18"/>
                <w:szCs w:val="18"/>
                <w:b w:val="1"/>
                <w:bCs w:val="1"/>
                <w:color w:val="FFFFFF"/>
              </w:rPr>
              <w:t>2022</w:t>
            </w:r>
          </w:p>
        </w:tc>
        <w:tc>
          <w:tcPr>
            <w:tcW w:w="560" w:type="dxa"/>
            <w:vAlign w:val="bottom"/>
            <w:tcBorders>
              <w:bottom w:val="single" w:sz="8" w:color="007CBA"/>
            </w:tcBorders>
            <w:shd w:val="clear" w:color="auto" w:fill="007CBA"/>
          </w:tcPr>
          <w:p>
            <w:pPr>
              <w:spacing w:after="0"/>
              <w:rPr>
                <w:sz w:val="20"/>
                <w:szCs w:val="20"/>
                <w:color w:val="auto"/>
              </w:rPr>
            </w:pPr>
          </w:p>
        </w:tc>
        <w:tc>
          <w:tcPr>
            <w:tcW w:w="1380" w:type="dxa"/>
            <w:vAlign w:val="bottom"/>
            <w:tcBorders>
              <w:bottom w:val="single" w:sz="8" w:color="007CBA"/>
            </w:tcBorders>
            <w:shd w:val="clear" w:color="auto" w:fill="007CBA"/>
          </w:tcPr>
          <w:p>
            <w:pPr>
              <w:jc w:val="right"/>
              <w:ind w:right="670"/>
              <w:spacing w:after="0" w:line="215" w:lineRule="exact"/>
              <w:rPr>
                <w:sz w:val="20"/>
                <w:szCs w:val="20"/>
                <w:color w:val="auto"/>
              </w:rPr>
            </w:pPr>
            <w:r>
              <w:rPr>
                <w:rFonts w:ascii="Calibri" w:cs="Calibri" w:eastAsia="Calibri" w:hAnsi="Calibri"/>
                <w:sz w:val="18"/>
                <w:szCs w:val="18"/>
                <w:color w:val="FFFFFF"/>
              </w:rPr>
              <w:t>2021</w:t>
            </w:r>
          </w:p>
        </w:tc>
      </w:tr>
      <w:tr>
        <w:trPr>
          <w:trHeight w:val="215"/>
        </w:trPr>
        <w:tc>
          <w:tcPr>
            <w:tcW w:w="73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Finished products</w:t>
            </w:r>
          </w:p>
        </w:tc>
        <w:tc>
          <w:tcPr>
            <w:tcW w:w="560" w:type="dxa"/>
            <w:vAlign w:val="bottom"/>
          </w:tcPr>
          <w:p>
            <w:pPr>
              <w:jc w:val="right"/>
              <w:ind w:right="170"/>
              <w:spacing w:after="0" w:line="215" w:lineRule="exact"/>
              <w:rPr>
                <w:sz w:val="20"/>
                <w:szCs w:val="20"/>
                <w:color w:val="auto"/>
              </w:rPr>
            </w:pPr>
            <w:r>
              <w:rPr>
                <w:rFonts w:ascii="Calibri" w:cs="Calibri" w:eastAsia="Calibri" w:hAnsi="Calibri"/>
                <w:sz w:val="18"/>
                <w:szCs w:val="18"/>
                <w:b w:val="1"/>
                <w:bCs w:val="1"/>
                <w:color w:val="auto"/>
              </w:rPr>
              <w:t>$</w:t>
            </w:r>
          </w:p>
        </w:tc>
        <w:tc>
          <w:tcPr>
            <w:tcW w:w="140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932.4</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3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713.3</w:t>
            </w:r>
          </w:p>
        </w:tc>
      </w:tr>
      <w:tr>
        <w:trPr>
          <w:trHeight w:val="28"/>
        </w:trPr>
        <w:tc>
          <w:tcPr>
            <w:tcW w:w="734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40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3"/>
        </w:trPr>
        <w:tc>
          <w:tcPr>
            <w:tcW w:w="734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Products in process</w:t>
            </w:r>
          </w:p>
        </w:tc>
        <w:tc>
          <w:tcPr>
            <w:tcW w:w="560" w:type="dxa"/>
            <w:vAlign w:val="bottom"/>
            <w:tcBorders>
              <w:bottom w:val="single" w:sz="8" w:color="E5F1F8"/>
            </w:tcBorders>
            <w:shd w:val="clear" w:color="auto" w:fill="E5F1F8"/>
          </w:tcPr>
          <w:p>
            <w:pPr>
              <w:spacing w:after="0"/>
              <w:rPr>
                <w:sz w:val="19"/>
                <w:szCs w:val="19"/>
                <w:color w:val="auto"/>
              </w:rPr>
            </w:pPr>
          </w:p>
        </w:tc>
        <w:tc>
          <w:tcPr>
            <w:tcW w:w="140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24.8</w:t>
            </w:r>
          </w:p>
        </w:tc>
        <w:tc>
          <w:tcPr>
            <w:tcW w:w="560" w:type="dxa"/>
            <w:vAlign w:val="bottom"/>
            <w:tcBorders>
              <w:bottom w:val="single" w:sz="8" w:color="E5F1F8"/>
            </w:tcBorders>
            <w:shd w:val="clear" w:color="auto" w:fill="E5F1F8"/>
          </w:tcPr>
          <w:p>
            <w:pPr>
              <w:spacing w:after="0"/>
              <w:rPr>
                <w:sz w:val="19"/>
                <w:szCs w:val="19"/>
                <w:color w:val="auto"/>
              </w:rPr>
            </w:pPr>
          </w:p>
        </w:tc>
        <w:tc>
          <w:tcPr>
            <w:tcW w:w="138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30.1</w:t>
            </w:r>
          </w:p>
        </w:tc>
      </w:tr>
      <w:tr>
        <w:trPr>
          <w:trHeight w:val="243"/>
        </w:trPr>
        <w:tc>
          <w:tcPr>
            <w:tcW w:w="73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Raw materials</w:t>
            </w:r>
          </w:p>
        </w:tc>
        <w:tc>
          <w:tcPr>
            <w:tcW w:w="560" w:type="dxa"/>
            <w:vAlign w:val="bottom"/>
          </w:tcPr>
          <w:p>
            <w:pPr>
              <w:spacing w:after="0"/>
              <w:rPr>
                <w:sz w:val="21"/>
                <w:szCs w:val="21"/>
                <w:color w:val="auto"/>
              </w:rPr>
            </w:pPr>
          </w:p>
        </w:tc>
        <w:tc>
          <w:tcPr>
            <w:tcW w:w="140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71.7</w:t>
            </w:r>
          </w:p>
        </w:tc>
        <w:tc>
          <w:tcPr>
            <w:tcW w:w="560" w:type="dxa"/>
            <w:vAlign w:val="bottom"/>
          </w:tcPr>
          <w:p>
            <w:pPr>
              <w:spacing w:after="0"/>
              <w:rPr>
                <w:sz w:val="21"/>
                <w:szCs w:val="21"/>
                <w:color w:val="auto"/>
              </w:rPr>
            </w:pPr>
          </w:p>
        </w:tc>
        <w:tc>
          <w:tcPr>
            <w:tcW w:w="13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69.6</w:t>
            </w:r>
          </w:p>
        </w:tc>
      </w:tr>
      <w:tr>
        <w:trPr>
          <w:trHeight w:val="248"/>
        </w:trPr>
        <w:tc>
          <w:tcPr>
            <w:tcW w:w="734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Supplies and expendable parts</w:t>
            </w:r>
          </w:p>
        </w:tc>
        <w:tc>
          <w:tcPr>
            <w:tcW w:w="560" w:type="dxa"/>
            <w:vAlign w:val="bottom"/>
            <w:tcBorders>
              <w:bottom w:val="single" w:sz="8" w:color="E5F1F8"/>
            </w:tcBorders>
            <w:shd w:val="clear" w:color="auto" w:fill="E5F1F8"/>
          </w:tcPr>
          <w:p>
            <w:pPr>
              <w:spacing w:after="0"/>
              <w:rPr>
                <w:sz w:val="21"/>
                <w:szCs w:val="21"/>
                <w:color w:val="auto"/>
              </w:rPr>
            </w:pPr>
          </w:p>
        </w:tc>
        <w:tc>
          <w:tcPr>
            <w:tcW w:w="140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153.1</w:t>
            </w:r>
          </w:p>
        </w:tc>
        <w:tc>
          <w:tcPr>
            <w:tcW w:w="560" w:type="dxa"/>
            <w:vAlign w:val="bottom"/>
            <w:tcBorders>
              <w:bottom w:val="single" w:sz="8" w:color="E5F1F8"/>
            </w:tcBorders>
            <w:shd w:val="clear" w:color="auto" w:fill="E5F1F8"/>
          </w:tcPr>
          <w:p>
            <w:pPr>
              <w:spacing w:after="0"/>
              <w:rPr>
                <w:sz w:val="21"/>
                <w:szCs w:val="21"/>
                <w:color w:val="auto"/>
              </w:rPr>
            </w:pPr>
          </w:p>
        </w:tc>
        <w:tc>
          <w:tcPr>
            <w:tcW w:w="138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153.9</w:t>
            </w:r>
          </w:p>
        </w:tc>
      </w:tr>
      <w:tr>
        <w:trPr>
          <w:trHeight w:val="237"/>
        </w:trPr>
        <w:tc>
          <w:tcPr>
            <w:tcW w:w="734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color w:val="auto"/>
              </w:rPr>
              <w:t>Total inventories</w:t>
            </w:r>
          </w:p>
        </w:tc>
        <w:tc>
          <w:tcPr>
            <w:tcW w:w="560" w:type="dxa"/>
            <w:vAlign w:val="bottom"/>
            <w:tcBorders>
              <w:top w:val="single" w:sz="8" w:color="auto"/>
            </w:tcBorders>
          </w:tcPr>
          <w:p>
            <w:pPr>
              <w:spacing w:after="0"/>
              <w:rPr>
                <w:sz w:val="20"/>
                <w:szCs w:val="20"/>
                <w:color w:val="auto"/>
              </w:rPr>
            </w:pPr>
          </w:p>
        </w:tc>
        <w:tc>
          <w:tcPr>
            <w:tcW w:w="140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1,182.0</w:t>
            </w:r>
          </w:p>
        </w:tc>
        <w:tc>
          <w:tcPr>
            <w:tcW w:w="5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966.9</w:t>
            </w:r>
          </w:p>
        </w:tc>
      </w:tr>
      <w:tr>
        <w:trPr>
          <w:trHeight w:val="248"/>
        </w:trPr>
        <w:tc>
          <w:tcPr>
            <w:tcW w:w="734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Less: allowances</w:t>
            </w:r>
          </w:p>
        </w:tc>
        <w:tc>
          <w:tcPr>
            <w:tcW w:w="560" w:type="dxa"/>
            <w:vAlign w:val="bottom"/>
            <w:tcBorders>
              <w:bottom w:val="single" w:sz="8" w:color="E5F1F8"/>
            </w:tcBorders>
            <w:shd w:val="clear" w:color="auto" w:fill="E5F1F8"/>
          </w:tcPr>
          <w:p>
            <w:pPr>
              <w:spacing w:after="0"/>
              <w:rPr>
                <w:sz w:val="21"/>
                <w:szCs w:val="21"/>
                <w:color w:val="auto"/>
              </w:rPr>
            </w:pPr>
          </w:p>
        </w:tc>
        <w:tc>
          <w:tcPr>
            <w:tcW w:w="140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(308.3 )</w:t>
            </w:r>
          </w:p>
        </w:tc>
        <w:tc>
          <w:tcPr>
            <w:tcW w:w="560" w:type="dxa"/>
            <w:vAlign w:val="bottom"/>
            <w:tcBorders>
              <w:bottom w:val="single" w:sz="8" w:color="E5F1F8"/>
            </w:tcBorders>
            <w:shd w:val="clear" w:color="auto" w:fill="E5F1F8"/>
          </w:tcPr>
          <w:p>
            <w:pPr>
              <w:spacing w:after="0"/>
              <w:rPr>
                <w:sz w:val="21"/>
                <w:szCs w:val="21"/>
                <w:color w:val="auto"/>
              </w:rPr>
            </w:pPr>
          </w:p>
        </w:tc>
        <w:tc>
          <w:tcPr>
            <w:tcW w:w="138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(214.3 )</w:t>
            </w:r>
          </w:p>
        </w:tc>
      </w:tr>
      <w:tr>
        <w:trPr>
          <w:trHeight w:val="208"/>
        </w:trPr>
        <w:tc>
          <w:tcPr>
            <w:tcW w:w="734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Inventories, net</w:t>
            </w:r>
          </w:p>
        </w:tc>
        <w:tc>
          <w:tcPr>
            <w:tcW w:w="560" w:type="dxa"/>
            <w:vAlign w:val="bottom"/>
            <w:tcBorders>
              <w:top w:val="single" w:sz="8" w:color="auto"/>
            </w:tcBorders>
          </w:tcPr>
          <w:p>
            <w:pPr>
              <w:jc w:val="right"/>
              <w:ind w:right="170"/>
              <w:spacing w:after="0" w:line="208" w:lineRule="exact"/>
              <w:rPr>
                <w:sz w:val="20"/>
                <w:szCs w:val="20"/>
                <w:color w:val="auto"/>
              </w:rPr>
            </w:pPr>
            <w:r>
              <w:rPr>
                <w:rFonts w:ascii="Calibri" w:cs="Calibri" w:eastAsia="Calibri" w:hAnsi="Calibri"/>
                <w:sz w:val="18"/>
                <w:szCs w:val="18"/>
                <w:b w:val="1"/>
                <w:bCs w:val="1"/>
                <w:color w:val="auto"/>
              </w:rPr>
              <w:t>$</w:t>
            </w:r>
          </w:p>
        </w:tc>
        <w:tc>
          <w:tcPr>
            <w:tcW w:w="140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873.7</w:t>
            </w:r>
          </w:p>
        </w:tc>
        <w:tc>
          <w:tcPr>
            <w:tcW w:w="560" w:type="dxa"/>
            <w:vAlign w:val="bottom"/>
            <w:tcBorders>
              <w:top w:val="single" w:sz="8" w:color="auto"/>
            </w:tcBorders>
          </w:tcPr>
          <w:p>
            <w:pPr>
              <w:jc w:val="right"/>
              <w:ind w:right="190"/>
              <w:spacing w:after="0" w:line="208" w:lineRule="exact"/>
              <w:rPr>
                <w:sz w:val="20"/>
                <w:szCs w:val="20"/>
                <w:color w:val="auto"/>
              </w:rPr>
            </w:pPr>
            <w:r>
              <w:rPr>
                <w:rFonts w:ascii="Calibri" w:cs="Calibri" w:eastAsia="Calibri" w:hAnsi="Calibri"/>
                <w:sz w:val="18"/>
                <w:szCs w:val="18"/>
                <w:color w:val="auto"/>
              </w:rPr>
              <w:t>$</w:t>
            </w:r>
          </w:p>
        </w:tc>
        <w:tc>
          <w:tcPr>
            <w:tcW w:w="138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752.6</w:t>
            </w:r>
          </w:p>
        </w:tc>
      </w:tr>
      <w:tr>
        <w:trPr>
          <w:trHeight w:val="28"/>
        </w:trPr>
        <w:tc>
          <w:tcPr>
            <w:tcW w:w="7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7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-672465</wp:posOffset>
            </wp:positionV>
            <wp:extent cx="7132320" cy="6858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G: Property, Plant and Equipment, Net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34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December 31</w:t>
            </w:r>
          </w:p>
        </w:tc>
        <w:tc>
          <w:tcPr>
            <w:tcW w:w="560" w:type="dxa"/>
            <w:vAlign w:val="bottom"/>
            <w:shd w:val="clear" w:color="auto" w:fill="007CBA"/>
          </w:tcPr>
          <w:p>
            <w:pPr>
              <w:spacing w:after="0"/>
              <w:rPr>
                <w:sz w:val="20"/>
                <w:szCs w:val="20"/>
                <w:color w:val="auto"/>
              </w:rPr>
            </w:pPr>
          </w:p>
        </w:tc>
        <w:tc>
          <w:tcPr>
            <w:tcW w:w="1400" w:type="dxa"/>
            <w:vAlign w:val="bottom"/>
            <w:tcBorders>
              <w:right w:val="single" w:sz="8" w:color="007CBA"/>
            </w:tcBorders>
            <w:shd w:val="clear" w:color="auto" w:fill="007CBA"/>
          </w:tcPr>
          <w:p>
            <w:pPr>
              <w:spacing w:after="0"/>
              <w:rPr>
                <w:sz w:val="20"/>
                <w:szCs w:val="20"/>
                <w:color w:val="auto"/>
              </w:rPr>
            </w:pPr>
          </w:p>
        </w:tc>
        <w:tc>
          <w:tcPr>
            <w:tcW w:w="560" w:type="dxa"/>
            <w:vAlign w:val="bottom"/>
            <w:shd w:val="clear" w:color="auto" w:fill="007CBA"/>
          </w:tcPr>
          <w:p>
            <w:pPr>
              <w:spacing w:after="0"/>
              <w:rPr>
                <w:sz w:val="20"/>
                <w:szCs w:val="20"/>
                <w:color w:val="auto"/>
              </w:rPr>
            </w:pPr>
          </w:p>
        </w:tc>
        <w:tc>
          <w:tcPr>
            <w:tcW w:w="1380" w:type="dxa"/>
            <w:vAlign w:val="bottom"/>
            <w:shd w:val="clear" w:color="auto" w:fill="007CBA"/>
          </w:tcPr>
          <w:p>
            <w:pPr>
              <w:spacing w:after="0"/>
              <w:rPr>
                <w:sz w:val="20"/>
                <w:szCs w:val="20"/>
                <w:color w:val="auto"/>
              </w:rPr>
            </w:pPr>
          </w:p>
        </w:tc>
      </w:tr>
      <w:tr>
        <w:trPr>
          <w:trHeight w:val="231"/>
        </w:trPr>
        <w:tc>
          <w:tcPr>
            <w:tcW w:w="734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560" w:type="dxa"/>
            <w:vAlign w:val="bottom"/>
            <w:tcBorders>
              <w:bottom w:val="single" w:sz="8" w:color="007CBA"/>
            </w:tcBorders>
            <w:shd w:val="clear" w:color="auto" w:fill="007CBA"/>
          </w:tcPr>
          <w:p>
            <w:pPr>
              <w:spacing w:after="0"/>
              <w:rPr>
                <w:sz w:val="20"/>
                <w:szCs w:val="20"/>
                <w:color w:val="auto"/>
              </w:rPr>
            </w:pPr>
          </w:p>
        </w:tc>
        <w:tc>
          <w:tcPr>
            <w:tcW w:w="1400" w:type="dxa"/>
            <w:vAlign w:val="bottom"/>
            <w:tcBorders>
              <w:bottom w:val="single" w:sz="8" w:color="007CBA"/>
              <w:right w:val="single" w:sz="8" w:color="007CBA"/>
            </w:tcBorders>
            <w:shd w:val="clear" w:color="auto" w:fill="007CBA"/>
          </w:tcPr>
          <w:p>
            <w:pPr>
              <w:jc w:val="right"/>
              <w:ind w:right="670"/>
              <w:spacing w:after="0" w:line="215" w:lineRule="exact"/>
              <w:rPr>
                <w:sz w:val="20"/>
                <w:szCs w:val="20"/>
                <w:color w:val="auto"/>
              </w:rPr>
            </w:pPr>
            <w:r>
              <w:rPr>
                <w:rFonts w:ascii="Calibri" w:cs="Calibri" w:eastAsia="Calibri" w:hAnsi="Calibri"/>
                <w:sz w:val="18"/>
                <w:szCs w:val="18"/>
                <w:b w:val="1"/>
                <w:bCs w:val="1"/>
                <w:color w:val="FFFFFF"/>
              </w:rPr>
              <w:t>2022</w:t>
            </w:r>
          </w:p>
        </w:tc>
        <w:tc>
          <w:tcPr>
            <w:tcW w:w="560" w:type="dxa"/>
            <w:vAlign w:val="bottom"/>
            <w:tcBorders>
              <w:bottom w:val="single" w:sz="8" w:color="007CBA"/>
            </w:tcBorders>
            <w:shd w:val="clear" w:color="auto" w:fill="007CBA"/>
          </w:tcPr>
          <w:p>
            <w:pPr>
              <w:spacing w:after="0"/>
              <w:rPr>
                <w:sz w:val="20"/>
                <w:szCs w:val="20"/>
                <w:color w:val="auto"/>
              </w:rPr>
            </w:pPr>
          </w:p>
        </w:tc>
        <w:tc>
          <w:tcPr>
            <w:tcW w:w="1380" w:type="dxa"/>
            <w:vAlign w:val="bottom"/>
            <w:tcBorders>
              <w:bottom w:val="single" w:sz="8" w:color="007CBA"/>
            </w:tcBorders>
            <w:shd w:val="clear" w:color="auto" w:fill="007CBA"/>
          </w:tcPr>
          <w:p>
            <w:pPr>
              <w:jc w:val="right"/>
              <w:ind w:right="670"/>
              <w:spacing w:after="0" w:line="215" w:lineRule="exact"/>
              <w:rPr>
                <w:sz w:val="20"/>
                <w:szCs w:val="20"/>
                <w:color w:val="auto"/>
              </w:rPr>
            </w:pPr>
            <w:r>
              <w:rPr>
                <w:rFonts w:ascii="Calibri" w:cs="Calibri" w:eastAsia="Calibri" w:hAnsi="Calibri"/>
                <w:sz w:val="18"/>
                <w:szCs w:val="18"/>
                <w:color w:val="FFFFFF"/>
              </w:rPr>
              <w:t>2021</w:t>
            </w:r>
          </w:p>
        </w:tc>
      </w:tr>
      <w:tr>
        <w:trPr>
          <w:trHeight w:val="215"/>
        </w:trPr>
        <w:tc>
          <w:tcPr>
            <w:tcW w:w="73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Land and land improvements</w:t>
            </w:r>
          </w:p>
        </w:tc>
        <w:tc>
          <w:tcPr>
            <w:tcW w:w="560" w:type="dxa"/>
            <w:vAlign w:val="bottom"/>
          </w:tcPr>
          <w:p>
            <w:pPr>
              <w:jc w:val="right"/>
              <w:ind w:right="170"/>
              <w:spacing w:after="0" w:line="215" w:lineRule="exact"/>
              <w:rPr>
                <w:sz w:val="20"/>
                <w:szCs w:val="20"/>
                <w:color w:val="auto"/>
              </w:rPr>
            </w:pPr>
            <w:r>
              <w:rPr>
                <w:rFonts w:ascii="Calibri" w:cs="Calibri" w:eastAsia="Calibri" w:hAnsi="Calibri"/>
                <w:sz w:val="18"/>
                <w:szCs w:val="18"/>
                <w:b w:val="1"/>
                <w:bCs w:val="1"/>
                <w:color w:val="auto"/>
              </w:rPr>
              <w:t>$</w:t>
            </w:r>
          </w:p>
        </w:tc>
        <w:tc>
          <w:tcPr>
            <w:tcW w:w="140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1,519.2</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3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1,530.1</w:t>
            </w:r>
          </w:p>
        </w:tc>
      </w:tr>
      <w:tr>
        <w:trPr>
          <w:trHeight w:val="28"/>
        </w:trPr>
        <w:tc>
          <w:tcPr>
            <w:tcW w:w="734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40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3"/>
        </w:trPr>
        <w:tc>
          <w:tcPr>
            <w:tcW w:w="734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Mineral reserves and interests</w:t>
            </w:r>
          </w:p>
        </w:tc>
        <w:tc>
          <w:tcPr>
            <w:tcW w:w="560" w:type="dxa"/>
            <w:vAlign w:val="bottom"/>
            <w:tcBorders>
              <w:bottom w:val="single" w:sz="8" w:color="E5F1F8"/>
            </w:tcBorders>
            <w:shd w:val="clear" w:color="auto" w:fill="E5F1F8"/>
          </w:tcPr>
          <w:p>
            <w:pPr>
              <w:spacing w:after="0"/>
              <w:rPr>
                <w:sz w:val="19"/>
                <w:szCs w:val="19"/>
                <w:color w:val="auto"/>
              </w:rPr>
            </w:pPr>
          </w:p>
        </w:tc>
        <w:tc>
          <w:tcPr>
            <w:tcW w:w="140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2,917.8</w:t>
            </w:r>
          </w:p>
        </w:tc>
        <w:tc>
          <w:tcPr>
            <w:tcW w:w="560" w:type="dxa"/>
            <w:vAlign w:val="bottom"/>
            <w:tcBorders>
              <w:bottom w:val="single" w:sz="8" w:color="E5F1F8"/>
            </w:tcBorders>
            <w:shd w:val="clear" w:color="auto" w:fill="E5F1F8"/>
          </w:tcPr>
          <w:p>
            <w:pPr>
              <w:spacing w:after="0"/>
              <w:rPr>
                <w:sz w:val="19"/>
                <w:szCs w:val="19"/>
                <w:color w:val="auto"/>
              </w:rPr>
            </w:pPr>
          </w:p>
        </w:tc>
        <w:tc>
          <w:tcPr>
            <w:tcW w:w="138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2,924.5</w:t>
            </w:r>
          </w:p>
        </w:tc>
      </w:tr>
      <w:tr>
        <w:trPr>
          <w:trHeight w:val="215"/>
        </w:trPr>
        <w:tc>
          <w:tcPr>
            <w:tcW w:w="73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Buildings</w:t>
            </w:r>
          </w:p>
        </w:tc>
        <w:tc>
          <w:tcPr>
            <w:tcW w:w="560" w:type="dxa"/>
            <w:vAlign w:val="bottom"/>
          </w:tcPr>
          <w:p>
            <w:pPr>
              <w:spacing w:after="0"/>
              <w:rPr>
                <w:sz w:val="18"/>
                <w:szCs w:val="18"/>
                <w:color w:val="auto"/>
              </w:rPr>
            </w:pPr>
          </w:p>
        </w:tc>
        <w:tc>
          <w:tcPr>
            <w:tcW w:w="140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164.1</w:t>
            </w:r>
          </w:p>
        </w:tc>
        <w:tc>
          <w:tcPr>
            <w:tcW w:w="560" w:type="dxa"/>
            <w:vAlign w:val="bottom"/>
          </w:tcPr>
          <w:p>
            <w:pPr>
              <w:spacing w:after="0"/>
              <w:rPr>
                <w:sz w:val="18"/>
                <w:szCs w:val="18"/>
                <w:color w:val="auto"/>
              </w:rPr>
            </w:pPr>
          </w:p>
        </w:tc>
        <w:tc>
          <w:tcPr>
            <w:tcW w:w="13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169.6</w:t>
            </w:r>
          </w:p>
        </w:tc>
      </w:tr>
      <w:tr>
        <w:trPr>
          <w:trHeight w:val="28"/>
        </w:trPr>
        <w:tc>
          <w:tcPr>
            <w:tcW w:w="734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40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3"/>
        </w:trPr>
        <w:tc>
          <w:tcPr>
            <w:tcW w:w="734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Machinery and equipment</w:t>
            </w:r>
          </w:p>
        </w:tc>
        <w:tc>
          <w:tcPr>
            <w:tcW w:w="560" w:type="dxa"/>
            <w:vAlign w:val="bottom"/>
            <w:tcBorders>
              <w:bottom w:val="single" w:sz="8" w:color="E5F1F8"/>
            </w:tcBorders>
            <w:shd w:val="clear" w:color="auto" w:fill="E5F1F8"/>
          </w:tcPr>
          <w:p>
            <w:pPr>
              <w:spacing w:after="0"/>
              <w:rPr>
                <w:sz w:val="19"/>
                <w:szCs w:val="19"/>
                <w:color w:val="auto"/>
              </w:rPr>
            </w:pPr>
          </w:p>
        </w:tc>
        <w:tc>
          <w:tcPr>
            <w:tcW w:w="140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5,484.5</w:t>
            </w:r>
          </w:p>
        </w:tc>
        <w:tc>
          <w:tcPr>
            <w:tcW w:w="560" w:type="dxa"/>
            <w:vAlign w:val="bottom"/>
            <w:tcBorders>
              <w:bottom w:val="single" w:sz="8" w:color="E5F1F8"/>
            </w:tcBorders>
            <w:shd w:val="clear" w:color="auto" w:fill="E5F1F8"/>
          </w:tcPr>
          <w:p>
            <w:pPr>
              <w:spacing w:after="0"/>
              <w:rPr>
                <w:sz w:val="19"/>
                <w:szCs w:val="19"/>
                <w:color w:val="auto"/>
              </w:rPr>
            </w:pPr>
          </w:p>
        </w:tc>
        <w:tc>
          <w:tcPr>
            <w:tcW w:w="138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5,357.7</w:t>
            </w:r>
          </w:p>
        </w:tc>
      </w:tr>
      <w:tr>
        <w:trPr>
          <w:trHeight w:val="243"/>
        </w:trPr>
        <w:tc>
          <w:tcPr>
            <w:tcW w:w="73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Constructon in progress</w:t>
            </w:r>
          </w:p>
        </w:tc>
        <w:tc>
          <w:tcPr>
            <w:tcW w:w="560" w:type="dxa"/>
            <w:vAlign w:val="bottom"/>
          </w:tcPr>
          <w:p>
            <w:pPr>
              <w:spacing w:after="0"/>
              <w:rPr>
                <w:sz w:val="21"/>
                <w:szCs w:val="21"/>
                <w:color w:val="auto"/>
              </w:rPr>
            </w:pPr>
          </w:p>
        </w:tc>
        <w:tc>
          <w:tcPr>
            <w:tcW w:w="140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338.5</w:t>
            </w:r>
          </w:p>
        </w:tc>
        <w:tc>
          <w:tcPr>
            <w:tcW w:w="560" w:type="dxa"/>
            <w:vAlign w:val="bottom"/>
          </w:tcPr>
          <w:p>
            <w:pPr>
              <w:spacing w:after="0"/>
              <w:rPr>
                <w:sz w:val="21"/>
                <w:szCs w:val="21"/>
                <w:color w:val="auto"/>
              </w:rPr>
            </w:pPr>
          </w:p>
        </w:tc>
        <w:tc>
          <w:tcPr>
            <w:tcW w:w="13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162.2</w:t>
            </w:r>
          </w:p>
        </w:tc>
      </w:tr>
      <w:tr>
        <w:trPr>
          <w:trHeight w:val="248"/>
        </w:trPr>
        <w:tc>
          <w:tcPr>
            <w:tcW w:w="734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Finance lease right-of-use assets</w:t>
            </w:r>
          </w:p>
        </w:tc>
        <w:tc>
          <w:tcPr>
            <w:tcW w:w="560" w:type="dxa"/>
            <w:vAlign w:val="bottom"/>
            <w:tcBorders>
              <w:bottom w:val="single" w:sz="8" w:color="E5F1F8"/>
            </w:tcBorders>
            <w:shd w:val="clear" w:color="auto" w:fill="E5F1F8"/>
          </w:tcPr>
          <w:p>
            <w:pPr>
              <w:spacing w:after="0"/>
              <w:rPr>
                <w:sz w:val="21"/>
                <w:szCs w:val="21"/>
                <w:color w:val="auto"/>
              </w:rPr>
            </w:pPr>
          </w:p>
        </w:tc>
        <w:tc>
          <w:tcPr>
            <w:tcW w:w="140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236.9</w:t>
            </w:r>
          </w:p>
        </w:tc>
        <w:tc>
          <w:tcPr>
            <w:tcW w:w="560" w:type="dxa"/>
            <w:vAlign w:val="bottom"/>
            <w:tcBorders>
              <w:bottom w:val="single" w:sz="8" w:color="E5F1F8"/>
            </w:tcBorders>
            <w:shd w:val="clear" w:color="auto" w:fill="E5F1F8"/>
          </w:tcPr>
          <w:p>
            <w:pPr>
              <w:spacing w:after="0"/>
              <w:rPr>
                <w:sz w:val="21"/>
                <w:szCs w:val="21"/>
                <w:color w:val="auto"/>
              </w:rPr>
            </w:pPr>
          </w:p>
        </w:tc>
        <w:tc>
          <w:tcPr>
            <w:tcW w:w="138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225.9</w:t>
            </w:r>
          </w:p>
        </w:tc>
      </w:tr>
      <w:tr>
        <w:trPr>
          <w:trHeight w:val="237"/>
        </w:trPr>
        <w:tc>
          <w:tcPr>
            <w:tcW w:w="734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color w:val="auto"/>
              </w:rPr>
              <w:t>Total property, plant and equipment</w:t>
            </w:r>
          </w:p>
        </w:tc>
        <w:tc>
          <w:tcPr>
            <w:tcW w:w="560" w:type="dxa"/>
            <w:vAlign w:val="bottom"/>
            <w:tcBorders>
              <w:top w:val="single" w:sz="8" w:color="auto"/>
            </w:tcBorders>
          </w:tcPr>
          <w:p>
            <w:pPr>
              <w:spacing w:after="0"/>
              <w:rPr>
                <w:sz w:val="20"/>
                <w:szCs w:val="20"/>
                <w:color w:val="auto"/>
              </w:rPr>
            </w:pPr>
          </w:p>
        </w:tc>
        <w:tc>
          <w:tcPr>
            <w:tcW w:w="140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10,661.0</w:t>
            </w:r>
          </w:p>
        </w:tc>
        <w:tc>
          <w:tcPr>
            <w:tcW w:w="5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10,370.0</w:t>
            </w:r>
          </w:p>
        </w:tc>
      </w:tr>
      <w:tr>
        <w:trPr>
          <w:trHeight w:val="248"/>
        </w:trPr>
        <w:tc>
          <w:tcPr>
            <w:tcW w:w="734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Less: accumulated depreciaton, depleton and amortzaton</w:t>
            </w:r>
          </w:p>
        </w:tc>
        <w:tc>
          <w:tcPr>
            <w:tcW w:w="560" w:type="dxa"/>
            <w:vAlign w:val="bottom"/>
            <w:tcBorders>
              <w:bottom w:val="single" w:sz="8" w:color="E5F1F8"/>
            </w:tcBorders>
            <w:shd w:val="clear" w:color="auto" w:fill="E5F1F8"/>
          </w:tcPr>
          <w:p>
            <w:pPr>
              <w:spacing w:after="0"/>
              <w:rPr>
                <w:sz w:val="21"/>
                <w:szCs w:val="21"/>
                <w:color w:val="auto"/>
              </w:rPr>
            </w:pPr>
          </w:p>
        </w:tc>
        <w:tc>
          <w:tcPr>
            <w:tcW w:w="140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(4,344.3 )</w:t>
            </w:r>
          </w:p>
        </w:tc>
        <w:tc>
          <w:tcPr>
            <w:tcW w:w="560" w:type="dxa"/>
            <w:vAlign w:val="bottom"/>
            <w:tcBorders>
              <w:bottom w:val="single" w:sz="8" w:color="E5F1F8"/>
            </w:tcBorders>
            <w:shd w:val="clear" w:color="auto" w:fill="E5F1F8"/>
          </w:tcPr>
          <w:p>
            <w:pPr>
              <w:spacing w:after="0"/>
              <w:rPr>
                <w:sz w:val="21"/>
                <w:szCs w:val="21"/>
                <w:color w:val="auto"/>
              </w:rPr>
            </w:pPr>
          </w:p>
        </w:tc>
        <w:tc>
          <w:tcPr>
            <w:tcW w:w="138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(4,032.0 )</w:t>
            </w:r>
          </w:p>
        </w:tc>
      </w:tr>
      <w:tr>
        <w:trPr>
          <w:trHeight w:val="208"/>
        </w:trPr>
        <w:tc>
          <w:tcPr>
            <w:tcW w:w="734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Property, plant and equipment, net</w:t>
            </w:r>
          </w:p>
        </w:tc>
        <w:tc>
          <w:tcPr>
            <w:tcW w:w="560" w:type="dxa"/>
            <w:vAlign w:val="bottom"/>
            <w:tcBorders>
              <w:top w:val="single" w:sz="8" w:color="auto"/>
            </w:tcBorders>
          </w:tcPr>
          <w:p>
            <w:pPr>
              <w:jc w:val="right"/>
              <w:ind w:right="170"/>
              <w:spacing w:after="0" w:line="208" w:lineRule="exact"/>
              <w:rPr>
                <w:sz w:val="20"/>
                <w:szCs w:val="20"/>
                <w:color w:val="auto"/>
              </w:rPr>
            </w:pPr>
            <w:r>
              <w:rPr>
                <w:rFonts w:ascii="Calibri" w:cs="Calibri" w:eastAsia="Calibri" w:hAnsi="Calibri"/>
                <w:sz w:val="18"/>
                <w:szCs w:val="18"/>
                <w:b w:val="1"/>
                <w:bCs w:val="1"/>
                <w:color w:val="auto"/>
              </w:rPr>
              <w:t>$</w:t>
            </w:r>
          </w:p>
        </w:tc>
        <w:tc>
          <w:tcPr>
            <w:tcW w:w="140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6,316.7</w:t>
            </w:r>
          </w:p>
        </w:tc>
        <w:tc>
          <w:tcPr>
            <w:tcW w:w="560" w:type="dxa"/>
            <w:vAlign w:val="bottom"/>
            <w:tcBorders>
              <w:top w:val="single" w:sz="8" w:color="auto"/>
            </w:tcBorders>
          </w:tcPr>
          <w:p>
            <w:pPr>
              <w:jc w:val="right"/>
              <w:ind w:right="190"/>
              <w:spacing w:after="0" w:line="208" w:lineRule="exact"/>
              <w:rPr>
                <w:sz w:val="20"/>
                <w:szCs w:val="20"/>
                <w:color w:val="auto"/>
              </w:rPr>
            </w:pPr>
            <w:r>
              <w:rPr>
                <w:rFonts w:ascii="Calibri" w:cs="Calibri" w:eastAsia="Calibri" w:hAnsi="Calibri"/>
                <w:sz w:val="18"/>
                <w:szCs w:val="18"/>
                <w:color w:val="auto"/>
              </w:rPr>
              <w:t>$</w:t>
            </w:r>
          </w:p>
        </w:tc>
        <w:tc>
          <w:tcPr>
            <w:tcW w:w="138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6,338.0</w:t>
            </w:r>
          </w:p>
        </w:tc>
      </w:tr>
      <w:tr>
        <w:trPr>
          <w:trHeight w:val="28"/>
        </w:trPr>
        <w:tc>
          <w:tcPr>
            <w:tcW w:w="7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7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-672465</wp:posOffset>
            </wp:positionV>
            <wp:extent cx="7132320" cy="6858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spacing w:after="0" w:line="13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Depreciaton, depleton and amortzaton expense related to property, plant and equipment was $472.8 million, $422.4 million and $376.3 million for the years ended December 31, 2022, 2021 and 2020, respectvely. Depreciaton, depleton and amortzaton expense includes amortzaton of right-of-use assets from fnance leases.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Interest of $2.7 million, $5.6 million and $4.2 million was capitalized during 2022, 2021 and 2020, respectvely.</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At December 31, 2022 and 2021, $38.4 million and $44.9 million, respectvely, of the Building Materials business’ property, plant and equipment, net, were located in foreign countries, namely The Bahamas and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6751320</wp:posOffset>
            </wp:positionH>
            <wp:positionV relativeFrom="paragraph">
              <wp:posOffset>92710</wp:posOffset>
            </wp:positionV>
            <wp:extent cx="325755" cy="19748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93" w:name="page94"/>
    <w:bookmarkEnd w:id="93"/>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8 – Financial Statements and Supplementary Data</w:t>
      </w:r>
    </w:p>
    <w:p>
      <w:pPr>
        <w:spacing w:after="0" w:line="21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H: Long-Term Debt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08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December 31</w:t>
            </w:r>
          </w:p>
        </w:tc>
        <w:tc>
          <w:tcPr>
            <w:tcW w:w="620" w:type="dxa"/>
            <w:vAlign w:val="bottom"/>
            <w:shd w:val="clear" w:color="auto" w:fill="007CBA"/>
          </w:tcPr>
          <w:p>
            <w:pPr>
              <w:spacing w:after="0"/>
              <w:rPr>
                <w:sz w:val="19"/>
                <w:szCs w:val="19"/>
                <w:color w:val="auto"/>
              </w:rPr>
            </w:pPr>
          </w:p>
        </w:tc>
        <w:tc>
          <w:tcPr>
            <w:tcW w:w="1500" w:type="dxa"/>
            <w:vAlign w:val="bottom"/>
            <w:tcBorders>
              <w:right w:val="single" w:sz="8" w:color="007CBA"/>
            </w:tcBorders>
            <w:shd w:val="clear" w:color="auto" w:fill="007CBA"/>
          </w:tcPr>
          <w:p>
            <w:pPr>
              <w:spacing w:after="0"/>
              <w:rPr>
                <w:sz w:val="19"/>
                <w:szCs w:val="19"/>
                <w:color w:val="auto"/>
              </w:rPr>
            </w:pPr>
          </w:p>
        </w:tc>
        <w:tc>
          <w:tcPr>
            <w:tcW w:w="580" w:type="dxa"/>
            <w:vAlign w:val="bottom"/>
            <w:shd w:val="clear" w:color="auto" w:fill="007CBA"/>
          </w:tcPr>
          <w:p>
            <w:pPr>
              <w:spacing w:after="0"/>
              <w:rPr>
                <w:sz w:val="19"/>
                <w:szCs w:val="19"/>
                <w:color w:val="auto"/>
              </w:rPr>
            </w:pPr>
          </w:p>
        </w:tc>
        <w:tc>
          <w:tcPr>
            <w:tcW w:w="1460" w:type="dxa"/>
            <w:vAlign w:val="bottom"/>
            <w:shd w:val="clear" w:color="auto" w:fill="007CBA"/>
          </w:tcPr>
          <w:p>
            <w:pPr>
              <w:spacing w:after="0"/>
              <w:rPr>
                <w:sz w:val="19"/>
                <w:szCs w:val="19"/>
                <w:color w:val="auto"/>
              </w:rPr>
            </w:pPr>
          </w:p>
        </w:tc>
      </w:tr>
      <w:tr>
        <w:trPr>
          <w:trHeight w:val="245"/>
        </w:trPr>
        <w:tc>
          <w:tcPr>
            <w:tcW w:w="708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620" w:type="dxa"/>
            <w:vAlign w:val="bottom"/>
            <w:tcBorders>
              <w:bottom w:val="single" w:sz="8" w:color="007CBA"/>
            </w:tcBorders>
            <w:shd w:val="clear" w:color="auto" w:fill="007CBA"/>
          </w:tcPr>
          <w:p>
            <w:pPr>
              <w:spacing w:after="0"/>
              <w:rPr>
                <w:sz w:val="21"/>
                <w:szCs w:val="21"/>
                <w:color w:val="auto"/>
              </w:rPr>
            </w:pPr>
          </w:p>
        </w:tc>
        <w:tc>
          <w:tcPr>
            <w:tcW w:w="1500" w:type="dxa"/>
            <w:vAlign w:val="bottom"/>
            <w:tcBorders>
              <w:bottom w:val="single" w:sz="8" w:color="007CBA"/>
              <w:right w:val="single" w:sz="8" w:color="007CBA"/>
            </w:tcBorders>
            <w:shd w:val="clear" w:color="auto" w:fill="007CBA"/>
          </w:tcPr>
          <w:p>
            <w:pPr>
              <w:jc w:val="right"/>
              <w:ind w:right="750"/>
              <w:spacing w:after="0" w:line="215" w:lineRule="exact"/>
              <w:rPr>
                <w:sz w:val="20"/>
                <w:szCs w:val="20"/>
                <w:color w:val="auto"/>
              </w:rPr>
            </w:pPr>
            <w:r>
              <w:rPr>
                <w:rFonts w:ascii="Calibri" w:cs="Calibri" w:eastAsia="Calibri" w:hAnsi="Calibri"/>
                <w:sz w:val="18"/>
                <w:szCs w:val="18"/>
                <w:b w:val="1"/>
                <w:bCs w:val="1"/>
                <w:color w:val="FFFFFF"/>
              </w:rPr>
              <w:t>2022</w:t>
            </w:r>
          </w:p>
        </w:tc>
        <w:tc>
          <w:tcPr>
            <w:tcW w:w="580" w:type="dxa"/>
            <w:vAlign w:val="bottom"/>
            <w:tcBorders>
              <w:bottom w:val="single" w:sz="8" w:color="007CBA"/>
            </w:tcBorders>
            <w:shd w:val="clear" w:color="auto" w:fill="007CBA"/>
          </w:tcPr>
          <w:p>
            <w:pPr>
              <w:spacing w:after="0"/>
              <w:rPr>
                <w:sz w:val="21"/>
                <w:szCs w:val="21"/>
                <w:color w:val="auto"/>
              </w:rPr>
            </w:pPr>
          </w:p>
        </w:tc>
        <w:tc>
          <w:tcPr>
            <w:tcW w:w="1460" w:type="dxa"/>
            <w:vAlign w:val="bottom"/>
            <w:tcBorders>
              <w:bottom w:val="single" w:sz="8" w:color="007CBA"/>
            </w:tcBorders>
            <w:shd w:val="clear" w:color="auto" w:fill="007CBA"/>
          </w:tcPr>
          <w:p>
            <w:pPr>
              <w:jc w:val="right"/>
              <w:ind w:right="710"/>
              <w:spacing w:after="0" w:line="215" w:lineRule="exact"/>
              <w:rPr>
                <w:sz w:val="20"/>
                <w:szCs w:val="20"/>
                <w:color w:val="auto"/>
              </w:rPr>
            </w:pPr>
            <w:r>
              <w:rPr>
                <w:rFonts w:ascii="Calibri" w:cs="Calibri" w:eastAsia="Calibri" w:hAnsi="Calibri"/>
                <w:sz w:val="18"/>
                <w:szCs w:val="18"/>
                <w:color w:val="FFFFFF"/>
              </w:rPr>
              <w:t>2021</w:t>
            </w:r>
          </w:p>
        </w:tc>
      </w:tr>
      <w:tr>
        <w:trPr>
          <w:trHeight w:val="223"/>
        </w:trPr>
        <w:tc>
          <w:tcPr>
            <w:tcW w:w="708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0.650% Senior Notes, due 2023 (discharged)</w:t>
            </w:r>
          </w:p>
        </w:tc>
        <w:tc>
          <w:tcPr>
            <w:tcW w:w="6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w:t>
            </w:r>
          </w:p>
        </w:tc>
        <w:tc>
          <w:tcPr>
            <w:tcW w:w="150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699.1</w:t>
            </w:r>
          </w:p>
        </w:tc>
        <w:tc>
          <w:tcPr>
            <w:tcW w:w="5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697.4</w:t>
            </w:r>
          </w:p>
        </w:tc>
      </w:tr>
      <w:tr>
        <w:trPr>
          <w:trHeight w:val="215"/>
        </w:trPr>
        <w:tc>
          <w:tcPr>
            <w:tcW w:w="70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4.250% Senior Notes, due 2024</w:t>
            </w:r>
          </w:p>
        </w:tc>
        <w:tc>
          <w:tcPr>
            <w:tcW w:w="620" w:type="dxa"/>
            <w:vAlign w:val="bottom"/>
          </w:tcPr>
          <w:p>
            <w:pPr>
              <w:spacing w:after="0"/>
              <w:rPr>
                <w:sz w:val="18"/>
                <w:szCs w:val="18"/>
                <w:color w:val="auto"/>
              </w:rPr>
            </w:pPr>
          </w:p>
        </w:tc>
        <w:tc>
          <w:tcPr>
            <w:tcW w:w="150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398.9</w:t>
            </w:r>
          </w:p>
        </w:tc>
        <w:tc>
          <w:tcPr>
            <w:tcW w:w="580" w:type="dxa"/>
            <w:vAlign w:val="bottom"/>
          </w:tcPr>
          <w:p>
            <w:pPr>
              <w:spacing w:after="0"/>
              <w:rPr>
                <w:sz w:val="18"/>
                <w:szCs w:val="18"/>
                <w:color w:val="auto"/>
              </w:rPr>
            </w:pPr>
          </w:p>
        </w:tc>
        <w:tc>
          <w:tcPr>
            <w:tcW w:w="1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398.3</w:t>
            </w:r>
          </w:p>
        </w:tc>
      </w:tr>
      <w:tr>
        <w:trPr>
          <w:trHeight w:val="28"/>
        </w:trPr>
        <w:tc>
          <w:tcPr>
            <w:tcW w:w="7080" w:type="dxa"/>
            <w:vAlign w:val="bottom"/>
            <w:tcBorders>
              <w:right w:val="single" w:sz="8" w:color="007CBA"/>
            </w:tcBorders>
          </w:tcPr>
          <w:p>
            <w:pPr>
              <w:spacing w:after="0"/>
              <w:rPr>
                <w:sz w:val="2"/>
                <w:szCs w:val="2"/>
                <w:color w:val="auto"/>
              </w:rPr>
            </w:pPr>
          </w:p>
        </w:tc>
        <w:tc>
          <w:tcPr>
            <w:tcW w:w="620" w:type="dxa"/>
            <w:vAlign w:val="bottom"/>
          </w:tcPr>
          <w:p>
            <w:pPr>
              <w:spacing w:after="0"/>
              <w:rPr>
                <w:sz w:val="2"/>
                <w:szCs w:val="2"/>
                <w:color w:val="auto"/>
              </w:rPr>
            </w:pPr>
          </w:p>
        </w:tc>
        <w:tc>
          <w:tcPr>
            <w:tcW w:w="1500" w:type="dxa"/>
            <w:vAlign w:val="bottom"/>
            <w:tcBorders>
              <w:right w:val="single" w:sz="8" w:color="007CBA"/>
            </w:tcBorders>
          </w:tcPr>
          <w:p>
            <w:pPr>
              <w:spacing w:after="0"/>
              <w:rPr>
                <w:sz w:val="2"/>
                <w:szCs w:val="2"/>
                <w:color w:val="auto"/>
              </w:rPr>
            </w:pPr>
          </w:p>
        </w:tc>
        <w:tc>
          <w:tcPr>
            <w:tcW w:w="5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3"/>
        </w:trPr>
        <w:tc>
          <w:tcPr>
            <w:tcW w:w="708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7% Debentures, due 2025</w:t>
            </w:r>
          </w:p>
        </w:tc>
        <w:tc>
          <w:tcPr>
            <w:tcW w:w="620" w:type="dxa"/>
            <w:vAlign w:val="bottom"/>
            <w:tcBorders>
              <w:bottom w:val="single" w:sz="8" w:color="E5F1F8"/>
            </w:tcBorders>
            <w:shd w:val="clear" w:color="auto" w:fill="E5F1F8"/>
          </w:tcPr>
          <w:p>
            <w:pPr>
              <w:spacing w:after="0"/>
              <w:rPr>
                <w:sz w:val="19"/>
                <w:szCs w:val="19"/>
                <w:color w:val="auto"/>
              </w:rPr>
            </w:pPr>
          </w:p>
        </w:tc>
        <w:tc>
          <w:tcPr>
            <w:tcW w:w="150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124.7</w:t>
            </w:r>
          </w:p>
        </w:tc>
        <w:tc>
          <w:tcPr>
            <w:tcW w:w="580" w:type="dxa"/>
            <w:vAlign w:val="bottom"/>
            <w:tcBorders>
              <w:bottom w:val="single" w:sz="8" w:color="E5F1F8"/>
            </w:tcBorders>
            <w:shd w:val="clear" w:color="auto" w:fill="E5F1F8"/>
          </w:tcPr>
          <w:p>
            <w:pPr>
              <w:spacing w:after="0"/>
              <w:rPr>
                <w:sz w:val="19"/>
                <w:szCs w:val="19"/>
                <w:color w:val="auto"/>
              </w:rPr>
            </w:pPr>
          </w:p>
        </w:tc>
        <w:tc>
          <w:tcPr>
            <w:tcW w:w="1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124.6</w:t>
            </w:r>
          </w:p>
        </w:tc>
      </w:tr>
      <w:tr>
        <w:trPr>
          <w:trHeight w:val="215"/>
        </w:trPr>
        <w:tc>
          <w:tcPr>
            <w:tcW w:w="70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3.450% Senior Notes, due 2027</w:t>
            </w:r>
          </w:p>
        </w:tc>
        <w:tc>
          <w:tcPr>
            <w:tcW w:w="620" w:type="dxa"/>
            <w:vAlign w:val="bottom"/>
          </w:tcPr>
          <w:p>
            <w:pPr>
              <w:spacing w:after="0"/>
              <w:rPr>
                <w:sz w:val="18"/>
                <w:szCs w:val="18"/>
                <w:color w:val="auto"/>
              </w:rPr>
            </w:pPr>
          </w:p>
        </w:tc>
        <w:tc>
          <w:tcPr>
            <w:tcW w:w="150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298.3</w:t>
            </w:r>
          </w:p>
        </w:tc>
        <w:tc>
          <w:tcPr>
            <w:tcW w:w="580" w:type="dxa"/>
            <w:vAlign w:val="bottom"/>
          </w:tcPr>
          <w:p>
            <w:pPr>
              <w:spacing w:after="0"/>
              <w:rPr>
                <w:sz w:val="18"/>
                <w:szCs w:val="18"/>
                <w:color w:val="auto"/>
              </w:rPr>
            </w:pPr>
          </w:p>
        </w:tc>
        <w:tc>
          <w:tcPr>
            <w:tcW w:w="1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297.9</w:t>
            </w:r>
          </w:p>
        </w:tc>
      </w:tr>
      <w:tr>
        <w:trPr>
          <w:trHeight w:val="28"/>
        </w:trPr>
        <w:tc>
          <w:tcPr>
            <w:tcW w:w="7080" w:type="dxa"/>
            <w:vAlign w:val="bottom"/>
            <w:tcBorders>
              <w:right w:val="single" w:sz="8" w:color="007CBA"/>
            </w:tcBorders>
          </w:tcPr>
          <w:p>
            <w:pPr>
              <w:spacing w:after="0"/>
              <w:rPr>
                <w:sz w:val="2"/>
                <w:szCs w:val="2"/>
                <w:color w:val="auto"/>
              </w:rPr>
            </w:pPr>
          </w:p>
        </w:tc>
        <w:tc>
          <w:tcPr>
            <w:tcW w:w="620" w:type="dxa"/>
            <w:vAlign w:val="bottom"/>
          </w:tcPr>
          <w:p>
            <w:pPr>
              <w:spacing w:after="0"/>
              <w:rPr>
                <w:sz w:val="2"/>
                <w:szCs w:val="2"/>
                <w:color w:val="auto"/>
              </w:rPr>
            </w:pPr>
          </w:p>
        </w:tc>
        <w:tc>
          <w:tcPr>
            <w:tcW w:w="1500" w:type="dxa"/>
            <w:vAlign w:val="bottom"/>
            <w:tcBorders>
              <w:right w:val="single" w:sz="8" w:color="007CBA"/>
            </w:tcBorders>
          </w:tcPr>
          <w:p>
            <w:pPr>
              <w:spacing w:after="0"/>
              <w:rPr>
                <w:sz w:val="2"/>
                <w:szCs w:val="2"/>
                <w:color w:val="auto"/>
              </w:rPr>
            </w:pPr>
          </w:p>
        </w:tc>
        <w:tc>
          <w:tcPr>
            <w:tcW w:w="5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3"/>
        </w:trPr>
        <w:tc>
          <w:tcPr>
            <w:tcW w:w="708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3.500% Senior Notes, due 2027</w:t>
            </w:r>
          </w:p>
        </w:tc>
        <w:tc>
          <w:tcPr>
            <w:tcW w:w="620" w:type="dxa"/>
            <w:vAlign w:val="bottom"/>
            <w:tcBorders>
              <w:bottom w:val="single" w:sz="8" w:color="E5F1F8"/>
            </w:tcBorders>
            <w:shd w:val="clear" w:color="auto" w:fill="E5F1F8"/>
          </w:tcPr>
          <w:p>
            <w:pPr>
              <w:spacing w:after="0"/>
              <w:rPr>
                <w:sz w:val="19"/>
                <w:szCs w:val="19"/>
                <w:color w:val="auto"/>
              </w:rPr>
            </w:pPr>
          </w:p>
        </w:tc>
        <w:tc>
          <w:tcPr>
            <w:tcW w:w="150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491.5</w:t>
            </w:r>
          </w:p>
        </w:tc>
        <w:tc>
          <w:tcPr>
            <w:tcW w:w="580" w:type="dxa"/>
            <w:vAlign w:val="bottom"/>
            <w:tcBorders>
              <w:bottom w:val="single" w:sz="8" w:color="E5F1F8"/>
            </w:tcBorders>
            <w:shd w:val="clear" w:color="auto" w:fill="E5F1F8"/>
          </w:tcPr>
          <w:p>
            <w:pPr>
              <w:spacing w:after="0"/>
              <w:rPr>
                <w:sz w:val="19"/>
                <w:szCs w:val="19"/>
                <w:color w:val="auto"/>
              </w:rPr>
            </w:pPr>
          </w:p>
        </w:tc>
        <w:tc>
          <w:tcPr>
            <w:tcW w:w="1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496.4</w:t>
            </w:r>
          </w:p>
        </w:tc>
      </w:tr>
      <w:tr>
        <w:trPr>
          <w:trHeight w:val="215"/>
        </w:trPr>
        <w:tc>
          <w:tcPr>
            <w:tcW w:w="70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2.500% Senior Notes, due 2030</w:t>
            </w:r>
          </w:p>
        </w:tc>
        <w:tc>
          <w:tcPr>
            <w:tcW w:w="620" w:type="dxa"/>
            <w:vAlign w:val="bottom"/>
          </w:tcPr>
          <w:p>
            <w:pPr>
              <w:spacing w:after="0"/>
              <w:rPr>
                <w:sz w:val="18"/>
                <w:szCs w:val="18"/>
                <w:color w:val="auto"/>
              </w:rPr>
            </w:pPr>
          </w:p>
        </w:tc>
        <w:tc>
          <w:tcPr>
            <w:tcW w:w="150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470.5</w:t>
            </w:r>
          </w:p>
        </w:tc>
        <w:tc>
          <w:tcPr>
            <w:tcW w:w="580" w:type="dxa"/>
            <w:vAlign w:val="bottom"/>
          </w:tcPr>
          <w:p>
            <w:pPr>
              <w:spacing w:after="0"/>
              <w:rPr>
                <w:sz w:val="18"/>
                <w:szCs w:val="18"/>
                <w:color w:val="auto"/>
              </w:rPr>
            </w:pPr>
          </w:p>
        </w:tc>
        <w:tc>
          <w:tcPr>
            <w:tcW w:w="1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491.1</w:t>
            </w:r>
          </w:p>
        </w:tc>
      </w:tr>
      <w:tr>
        <w:trPr>
          <w:trHeight w:val="28"/>
        </w:trPr>
        <w:tc>
          <w:tcPr>
            <w:tcW w:w="7080" w:type="dxa"/>
            <w:vAlign w:val="bottom"/>
            <w:tcBorders>
              <w:right w:val="single" w:sz="8" w:color="007CBA"/>
            </w:tcBorders>
          </w:tcPr>
          <w:p>
            <w:pPr>
              <w:spacing w:after="0"/>
              <w:rPr>
                <w:sz w:val="2"/>
                <w:szCs w:val="2"/>
                <w:color w:val="auto"/>
              </w:rPr>
            </w:pPr>
          </w:p>
        </w:tc>
        <w:tc>
          <w:tcPr>
            <w:tcW w:w="620" w:type="dxa"/>
            <w:vAlign w:val="bottom"/>
          </w:tcPr>
          <w:p>
            <w:pPr>
              <w:spacing w:after="0"/>
              <w:rPr>
                <w:sz w:val="2"/>
                <w:szCs w:val="2"/>
                <w:color w:val="auto"/>
              </w:rPr>
            </w:pPr>
          </w:p>
        </w:tc>
        <w:tc>
          <w:tcPr>
            <w:tcW w:w="1500" w:type="dxa"/>
            <w:vAlign w:val="bottom"/>
            <w:tcBorders>
              <w:right w:val="single" w:sz="8" w:color="007CBA"/>
            </w:tcBorders>
          </w:tcPr>
          <w:p>
            <w:pPr>
              <w:spacing w:after="0"/>
              <w:rPr>
                <w:sz w:val="2"/>
                <w:szCs w:val="2"/>
                <w:color w:val="auto"/>
              </w:rPr>
            </w:pPr>
          </w:p>
        </w:tc>
        <w:tc>
          <w:tcPr>
            <w:tcW w:w="5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3"/>
        </w:trPr>
        <w:tc>
          <w:tcPr>
            <w:tcW w:w="708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2.400% Senior Notes, due 2031</w:t>
            </w:r>
          </w:p>
        </w:tc>
        <w:tc>
          <w:tcPr>
            <w:tcW w:w="620" w:type="dxa"/>
            <w:vAlign w:val="bottom"/>
            <w:tcBorders>
              <w:bottom w:val="single" w:sz="8" w:color="E5F1F8"/>
            </w:tcBorders>
            <w:shd w:val="clear" w:color="auto" w:fill="E5F1F8"/>
          </w:tcPr>
          <w:p>
            <w:pPr>
              <w:spacing w:after="0"/>
              <w:rPr>
                <w:sz w:val="19"/>
                <w:szCs w:val="19"/>
                <w:color w:val="auto"/>
              </w:rPr>
            </w:pPr>
          </w:p>
        </w:tc>
        <w:tc>
          <w:tcPr>
            <w:tcW w:w="150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888.6</w:t>
            </w:r>
          </w:p>
        </w:tc>
        <w:tc>
          <w:tcPr>
            <w:tcW w:w="580" w:type="dxa"/>
            <w:vAlign w:val="bottom"/>
            <w:tcBorders>
              <w:bottom w:val="single" w:sz="8" w:color="E5F1F8"/>
            </w:tcBorders>
            <w:shd w:val="clear" w:color="auto" w:fill="E5F1F8"/>
          </w:tcPr>
          <w:p>
            <w:pPr>
              <w:spacing w:after="0"/>
              <w:rPr>
                <w:sz w:val="19"/>
                <w:szCs w:val="19"/>
                <w:color w:val="auto"/>
              </w:rPr>
            </w:pPr>
          </w:p>
        </w:tc>
        <w:tc>
          <w:tcPr>
            <w:tcW w:w="1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891.8</w:t>
            </w:r>
          </w:p>
        </w:tc>
      </w:tr>
      <w:tr>
        <w:trPr>
          <w:trHeight w:val="215"/>
        </w:trPr>
        <w:tc>
          <w:tcPr>
            <w:tcW w:w="70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6.25% Senior Notes, due 2037</w:t>
            </w:r>
          </w:p>
        </w:tc>
        <w:tc>
          <w:tcPr>
            <w:tcW w:w="620" w:type="dxa"/>
            <w:vAlign w:val="bottom"/>
          </w:tcPr>
          <w:p>
            <w:pPr>
              <w:spacing w:after="0"/>
              <w:rPr>
                <w:sz w:val="18"/>
                <w:szCs w:val="18"/>
                <w:color w:val="auto"/>
              </w:rPr>
            </w:pPr>
          </w:p>
        </w:tc>
        <w:tc>
          <w:tcPr>
            <w:tcW w:w="150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228.4</w:t>
            </w:r>
          </w:p>
        </w:tc>
        <w:tc>
          <w:tcPr>
            <w:tcW w:w="580" w:type="dxa"/>
            <w:vAlign w:val="bottom"/>
          </w:tcPr>
          <w:p>
            <w:pPr>
              <w:spacing w:after="0"/>
              <w:rPr>
                <w:sz w:val="18"/>
                <w:szCs w:val="18"/>
                <w:color w:val="auto"/>
              </w:rPr>
            </w:pPr>
          </w:p>
        </w:tc>
        <w:tc>
          <w:tcPr>
            <w:tcW w:w="1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228.3</w:t>
            </w:r>
          </w:p>
        </w:tc>
      </w:tr>
      <w:tr>
        <w:trPr>
          <w:trHeight w:val="28"/>
        </w:trPr>
        <w:tc>
          <w:tcPr>
            <w:tcW w:w="7080" w:type="dxa"/>
            <w:vAlign w:val="bottom"/>
            <w:tcBorders>
              <w:right w:val="single" w:sz="8" w:color="007CBA"/>
            </w:tcBorders>
          </w:tcPr>
          <w:p>
            <w:pPr>
              <w:spacing w:after="0"/>
              <w:rPr>
                <w:sz w:val="2"/>
                <w:szCs w:val="2"/>
                <w:color w:val="auto"/>
              </w:rPr>
            </w:pPr>
          </w:p>
        </w:tc>
        <w:tc>
          <w:tcPr>
            <w:tcW w:w="620" w:type="dxa"/>
            <w:vAlign w:val="bottom"/>
          </w:tcPr>
          <w:p>
            <w:pPr>
              <w:spacing w:after="0"/>
              <w:rPr>
                <w:sz w:val="2"/>
                <w:szCs w:val="2"/>
                <w:color w:val="auto"/>
              </w:rPr>
            </w:pPr>
          </w:p>
        </w:tc>
        <w:tc>
          <w:tcPr>
            <w:tcW w:w="1500" w:type="dxa"/>
            <w:vAlign w:val="bottom"/>
            <w:tcBorders>
              <w:right w:val="single" w:sz="8" w:color="007CBA"/>
            </w:tcBorders>
          </w:tcPr>
          <w:p>
            <w:pPr>
              <w:spacing w:after="0"/>
              <w:rPr>
                <w:sz w:val="2"/>
                <w:szCs w:val="2"/>
                <w:color w:val="auto"/>
              </w:rPr>
            </w:pPr>
          </w:p>
        </w:tc>
        <w:tc>
          <w:tcPr>
            <w:tcW w:w="5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3"/>
        </w:trPr>
        <w:tc>
          <w:tcPr>
            <w:tcW w:w="708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4.250% Senior Notes, due 2047</w:t>
            </w:r>
          </w:p>
        </w:tc>
        <w:tc>
          <w:tcPr>
            <w:tcW w:w="620" w:type="dxa"/>
            <w:vAlign w:val="bottom"/>
            <w:tcBorders>
              <w:bottom w:val="single" w:sz="8" w:color="E5F1F8"/>
            </w:tcBorders>
            <w:shd w:val="clear" w:color="auto" w:fill="E5F1F8"/>
          </w:tcPr>
          <w:p>
            <w:pPr>
              <w:spacing w:after="0"/>
              <w:rPr>
                <w:sz w:val="19"/>
                <w:szCs w:val="19"/>
                <w:color w:val="auto"/>
              </w:rPr>
            </w:pPr>
          </w:p>
        </w:tc>
        <w:tc>
          <w:tcPr>
            <w:tcW w:w="150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590.2</w:t>
            </w:r>
          </w:p>
        </w:tc>
        <w:tc>
          <w:tcPr>
            <w:tcW w:w="580" w:type="dxa"/>
            <w:vAlign w:val="bottom"/>
            <w:tcBorders>
              <w:bottom w:val="single" w:sz="8" w:color="E5F1F8"/>
            </w:tcBorders>
            <w:shd w:val="clear" w:color="auto" w:fill="E5F1F8"/>
          </w:tcPr>
          <w:p>
            <w:pPr>
              <w:spacing w:after="0"/>
              <w:rPr>
                <w:sz w:val="19"/>
                <w:szCs w:val="19"/>
                <w:color w:val="auto"/>
              </w:rPr>
            </w:pPr>
          </w:p>
        </w:tc>
        <w:tc>
          <w:tcPr>
            <w:tcW w:w="1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592.1</w:t>
            </w:r>
          </w:p>
        </w:tc>
      </w:tr>
      <w:tr>
        <w:trPr>
          <w:trHeight w:val="243"/>
        </w:trPr>
        <w:tc>
          <w:tcPr>
            <w:tcW w:w="70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3.200% Senior Notes, due 2051</w:t>
            </w:r>
          </w:p>
        </w:tc>
        <w:tc>
          <w:tcPr>
            <w:tcW w:w="620" w:type="dxa"/>
            <w:vAlign w:val="bottom"/>
          </w:tcPr>
          <w:p>
            <w:pPr>
              <w:spacing w:after="0"/>
              <w:rPr>
                <w:sz w:val="21"/>
                <w:szCs w:val="21"/>
                <w:color w:val="auto"/>
              </w:rPr>
            </w:pPr>
          </w:p>
        </w:tc>
        <w:tc>
          <w:tcPr>
            <w:tcW w:w="150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849.8</w:t>
            </w:r>
          </w:p>
        </w:tc>
        <w:tc>
          <w:tcPr>
            <w:tcW w:w="580" w:type="dxa"/>
            <w:vAlign w:val="bottom"/>
          </w:tcPr>
          <w:p>
            <w:pPr>
              <w:spacing w:after="0"/>
              <w:rPr>
                <w:sz w:val="21"/>
                <w:szCs w:val="21"/>
                <w:color w:val="auto"/>
              </w:rPr>
            </w:pPr>
          </w:p>
        </w:tc>
        <w:tc>
          <w:tcPr>
            <w:tcW w:w="1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882.9</w:t>
            </w:r>
          </w:p>
        </w:tc>
      </w:tr>
      <w:tr>
        <w:trPr>
          <w:trHeight w:val="248"/>
        </w:trPr>
        <w:tc>
          <w:tcPr>
            <w:tcW w:w="708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Other notes</w:t>
            </w:r>
          </w:p>
        </w:tc>
        <w:tc>
          <w:tcPr>
            <w:tcW w:w="620" w:type="dxa"/>
            <w:vAlign w:val="bottom"/>
            <w:tcBorders>
              <w:bottom w:val="single" w:sz="8" w:color="E5F1F8"/>
            </w:tcBorders>
            <w:shd w:val="clear" w:color="auto" w:fill="E5F1F8"/>
          </w:tcPr>
          <w:p>
            <w:pPr>
              <w:spacing w:after="0"/>
              <w:rPr>
                <w:sz w:val="21"/>
                <w:szCs w:val="21"/>
                <w:color w:val="auto"/>
              </w:rPr>
            </w:pPr>
          </w:p>
        </w:tc>
        <w:tc>
          <w:tcPr>
            <w:tcW w:w="150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580" w:type="dxa"/>
            <w:vAlign w:val="bottom"/>
            <w:tcBorders>
              <w:bottom w:val="single" w:sz="8" w:color="E5F1F8"/>
            </w:tcBorders>
            <w:shd w:val="clear" w:color="auto" w:fill="E5F1F8"/>
          </w:tcPr>
          <w:p>
            <w:pPr>
              <w:spacing w:after="0"/>
              <w:rPr>
                <w:sz w:val="21"/>
                <w:szCs w:val="21"/>
                <w:color w:val="auto"/>
              </w:rPr>
            </w:pPr>
          </w:p>
        </w:tc>
        <w:tc>
          <w:tcPr>
            <w:tcW w:w="1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0.1</w:t>
            </w:r>
          </w:p>
        </w:tc>
      </w:tr>
      <w:tr>
        <w:trPr>
          <w:trHeight w:val="237"/>
        </w:trPr>
        <w:tc>
          <w:tcPr>
            <w:tcW w:w="708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color w:val="auto"/>
              </w:rPr>
              <w:t>Total debt</w:t>
            </w:r>
          </w:p>
        </w:tc>
        <w:tc>
          <w:tcPr>
            <w:tcW w:w="620" w:type="dxa"/>
            <w:vAlign w:val="bottom"/>
            <w:tcBorders>
              <w:top w:val="single" w:sz="8" w:color="auto"/>
            </w:tcBorders>
          </w:tcPr>
          <w:p>
            <w:pPr>
              <w:spacing w:after="0"/>
              <w:rPr>
                <w:sz w:val="20"/>
                <w:szCs w:val="20"/>
                <w:color w:val="auto"/>
              </w:rPr>
            </w:pPr>
          </w:p>
        </w:tc>
        <w:tc>
          <w:tcPr>
            <w:tcW w:w="1500" w:type="dxa"/>
            <w:vAlign w:val="bottom"/>
            <w:tcBorders>
              <w:top w:val="single" w:sz="8" w:color="auto"/>
              <w:right w:val="single" w:sz="8" w:color="007CBA"/>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5,040.0</w:t>
            </w:r>
          </w:p>
        </w:tc>
        <w:tc>
          <w:tcPr>
            <w:tcW w:w="5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5,100.9</w:t>
            </w:r>
          </w:p>
        </w:tc>
      </w:tr>
      <w:tr>
        <w:trPr>
          <w:trHeight w:val="248"/>
        </w:trPr>
        <w:tc>
          <w:tcPr>
            <w:tcW w:w="708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Less: current maturites</w:t>
            </w:r>
          </w:p>
        </w:tc>
        <w:tc>
          <w:tcPr>
            <w:tcW w:w="620" w:type="dxa"/>
            <w:vAlign w:val="bottom"/>
            <w:tcBorders>
              <w:bottom w:val="single" w:sz="8" w:color="E5F1F8"/>
            </w:tcBorders>
            <w:shd w:val="clear" w:color="auto" w:fill="E5F1F8"/>
          </w:tcPr>
          <w:p>
            <w:pPr>
              <w:spacing w:after="0"/>
              <w:rPr>
                <w:sz w:val="21"/>
                <w:szCs w:val="21"/>
                <w:color w:val="auto"/>
              </w:rPr>
            </w:pPr>
          </w:p>
        </w:tc>
        <w:tc>
          <w:tcPr>
            <w:tcW w:w="150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(699.1 )</w:t>
            </w:r>
          </w:p>
        </w:tc>
        <w:tc>
          <w:tcPr>
            <w:tcW w:w="580" w:type="dxa"/>
            <w:vAlign w:val="bottom"/>
            <w:tcBorders>
              <w:bottom w:val="single" w:sz="8" w:color="E5F1F8"/>
            </w:tcBorders>
            <w:shd w:val="clear" w:color="auto" w:fill="E5F1F8"/>
          </w:tcPr>
          <w:p>
            <w:pPr>
              <w:spacing w:after="0"/>
              <w:rPr>
                <w:sz w:val="21"/>
                <w:szCs w:val="21"/>
                <w:color w:val="auto"/>
              </w:rPr>
            </w:pPr>
          </w:p>
        </w:tc>
        <w:tc>
          <w:tcPr>
            <w:tcW w:w="14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(0.1 )</w:t>
            </w:r>
          </w:p>
        </w:tc>
      </w:tr>
      <w:tr>
        <w:trPr>
          <w:trHeight w:val="208"/>
        </w:trPr>
        <w:tc>
          <w:tcPr>
            <w:tcW w:w="708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Long-term debt</w:t>
            </w:r>
          </w:p>
        </w:tc>
        <w:tc>
          <w:tcPr>
            <w:tcW w:w="620" w:type="dxa"/>
            <w:vAlign w:val="bottom"/>
            <w:tcBorders>
              <w:top w:val="single" w:sz="8" w:color="auto"/>
            </w:tcBorders>
          </w:tcPr>
          <w:p>
            <w:pPr>
              <w:jc w:val="right"/>
              <w:ind w:right="210"/>
              <w:spacing w:after="0" w:line="208" w:lineRule="exact"/>
              <w:rPr>
                <w:sz w:val="20"/>
                <w:szCs w:val="20"/>
                <w:color w:val="auto"/>
              </w:rPr>
            </w:pPr>
            <w:r>
              <w:rPr>
                <w:rFonts w:ascii="Calibri" w:cs="Calibri" w:eastAsia="Calibri" w:hAnsi="Calibri"/>
                <w:sz w:val="18"/>
                <w:szCs w:val="18"/>
                <w:b w:val="1"/>
                <w:bCs w:val="1"/>
                <w:color w:val="auto"/>
              </w:rPr>
              <w:t>$</w:t>
            </w:r>
          </w:p>
        </w:tc>
        <w:tc>
          <w:tcPr>
            <w:tcW w:w="150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4,340.9</w:t>
            </w:r>
          </w:p>
        </w:tc>
        <w:tc>
          <w:tcPr>
            <w:tcW w:w="580" w:type="dxa"/>
            <w:vAlign w:val="bottom"/>
            <w:tcBorders>
              <w:top w:val="single" w:sz="8" w:color="auto"/>
            </w:tcBorders>
          </w:tcPr>
          <w:p>
            <w:pPr>
              <w:jc w:val="right"/>
              <w:ind w:right="190"/>
              <w:spacing w:after="0" w:line="208" w:lineRule="exact"/>
              <w:rPr>
                <w:sz w:val="20"/>
                <w:szCs w:val="20"/>
                <w:color w:val="auto"/>
              </w:rPr>
            </w:pPr>
            <w:r>
              <w:rPr>
                <w:rFonts w:ascii="Calibri" w:cs="Calibri" w:eastAsia="Calibri" w:hAnsi="Calibri"/>
                <w:sz w:val="18"/>
                <w:szCs w:val="18"/>
                <w:color w:val="auto"/>
              </w:rPr>
              <w:t>$</w:t>
            </w:r>
          </w:p>
        </w:tc>
        <w:tc>
          <w:tcPr>
            <w:tcW w:w="14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5,100.8</w:t>
            </w:r>
          </w:p>
        </w:tc>
      </w:tr>
      <w:tr>
        <w:trPr>
          <w:trHeight w:val="28"/>
        </w:trPr>
        <w:tc>
          <w:tcPr>
            <w:tcW w:w="7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7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-2211070</wp:posOffset>
            </wp:positionV>
            <wp:extent cx="713232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-672465</wp:posOffset>
            </wp:positionV>
            <wp:extent cx="7132320" cy="6858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spacing w:after="0" w:line="13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On September 29, 2022, the Company satsfed and discharged the 0.650% Senior Notes, which were issued in July 2021. In connecton with the satsfacton and discharge, the Company irrevocably deposited funds with Regions Bank, as trustee under the indenture governing the 0.650% Senior Notes, in an amount sufcient to satsfy all remaining principal and interest payments on the 0.650% Senior Notes. Holders of the 0.650% Senior Notes will receive payment of principal on the scheduled maturity date and payment of interest at the per annum rate (and on the dates) set forth in the 0.650% Senior Notes indenture. The Company utlized existng cash resources to fund the satsfacton and discharge. As a result of the satsfacton and discharge, the obligatons of the Company under the indenture with respect to the 0.650% Senior Notes have been terminated, except those provisions of the indenture that, by their terms, survive the satsfacton and discharge. Because the discharge did not represent a legal defeasance, the 0.650% Senior Notes remain on the Company's consolidated balance sheet at December 31, 2022 and will contnue to accrete to their par value over the period untl maturity in July 2023. Additonally, the related trust assets are included in </w:t>
      </w:r>
      <w:r>
        <w:rPr>
          <w:rFonts w:ascii="Calibri" w:cs="Calibri" w:eastAsia="Calibri" w:hAnsi="Calibri"/>
          <w:sz w:val="18"/>
          <w:szCs w:val="18"/>
          <w:i w:val="1"/>
          <w:iCs w:val="1"/>
          <w:color w:val="auto"/>
        </w:rPr>
        <w:t>Restricted investments (to satsfy discharged debt and related interest)</w:t>
      </w:r>
      <w:r>
        <w:rPr>
          <w:rFonts w:ascii="Calibri" w:cs="Calibri" w:eastAsia="Calibri" w:hAnsi="Calibri"/>
          <w:sz w:val="18"/>
          <w:szCs w:val="18"/>
          <w:color w:val="auto"/>
        </w:rPr>
        <w:t xml:space="preserve"> on the Company's consolidated balance sheet at December 31, 2022.</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July 2021, the Company issued the 0.650% Senior Notes, $900.0 million aggregate principal amount of 2.400% Senior Notes due 2031 (the 2.400% Senior Notes) and $900.0 million aggregate principal amount of 3.200% Senior Notes due 2051 (the 3.200% Senior Notes). The Company used the net proceeds to pay the consideraton for the acquisiton of the Lehigh West Region business and for general corporate purposes. See Note C for more informaton on the Lehigh West Region acquisiton.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4.250% Senior Notes due 2024, 7% Debentures due 2025, 3.450% Senior Notes due 2027, 3.500% Senior Notes due 2027, 2.500% Senior Notes due 2030, 2.400% Senior Notes due 2031, 6.25% Senior Notes due 2037, 4.250% Senior Notes due 2047 and 3.200% Senior Notes due 2051 (collectvely, the Senior Notes) are senior unsecured obligatons of the Company, ranking equal in right of payment with the Company’s existng and future unsubordinated indebtedness. The Senior Notes, with the excepton of the 7% Debentures due 2025 and the 6.25% Senior Notes due 2037, are redeemable prior to their respectve par call dates, as defned, at a make-whole redempton price, and at a price equal to 100% of the principal amount afer their respectve par call dates and prior to their respectve maturity dates. The 6.25% Senior Notes due 2037 are redeemable in whole at any tme or in part from tme to tme at a make-whole redempton price. Upon a change-of-control repurchase event and a resultng below-investment-grade credit ratng, the Company would be required to make an ofer to repurchase all outstanding Senior Notes, with the excepton of the 7% Debentures due 2025, at a price in cash equal to 101% of the principal amount of the Senior Notes, plus any accrued and unpaid interest.</w:t>
      </w:r>
    </w:p>
    <w:p>
      <w:pPr>
        <w:spacing w:after="0" w:line="111" w:lineRule="exact"/>
        <w:rPr>
          <w:sz w:val="20"/>
          <w:szCs w:val="20"/>
          <w:color w:val="auto"/>
        </w:rPr>
      </w:pPr>
    </w:p>
    <w:p>
      <w:pPr>
        <w:spacing w:after="0"/>
        <w:rPr>
          <w:sz w:val="20"/>
          <w:szCs w:val="20"/>
          <w:color w:val="auto"/>
        </w:rPr>
      </w:pPr>
      <w:r>
        <w:rPr>
          <w:rFonts w:ascii="Calibri" w:cs="Calibri" w:eastAsia="Calibri" w:hAnsi="Calibri"/>
          <w:sz w:val="18"/>
          <w:szCs w:val="18"/>
          <w:color w:val="auto"/>
        </w:rPr>
        <w:t>During the year ended December 31, 2022, the Company repurchased $67.7 million (par value) of it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6751320</wp:posOffset>
            </wp:positionH>
            <wp:positionV relativeFrom="paragraph">
              <wp:posOffset>92075</wp:posOffset>
            </wp:positionV>
            <wp:extent cx="325755" cy="1968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94" w:name="page95"/>
    <w:bookmarkEnd w:id="94"/>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Senior Notes, including the discharged 0.650% Senior Notes, are carried net of original issue discount, which is being amortzed by the efectve interest method over the life of the issue. The principal amount, efectve interest rate and maturity date for the Senior Notes, including the discharged 0.650% Senior Notes,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920" w:type="dxa"/>
            <w:vAlign w:val="bottom"/>
            <w:tcBorders>
              <w:right w:val="single" w:sz="8" w:color="007CBA"/>
            </w:tcBorders>
            <w:shd w:val="clear" w:color="auto" w:fill="007CBA"/>
          </w:tcPr>
          <w:p>
            <w:pPr>
              <w:spacing w:after="0"/>
              <w:rPr>
                <w:sz w:val="19"/>
                <w:szCs w:val="19"/>
                <w:color w:val="auto"/>
              </w:rPr>
            </w:pPr>
          </w:p>
        </w:tc>
        <w:tc>
          <w:tcPr>
            <w:tcW w:w="360" w:type="dxa"/>
            <w:vAlign w:val="bottom"/>
            <w:shd w:val="clear" w:color="auto" w:fill="007CBA"/>
          </w:tcPr>
          <w:p>
            <w:pPr>
              <w:spacing w:after="0"/>
              <w:rPr>
                <w:sz w:val="19"/>
                <w:szCs w:val="19"/>
                <w:color w:val="auto"/>
              </w:rPr>
            </w:pPr>
          </w:p>
        </w:tc>
        <w:tc>
          <w:tcPr>
            <w:tcW w:w="1220" w:type="dxa"/>
            <w:vAlign w:val="bottom"/>
            <w:tcBorders>
              <w:right w:val="single" w:sz="8" w:color="007CBA"/>
            </w:tcBorders>
            <w:shd w:val="clear" w:color="auto" w:fill="007CBA"/>
          </w:tcPr>
          <w:p>
            <w:pPr>
              <w:jc w:val="center"/>
              <w:ind w:right="210"/>
              <w:spacing w:after="0"/>
              <w:rPr>
                <w:sz w:val="20"/>
                <w:szCs w:val="20"/>
                <w:color w:val="auto"/>
              </w:rPr>
            </w:pPr>
            <w:r>
              <w:rPr>
                <w:rFonts w:ascii="Calibri" w:cs="Calibri" w:eastAsia="Calibri" w:hAnsi="Calibri"/>
                <w:sz w:val="18"/>
                <w:szCs w:val="18"/>
                <w:b w:val="1"/>
                <w:bCs w:val="1"/>
                <w:color w:val="FFFFFF"/>
                <w:w w:val="98"/>
              </w:rPr>
              <w:t>Principal</w:t>
            </w:r>
          </w:p>
        </w:tc>
        <w:tc>
          <w:tcPr>
            <w:tcW w:w="2380" w:type="dxa"/>
            <w:vAlign w:val="bottom"/>
            <w:tcBorders>
              <w:right w:val="single" w:sz="8" w:color="007CBA"/>
            </w:tcBorders>
            <w:shd w:val="clear" w:color="auto" w:fill="007CBA"/>
          </w:tcPr>
          <w:p>
            <w:pPr>
              <w:jc w:val="center"/>
              <w:ind w:left="70"/>
              <w:spacing w:after="0"/>
              <w:rPr>
                <w:sz w:val="20"/>
                <w:szCs w:val="20"/>
                <w:color w:val="auto"/>
              </w:rPr>
            </w:pPr>
            <w:r>
              <w:rPr>
                <w:rFonts w:ascii="Calibri" w:cs="Calibri" w:eastAsia="Calibri" w:hAnsi="Calibri"/>
                <w:sz w:val="18"/>
                <w:szCs w:val="18"/>
                <w:b w:val="1"/>
                <w:bCs w:val="1"/>
                <w:color w:val="FFFFFF"/>
              </w:rPr>
              <w:t>Efectve</w:t>
            </w:r>
          </w:p>
        </w:tc>
        <w:tc>
          <w:tcPr>
            <w:tcW w:w="2360" w:type="dxa"/>
            <w:vAlign w:val="bottom"/>
            <w:shd w:val="clear" w:color="auto" w:fill="007CBA"/>
          </w:tcPr>
          <w:p>
            <w:pPr>
              <w:spacing w:after="0"/>
              <w:rPr>
                <w:sz w:val="19"/>
                <w:szCs w:val="19"/>
                <w:color w:val="auto"/>
              </w:rPr>
            </w:pPr>
          </w:p>
        </w:tc>
      </w:tr>
      <w:tr>
        <w:trPr>
          <w:trHeight w:val="215"/>
        </w:trPr>
        <w:tc>
          <w:tcPr>
            <w:tcW w:w="4920" w:type="dxa"/>
            <w:vAlign w:val="bottom"/>
            <w:tcBorders>
              <w:right w:val="single" w:sz="8" w:color="007CBA"/>
            </w:tcBorders>
            <w:shd w:val="clear" w:color="auto" w:fill="007CBA"/>
          </w:tcPr>
          <w:p>
            <w:pPr>
              <w:spacing w:after="0"/>
              <w:rPr>
                <w:sz w:val="18"/>
                <w:szCs w:val="18"/>
                <w:color w:val="auto"/>
              </w:rPr>
            </w:pPr>
          </w:p>
        </w:tc>
        <w:tc>
          <w:tcPr>
            <w:tcW w:w="360" w:type="dxa"/>
            <w:vAlign w:val="bottom"/>
            <w:shd w:val="clear" w:color="auto" w:fill="007CBA"/>
          </w:tcPr>
          <w:p>
            <w:pPr>
              <w:spacing w:after="0"/>
              <w:rPr>
                <w:sz w:val="18"/>
                <w:szCs w:val="18"/>
                <w:color w:val="auto"/>
              </w:rPr>
            </w:pPr>
          </w:p>
        </w:tc>
        <w:tc>
          <w:tcPr>
            <w:tcW w:w="1220" w:type="dxa"/>
            <w:vAlign w:val="bottom"/>
            <w:tcBorders>
              <w:right w:val="single" w:sz="8" w:color="007CBA"/>
            </w:tcBorders>
            <w:shd w:val="clear" w:color="auto" w:fill="007CBA"/>
          </w:tcPr>
          <w:p>
            <w:pPr>
              <w:jc w:val="center"/>
              <w:ind w:right="190"/>
              <w:spacing w:after="0" w:line="215" w:lineRule="exact"/>
              <w:rPr>
                <w:sz w:val="20"/>
                <w:szCs w:val="20"/>
                <w:color w:val="auto"/>
              </w:rPr>
            </w:pPr>
            <w:r>
              <w:rPr>
                <w:rFonts w:ascii="Calibri" w:cs="Calibri" w:eastAsia="Calibri" w:hAnsi="Calibri"/>
                <w:sz w:val="18"/>
                <w:szCs w:val="18"/>
                <w:b w:val="1"/>
                <w:bCs w:val="1"/>
                <w:color w:val="FFFFFF"/>
                <w:w w:val="95"/>
              </w:rPr>
              <w:t>Amount</w:t>
            </w:r>
          </w:p>
        </w:tc>
        <w:tc>
          <w:tcPr>
            <w:tcW w:w="2380" w:type="dxa"/>
            <w:vAlign w:val="bottom"/>
            <w:tcBorders>
              <w:right w:val="single" w:sz="8" w:color="007CBA"/>
            </w:tcBorders>
            <w:shd w:val="clear" w:color="auto" w:fill="007CBA"/>
          </w:tcPr>
          <w:p>
            <w:pPr>
              <w:jc w:val="center"/>
              <w:ind w:left="50"/>
              <w:spacing w:after="0" w:line="215" w:lineRule="exact"/>
              <w:rPr>
                <w:sz w:val="20"/>
                <w:szCs w:val="20"/>
                <w:color w:val="auto"/>
              </w:rPr>
            </w:pPr>
            <w:r>
              <w:rPr>
                <w:rFonts w:ascii="Calibri" w:cs="Calibri" w:eastAsia="Calibri" w:hAnsi="Calibri"/>
                <w:sz w:val="18"/>
                <w:szCs w:val="18"/>
                <w:b w:val="1"/>
                <w:bCs w:val="1"/>
                <w:color w:val="FFFFFF"/>
                <w:w w:val="95"/>
              </w:rPr>
              <w:t>Interest</w:t>
            </w:r>
          </w:p>
        </w:tc>
        <w:tc>
          <w:tcPr>
            <w:tcW w:w="2360" w:type="dxa"/>
            <w:vAlign w:val="bottom"/>
            <w:shd w:val="clear" w:color="auto" w:fill="007CBA"/>
          </w:tcPr>
          <w:p>
            <w:pPr>
              <w:spacing w:after="0"/>
              <w:rPr>
                <w:sz w:val="18"/>
                <w:szCs w:val="18"/>
                <w:color w:val="auto"/>
              </w:rPr>
            </w:pPr>
          </w:p>
        </w:tc>
      </w:tr>
      <w:tr>
        <w:trPr>
          <w:trHeight w:val="233"/>
        </w:trPr>
        <w:tc>
          <w:tcPr>
            <w:tcW w:w="4920" w:type="dxa"/>
            <w:vAlign w:val="bottom"/>
            <w:tcBorders>
              <w:bottom w:val="single" w:sz="8" w:color="007CBA"/>
              <w:right w:val="single" w:sz="8" w:color="007CBA"/>
            </w:tcBorders>
            <w:shd w:val="clear" w:color="auto" w:fill="007CBA"/>
          </w:tcPr>
          <w:p>
            <w:pPr>
              <w:spacing w:after="0"/>
              <w:rPr>
                <w:sz w:val="20"/>
                <w:szCs w:val="20"/>
                <w:color w:val="auto"/>
              </w:rPr>
            </w:pPr>
          </w:p>
        </w:tc>
        <w:tc>
          <w:tcPr>
            <w:tcW w:w="360" w:type="dxa"/>
            <w:vAlign w:val="bottom"/>
            <w:tcBorders>
              <w:bottom w:val="single" w:sz="8" w:color="007CBA"/>
            </w:tcBorders>
            <w:shd w:val="clear" w:color="auto" w:fill="007CBA"/>
          </w:tcPr>
          <w:p>
            <w:pPr>
              <w:spacing w:after="0"/>
              <w:rPr>
                <w:sz w:val="20"/>
                <w:szCs w:val="20"/>
                <w:color w:val="auto"/>
              </w:rPr>
            </w:pPr>
          </w:p>
        </w:tc>
        <w:tc>
          <w:tcPr>
            <w:tcW w:w="1220" w:type="dxa"/>
            <w:vAlign w:val="bottom"/>
            <w:tcBorders>
              <w:bottom w:val="single" w:sz="8" w:color="007CBA"/>
              <w:right w:val="single" w:sz="8" w:color="007CBA"/>
            </w:tcBorders>
            <w:shd w:val="clear" w:color="auto" w:fill="007CBA"/>
          </w:tcPr>
          <w:p>
            <w:pPr>
              <w:jc w:val="center"/>
              <w:ind w:right="210"/>
              <w:spacing w:after="0" w:line="216" w:lineRule="exact"/>
              <w:rPr>
                <w:sz w:val="20"/>
                <w:szCs w:val="20"/>
                <w:color w:val="auto"/>
              </w:rPr>
            </w:pPr>
            <w:r>
              <w:rPr>
                <w:rFonts w:ascii="Calibri" w:cs="Calibri" w:eastAsia="Calibri" w:hAnsi="Calibri"/>
                <w:sz w:val="18"/>
                <w:szCs w:val="18"/>
                <w:color w:val="FFFFFF"/>
                <w:w w:val="98"/>
              </w:rPr>
              <w:t>(in millions)</w:t>
            </w:r>
          </w:p>
        </w:tc>
        <w:tc>
          <w:tcPr>
            <w:tcW w:w="2380" w:type="dxa"/>
            <w:vAlign w:val="bottom"/>
            <w:tcBorders>
              <w:bottom w:val="single" w:sz="8" w:color="007CBA"/>
              <w:right w:val="single" w:sz="8" w:color="007CBA"/>
            </w:tcBorders>
            <w:shd w:val="clear" w:color="auto" w:fill="007CBA"/>
          </w:tcPr>
          <w:p>
            <w:pPr>
              <w:jc w:val="center"/>
              <w:ind w:left="70"/>
              <w:spacing w:after="0" w:line="216" w:lineRule="exact"/>
              <w:rPr>
                <w:sz w:val="20"/>
                <w:szCs w:val="20"/>
                <w:color w:val="auto"/>
              </w:rPr>
            </w:pPr>
            <w:r>
              <w:rPr>
                <w:rFonts w:ascii="Calibri" w:cs="Calibri" w:eastAsia="Calibri" w:hAnsi="Calibri"/>
                <w:sz w:val="18"/>
                <w:szCs w:val="18"/>
                <w:b w:val="1"/>
                <w:bCs w:val="1"/>
                <w:color w:val="FFFFFF"/>
                <w:w w:val="98"/>
              </w:rPr>
              <w:t>Rate</w:t>
            </w:r>
          </w:p>
        </w:tc>
        <w:tc>
          <w:tcPr>
            <w:tcW w:w="2360" w:type="dxa"/>
            <w:vAlign w:val="bottom"/>
            <w:tcBorders>
              <w:bottom w:val="single" w:sz="8" w:color="007CBA"/>
            </w:tcBorders>
            <w:shd w:val="clear" w:color="auto" w:fill="007CBA"/>
          </w:tcPr>
          <w:p>
            <w:pPr>
              <w:jc w:val="center"/>
              <w:ind w:left="70"/>
              <w:spacing w:after="0" w:line="216" w:lineRule="exact"/>
              <w:rPr>
                <w:sz w:val="20"/>
                <w:szCs w:val="20"/>
                <w:color w:val="auto"/>
              </w:rPr>
            </w:pPr>
            <w:r>
              <w:rPr>
                <w:rFonts w:ascii="Calibri" w:cs="Calibri" w:eastAsia="Calibri" w:hAnsi="Calibri"/>
                <w:sz w:val="18"/>
                <w:szCs w:val="18"/>
                <w:b w:val="1"/>
                <w:bCs w:val="1"/>
                <w:color w:val="FFFFFF"/>
                <w:w w:val="98"/>
              </w:rPr>
              <w:t>Maturity Date</w:t>
            </w:r>
          </w:p>
        </w:tc>
      </w:tr>
      <w:tr>
        <w:trPr>
          <w:trHeight w:val="223"/>
        </w:trPr>
        <w:tc>
          <w:tcPr>
            <w:tcW w:w="492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0.650% Senior Notes (discharged)</w:t>
            </w:r>
          </w:p>
        </w:tc>
        <w:tc>
          <w:tcPr>
            <w:tcW w:w="3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700.0</w:t>
            </w:r>
          </w:p>
        </w:tc>
        <w:tc>
          <w:tcPr>
            <w:tcW w:w="2380" w:type="dxa"/>
            <w:vAlign w:val="bottom"/>
            <w:tcBorders>
              <w:bottom w:val="single" w:sz="8" w:color="E5F1F8"/>
              <w:right w:val="single" w:sz="8" w:color="007CBA"/>
            </w:tcBorders>
            <w:shd w:val="clear" w:color="auto" w:fill="E5F1F8"/>
          </w:tcPr>
          <w:p>
            <w:pPr>
              <w:jc w:val="center"/>
              <w:ind w:left="50"/>
              <w:spacing w:after="0" w:line="215" w:lineRule="exact"/>
              <w:rPr>
                <w:sz w:val="20"/>
                <w:szCs w:val="20"/>
                <w:color w:val="auto"/>
              </w:rPr>
            </w:pPr>
            <w:r>
              <w:rPr>
                <w:rFonts w:ascii="Calibri" w:cs="Calibri" w:eastAsia="Calibri" w:hAnsi="Calibri"/>
                <w:sz w:val="18"/>
                <w:szCs w:val="18"/>
                <w:color w:val="auto"/>
                <w:w w:val="98"/>
              </w:rPr>
              <w:t>0.78%</w:t>
            </w:r>
          </w:p>
        </w:tc>
        <w:tc>
          <w:tcPr>
            <w:tcW w:w="2360" w:type="dxa"/>
            <w:vAlign w:val="bottom"/>
            <w:tcBorders>
              <w:bottom w:val="single" w:sz="8" w:color="E5F1F8"/>
            </w:tcBorders>
            <w:shd w:val="clear" w:color="auto" w:fill="E5F1F8"/>
          </w:tcPr>
          <w:p>
            <w:pPr>
              <w:jc w:val="center"/>
              <w:ind w:left="70"/>
              <w:spacing w:after="0" w:line="215" w:lineRule="exact"/>
              <w:rPr>
                <w:sz w:val="20"/>
                <w:szCs w:val="20"/>
                <w:color w:val="auto"/>
              </w:rPr>
            </w:pPr>
            <w:r>
              <w:rPr>
                <w:rFonts w:ascii="Calibri" w:cs="Calibri" w:eastAsia="Calibri" w:hAnsi="Calibri"/>
                <w:sz w:val="18"/>
                <w:szCs w:val="18"/>
                <w:color w:val="auto"/>
                <w:w w:val="96"/>
              </w:rPr>
              <w:t>July 15, 2023</w:t>
            </w:r>
          </w:p>
        </w:tc>
      </w:tr>
      <w:tr>
        <w:trPr>
          <w:trHeight w:val="215"/>
        </w:trPr>
        <w:tc>
          <w:tcPr>
            <w:tcW w:w="492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4.250% Senior Notes</w:t>
            </w: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400.0</w:t>
            </w:r>
          </w:p>
        </w:tc>
        <w:tc>
          <w:tcPr>
            <w:tcW w:w="2380" w:type="dxa"/>
            <w:vAlign w:val="bottom"/>
            <w:tcBorders>
              <w:right w:val="single" w:sz="8" w:color="007CBA"/>
            </w:tcBorders>
          </w:tcPr>
          <w:p>
            <w:pPr>
              <w:jc w:val="center"/>
              <w:ind w:left="50"/>
              <w:spacing w:after="0" w:line="215" w:lineRule="exact"/>
              <w:rPr>
                <w:sz w:val="20"/>
                <w:szCs w:val="20"/>
                <w:color w:val="auto"/>
              </w:rPr>
            </w:pPr>
            <w:r>
              <w:rPr>
                <w:rFonts w:ascii="Calibri" w:cs="Calibri" w:eastAsia="Calibri" w:hAnsi="Calibri"/>
                <w:sz w:val="18"/>
                <w:szCs w:val="18"/>
                <w:color w:val="auto"/>
                <w:w w:val="98"/>
              </w:rPr>
              <w:t>4.40%</w:t>
            </w:r>
          </w:p>
        </w:tc>
        <w:tc>
          <w:tcPr>
            <w:tcW w:w="2360" w:type="dxa"/>
            <w:vAlign w:val="bottom"/>
          </w:tcPr>
          <w:p>
            <w:pPr>
              <w:jc w:val="center"/>
              <w:ind w:left="70"/>
              <w:spacing w:after="0" w:line="215" w:lineRule="exact"/>
              <w:rPr>
                <w:sz w:val="20"/>
                <w:szCs w:val="20"/>
                <w:color w:val="auto"/>
              </w:rPr>
            </w:pPr>
            <w:r>
              <w:rPr>
                <w:rFonts w:ascii="Calibri" w:cs="Calibri" w:eastAsia="Calibri" w:hAnsi="Calibri"/>
                <w:sz w:val="18"/>
                <w:szCs w:val="18"/>
                <w:color w:val="auto"/>
                <w:w w:val="97"/>
              </w:rPr>
              <w:t>July 2, 2024</w:t>
            </w:r>
          </w:p>
        </w:tc>
      </w:tr>
      <w:tr>
        <w:trPr>
          <w:trHeight w:val="28"/>
        </w:trPr>
        <w:tc>
          <w:tcPr>
            <w:tcW w:w="4920" w:type="dxa"/>
            <w:vAlign w:val="bottom"/>
            <w:tcBorders>
              <w:right w:val="single" w:sz="8" w:color="007CBA"/>
            </w:tcBorders>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Borders>
              <w:right w:val="single" w:sz="8" w:color="007CBA"/>
            </w:tcBorders>
          </w:tcPr>
          <w:p>
            <w:pPr>
              <w:spacing w:after="0"/>
              <w:rPr>
                <w:sz w:val="2"/>
                <w:szCs w:val="2"/>
                <w:color w:val="auto"/>
              </w:rPr>
            </w:pPr>
          </w:p>
        </w:tc>
        <w:tc>
          <w:tcPr>
            <w:tcW w:w="2380" w:type="dxa"/>
            <w:vAlign w:val="bottom"/>
            <w:tcBorders>
              <w:right w:val="single" w:sz="8" w:color="007CBA"/>
            </w:tcBorders>
          </w:tcPr>
          <w:p>
            <w:pPr>
              <w:spacing w:after="0"/>
              <w:rPr>
                <w:sz w:val="2"/>
                <w:szCs w:val="2"/>
                <w:color w:val="auto"/>
              </w:rPr>
            </w:pPr>
          </w:p>
        </w:tc>
        <w:tc>
          <w:tcPr>
            <w:tcW w:w="2360" w:type="dxa"/>
            <w:vAlign w:val="bottom"/>
          </w:tcPr>
          <w:p>
            <w:pPr>
              <w:spacing w:after="0"/>
              <w:rPr>
                <w:sz w:val="2"/>
                <w:szCs w:val="2"/>
                <w:color w:val="auto"/>
              </w:rPr>
            </w:pPr>
          </w:p>
        </w:tc>
      </w:tr>
      <w:tr>
        <w:trPr>
          <w:trHeight w:val="223"/>
        </w:trPr>
        <w:tc>
          <w:tcPr>
            <w:tcW w:w="492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7% Debentures</w:t>
            </w:r>
          </w:p>
        </w:tc>
        <w:tc>
          <w:tcPr>
            <w:tcW w:w="3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125.0</w:t>
            </w:r>
          </w:p>
        </w:tc>
        <w:tc>
          <w:tcPr>
            <w:tcW w:w="2380" w:type="dxa"/>
            <w:vAlign w:val="bottom"/>
            <w:tcBorders>
              <w:bottom w:val="single" w:sz="8" w:color="E5F1F8"/>
              <w:right w:val="single" w:sz="8" w:color="007CBA"/>
            </w:tcBorders>
            <w:shd w:val="clear" w:color="auto" w:fill="E5F1F8"/>
          </w:tcPr>
          <w:p>
            <w:pPr>
              <w:jc w:val="center"/>
              <w:ind w:left="50"/>
              <w:spacing w:after="0" w:line="215" w:lineRule="exact"/>
              <w:rPr>
                <w:sz w:val="20"/>
                <w:szCs w:val="20"/>
                <w:color w:val="auto"/>
              </w:rPr>
            </w:pPr>
            <w:r>
              <w:rPr>
                <w:rFonts w:ascii="Calibri" w:cs="Calibri" w:eastAsia="Calibri" w:hAnsi="Calibri"/>
                <w:sz w:val="18"/>
                <w:szCs w:val="18"/>
                <w:color w:val="auto"/>
                <w:w w:val="98"/>
              </w:rPr>
              <w:t>7.05%</w:t>
            </w:r>
          </w:p>
        </w:tc>
        <w:tc>
          <w:tcPr>
            <w:tcW w:w="2360" w:type="dxa"/>
            <w:vAlign w:val="bottom"/>
            <w:tcBorders>
              <w:bottom w:val="single" w:sz="8" w:color="E5F1F8"/>
            </w:tcBorders>
            <w:shd w:val="clear" w:color="auto" w:fill="E5F1F8"/>
          </w:tcPr>
          <w:p>
            <w:pPr>
              <w:jc w:val="center"/>
              <w:ind w:left="70"/>
              <w:spacing w:after="0" w:line="215" w:lineRule="exact"/>
              <w:rPr>
                <w:sz w:val="20"/>
                <w:szCs w:val="20"/>
                <w:color w:val="auto"/>
              </w:rPr>
            </w:pPr>
            <w:r>
              <w:rPr>
                <w:rFonts w:ascii="Calibri" w:cs="Calibri" w:eastAsia="Calibri" w:hAnsi="Calibri"/>
                <w:sz w:val="18"/>
                <w:szCs w:val="18"/>
                <w:color w:val="auto"/>
                <w:w w:val="98"/>
              </w:rPr>
              <w:t>December 1, 2025</w:t>
            </w:r>
          </w:p>
        </w:tc>
      </w:tr>
      <w:tr>
        <w:trPr>
          <w:trHeight w:val="215"/>
        </w:trPr>
        <w:tc>
          <w:tcPr>
            <w:tcW w:w="492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3.450% Senior Notes</w:t>
            </w: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300.0</w:t>
            </w:r>
          </w:p>
        </w:tc>
        <w:tc>
          <w:tcPr>
            <w:tcW w:w="2380" w:type="dxa"/>
            <w:vAlign w:val="bottom"/>
            <w:tcBorders>
              <w:right w:val="single" w:sz="8" w:color="007CBA"/>
            </w:tcBorders>
          </w:tcPr>
          <w:p>
            <w:pPr>
              <w:jc w:val="center"/>
              <w:ind w:left="50"/>
              <w:spacing w:after="0" w:line="215" w:lineRule="exact"/>
              <w:rPr>
                <w:sz w:val="20"/>
                <w:szCs w:val="20"/>
                <w:color w:val="auto"/>
              </w:rPr>
            </w:pPr>
            <w:r>
              <w:rPr>
                <w:rFonts w:ascii="Calibri" w:cs="Calibri" w:eastAsia="Calibri" w:hAnsi="Calibri"/>
                <w:sz w:val="18"/>
                <w:szCs w:val="18"/>
                <w:color w:val="auto"/>
                <w:w w:val="98"/>
              </w:rPr>
              <w:t>3.55%</w:t>
            </w:r>
          </w:p>
        </w:tc>
        <w:tc>
          <w:tcPr>
            <w:tcW w:w="2360" w:type="dxa"/>
            <w:vAlign w:val="bottom"/>
          </w:tcPr>
          <w:p>
            <w:pPr>
              <w:jc w:val="center"/>
              <w:ind w:left="70"/>
              <w:spacing w:after="0" w:line="215" w:lineRule="exact"/>
              <w:rPr>
                <w:sz w:val="20"/>
                <w:szCs w:val="20"/>
                <w:color w:val="auto"/>
              </w:rPr>
            </w:pPr>
            <w:r>
              <w:rPr>
                <w:rFonts w:ascii="Calibri" w:cs="Calibri" w:eastAsia="Calibri" w:hAnsi="Calibri"/>
                <w:sz w:val="18"/>
                <w:szCs w:val="18"/>
                <w:color w:val="auto"/>
                <w:w w:val="95"/>
              </w:rPr>
              <w:t>June 1, 2027</w:t>
            </w:r>
          </w:p>
        </w:tc>
      </w:tr>
      <w:tr>
        <w:trPr>
          <w:trHeight w:val="28"/>
        </w:trPr>
        <w:tc>
          <w:tcPr>
            <w:tcW w:w="4920" w:type="dxa"/>
            <w:vAlign w:val="bottom"/>
            <w:tcBorders>
              <w:right w:val="single" w:sz="8" w:color="007CBA"/>
            </w:tcBorders>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Borders>
              <w:right w:val="single" w:sz="8" w:color="007CBA"/>
            </w:tcBorders>
          </w:tcPr>
          <w:p>
            <w:pPr>
              <w:spacing w:after="0"/>
              <w:rPr>
                <w:sz w:val="2"/>
                <w:szCs w:val="2"/>
                <w:color w:val="auto"/>
              </w:rPr>
            </w:pPr>
          </w:p>
        </w:tc>
        <w:tc>
          <w:tcPr>
            <w:tcW w:w="2380" w:type="dxa"/>
            <w:vAlign w:val="bottom"/>
            <w:tcBorders>
              <w:right w:val="single" w:sz="8" w:color="007CBA"/>
            </w:tcBorders>
          </w:tcPr>
          <w:p>
            <w:pPr>
              <w:spacing w:after="0"/>
              <w:rPr>
                <w:sz w:val="2"/>
                <w:szCs w:val="2"/>
                <w:color w:val="auto"/>
              </w:rPr>
            </w:pPr>
          </w:p>
        </w:tc>
        <w:tc>
          <w:tcPr>
            <w:tcW w:w="2360" w:type="dxa"/>
            <w:vAlign w:val="bottom"/>
          </w:tcPr>
          <w:p>
            <w:pPr>
              <w:spacing w:after="0"/>
              <w:rPr>
                <w:sz w:val="2"/>
                <w:szCs w:val="2"/>
                <w:color w:val="auto"/>
              </w:rPr>
            </w:pPr>
          </w:p>
        </w:tc>
      </w:tr>
      <w:tr>
        <w:trPr>
          <w:trHeight w:val="223"/>
        </w:trPr>
        <w:tc>
          <w:tcPr>
            <w:tcW w:w="492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3.500% Senior Notes</w:t>
            </w:r>
          </w:p>
        </w:tc>
        <w:tc>
          <w:tcPr>
            <w:tcW w:w="3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494.6</w:t>
            </w:r>
          </w:p>
        </w:tc>
        <w:tc>
          <w:tcPr>
            <w:tcW w:w="2380" w:type="dxa"/>
            <w:vAlign w:val="bottom"/>
            <w:tcBorders>
              <w:bottom w:val="single" w:sz="8" w:color="E5F1F8"/>
              <w:right w:val="single" w:sz="8" w:color="007CBA"/>
            </w:tcBorders>
            <w:shd w:val="clear" w:color="auto" w:fill="E5F1F8"/>
          </w:tcPr>
          <w:p>
            <w:pPr>
              <w:jc w:val="center"/>
              <w:ind w:left="50"/>
              <w:spacing w:after="0" w:line="215" w:lineRule="exact"/>
              <w:rPr>
                <w:sz w:val="20"/>
                <w:szCs w:val="20"/>
                <w:color w:val="auto"/>
              </w:rPr>
            </w:pPr>
            <w:r>
              <w:rPr>
                <w:rFonts w:ascii="Calibri" w:cs="Calibri" w:eastAsia="Calibri" w:hAnsi="Calibri"/>
                <w:sz w:val="18"/>
                <w:szCs w:val="18"/>
                <w:color w:val="auto"/>
                <w:w w:val="98"/>
              </w:rPr>
              <w:t>3.61%</w:t>
            </w:r>
          </w:p>
        </w:tc>
        <w:tc>
          <w:tcPr>
            <w:tcW w:w="2360" w:type="dxa"/>
            <w:vAlign w:val="bottom"/>
            <w:tcBorders>
              <w:bottom w:val="single" w:sz="8" w:color="E5F1F8"/>
            </w:tcBorders>
            <w:shd w:val="clear" w:color="auto" w:fill="E5F1F8"/>
          </w:tcPr>
          <w:p>
            <w:pPr>
              <w:jc w:val="center"/>
              <w:ind w:left="70"/>
              <w:spacing w:after="0" w:line="215" w:lineRule="exact"/>
              <w:rPr>
                <w:sz w:val="20"/>
                <w:szCs w:val="20"/>
                <w:color w:val="auto"/>
              </w:rPr>
            </w:pPr>
            <w:r>
              <w:rPr>
                <w:rFonts w:ascii="Calibri" w:cs="Calibri" w:eastAsia="Calibri" w:hAnsi="Calibri"/>
                <w:sz w:val="18"/>
                <w:szCs w:val="18"/>
                <w:color w:val="auto"/>
                <w:w w:val="97"/>
              </w:rPr>
              <w:t>December 15, 2027</w:t>
            </w:r>
          </w:p>
        </w:tc>
      </w:tr>
      <w:tr>
        <w:trPr>
          <w:trHeight w:val="215"/>
        </w:trPr>
        <w:tc>
          <w:tcPr>
            <w:tcW w:w="492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2.500% Senior Notes</w:t>
            </w: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478.0</w:t>
            </w:r>
          </w:p>
        </w:tc>
        <w:tc>
          <w:tcPr>
            <w:tcW w:w="2380" w:type="dxa"/>
            <w:vAlign w:val="bottom"/>
            <w:tcBorders>
              <w:right w:val="single" w:sz="8" w:color="007CBA"/>
            </w:tcBorders>
          </w:tcPr>
          <w:p>
            <w:pPr>
              <w:jc w:val="center"/>
              <w:ind w:left="50"/>
              <w:spacing w:after="0" w:line="215" w:lineRule="exact"/>
              <w:rPr>
                <w:sz w:val="20"/>
                <w:szCs w:val="20"/>
                <w:color w:val="auto"/>
              </w:rPr>
            </w:pPr>
            <w:r>
              <w:rPr>
                <w:rFonts w:ascii="Calibri" w:cs="Calibri" w:eastAsia="Calibri" w:hAnsi="Calibri"/>
                <w:sz w:val="18"/>
                <w:szCs w:val="18"/>
                <w:color w:val="auto"/>
                <w:w w:val="98"/>
              </w:rPr>
              <w:t>2.70%</w:t>
            </w:r>
          </w:p>
        </w:tc>
        <w:tc>
          <w:tcPr>
            <w:tcW w:w="2360" w:type="dxa"/>
            <w:vAlign w:val="bottom"/>
          </w:tcPr>
          <w:p>
            <w:pPr>
              <w:jc w:val="center"/>
              <w:ind w:left="70"/>
              <w:spacing w:after="0" w:line="215" w:lineRule="exact"/>
              <w:rPr>
                <w:sz w:val="20"/>
                <w:szCs w:val="20"/>
                <w:color w:val="auto"/>
              </w:rPr>
            </w:pPr>
            <w:r>
              <w:rPr>
                <w:rFonts w:ascii="Calibri" w:cs="Calibri" w:eastAsia="Calibri" w:hAnsi="Calibri"/>
                <w:sz w:val="18"/>
                <w:szCs w:val="18"/>
                <w:color w:val="auto"/>
                <w:w w:val="97"/>
              </w:rPr>
              <w:t>March 15, 2030</w:t>
            </w:r>
          </w:p>
        </w:tc>
      </w:tr>
      <w:tr>
        <w:trPr>
          <w:trHeight w:val="28"/>
        </w:trPr>
        <w:tc>
          <w:tcPr>
            <w:tcW w:w="4920" w:type="dxa"/>
            <w:vAlign w:val="bottom"/>
            <w:tcBorders>
              <w:right w:val="single" w:sz="8" w:color="007CBA"/>
            </w:tcBorders>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Borders>
              <w:right w:val="single" w:sz="8" w:color="007CBA"/>
            </w:tcBorders>
          </w:tcPr>
          <w:p>
            <w:pPr>
              <w:spacing w:after="0"/>
              <w:rPr>
                <w:sz w:val="2"/>
                <w:szCs w:val="2"/>
                <w:color w:val="auto"/>
              </w:rPr>
            </w:pPr>
          </w:p>
        </w:tc>
        <w:tc>
          <w:tcPr>
            <w:tcW w:w="2380" w:type="dxa"/>
            <w:vAlign w:val="bottom"/>
            <w:tcBorders>
              <w:right w:val="single" w:sz="8" w:color="007CBA"/>
            </w:tcBorders>
          </w:tcPr>
          <w:p>
            <w:pPr>
              <w:spacing w:after="0"/>
              <w:rPr>
                <w:sz w:val="2"/>
                <w:szCs w:val="2"/>
                <w:color w:val="auto"/>
              </w:rPr>
            </w:pPr>
          </w:p>
        </w:tc>
        <w:tc>
          <w:tcPr>
            <w:tcW w:w="2360" w:type="dxa"/>
            <w:vAlign w:val="bottom"/>
          </w:tcPr>
          <w:p>
            <w:pPr>
              <w:spacing w:after="0"/>
              <w:rPr>
                <w:sz w:val="2"/>
                <w:szCs w:val="2"/>
                <w:color w:val="auto"/>
              </w:rPr>
            </w:pPr>
          </w:p>
        </w:tc>
      </w:tr>
      <w:tr>
        <w:trPr>
          <w:trHeight w:val="223"/>
        </w:trPr>
        <w:tc>
          <w:tcPr>
            <w:tcW w:w="492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2.400% Senior Notes</w:t>
            </w:r>
          </w:p>
        </w:tc>
        <w:tc>
          <w:tcPr>
            <w:tcW w:w="3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895.9</w:t>
            </w:r>
          </w:p>
        </w:tc>
        <w:tc>
          <w:tcPr>
            <w:tcW w:w="2380" w:type="dxa"/>
            <w:vAlign w:val="bottom"/>
            <w:tcBorders>
              <w:bottom w:val="single" w:sz="8" w:color="E5F1F8"/>
              <w:right w:val="single" w:sz="8" w:color="007CBA"/>
            </w:tcBorders>
            <w:shd w:val="clear" w:color="auto" w:fill="E5F1F8"/>
          </w:tcPr>
          <w:p>
            <w:pPr>
              <w:jc w:val="center"/>
              <w:ind w:left="50"/>
              <w:spacing w:after="0" w:line="215" w:lineRule="exact"/>
              <w:rPr>
                <w:sz w:val="20"/>
                <w:szCs w:val="20"/>
                <w:color w:val="auto"/>
              </w:rPr>
            </w:pPr>
            <w:r>
              <w:rPr>
                <w:rFonts w:ascii="Calibri" w:cs="Calibri" w:eastAsia="Calibri" w:hAnsi="Calibri"/>
                <w:sz w:val="18"/>
                <w:szCs w:val="18"/>
                <w:color w:val="auto"/>
                <w:w w:val="98"/>
              </w:rPr>
              <w:t>2.48%</w:t>
            </w:r>
          </w:p>
        </w:tc>
        <w:tc>
          <w:tcPr>
            <w:tcW w:w="2360" w:type="dxa"/>
            <w:vAlign w:val="bottom"/>
            <w:tcBorders>
              <w:bottom w:val="single" w:sz="8" w:color="E5F1F8"/>
            </w:tcBorders>
            <w:shd w:val="clear" w:color="auto" w:fill="E5F1F8"/>
          </w:tcPr>
          <w:p>
            <w:pPr>
              <w:jc w:val="center"/>
              <w:ind w:left="70"/>
              <w:spacing w:after="0" w:line="215" w:lineRule="exact"/>
              <w:rPr>
                <w:sz w:val="20"/>
                <w:szCs w:val="20"/>
                <w:color w:val="auto"/>
              </w:rPr>
            </w:pPr>
            <w:r>
              <w:rPr>
                <w:rFonts w:ascii="Calibri" w:cs="Calibri" w:eastAsia="Calibri" w:hAnsi="Calibri"/>
                <w:sz w:val="18"/>
                <w:szCs w:val="18"/>
                <w:color w:val="auto"/>
                <w:w w:val="96"/>
              </w:rPr>
              <w:t>July 15, 2031</w:t>
            </w:r>
          </w:p>
        </w:tc>
      </w:tr>
      <w:tr>
        <w:trPr>
          <w:trHeight w:val="215"/>
        </w:trPr>
        <w:tc>
          <w:tcPr>
            <w:tcW w:w="492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6.25% Senior Notes</w:t>
            </w: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230.0</w:t>
            </w:r>
          </w:p>
        </w:tc>
        <w:tc>
          <w:tcPr>
            <w:tcW w:w="2380" w:type="dxa"/>
            <w:vAlign w:val="bottom"/>
            <w:tcBorders>
              <w:right w:val="single" w:sz="8" w:color="007CBA"/>
            </w:tcBorders>
          </w:tcPr>
          <w:p>
            <w:pPr>
              <w:jc w:val="center"/>
              <w:ind w:left="50"/>
              <w:spacing w:after="0" w:line="215" w:lineRule="exact"/>
              <w:rPr>
                <w:sz w:val="20"/>
                <w:szCs w:val="20"/>
                <w:color w:val="auto"/>
              </w:rPr>
            </w:pPr>
            <w:r>
              <w:rPr>
                <w:rFonts w:ascii="Calibri" w:cs="Calibri" w:eastAsia="Calibri" w:hAnsi="Calibri"/>
                <w:sz w:val="18"/>
                <w:szCs w:val="18"/>
                <w:color w:val="auto"/>
                <w:w w:val="98"/>
              </w:rPr>
              <w:t>6.32%</w:t>
            </w:r>
          </w:p>
        </w:tc>
        <w:tc>
          <w:tcPr>
            <w:tcW w:w="2360" w:type="dxa"/>
            <w:vAlign w:val="bottom"/>
          </w:tcPr>
          <w:p>
            <w:pPr>
              <w:jc w:val="center"/>
              <w:ind w:left="70"/>
              <w:spacing w:after="0" w:line="215" w:lineRule="exact"/>
              <w:rPr>
                <w:sz w:val="20"/>
                <w:szCs w:val="20"/>
                <w:color w:val="auto"/>
              </w:rPr>
            </w:pPr>
            <w:r>
              <w:rPr>
                <w:rFonts w:ascii="Calibri" w:cs="Calibri" w:eastAsia="Calibri" w:hAnsi="Calibri"/>
                <w:sz w:val="18"/>
                <w:szCs w:val="18"/>
                <w:color w:val="auto"/>
                <w:w w:val="97"/>
              </w:rPr>
              <w:t>May 1, 2037</w:t>
            </w:r>
          </w:p>
        </w:tc>
      </w:tr>
      <w:tr>
        <w:trPr>
          <w:trHeight w:val="28"/>
        </w:trPr>
        <w:tc>
          <w:tcPr>
            <w:tcW w:w="4920" w:type="dxa"/>
            <w:vAlign w:val="bottom"/>
            <w:tcBorders>
              <w:right w:val="single" w:sz="8" w:color="007CBA"/>
            </w:tcBorders>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Borders>
              <w:right w:val="single" w:sz="8" w:color="007CBA"/>
            </w:tcBorders>
          </w:tcPr>
          <w:p>
            <w:pPr>
              <w:spacing w:after="0"/>
              <w:rPr>
                <w:sz w:val="2"/>
                <w:szCs w:val="2"/>
                <w:color w:val="auto"/>
              </w:rPr>
            </w:pPr>
          </w:p>
        </w:tc>
        <w:tc>
          <w:tcPr>
            <w:tcW w:w="2380" w:type="dxa"/>
            <w:vAlign w:val="bottom"/>
            <w:tcBorders>
              <w:right w:val="single" w:sz="8" w:color="007CBA"/>
            </w:tcBorders>
          </w:tcPr>
          <w:p>
            <w:pPr>
              <w:spacing w:after="0"/>
              <w:rPr>
                <w:sz w:val="2"/>
                <w:szCs w:val="2"/>
                <w:color w:val="auto"/>
              </w:rPr>
            </w:pPr>
          </w:p>
        </w:tc>
        <w:tc>
          <w:tcPr>
            <w:tcW w:w="2360" w:type="dxa"/>
            <w:vAlign w:val="bottom"/>
          </w:tcPr>
          <w:p>
            <w:pPr>
              <w:spacing w:after="0"/>
              <w:rPr>
                <w:sz w:val="2"/>
                <w:szCs w:val="2"/>
                <w:color w:val="auto"/>
              </w:rPr>
            </w:pPr>
          </w:p>
        </w:tc>
      </w:tr>
      <w:tr>
        <w:trPr>
          <w:trHeight w:val="223"/>
        </w:trPr>
        <w:tc>
          <w:tcPr>
            <w:tcW w:w="492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4.250% Senior Notes</w:t>
            </w:r>
          </w:p>
        </w:tc>
        <w:tc>
          <w:tcPr>
            <w:tcW w:w="3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597.9</w:t>
            </w:r>
          </w:p>
        </w:tc>
        <w:tc>
          <w:tcPr>
            <w:tcW w:w="2380" w:type="dxa"/>
            <w:vAlign w:val="bottom"/>
            <w:tcBorders>
              <w:bottom w:val="single" w:sz="8" w:color="E5F1F8"/>
              <w:right w:val="single" w:sz="8" w:color="007CBA"/>
            </w:tcBorders>
            <w:shd w:val="clear" w:color="auto" w:fill="E5F1F8"/>
          </w:tcPr>
          <w:p>
            <w:pPr>
              <w:jc w:val="center"/>
              <w:ind w:left="50"/>
              <w:spacing w:after="0" w:line="215" w:lineRule="exact"/>
              <w:rPr>
                <w:sz w:val="20"/>
                <w:szCs w:val="20"/>
                <w:color w:val="auto"/>
              </w:rPr>
            </w:pPr>
            <w:r>
              <w:rPr>
                <w:rFonts w:ascii="Calibri" w:cs="Calibri" w:eastAsia="Calibri" w:hAnsi="Calibri"/>
                <w:sz w:val="18"/>
                <w:szCs w:val="18"/>
                <w:color w:val="auto"/>
                <w:w w:val="98"/>
              </w:rPr>
              <w:t>4.32%</w:t>
            </w:r>
          </w:p>
        </w:tc>
        <w:tc>
          <w:tcPr>
            <w:tcW w:w="2360" w:type="dxa"/>
            <w:vAlign w:val="bottom"/>
            <w:tcBorders>
              <w:bottom w:val="single" w:sz="8" w:color="E5F1F8"/>
            </w:tcBorders>
            <w:shd w:val="clear" w:color="auto" w:fill="E5F1F8"/>
          </w:tcPr>
          <w:p>
            <w:pPr>
              <w:jc w:val="center"/>
              <w:ind w:left="70"/>
              <w:spacing w:after="0" w:line="215" w:lineRule="exact"/>
              <w:rPr>
                <w:sz w:val="20"/>
                <w:szCs w:val="20"/>
                <w:color w:val="auto"/>
              </w:rPr>
            </w:pPr>
            <w:r>
              <w:rPr>
                <w:rFonts w:ascii="Calibri" w:cs="Calibri" w:eastAsia="Calibri" w:hAnsi="Calibri"/>
                <w:sz w:val="18"/>
                <w:szCs w:val="18"/>
                <w:color w:val="auto"/>
                <w:w w:val="97"/>
              </w:rPr>
              <w:t>December 15, 2047</w:t>
            </w:r>
          </w:p>
        </w:tc>
      </w:tr>
      <w:tr>
        <w:trPr>
          <w:trHeight w:val="215"/>
        </w:trPr>
        <w:tc>
          <w:tcPr>
            <w:tcW w:w="4920" w:type="dxa"/>
            <w:vAlign w:val="bottom"/>
          </w:tcPr>
          <w:p>
            <w:pPr>
              <w:ind w:left="120"/>
              <w:spacing w:after="0" w:line="215" w:lineRule="exact"/>
              <w:rPr>
                <w:sz w:val="20"/>
                <w:szCs w:val="20"/>
                <w:color w:val="auto"/>
              </w:rPr>
            </w:pPr>
            <w:r>
              <w:rPr>
                <w:rFonts w:ascii="Calibri" w:cs="Calibri" w:eastAsia="Calibri" w:hAnsi="Calibri"/>
                <w:sz w:val="18"/>
                <w:szCs w:val="18"/>
                <w:color w:val="auto"/>
              </w:rPr>
              <w:t>3.200% Senior Notes</w:t>
            </w: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865.9</w:t>
            </w:r>
          </w:p>
        </w:tc>
        <w:tc>
          <w:tcPr>
            <w:tcW w:w="2380" w:type="dxa"/>
            <w:vAlign w:val="bottom"/>
          </w:tcPr>
          <w:p>
            <w:pPr>
              <w:jc w:val="center"/>
              <w:ind w:left="50"/>
              <w:spacing w:after="0" w:line="215" w:lineRule="exact"/>
              <w:rPr>
                <w:sz w:val="20"/>
                <w:szCs w:val="20"/>
                <w:color w:val="auto"/>
              </w:rPr>
            </w:pPr>
            <w:r>
              <w:rPr>
                <w:rFonts w:ascii="Calibri" w:cs="Calibri" w:eastAsia="Calibri" w:hAnsi="Calibri"/>
                <w:sz w:val="18"/>
                <w:szCs w:val="18"/>
                <w:color w:val="auto"/>
                <w:w w:val="98"/>
              </w:rPr>
              <w:t>3.29%</w:t>
            </w:r>
          </w:p>
        </w:tc>
        <w:tc>
          <w:tcPr>
            <w:tcW w:w="2360" w:type="dxa"/>
            <w:vAlign w:val="bottom"/>
          </w:tcPr>
          <w:p>
            <w:pPr>
              <w:jc w:val="center"/>
              <w:ind w:left="70"/>
              <w:spacing w:after="0" w:line="215" w:lineRule="exact"/>
              <w:rPr>
                <w:sz w:val="20"/>
                <w:szCs w:val="20"/>
                <w:color w:val="auto"/>
              </w:rPr>
            </w:pPr>
            <w:r>
              <w:rPr>
                <w:rFonts w:ascii="Calibri" w:cs="Calibri" w:eastAsia="Calibri" w:hAnsi="Calibri"/>
                <w:sz w:val="18"/>
                <w:szCs w:val="18"/>
                <w:color w:val="auto"/>
                <w:w w:val="96"/>
              </w:rPr>
              <w:t>July 15, 2051</w:t>
            </w:r>
          </w:p>
        </w:tc>
      </w:tr>
      <w:tr>
        <w:trPr>
          <w:trHeight w:val="28"/>
        </w:trPr>
        <w:tc>
          <w:tcPr>
            <w:tcW w:w="4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3103880</wp:posOffset>
            </wp:positionH>
            <wp:positionV relativeFrom="paragraph">
              <wp:posOffset>-174625</wp:posOffset>
            </wp:positionV>
            <wp:extent cx="4032885" cy="1879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4032885" cy="187960"/>
                    </a:xfrm>
                    <a:prstGeom prst="rect">
                      <a:avLst/>
                    </a:prstGeom>
                    <a:noFill/>
                  </pic:spPr>
                </pic:pic>
              </a:graphicData>
            </a:graphic>
          </wp:anchor>
        </w:drawing>
      </w:r>
    </w:p>
    <w:p>
      <w:pPr>
        <w:spacing w:after="0" w:line="1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has a credit agreement with JPMorgan Chase Bank, N.A., as Administratve Agent, Deutsche Bank Securites, Inc., PNC Bank, Truist Bank and Wells Fargo Bank, N.A., as Syndicaton Agents, and the lenders party thereto (the Credit Agreement), which provides for a $800.0 million fve-year senior unsecured revolving facility (the Revolving Facility). Borrowings under the Revolving Facility bear interest, at the Company’s opton, at rates based upon the Secured Overnight Financing Rate (SOFR) or a base rate, plus, for each rate, a margin determined in accordance with a ratngs-based pricing grid. There were no borrowings outstanding under the Credit Agreement as of December 31, 2022 and 2021. On December 22, 2022, the Company amended the Credit Agreement to replace the London InterBank Ofered Rate (LIBOR) with SOFR as the interest rate benchmark and extend the maturity date to December 21, 2027. Any outstanding principal amounts, together with interest accrued thereon, are due in full on that maturity date. Available borrowings under the Revolving Facility are reduced by any outstanding leters of credit issued by the Company under the Revolving Facility. At December 31, 2022 and 2021, the Company had $2.6 million of outstanding leters of credit issued and $797.4 million available for borrowing under the Revolving Facility. The Company paid the bank group an upfront loan commitment fee that is being amortzed over the life of the Revolving Facility. The Revolving Facility includes an annual facility fee.</w:t>
      </w:r>
    </w:p>
    <w:p>
      <w:pPr>
        <w:spacing w:after="0" w:line="1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Credit Agreement requires the Company’s rato of consolidated net debt-to-consolidated earnings before interest, taxes, depreciaton, depleton and amortzaton, as defned, for the trailing-twelve months (the Rato) to not exceed 3.50x as of the end of any fscal quarter, provided that the Company may exclude from the Rato any debt incurred in connecton with certain acquisitons during the quarter or three preceding quarters so long as the Rato calculated without such exclusion does not exceed 4.00x. Additonally, if no amounts are outstanding under the Revolving Facility or the Company's trade receivable securitzaton facility (discussed later), consolidated debt, as defned, which includes debt for which the Company is a guarantor (see Note O), shall be reduced in an amount equal to the lesser of $500.0 million or the sum of the Company’s unrestricted cash and temporary investments, for purposes of the covenant calculaton. The Company was in compliance with the Rato at December 31, 2022.</w:t>
      </w:r>
    </w:p>
    <w:p>
      <w:pPr>
        <w:spacing w:after="0" w:line="114"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auto"/>
        </w:rPr>
        <w:t>The Company, through a wholly-owned special-purpose subsidiary, has a $400.0 million trade receivable securitzaton facility (the Trade Receivable Facility). On September 21, 2022, the Company extended the maturity to September 20, 2023. The Trade Receivable Facility, with Truist Bank, Regions Bank, PNC Bank, N.A., MUFG Bank, Ltd., New York Branch, and certain other lenders that may become a party to the facility from tme to tme, is backed by eligible trade receivables, as defned. Borrowings are limited to the lesser of the facility limit or the borrowing base, as defned. These receivables are originated by the Company and then sold or contributed to the wholly-owned special-purpose subsidiary. The Company contnues to be responsible for the servicing and administraton of the receivables purchased by the wholly-owned special-purpose subsidiary. Borrowings under the Trade Receivable Facility bear interest at a rate equal to asset-backed commercial paper costs of conduit lenders plus 0.65% for borrowings funded by conduit lenders and Adjusted Term Secured Overnight Financing Rate (Adjusted Term SOFR), as defned, plus 0.7%, subject to change in the event that this rate no longer refects the lender’s cost of lending</w:t>
      </w:r>
      <w:r>
        <w:rPr>
          <w:rFonts w:ascii="Calibri" w:cs="Calibri" w:eastAsia="Calibri" w:hAnsi="Calibri"/>
          <w:sz w:val="18"/>
          <w:szCs w:val="18"/>
          <w:color w:val="auto"/>
        </w:rPr>
        <w:t>,</w:t>
      </w:r>
      <w:r>
        <w:rPr>
          <w:rFonts w:ascii="Calibri" w:cs="Calibri" w:eastAsia="Calibri" w:hAnsi="Calibri"/>
          <w:sz w:val="17"/>
          <w:szCs w:val="17"/>
          <w:color w:val="auto"/>
        </w:rPr>
        <w:t xml:space="preserve"> for borrowings funded by all other lenders. The Trade Receivable Facility contains a cross-default provision to the Company’s other debt agreements. Subject to certain conditons, including lenders providing the requisite commitments, the Trade Receivable Facility may be increased to a borrowing base not to exceed $500 million. At December 31, 2022 and 2021, there were no borrowings outstanding under the Trade Receivable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6751320</wp:posOffset>
            </wp:positionH>
            <wp:positionV relativeFrom="paragraph">
              <wp:posOffset>86995</wp:posOffset>
            </wp:positionV>
            <wp:extent cx="325755" cy="1974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14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95" w:name="page96"/>
    <w:bookmarkEnd w:id="95"/>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spacing w:after="0"/>
        <w:rPr>
          <w:sz w:val="20"/>
          <w:szCs w:val="20"/>
          <w:color w:val="auto"/>
        </w:rPr>
      </w:pPr>
      <w:r>
        <w:rPr>
          <w:rFonts w:ascii="Calibri" w:cs="Calibri" w:eastAsia="Calibri" w:hAnsi="Calibri"/>
          <w:sz w:val="17"/>
          <w:szCs w:val="17"/>
          <w:color w:val="auto"/>
        </w:rPr>
        <w:t>The Company’s long-term debt maturites, including the discharged 0.650% Senior Notes, for the fve years following December 31, 2022, and thereafer are: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92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color w:val="FFFFFF"/>
              </w:rPr>
              <w:t>(in millions)</w:t>
            </w:r>
          </w:p>
        </w:tc>
        <w:tc>
          <w:tcPr>
            <w:tcW w:w="1020" w:type="dxa"/>
            <w:vAlign w:val="bottom"/>
            <w:shd w:val="clear" w:color="auto" w:fill="007CBA"/>
          </w:tcPr>
          <w:p>
            <w:pPr>
              <w:spacing w:after="0"/>
              <w:rPr>
                <w:sz w:val="21"/>
                <w:szCs w:val="21"/>
                <w:color w:val="auto"/>
              </w:rPr>
            </w:pPr>
          </w:p>
        </w:tc>
        <w:tc>
          <w:tcPr>
            <w:tcW w:w="1300" w:type="dxa"/>
            <w:vAlign w:val="bottom"/>
            <w:shd w:val="clear" w:color="auto" w:fill="007CBA"/>
          </w:tcPr>
          <w:p>
            <w:pPr>
              <w:spacing w:after="0"/>
              <w:rPr>
                <w:sz w:val="21"/>
                <w:szCs w:val="21"/>
                <w:color w:val="auto"/>
              </w:rPr>
            </w:pPr>
          </w:p>
        </w:tc>
      </w:tr>
      <w:tr>
        <w:trPr>
          <w:trHeight w:val="215"/>
        </w:trPr>
        <w:tc>
          <w:tcPr>
            <w:tcW w:w="892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2023</w:t>
            </w:r>
          </w:p>
        </w:tc>
        <w:tc>
          <w:tcPr>
            <w:tcW w:w="1020" w:type="dxa"/>
            <w:vAlign w:val="bottom"/>
          </w:tcPr>
          <w:p>
            <w:pPr>
              <w:jc w:val="right"/>
              <w:ind w:right="550"/>
              <w:spacing w:after="0" w:line="215" w:lineRule="exact"/>
              <w:rPr>
                <w:sz w:val="20"/>
                <w:szCs w:val="20"/>
                <w:color w:val="auto"/>
              </w:rPr>
            </w:pPr>
            <w:r>
              <w:rPr>
                <w:rFonts w:ascii="Calibri" w:cs="Calibri" w:eastAsia="Calibri" w:hAnsi="Calibri"/>
                <w:sz w:val="18"/>
                <w:szCs w:val="18"/>
                <w:color w:val="auto"/>
              </w:rPr>
              <w:t>$</w:t>
            </w:r>
          </w:p>
        </w:tc>
        <w:tc>
          <w:tcPr>
            <w:tcW w:w="13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699.1</w:t>
            </w:r>
          </w:p>
        </w:tc>
      </w:tr>
      <w:tr>
        <w:trPr>
          <w:trHeight w:val="28"/>
        </w:trPr>
        <w:tc>
          <w:tcPr>
            <w:tcW w:w="8920" w:type="dxa"/>
            <w:vAlign w:val="bottom"/>
            <w:tcBorders>
              <w:right w:val="single" w:sz="8" w:color="007CBA"/>
            </w:tcBorders>
          </w:tcPr>
          <w:p>
            <w:pPr>
              <w:spacing w:after="0"/>
              <w:rPr>
                <w:sz w:val="2"/>
                <w:szCs w:val="2"/>
                <w:color w:val="auto"/>
              </w:rPr>
            </w:pPr>
          </w:p>
        </w:tc>
        <w:tc>
          <w:tcPr>
            <w:tcW w:w="10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892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2024</w:t>
            </w:r>
          </w:p>
        </w:tc>
        <w:tc>
          <w:tcPr>
            <w:tcW w:w="1020" w:type="dxa"/>
            <w:vAlign w:val="bottom"/>
            <w:tcBorders>
              <w:bottom w:val="single" w:sz="8" w:color="E5F1F8"/>
            </w:tcBorders>
            <w:shd w:val="clear" w:color="auto" w:fill="E5F1F8"/>
          </w:tcPr>
          <w:p>
            <w:pPr>
              <w:spacing w:after="0"/>
              <w:rPr>
                <w:sz w:val="19"/>
                <w:szCs w:val="19"/>
                <w:color w:val="auto"/>
              </w:rPr>
            </w:pPr>
          </w:p>
        </w:tc>
        <w:tc>
          <w:tcPr>
            <w:tcW w:w="130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398.9</w:t>
            </w:r>
          </w:p>
        </w:tc>
      </w:tr>
      <w:tr>
        <w:trPr>
          <w:trHeight w:val="215"/>
        </w:trPr>
        <w:tc>
          <w:tcPr>
            <w:tcW w:w="892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2025</w:t>
            </w:r>
          </w:p>
        </w:tc>
        <w:tc>
          <w:tcPr>
            <w:tcW w:w="1020" w:type="dxa"/>
            <w:vAlign w:val="bottom"/>
          </w:tcPr>
          <w:p>
            <w:pPr>
              <w:spacing w:after="0"/>
              <w:rPr>
                <w:sz w:val="18"/>
                <w:szCs w:val="18"/>
                <w:color w:val="auto"/>
              </w:rPr>
            </w:pPr>
          </w:p>
        </w:tc>
        <w:tc>
          <w:tcPr>
            <w:tcW w:w="13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124.7</w:t>
            </w:r>
          </w:p>
        </w:tc>
      </w:tr>
      <w:tr>
        <w:trPr>
          <w:trHeight w:val="28"/>
        </w:trPr>
        <w:tc>
          <w:tcPr>
            <w:tcW w:w="8920" w:type="dxa"/>
            <w:vAlign w:val="bottom"/>
            <w:tcBorders>
              <w:right w:val="single" w:sz="8" w:color="007CBA"/>
            </w:tcBorders>
          </w:tcPr>
          <w:p>
            <w:pPr>
              <w:spacing w:after="0"/>
              <w:rPr>
                <w:sz w:val="2"/>
                <w:szCs w:val="2"/>
                <w:color w:val="auto"/>
              </w:rPr>
            </w:pPr>
          </w:p>
        </w:tc>
        <w:tc>
          <w:tcPr>
            <w:tcW w:w="10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892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2026</w:t>
            </w:r>
          </w:p>
        </w:tc>
        <w:tc>
          <w:tcPr>
            <w:tcW w:w="1020" w:type="dxa"/>
            <w:vAlign w:val="bottom"/>
            <w:tcBorders>
              <w:bottom w:val="single" w:sz="8" w:color="E5F1F8"/>
            </w:tcBorders>
            <w:shd w:val="clear" w:color="auto" w:fill="E5F1F8"/>
          </w:tcPr>
          <w:p>
            <w:pPr>
              <w:spacing w:after="0"/>
              <w:rPr>
                <w:sz w:val="19"/>
                <w:szCs w:val="19"/>
                <w:color w:val="auto"/>
              </w:rPr>
            </w:pPr>
          </w:p>
        </w:tc>
        <w:tc>
          <w:tcPr>
            <w:tcW w:w="130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43"/>
        </w:trPr>
        <w:tc>
          <w:tcPr>
            <w:tcW w:w="892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2027</w:t>
            </w:r>
          </w:p>
        </w:tc>
        <w:tc>
          <w:tcPr>
            <w:tcW w:w="1020" w:type="dxa"/>
            <w:vAlign w:val="bottom"/>
          </w:tcPr>
          <w:p>
            <w:pPr>
              <w:spacing w:after="0"/>
              <w:rPr>
                <w:sz w:val="21"/>
                <w:szCs w:val="21"/>
                <w:color w:val="auto"/>
              </w:rPr>
            </w:pPr>
          </w:p>
        </w:tc>
        <w:tc>
          <w:tcPr>
            <w:tcW w:w="13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789.8</w:t>
            </w:r>
          </w:p>
        </w:tc>
      </w:tr>
      <w:tr>
        <w:trPr>
          <w:trHeight w:val="248"/>
        </w:trPr>
        <w:tc>
          <w:tcPr>
            <w:tcW w:w="892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Thereafer</w:t>
            </w:r>
          </w:p>
        </w:tc>
        <w:tc>
          <w:tcPr>
            <w:tcW w:w="1020" w:type="dxa"/>
            <w:vAlign w:val="bottom"/>
            <w:tcBorders>
              <w:bottom w:val="single" w:sz="8" w:color="E5F1F8"/>
            </w:tcBorders>
            <w:shd w:val="clear" w:color="auto" w:fill="E5F1F8"/>
          </w:tcPr>
          <w:p>
            <w:pPr>
              <w:spacing w:after="0"/>
              <w:rPr>
                <w:sz w:val="21"/>
                <w:szCs w:val="21"/>
                <w:color w:val="auto"/>
              </w:rPr>
            </w:pPr>
          </w:p>
        </w:tc>
        <w:tc>
          <w:tcPr>
            <w:tcW w:w="130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3,027.5</w:t>
            </w:r>
          </w:p>
        </w:tc>
      </w:tr>
      <w:tr>
        <w:trPr>
          <w:trHeight w:val="208"/>
        </w:trPr>
        <w:tc>
          <w:tcPr>
            <w:tcW w:w="892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w:t>
            </w:r>
          </w:p>
        </w:tc>
        <w:tc>
          <w:tcPr>
            <w:tcW w:w="1020" w:type="dxa"/>
            <w:vAlign w:val="bottom"/>
            <w:tcBorders>
              <w:top w:val="single" w:sz="8" w:color="auto"/>
            </w:tcBorders>
          </w:tcPr>
          <w:p>
            <w:pPr>
              <w:jc w:val="right"/>
              <w:ind w:right="550"/>
              <w:spacing w:after="0" w:line="208" w:lineRule="exact"/>
              <w:rPr>
                <w:sz w:val="20"/>
                <w:szCs w:val="20"/>
                <w:color w:val="auto"/>
              </w:rPr>
            </w:pPr>
            <w:r>
              <w:rPr>
                <w:rFonts w:ascii="Calibri" w:cs="Calibri" w:eastAsia="Calibri" w:hAnsi="Calibri"/>
                <w:sz w:val="18"/>
                <w:szCs w:val="18"/>
                <w:color w:val="auto"/>
              </w:rPr>
              <w:t>$</w:t>
            </w:r>
          </w:p>
        </w:tc>
        <w:tc>
          <w:tcPr>
            <w:tcW w:w="130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5,040.0</w:t>
            </w:r>
          </w:p>
        </w:tc>
      </w:tr>
      <w:tr>
        <w:trPr>
          <w:trHeight w:val="28"/>
        </w:trPr>
        <w:tc>
          <w:tcPr>
            <w:tcW w:w="89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3683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I: Financial Instruments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fnancial instruments include temporary cash investments, restricted cash, restricted investments, accounts receivable, notes receivable, accounts payable, publicly-registered long-term notes, debentures and other long-term debt.</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Temporary cash investments are placed primarily in money market funds, money market demand deposit accounts and Eurodollar tme deposit accounts with fnancial insttutons. The Company’s cash equivalents have maturites of less than three months. Due to the short maturity of these investments, they are carried on the consolidated balance sheets at cost, which approximates fair value.</w:t>
      </w:r>
    </w:p>
    <w:p>
      <w:pPr>
        <w:spacing w:after="0" w:line="111"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Restricted cash is held in a trust account with a third-party intermediary. Due to the short-term nature of this account, the carrying value of restricted cash approximates its fair value.</w:t>
      </w:r>
    </w:p>
    <w:p>
      <w:pPr>
        <w:spacing w:after="0" w:line="110"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auto"/>
        </w:rPr>
        <w:t>Restricted investments are held in a fund that invests solely in U.S. Treasury securites. The estmated fair value of the fund is valued at net asset value, which the fund seeks to maintain at one dollar per share. As such, the carrying value of the restricted investments approximates its fair value. The Company is restricted from accessing the investments, which will be used to setle the 0.650% Senior Notes and related interest payments. Investment returns on those trust assets are for the account of the Company if there are any afer satsfacton of all amounts payable in connecton with the 0.650% Senior Notes.</w:t>
      </w:r>
    </w:p>
    <w:p>
      <w:pPr>
        <w:spacing w:after="0" w:line="10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Accounts receivable are due from a large number of customers, primarily in the constructon industry, and are dispersed across wide geographic and economic regions. However, accounts receivable are more heavily concentrated in certain states, namely Texas, Colorado, North Carolina, Minnesota and California. The carrying values of accounts receivable approximate their fair values.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Notes receivable are primarily promissory notes with customers and are not publicly traded. Management estmates that the carrying value of notes receivable approximates its fair value.</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Accounts payable represent amounts owed to suppliers and vendors. The estmated carrying value of accounts payable approximates its fair value due to the short-term nature of the payables.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carrying values and fair values of the Company’s long-term debt were $5.04 billion and $4.36 billion, respectvely, at December 31, 2022 and $5.10 billion and $5.45 billion, respectvely, at December 31, 2021. The estmated fair value of the Company’s publicly-registered long-term debt was estmated based on Level 1 of the fair value hierarchy using quoted market prices. The carrying values of other borrowings, which primarily represent variable-rate debt, approximate their fair value as the interest rates reset periodically.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6751320</wp:posOffset>
            </wp:positionH>
            <wp:positionV relativeFrom="paragraph">
              <wp:posOffset>93345</wp:posOffset>
            </wp:positionV>
            <wp:extent cx="325755" cy="1968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96" w:name="page97"/>
    <w:bookmarkEnd w:id="96"/>
    <w:p>
      <w:pPr>
        <w:jc w:val="right"/>
        <w:ind w:right="40"/>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8 – Financial Statements and Supplementary Data</w:t>
      </w:r>
    </w:p>
    <w:p>
      <w:pPr>
        <w:spacing w:after="0" w:line="21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J: Income Taxes</w:t>
      </w:r>
    </w:p>
    <w:p>
      <w:pPr>
        <w:spacing w:after="0" w:line="54"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components of the Company’s income tax expense from contnuing operatons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36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480" w:type="dxa"/>
            <w:vAlign w:val="bottom"/>
            <w:shd w:val="clear" w:color="auto" w:fill="007CBA"/>
          </w:tcPr>
          <w:p>
            <w:pPr>
              <w:spacing w:after="0"/>
              <w:rPr>
                <w:sz w:val="19"/>
                <w:szCs w:val="19"/>
                <w:color w:val="auto"/>
              </w:rPr>
            </w:pPr>
          </w:p>
        </w:tc>
        <w:tc>
          <w:tcPr>
            <w:tcW w:w="1160" w:type="dxa"/>
            <w:vAlign w:val="bottom"/>
            <w:tcBorders>
              <w:right w:val="single" w:sz="8" w:color="007CBA"/>
            </w:tcBorders>
            <w:shd w:val="clear" w:color="auto" w:fill="007CBA"/>
          </w:tcPr>
          <w:p>
            <w:pPr>
              <w:spacing w:after="0"/>
              <w:rPr>
                <w:sz w:val="19"/>
                <w:szCs w:val="19"/>
                <w:color w:val="auto"/>
              </w:rPr>
            </w:pPr>
          </w:p>
        </w:tc>
        <w:tc>
          <w:tcPr>
            <w:tcW w:w="480" w:type="dxa"/>
            <w:vAlign w:val="bottom"/>
            <w:shd w:val="clear" w:color="auto" w:fill="007CBA"/>
          </w:tcPr>
          <w:p>
            <w:pPr>
              <w:spacing w:after="0"/>
              <w:rPr>
                <w:sz w:val="19"/>
                <w:szCs w:val="19"/>
                <w:color w:val="auto"/>
              </w:rPr>
            </w:pPr>
          </w:p>
        </w:tc>
        <w:tc>
          <w:tcPr>
            <w:tcW w:w="1140" w:type="dxa"/>
            <w:vAlign w:val="bottom"/>
            <w:tcBorders>
              <w:right w:val="single" w:sz="8" w:color="007CBA"/>
            </w:tcBorders>
            <w:shd w:val="clear" w:color="auto" w:fill="007CBA"/>
          </w:tcPr>
          <w:p>
            <w:pPr>
              <w:spacing w:after="0"/>
              <w:rPr>
                <w:sz w:val="19"/>
                <w:szCs w:val="19"/>
                <w:color w:val="auto"/>
              </w:rPr>
            </w:pPr>
          </w:p>
        </w:tc>
        <w:tc>
          <w:tcPr>
            <w:tcW w:w="480" w:type="dxa"/>
            <w:vAlign w:val="bottom"/>
            <w:shd w:val="clear" w:color="auto" w:fill="007CBA"/>
          </w:tcPr>
          <w:p>
            <w:pPr>
              <w:spacing w:after="0"/>
              <w:rPr>
                <w:sz w:val="19"/>
                <w:szCs w:val="19"/>
                <w:color w:val="auto"/>
              </w:rPr>
            </w:pPr>
          </w:p>
        </w:tc>
        <w:tc>
          <w:tcPr>
            <w:tcW w:w="1140" w:type="dxa"/>
            <w:vAlign w:val="bottom"/>
            <w:shd w:val="clear" w:color="auto" w:fill="007CBA"/>
          </w:tcPr>
          <w:p>
            <w:pPr>
              <w:spacing w:after="0"/>
              <w:rPr>
                <w:sz w:val="19"/>
                <w:szCs w:val="19"/>
                <w:color w:val="auto"/>
              </w:rPr>
            </w:pPr>
          </w:p>
        </w:tc>
      </w:tr>
      <w:tr>
        <w:trPr>
          <w:trHeight w:val="245"/>
        </w:trPr>
        <w:tc>
          <w:tcPr>
            <w:tcW w:w="636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480" w:type="dxa"/>
            <w:vAlign w:val="bottom"/>
            <w:tcBorders>
              <w:bottom w:val="single" w:sz="8" w:color="007CBA"/>
            </w:tcBorders>
            <w:shd w:val="clear" w:color="auto" w:fill="007CBA"/>
          </w:tcPr>
          <w:p>
            <w:pPr>
              <w:spacing w:after="0"/>
              <w:rPr>
                <w:sz w:val="21"/>
                <w:szCs w:val="21"/>
                <w:color w:val="auto"/>
              </w:rPr>
            </w:pPr>
          </w:p>
        </w:tc>
        <w:tc>
          <w:tcPr>
            <w:tcW w:w="1160" w:type="dxa"/>
            <w:vAlign w:val="bottom"/>
            <w:tcBorders>
              <w:bottom w:val="single" w:sz="8" w:color="007CBA"/>
              <w:right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b w:val="1"/>
                <w:bCs w:val="1"/>
                <w:color w:val="FFFFFF"/>
              </w:rPr>
              <w:t>2022</w:t>
            </w:r>
          </w:p>
        </w:tc>
        <w:tc>
          <w:tcPr>
            <w:tcW w:w="480" w:type="dxa"/>
            <w:vAlign w:val="bottom"/>
            <w:tcBorders>
              <w:bottom w:val="single" w:sz="8" w:color="007CBA"/>
            </w:tcBorders>
            <w:shd w:val="clear" w:color="auto" w:fill="007CBA"/>
          </w:tcPr>
          <w:p>
            <w:pPr>
              <w:spacing w:after="0"/>
              <w:rPr>
                <w:sz w:val="21"/>
                <w:szCs w:val="21"/>
                <w:color w:val="auto"/>
              </w:rPr>
            </w:pPr>
          </w:p>
        </w:tc>
        <w:tc>
          <w:tcPr>
            <w:tcW w:w="1140" w:type="dxa"/>
            <w:vAlign w:val="bottom"/>
            <w:tcBorders>
              <w:bottom w:val="single" w:sz="8" w:color="007CBA"/>
              <w:right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color w:val="FFFFFF"/>
              </w:rPr>
              <w:t>2021</w:t>
            </w:r>
          </w:p>
        </w:tc>
        <w:tc>
          <w:tcPr>
            <w:tcW w:w="480" w:type="dxa"/>
            <w:vAlign w:val="bottom"/>
            <w:tcBorders>
              <w:bottom w:val="single" w:sz="8" w:color="007CBA"/>
            </w:tcBorders>
            <w:shd w:val="clear" w:color="auto" w:fill="007CBA"/>
          </w:tcPr>
          <w:p>
            <w:pPr>
              <w:spacing w:after="0"/>
              <w:rPr>
                <w:sz w:val="21"/>
                <w:szCs w:val="21"/>
                <w:color w:val="auto"/>
              </w:rPr>
            </w:pPr>
          </w:p>
        </w:tc>
        <w:tc>
          <w:tcPr>
            <w:tcW w:w="1140" w:type="dxa"/>
            <w:vAlign w:val="bottom"/>
            <w:tcBorders>
              <w:bottom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color w:val="FFFFFF"/>
              </w:rPr>
              <w:t>2020</w:t>
            </w:r>
          </w:p>
        </w:tc>
      </w:tr>
      <w:tr>
        <w:trPr>
          <w:trHeight w:val="215"/>
        </w:trPr>
        <w:tc>
          <w:tcPr>
            <w:tcW w:w="63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Federal income taxes:</w:t>
            </w:r>
          </w:p>
        </w:tc>
        <w:tc>
          <w:tcPr>
            <w:tcW w:w="480" w:type="dxa"/>
            <w:vAlign w:val="bottom"/>
          </w:tcPr>
          <w:p>
            <w:pPr>
              <w:spacing w:after="0"/>
              <w:rPr>
                <w:sz w:val="18"/>
                <w:szCs w:val="18"/>
                <w:color w:val="auto"/>
              </w:rPr>
            </w:pPr>
          </w:p>
        </w:tc>
        <w:tc>
          <w:tcPr>
            <w:tcW w:w="1160" w:type="dxa"/>
            <w:vAlign w:val="bottom"/>
            <w:tcBorders>
              <w:right w:val="single" w:sz="8" w:color="007CBA"/>
            </w:tcBorders>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Borders>
              <w:right w:val="single" w:sz="8" w:color="007CBA"/>
            </w:tcBorders>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8"/>
        </w:trPr>
        <w:tc>
          <w:tcPr>
            <w:tcW w:w="63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6360" w:type="dxa"/>
            <w:vAlign w:val="bottom"/>
            <w:tcBorders>
              <w:bottom w:val="single" w:sz="8" w:color="E5F1F8"/>
              <w:right w:val="single" w:sz="8" w:color="007CBA"/>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Current</w:t>
            </w:r>
          </w:p>
        </w:tc>
        <w:tc>
          <w:tcPr>
            <w:tcW w:w="480" w:type="dxa"/>
            <w:vAlign w:val="bottom"/>
            <w:tcBorders>
              <w:bottom w:val="single" w:sz="8" w:color="E5F1F8"/>
            </w:tcBorders>
            <w:shd w:val="clear" w:color="auto" w:fill="E5F1F8"/>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174.9</w:t>
            </w:r>
          </w:p>
        </w:tc>
        <w:tc>
          <w:tcPr>
            <w:tcW w:w="480" w:type="dxa"/>
            <w:vAlign w:val="bottom"/>
            <w:tcBorders>
              <w:bottom w:val="single" w:sz="8" w:color="E5F1F8"/>
            </w:tcBorders>
            <w:shd w:val="clear" w:color="auto" w:fill="E5F1F8"/>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66.3</w:t>
            </w:r>
          </w:p>
        </w:tc>
        <w:tc>
          <w:tcPr>
            <w:tcW w:w="480" w:type="dxa"/>
            <w:vAlign w:val="bottom"/>
            <w:tcBorders>
              <w:bottom w:val="single" w:sz="8" w:color="E5F1F8"/>
            </w:tcBorders>
            <w:shd w:val="clear" w:color="auto" w:fill="E5F1F8"/>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91.9</w:t>
            </w:r>
          </w:p>
        </w:tc>
      </w:tr>
      <w:tr>
        <w:trPr>
          <w:trHeight w:val="215"/>
        </w:trPr>
        <w:tc>
          <w:tcPr>
            <w:tcW w:w="6360" w:type="dxa"/>
            <w:vAlign w:val="bottom"/>
          </w:tcPr>
          <w:p>
            <w:pPr>
              <w:ind w:left="300"/>
              <w:spacing w:after="0" w:line="215" w:lineRule="exact"/>
              <w:rPr>
                <w:sz w:val="20"/>
                <w:szCs w:val="20"/>
                <w:color w:val="auto"/>
              </w:rPr>
            </w:pPr>
            <w:r>
              <w:rPr>
                <w:rFonts w:ascii="Calibri" w:cs="Calibri" w:eastAsia="Calibri" w:hAnsi="Calibri"/>
                <w:sz w:val="18"/>
                <w:szCs w:val="18"/>
                <w:color w:val="auto"/>
              </w:rPr>
              <w:t>Deferred</w:t>
            </w:r>
          </w:p>
        </w:tc>
        <w:tc>
          <w:tcPr>
            <w:tcW w:w="480" w:type="dxa"/>
            <w:vAlign w:val="bottom"/>
          </w:tcPr>
          <w:p>
            <w:pPr>
              <w:spacing w:after="0"/>
              <w:rPr>
                <w:sz w:val="18"/>
                <w:szCs w:val="18"/>
                <w:color w:val="auto"/>
              </w:rPr>
            </w:pPr>
          </w:p>
        </w:tc>
        <w:tc>
          <w:tcPr>
            <w:tcW w:w="116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18.0</w:t>
            </w:r>
          </w:p>
        </w:tc>
        <w:tc>
          <w:tcPr>
            <w:tcW w:w="480" w:type="dxa"/>
            <w:vAlign w:val="bottom"/>
          </w:tcPr>
          <w:p>
            <w:pPr>
              <w:spacing w:after="0"/>
              <w:rPr>
                <w:sz w:val="18"/>
                <w:szCs w:val="18"/>
                <w:color w:val="auto"/>
              </w:rPr>
            </w:pP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61.4</w:t>
            </w:r>
          </w:p>
        </w:tc>
        <w:tc>
          <w:tcPr>
            <w:tcW w:w="480" w:type="dxa"/>
            <w:vAlign w:val="bottom"/>
          </w:tcPr>
          <w:p>
            <w:pPr>
              <w:spacing w:after="0"/>
              <w:rPr>
                <w:sz w:val="18"/>
                <w:szCs w:val="18"/>
                <w:color w:val="auto"/>
              </w:rPr>
            </w:pP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45.4</w:t>
            </w:r>
          </w:p>
        </w:tc>
      </w:tr>
      <w:tr>
        <w:trPr>
          <w:trHeight w:val="28"/>
        </w:trPr>
        <w:tc>
          <w:tcPr>
            <w:tcW w:w="6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2"/>
        </w:trPr>
        <w:tc>
          <w:tcPr>
            <w:tcW w:w="636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Total federal income taxes</w:t>
            </w:r>
          </w:p>
        </w:tc>
        <w:tc>
          <w:tcPr>
            <w:tcW w:w="480" w:type="dxa"/>
            <w:vAlign w:val="bottom"/>
            <w:tcBorders>
              <w:bottom w:val="single" w:sz="8" w:color="E5F1F8"/>
            </w:tcBorders>
            <w:shd w:val="clear" w:color="auto" w:fill="E5F1F8"/>
          </w:tcPr>
          <w:p>
            <w:pPr>
              <w:spacing w:after="0"/>
              <w:rPr>
                <w:sz w:val="20"/>
                <w:szCs w:val="20"/>
                <w:color w:val="auto"/>
              </w:rPr>
            </w:pPr>
          </w:p>
        </w:tc>
        <w:tc>
          <w:tcPr>
            <w:tcW w:w="1160" w:type="dxa"/>
            <w:vAlign w:val="bottom"/>
            <w:tcBorders>
              <w:bottom w:val="single" w:sz="8" w:color="E5F1F8"/>
              <w:right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b w:val="1"/>
                <w:bCs w:val="1"/>
                <w:color w:val="auto"/>
              </w:rPr>
              <w:t>192.9</w:t>
            </w:r>
          </w:p>
        </w:tc>
        <w:tc>
          <w:tcPr>
            <w:tcW w:w="480" w:type="dxa"/>
            <w:vAlign w:val="bottom"/>
            <w:tcBorders>
              <w:bottom w:val="single" w:sz="8" w:color="E5F1F8"/>
            </w:tcBorders>
            <w:shd w:val="clear" w:color="auto" w:fill="E5F1F8"/>
          </w:tcPr>
          <w:p>
            <w:pPr>
              <w:spacing w:after="0"/>
              <w:rPr>
                <w:sz w:val="20"/>
                <w:szCs w:val="20"/>
                <w:color w:val="auto"/>
              </w:rPr>
            </w:pPr>
          </w:p>
        </w:tc>
        <w:tc>
          <w:tcPr>
            <w:tcW w:w="1140" w:type="dxa"/>
            <w:vAlign w:val="bottom"/>
            <w:tcBorders>
              <w:bottom w:val="single" w:sz="8" w:color="E5F1F8"/>
              <w:right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127.7</w:t>
            </w:r>
          </w:p>
        </w:tc>
        <w:tc>
          <w:tcPr>
            <w:tcW w:w="480" w:type="dxa"/>
            <w:vAlign w:val="bottom"/>
            <w:tcBorders>
              <w:bottom w:val="single" w:sz="8" w:color="E5F1F8"/>
            </w:tcBorders>
            <w:shd w:val="clear" w:color="auto" w:fill="E5F1F8"/>
          </w:tcPr>
          <w:p>
            <w:pPr>
              <w:spacing w:after="0"/>
              <w:rPr>
                <w:sz w:val="20"/>
                <w:szCs w:val="20"/>
                <w:color w:val="auto"/>
              </w:rPr>
            </w:pPr>
          </w:p>
        </w:tc>
        <w:tc>
          <w:tcPr>
            <w:tcW w:w="114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137.3</w:t>
            </w:r>
          </w:p>
        </w:tc>
      </w:tr>
      <w:tr>
        <w:trPr>
          <w:trHeight w:val="208"/>
        </w:trPr>
        <w:tc>
          <w:tcPr>
            <w:tcW w:w="636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color w:val="auto"/>
              </w:rPr>
              <w:t>State income taxes:</w:t>
            </w:r>
          </w:p>
        </w:tc>
        <w:tc>
          <w:tcPr>
            <w:tcW w:w="480" w:type="dxa"/>
            <w:vAlign w:val="bottom"/>
            <w:tcBorders>
              <w:top w:val="single" w:sz="8" w:color="auto"/>
            </w:tcBorders>
          </w:tcPr>
          <w:p>
            <w:pPr>
              <w:spacing w:after="0"/>
              <w:rPr>
                <w:sz w:val="18"/>
                <w:szCs w:val="18"/>
                <w:color w:val="auto"/>
              </w:rPr>
            </w:pPr>
          </w:p>
        </w:tc>
        <w:tc>
          <w:tcPr>
            <w:tcW w:w="1160" w:type="dxa"/>
            <w:vAlign w:val="bottom"/>
            <w:tcBorders>
              <w:top w:val="single" w:sz="8" w:color="auto"/>
              <w:right w:val="single" w:sz="8" w:color="007CBA"/>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40" w:type="dxa"/>
            <w:vAlign w:val="bottom"/>
            <w:tcBorders>
              <w:top w:val="single" w:sz="8" w:color="auto"/>
              <w:right w:val="single" w:sz="8" w:color="007CBA"/>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8"/>
        </w:trPr>
        <w:tc>
          <w:tcPr>
            <w:tcW w:w="63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6360" w:type="dxa"/>
            <w:vAlign w:val="bottom"/>
            <w:tcBorders>
              <w:bottom w:val="single" w:sz="8" w:color="E5F1F8"/>
              <w:right w:val="single" w:sz="8" w:color="007CBA"/>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Current</w:t>
            </w:r>
          </w:p>
        </w:tc>
        <w:tc>
          <w:tcPr>
            <w:tcW w:w="48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35.1</w:t>
            </w:r>
          </w:p>
        </w:tc>
        <w:tc>
          <w:tcPr>
            <w:tcW w:w="48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18.7</w:t>
            </w:r>
          </w:p>
        </w:tc>
        <w:tc>
          <w:tcPr>
            <w:tcW w:w="48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21.0</w:t>
            </w:r>
          </w:p>
        </w:tc>
      </w:tr>
      <w:tr>
        <w:trPr>
          <w:trHeight w:val="215"/>
        </w:trPr>
        <w:tc>
          <w:tcPr>
            <w:tcW w:w="6360" w:type="dxa"/>
            <w:vAlign w:val="bottom"/>
          </w:tcPr>
          <w:p>
            <w:pPr>
              <w:ind w:left="300"/>
              <w:spacing w:after="0" w:line="215" w:lineRule="exact"/>
              <w:rPr>
                <w:sz w:val="20"/>
                <w:szCs w:val="20"/>
                <w:color w:val="auto"/>
              </w:rPr>
            </w:pPr>
            <w:r>
              <w:rPr>
                <w:rFonts w:ascii="Calibri" w:cs="Calibri" w:eastAsia="Calibri" w:hAnsi="Calibri"/>
                <w:sz w:val="18"/>
                <w:szCs w:val="18"/>
                <w:color w:val="auto"/>
              </w:rPr>
              <w:t>Deferred</w:t>
            </w:r>
          </w:p>
        </w:tc>
        <w:tc>
          <w:tcPr>
            <w:tcW w:w="480" w:type="dxa"/>
            <w:vAlign w:val="bottom"/>
          </w:tcPr>
          <w:p>
            <w:pPr>
              <w:spacing w:after="0"/>
              <w:rPr>
                <w:sz w:val="18"/>
                <w:szCs w:val="18"/>
                <w:color w:val="auto"/>
              </w:rPr>
            </w:pPr>
          </w:p>
        </w:tc>
        <w:tc>
          <w:tcPr>
            <w:tcW w:w="116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5.3</w:t>
            </w:r>
          </w:p>
        </w:tc>
        <w:tc>
          <w:tcPr>
            <w:tcW w:w="480" w:type="dxa"/>
            <w:vAlign w:val="bottom"/>
          </w:tcPr>
          <w:p>
            <w:pPr>
              <w:spacing w:after="0"/>
              <w:rPr>
                <w:sz w:val="18"/>
                <w:szCs w:val="18"/>
                <w:color w:val="auto"/>
              </w:rPr>
            </w:pP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6.5</w:t>
            </w:r>
          </w:p>
        </w:tc>
        <w:tc>
          <w:tcPr>
            <w:tcW w:w="480" w:type="dxa"/>
            <w:vAlign w:val="bottom"/>
          </w:tcPr>
          <w:p>
            <w:pPr>
              <w:spacing w:after="0"/>
              <w:rPr>
                <w:sz w:val="18"/>
                <w:szCs w:val="18"/>
                <w:color w:val="auto"/>
              </w:rPr>
            </w:pP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8.7</w:t>
            </w:r>
          </w:p>
        </w:tc>
      </w:tr>
      <w:tr>
        <w:trPr>
          <w:trHeight w:val="28"/>
        </w:trPr>
        <w:tc>
          <w:tcPr>
            <w:tcW w:w="6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2"/>
        </w:trPr>
        <w:tc>
          <w:tcPr>
            <w:tcW w:w="636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Total state income taxes</w:t>
            </w:r>
          </w:p>
        </w:tc>
        <w:tc>
          <w:tcPr>
            <w:tcW w:w="480" w:type="dxa"/>
            <w:vAlign w:val="bottom"/>
            <w:tcBorders>
              <w:bottom w:val="single" w:sz="8" w:color="E5F1F8"/>
            </w:tcBorders>
            <w:shd w:val="clear" w:color="auto" w:fill="E5F1F8"/>
          </w:tcPr>
          <w:p>
            <w:pPr>
              <w:spacing w:after="0"/>
              <w:rPr>
                <w:sz w:val="20"/>
                <w:szCs w:val="20"/>
                <w:color w:val="auto"/>
              </w:rPr>
            </w:pPr>
          </w:p>
        </w:tc>
        <w:tc>
          <w:tcPr>
            <w:tcW w:w="1160" w:type="dxa"/>
            <w:vAlign w:val="bottom"/>
            <w:tcBorders>
              <w:bottom w:val="single" w:sz="8" w:color="E5F1F8"/>
              <w:right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b w:val="1"/>
                <w:bCs w:val="1"/>
                <w:color w:val="auto"/>
              </w:rPr>
              <w:t>40.4</w:t>
            </w:r>
          </w:p>
        </w:tc>
        <w:tc>
          <w:tcPr>
            <w:tcW w:w="480" w:type="dxa"/>
            <w:vAlign w:val="bottom"/>
            <w:tcBorders>
              <w:bottom w:val="single" w:sz="8" w:color="E5F1F8"/>
            </w:tcBorders>
            <w:shd w:val="clear" w:color="auto" w:fill="E5F1F8"/>
          </w:tcPr>
          <w:p>
            <w:pPr>
              <w:spacing w:after="0"/>
              <w:rPr>
                <w:sz w:val="20"/>
                <w:szCs w:val="20"/>
                <w:color w:val="auto"/>
              </w:rPr>
            </w:pPr>
          </w:p>
        </w:tc>
        <w:tc>
          <w:tcPr>
            <w:tcW w:w="1140" w:type="dxa"/>
            <w:vAlign w:val="bottom"/>
            <w:tcBorders>
              <w:bottom w:val="single" w:sz="8" w:color="E5F1F8"/>
              <w:right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25.2</w:t>
            </w:r>
          </w:p>
        </w:tc>
        <w:tc>
          <w:tcPr>
            <w:tcW w:w="480" w:type="dxa"/>
            <w:vAlign w:val="bottom"/>
            <w:tcBorders>
              <w:bottom w:val="single" w:sz="8" w:color="E5F1F8"/>
            </w:tcBorders>
            <w:shd w:val="clear" w:color="auto" w:fill="E5F1F8"/>
          </w:tcPr>
          <w:p>
            <w:pPr>
              <w:spacing w:after="0"/>
              <w:rPr>
                <w:sz w:val="20"/>
                <w:szCs w:val="20"/>
                <w:color w:val="auto"/>
              </w:rPr>
            </w:pPr>
          </w:p>
        </w:tc>
        <w:tc>
          <w:tcPr>
            <w:tcW w:w="114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29.7</w:t>
            </w:r>
          </w:p>
        </w:tc>
      </w:tr>
      <w:tr>
        <w:trPr>
          <w:trHeight w:val="208"/>
        </w:trPr>
        <w:tc>
          <w:tcPr>
            <w:tcW w:w="636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color w:val="auto"/>
              </w:rPr>
              <w:t>Foreign income taxes:</w:t>
            </w:r>
          </w:p>
        </w:tc>
        <w:tc>
          <w:tcPr>
            <w:tcW w:w="480" w:type="dxa"/>
            <w:vAlign w:val="bottom"/>
            <w:tcBorders>
              <w:top w:val="single" w:sz="8" w:color="auto"/>
            </w:tcBorders>
          </w:tcPr>
          <w:p>
            <w:pPr>
              <w:spacing w:after="0"/>
              <w:rPr>
                <w:sz w:val="18"/>
                <w:szCs w:val="18"/>
                <w:color w:val="auto"/>
              </w:rPr>
            </w:pPr>
          </w:p>
        </w:tc>
        <w:tc>
          <w:tcPr>
            <w:tcW w:w="1160" w:type="dxa"/>
            <w:vAlign w:val="bottom"/>
            <w:tcBorders>
              <w:top w:val="single" w:sz="8" w:color="auto"/>
              <w:right w:val="single" w:sz="8" w:color="007CBA"/>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40" w:type="dxa"/>
            <w:vAlign w:val="bottom"/>
            <w:tcBorders>
              <w:top w:val="single" w:sz="8" w:color="auto"/>
              <w:right w:val="single" w:sz="8" w:color="007CBA"/>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8"/>
        </w:trPr>
        <w:tc>
          <w:tcPr>
            <w:tcW w:w="63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6360" w:type="dxa"/>
            <w:vAlign w:val="bottom"/>
            <w:tcBorders>
              <w:bottom w:val="single" w:sz="8" w:color="E5F1F8"/>
              <w:right w:val="single" w:sz="8" w:color="007CBA"/>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Current</w:t>
            </w:r>
          </w:p>
        </w:tc>
        <w:tc>
          <w:tcPr>
            <w:tcW w:w="48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1.2</w:t>
            </w:r>
          </w:p>
        </w:tc>
        <w:tc>
          <w:tcPr>
            <w:tcW w:w="48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48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1.2</w:t>
            </w:r>
          </w:p>
        </w:tc>
      </w:tr>
      <w:tr>
        <w:trPr>
          <w:trHeight w:val="215"/>
        </w:trPr>
        <w:tc>
          <w:tcPr>
            <w:tcW w:w="6360" w:type="dxa"/>
            <w:vAlign w:val="bottom"/>
          </w:tcPr>
          <w:p>
            <w:pPr>
              <w:ind w:left="300"/>
              <w:spacing w:after="0" w:line="215" w:lineRule="exact"/>
              <w:rPr>
                <w:sz w:val="20"/>
                <w:szCs w:val="20"/>
                <w:color w:val="auto"/>
              </w:rPr>
            </w:pPr>
            <w:r>
              <w:rPr>
                <w:rFonts w:ascii="Calibri" w:cs="Calibri" w:eastAsia="Calibri" w:hAnsi="Calibri"/>
                <w:sz w:val="18"/>
                <w:szCs w:val="18"/>
                <w:color w:val="auto"/>
              </w:rPr>
              <w:t>Deferred</w:t>
            </w:r>
          </w:p>
        </w:tc>
        <w:tc>
          <w:tcPr>
            <w:tcW w:w="480" w:type="dxa"/>
            <w:vAlign w:val="bottom"/>
          </w:tcPr>
          <w:p>
            <w:pPr>
              <w:spacing w:after="0"/>
              <w:rPr>
                <w:sz w:val="18"/>
                <w:szCs w:val="18"/>
                <w:color w:val="auto"/>
              </w:rPr>
            </w:pPr>
          </w:p>
        </w:tc>
        <w:tc>
          <w:tcPr>
            <w:tcW w:w="116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0.3</w:t>
            </w:r>
          </w:p>
        </w:tc>
        <w:tc>
          <w:tcPr>
            <w:tcW w:w="480" w:type="dxa"/>
            <w:vAlign w:val="bottom"/>
          </w:tcPr>
          <w:p>
            <w:pPr>
              <w:spacing w:after="0"/>
              <w:rPr>
                <w:sz w:val="18"/>
                <w:szCs w:val="18"/>
                <w:color w:val="auto"/>
              </w:rPr>
            </w:pP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0.3</w:t>
            </w:r>
          </w:p>
        </w:tc>
        <w:tc>
          <w:tcPr>
            <w:tcW w:w="480" w:type="dxa"/>
            <w:vAlign w:val="bottom"/>
          </w:tcPr>
          <w:p>
            <w:pPr>
              <w:spacing w:after="0"/>
              <w:rPr>
                <w:sz w:val="18"/>
                <w:szCs w:val="18"/>
                <w:color w:val="auto"/>
              </w:rPr>
            </w:pP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6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1"/>
        </w:trPr>
        <w:tc>
          <w:tcPr>
            <w:tcW w:w="636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Total foreign income taxes</w:t>
            </w:r>
          </w:p>
        </w:tc>
        <w:tc>
          <w:tcPr>
            <w:tcW w:w="480" w:type="dxa"/>
            <w:vAlign w:val="bottom"/>
            <w:tcBorders>
              <w:bottom w:val="single" w:sz="8" w:color="E5F1F8"/>
            </w:tcBorders>
            <w:shd w:val="clear" w:color="auto" w:fill="E5F1F8"/>
          </w:tcPr>
          <w:p>
            <w:pPr>
              <w:spacing w:after="0"/>
              <w:rPr>
                <w:sz w:val="20"/>
                <w:szCs w:val="20"/>
                <w:color w:val="auto"/>
              </w:rPr>
            </w:pPr>
          </w:p>
        </w:tc>
        <w:tc>
          <w:tcPr>
            <w:tcW w:w="1160" w:type="dxa"/>
            <w:vAlign w:val="bottom"/>
            <w:tcBorders>
              <w:bottom w:val="single" w:sz="8" w:color="E5F1F8"/>
              <w:right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b w:val="1"/>
                <w:bCs w:val="1"/>
                <w:color w:val="auto"/>
              </w:rPr>
              <w:t>1.5</w:t>
            </w:r>
          </w:p>
        </w:tc>
        <w:tc>
          <w:tcPr>
            <w:tcW w:w="480" w:type="dxa"/>
            <w:vAlign w:val="bottom"/>
            <w:tcBorders>
              <w:bottom w:val="single" w:sz="8" w:color="E5F1F8"/>
            </w:tcBorders>
            <w:shd w:val="clear" w:color="auto" w:fill="E5F1F8"/>
          </w:tcPr>
          <w:p>
            <w:pPr>
              <w:spacing w:after="0"/>
              <w:rPr>
                <w:sz w:val="20"/>
                <w:szCs w:val="20"/>
                <w:color w:val="auto"/>
              </w:rPr>
            </w:pPr>
          </w:p>
        </w:tc>
        <w:tc>
          <w:tcPr>
            <w:tcW w:w="1140" w:type="dxa"/>
            <w:vAlign w:val="bottom"/>
            <w:tcBorders>
              <w:bottom w:val="single" w:sz="8" w:color="E5F1F8"/>
              <w:right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0.3</w:t>
            </w:r>
          </w:p>
        </w:tc>
        <w:tc>
          <w:tcPr>
            <w:tcW w:w="480" w:type="dxa"/>
            <w:vAlign w:val="bottom"/>
            <w:tcBorders>
              <w:bottom w:val="single" w:sz="8" w:color="E5F1F8"/>
            </w:tcBorders>
            <w:shd w:val="clear" w:color="auto" w:fill="E5F1F8"/>
          </w:tcPr>
          <w:p>
            <w:pPr>
              <w:spacing w:after="0"/>
              <w:rPr>
                <w:sz w:val="20"/>
                <w:szCs w:val="20"/>
                <w:color w:val="auto"/>
              </w:rPr>
            </w:pPr>
          </w:p>
        </w:tc>
        <w:tc>
          <w:tcPr>
            <w:tcW w:w="114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1.2</w:t>
            </w:r>
          </w:p>
        </w:tc>
      </w:tr>
      <w:tr>
        <w:trPr>
          <w:trHeight w:val="208"/>
        </w:trPr>
        <w:tc>
          <w:tcPr>
            <w:tcW w:w="636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Income tax expense</w:t>
            </w:r>
          </w:p>
        </w:tc>
        <w:tc>
          <w:tcPr>
            <w:tcW w:w="48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234.8</w:t>
            </w:r>
          </w:p>
        </w:tc>
        <w:tc>
          <w:tcPr>
            <w:tcW w:w="48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153.2</w:t>
            </w:r>
          </w:p>
        </w:tc>
        <w:tc>
          <w:tcPr>
            <w:tcW w:w="48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168.2</w:t>
            </w:r>
          </w:p>
        </w:tc>
      </w:tr>
      <w:tr>
        <w:trPr>
          <w:trHeight w:val="28"/>
        </w:trPr>
        <w:tc>
          <w:tcPr>
            <w:tcW w:w="6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-2091055</wp:posOffset>
            </wp:positionV>
            <wp:extent cx="7132320" cy="16319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-1786890</wp:posOffset>
            </wp:positionV>
            <wp:extent cx="7132320" cy="4927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7132320" cy="492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-1152525</wp:posOffset>
            </wp:positionV>
            <wp:extent cx="7132320" cy="49276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7132320" cy="492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-518160</wp:posOffset>
            </wp:positionV>
            <wp:extent cx="7132320" cy="5308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7132320" cy="530860"/>
                    </a:xfrm>
                    <a:prstGeom prst="rect">
                      <a:avLst/>
                    </a:prstGeom>
                    <a:noFill/>
                  </pic:spPr>
                </pic:pic>
              </a:graphicData>
            </a:graphic>
          </wp:anchor>
        </w:drawing>
      </w:r>
    </w:p>
    <w:p>
      <w:pPr>
        <w:spacing w:after="0" w:line="133" w:lineRule="exact"/>
        <w:rPr>
          <w:sz w:val="20"/>
          <w:szCs w:val="20"/>
          <w:color w:val="auto"/>
        </w:rPr>
      </w:pPr>
    </w:p>
    <w:p>
      <w:pPr>
        <w:jc w:val="both"/>
        <w:ind w:right="60"/>
        <w:spacing w:after="0" w:line="235" w:lineRule="auto"/>
        <w:rPr>
          <w:sz w:val="20"/>
          <w:szCs w:val="20"/>
          <w:color w:val="auto"/>
        </w:rPr>
      </w:pPr>
      <w:r>
        <w:rPr>
          <w:rFonts w:ascii="Calibri" w:cs="Calibri" w:eastAsia="Calibri" w:hAnsi="Calibri"/>
          <w:sz w:val="18"/>
          <w:szCs w:val="18"/>
          <w:color w:val="auto"/>
        </w:rPr>
        <w:t>For the years ended December 31, 2022, 2021 and 2020, there was a foreign pretax loss of $2.3 million, and earnings of $7.5 million and $8.9 million, respectvely.</w:t>
      </w:r>
    </w:p>
    <w:p>
      <w:pPr>
        <w:spacing w:after="0" w:line="110"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The Company’s efectve income tax rate on contnuing operatons varied from the statutory United States income tax rate because of the following tax diferences: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36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1810" w:type="dxa"/>
            <w:vAlign w:val="bottom"/>
            <w:shd w:val="clear" w:color="auto" w:fill="007CBA"/>
          </w:tcPr>
          <w:p>
            <w:pPr>
              <w:jc w:val="right"/>
              <w:ind w:right="700"/>
              <w:spacing w:after="0"/>
              <w:rPr>
                <w:sz w:val="20"/>
                <w:szCs w:val="20"/>
                <w:color w:val="auto"/>
              </w:rPr>
            </w:pPr>
            <w:r>
              <w:rPr>
                <w:rFonts w:ascii="Calibri" w:cs="Calibri" w:eastAsia="Calibri" w:hAnsi="Calibri"/>
                <w:sz w:val="18"/>
                <w:szCs w:val="18"/>
                <w:b w:val="1"/>
                <w:bCs w:val="1"/>
                <w:color w:val="FFFFFF"/>
              </w:rPr>
              <w:t>2022</w:t>
            </w:r>
          </w:p>
        </w:tc>
        <w:tc>
          <w:tcPr>
            <w:tcW w:w="1810" w:type="dxa"/>
            <w:vAlign w:val="bottom"/>
            <w:shd w:val="clear" w:color="auto" w:fill="007CBA"/>
          </w:tcPr>
          <w:p>
            <w:pPr>
              <w:jc w:val="right"/>
              <w:ind w:right="870"/>
              <w:spacing w:after="0"/>
              <w:rPr>
                <w:sz w:val="20"/>
                <w:szCs w:val="20"/>
                <w:color w:val="auto"/>
              </w:rPr>
            </w:pPr>
            <w:r>
              <w:rPr>
                <w:rFonts w:ascii="Calibri" w:cs="Calibri" w:eastAsia="Calibri" w:hAnsi="Calibri"/>
                <w:sz w:val="18"/>
                <w:szCs w:val="18"/>
                <w:color w:val="FFFFFF"/>
              </w:rPr>
              <w:t>2021</w:t>
            </w:r>
          </w:p>
        </w:tc>
        <w:tc>
          <w:tcPr>
            <w:tcW w:w="1260" w:type="dxa"/>
            <w:vAlign w:val="bottom"/>
            <w:shd w:val="clear" w:color="auto" w:fill="007CBA"/>
          </w:tcPr>
          <w:p>
            <w:pPr>
              <w:jc w:val="right"/>
              <w:ind w:right="510"/>
              <w:spacing w:after="0"/>
              <w:rPr>
                <w:sz w:val="20"/>
                <w:szCs w:val="20"/>
                <w:color w:val="auto"/>
              </w:rPr>
            </w:pPr>
            <w:r>
              <w:rPr>
                <w:rFonts w:ascii="Calibri" w:cs="Calibri" w:eastAsia="Calibri" w:hAnsi="Calibri"/>
                <w:sz w:val="18"/>
                <w:szCs w:val="18"/>
                <w:color w:val="FFFFFF"/>
              </w:rPr>
              <w:t>2020</w:t>
            </w:r>
          </w:p>
        </w:tc>
        <w:tc>
          <w:tcPr>
            <w:tcW w:w="40" w:type="dxa"/>
            <w:vAlign w:val="bottom"/>
          </w:tcPr>
          <w:p>
            <w:pPr>
              <w:spacing w:after="0"/>
              <w:rPr>
                <w:sz w:val="21"/>
                <w:szCs w:val="21"/>
                <w:color w:val="auto"/>
              </w:rPr>
            </w:pPr>
          </w:p>
        </w:tc>
      </w:tr>
      <w:tr>
        <w:trPr>
          <w:trHeight w:val="215"/>
        </w:trPr>
        <w:tc>
          <w:tcPr>
            <w:tcW w:w="63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Statutory income tax rate</w:t>
            </w:r>
          </w:p>
        </w:tc>
        <w:tc>
          <w:tcPr>
            <w:tcW w:w="1810" w:type="dxa"/>
            <w:vAlign w:val="bottom"/>
          </w:tcPr>
          <w:p>
            <w:pPr>
              <w:jc w:val="right"/>
              <w:ind w:right="80"/>
              <w:spacing w:after="0" w:line="215" w:lineRule="exact"/>
              <w:rPr>
                <w:sz w:val="20"/>
                <w:szCs w:val="20"/>
                <w:color w:val="auto"/>
              </w:rPr>
            </w:pPr>
            <w:r>
              <w:rPr>
                <w:rFonts w:ascii="Calibri" w:cs="Calibri" w:eastAsia="Calibri" w:hAnsi="Calibri"/>
                <w:sz w:val="18"/>
                <w:szCs w:val="18"/>
                <w:b w:val="1"/>
                <w:bCs w:val="1"/>
                <w:color w:val="auto"/>
              </w:rPr>
              <w:t>21.0 %</w:t>
            </w:r>
          </w:p>
        </w:tc>
        <w:tc>
          <w:tcPr>
            <w:tcW w:w="1810" w:type="dxa"/>
            <w:vAlign w:val="bottom"/>
          </w:tcPr>
          <w:p>
            <w:pPr>
              <w:jc w:val="right"/>
              <w:ind w:right="230"/>
              <w:spacing w:after="0" w:line="215" w:lineRule="exact"/>
              <w:rPr>
                <w:sz w:val="20"/>
                <w:szCs w:val="20"/>
                <w:color w:val="auto"/>
              </w:rPr>
            </w:pPr>
            <w:r>
              <w:rPr>
                <w:rFonts w:ascii="Calibri" w:cs="Calibri" w:eastAsia="Calibri" w:hAnsi="Calibri"/>
                <w:sz w:val="18"/>
                <w:szCs w:val="18"/>
                <w:color w:val="auto"/>
              </w:rPr>
              <w:t>21.0 %</w:t>
            </w:r>
          </w:p>
        </w:tc>
        <w:tc>
          <w:tcPr>
            <w:tcW w:w="13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21.0 %</w:t>
            </w:r>
          </w:p>
        </w:tc>
      </w:tr>
      <w:tr>
        <w:trPr>
          <w:trHeight w:val="28"/>
        </w:trPr>
        <w:tc>
          <w:tcPr>
            <w:tcW w:w="6360" w:type="dxa"/>
            <w:vAlign w:val="bottom"/>
            <w:tcBorders>
              <w:right w:val="single" w:sz="8" w:color="007CBA"/>
            </w:tcBorders>
          </w:tcPr>
          <w:p>
            <w:pPr>
              <w:spacing w:after="0"/>
              <w:rPr>
                <w:sz w:val="2"/>
                <w:szCs w:val="2"/>
                <w:color w:val="auto"/>
              </w:rPr>
            </w:pPr>
          </w:p>
        </w:tc>
        <w:tc>
          <w:tcPr>
            <w:tcW w:w="1810" w:type="dxa"/>
            <w:vAlign w:val="bottom"/>
          </w:tcPr>
          <w:p>
            <w:pPr>
              <w:spacing w:after="0"/>
              <w:rPr>
                <w:sz w:val="2"/>
                <w:szCs w:val="2"/>
                <w:color w:val="auto"/>
              </w:rPr>
            </w:pPr>
          </w:p>
        </w:tc>
        <w:tc>
          <w:tcPr>
            <w:tcW w:w="181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636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(Reducton) increase resultng from:</w:t>
            </w:r>
          </w:p>
        </w:tc>
        <w:tc>
          <w:tcPr>
            <w:tcW w:w="1810" w:type="dxa"/>
            <w:vAlign w:val="bottom"/>
            <w:tcBorders>
              <w:bottom w:val="single" w:sz="8" w:color="E5F1F8"/>
            </w:tcBorders>
            <w:shd w:val="clear" w:color="auto" w:fill="E5F1F8"/>
          </w:tcPr>
          <w:p>
            <w:pPr>
              <w:spacing w:after="0"/>
              <w:rPr>
                <w:sz w:val="19"/>
                <w:szCs w:val="19"/>
                <w:color w:val="auto"/>
              </w:rPr>
            </w:pPr>
          </w:p>
        </w:tc>
        <w:tc>
          <w:tcPr>
            <w:tcW w:w="1810" w:type="dxa"/>
            <w:vAlign w:val="bottom"/>
            <w:tcBorders>
              <w:bottom w:val="single" w:sz="8" w:color="E5F1F8"/>
            </w:tcBorders>
            <w:shd w:val="clear" w:color="auto" w:fill="E5F1F8"/>
          </w:tcPr>
          <w:p>
            <w:pPr>
              <w:spacing w:after="0"/>
              <w:rPr>
                <w:sz w:val="19"/>
                <w:szCs w:val="19"/>
                <w:color w:val="auto"/>
              </w:rPr>
            </w:pPr>
          </w:p>
        </w:tc>
        <w:tc>
          <w:tcPr>
            <w:tcW w:w="1260" w:type="dxa"/>
            <w:vAlign w:val="bottom"/>
            <w:tcBorders>
              <w:bottom w:val="single" w:sz="8" w:color="E5F1F8"/>
            </w:tcBorders>
            <w:shd w:val="clear" w:color="auto" w:fill="E5F1F8"/>
          </w:tcPr>
          <w:p>
            <w:pPr>
              <w:spacing w:after="0"/>
              <w:rPr>
                <w:sz w:val="19"/>
                <w:szCs w:val="19"/>
                <w:color w:val="auto"/>
              </w:rPr>
            </w:pPr>
          </w:p>
        </w:tc>
        <w:tc>
          <w:tcPr>
            <w:tcW w:w="40" w:type="dxa"/>
            <w:vAlign w:val="bottom"/>
          </w:tcPr>
          <w:p>
            <w:pPr>
              <w:spacing w:after="0"/>
              <w:rPr>
                <w:sz w:val="19"/>
                <w:szCs w:val="19"/>
                <w:color w:val="auto"/>
              </w:rPr>
            </w:pPr>
          </w:p>
        </w:tc>
      </w:tr>
      <w:tr>
        <w:trPr>
          <w:trHeight w:val="215"/>
        </w:trPr>
        <w:tc>
          <w:tcPr>
            <w:tcW w:w="6360" w:type="dxa"/>
            <w:vAlign w:val="bottom"/>
            <w:tcBorders>
              <w:right w:val="single" w:sz="8" w:color="007CBA"/>
            </w:tcBorders>
          </w:tcPr>
          <w:p>
            <w:pPr>
              <w:ind w:left="200"/>
              <w:spacing w:after="0" w:line="215" w:lineRule="exact"/>
              <w:rPr>
                <w:sz w:val="20"/>
                <w:szCs w:val="20"/>
                <w:color w:val="auto"/>
              </w:rPr>
            </w:pPr>
            <w:r>
              <w:rPr>
                <w:rFonts w:ascii="Calibri" w:cs="Calibri" w:eastAsia="Calibri" w:hAnsi="Calibri"/>
                <w:sz w:val="18"/>
                <w:szCs w:val="18"/>
                <w:color w:val="auto"/>
              </w:rPr>
              <w:t>Efect of statutory depleton</w:t>
            </w:r>
          </w:p>
        </w:tc>
        <w:tc>
          <w:tcPr>
            <w:tcW w:w="1810" w:type="dxa"/>
            <w:vAlign w:val="bottom"/>
          </w:tcPr>
          <w:p>
            <w:pPr>
              <w:jc w:val="right"/>
              <w:ind w:right="140"/>
              <w:spacing w:after="0" w:line="215" w:lineRule="exact"/>
              <w:rPr>
                <w:sz w:val="20"/>
                <w:szCs w:val="20"/>
                <w:color w:val="auto"/>
              </w:rPr>
            </w:pPr>
            <w:r>
              <w:rPr>
                <w:rFonts w:ascii="Calibri" w:cs="Calibri" w:eastAsia="Calibri" w:hAnsi="Calibri"/>
                <w:sz w:val="18"/>
                <w:szCs w:val="18"/>
                <w:b w:val="1"/>
                <w:bCs w:val="1"/>
                <w:color w:val="auto"/>
              </w:rPr>
              <w:t>(2.4 )</w:t>
            </w:r>
          </w:p>
        </w:tc>
        <w:tc>
          <w:tcPr>
            <w:tcW w:w="1810" w:type="dxa"/>
            <w:vAlign w:val="bottom"/>
          </w:tcPr>
          <w:p>
            <w:pPr>
              <w:jc w:val="right"/>
              <w:ind w:right="290"/>
              <w:spacing w:after="0" w:line="215" w:lineRule="exact"/>
              <w:rPr>
                <w:sz w:val="20"/>
                <w:szCs w:val="20"/>
                <w:color w:val="auto"/>
              </w:rPr>
            </w:pPr>
            <w:r>
              <w:rPr>
                <w:rFonts w:ascii="Calibri" w:cs="Calibri" w:eastAsia="Calibri" w:hAnsi="Calibri"/>
                <w:sz w:val="18"/>
                <w:szCs w:val="18"/>
                <w:color w:val="auto"/>
              </w:rPr>
              <w:t>(3.5 )</w:t>
            </w: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(2.8 )</w:t>
            </w:r>
          </w:p>
        </w:tc>
        <w:tc>
          <w:tcPr>
            <w:tcW w:w="40" w:type="dxa"/>
            <w:vAlign w:val="bottom"/>
          </w:tcPr>
          <w:p>
            <w:pPr>
              <w:spacing w:after="0"/>
              <w:rPr>
                <w:sz w:val="18"/>
                <w:szCs w:val="18"/>
                <w:color w:val="auto"/>
              </w:rPr>
            </w:pPr>
          </w:p>
        </w:tc>
      </w:tr>
      <w:tr>
        <w:trPr>
          <w:trHeight w:val="28"/>
        </w:trPr>
        <w:tc>
          <w:tcPr>
            <w:tcW w:w="6360" w:type="dxa"/>
            <w:vAlign w:val="bottom"/>
            <w:tcBorders>
              <w:right w:val="single" w:sz="8" w:color="007CBA"/>
            </w:tcBorders>
          </w:tcPr>
          <w:p>
            <w:pPr>
              <w:spacing w:after="0"/>
              <w:rPr>
                <w:sz w:val="2"/>
                <w:szCs w:val="2"/>
                <w:color w:val="auto"/>
              </w:rPr>
            </w:pPr>
          </w:p>
        </w:tc>
        <w:tc>
          <w:tcPr>
            <w:tcW w:w="1810" w:type="dxa"/>
            <w:vAlign w:val="bottom"/>
          </w:tcPr>
          <w:p>
            <w:pPr>
              <w:spacing w:after="0"/>
              <w:rPr>
                <w:sz w:val="2"/>
                <w:szCs w:val="2"/>
                <w:color w:val="auto"/>
              </w:rPr>
            </w:pPr>
          </w:p>
        </w:tc>
        <w:tc>
          <w:tcPr>
            <w:tcW w:w="181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6360" w:type="dxa"/>
            <w:vAlign w:val="bottom"/>
            <w:tcBorders>
              <w:bottom w:val="single" w:sz="8" w:color="E5F1F8"/>
              <w:right w:val="single" w:sz="8" w:color="007CBA"/>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State income taxes, net of federal tax beneft</w:t>
            </w:r>
          </w:p>
        </w:tc>
        <w:tc>
          <w:tcPr>
            <w:tcW w:w="1810" w:type="dxa"/>
            <w:vAlign w:val="bottom"/>
            <w:tcBorders>
              <w:bottom w:val="single" w:sz="8" w:color="E5F1F8"/>
            </w:tcBorders>
            <w:shd w:val="clear" w:color="auto" w:fill="E5F1F8"/>
          </w:tcPr>
          <w:p>
            <w:pPr>
              <w:jc w:val="right"/>
              <w:ind w:right="220"/>
              <w:spacing w:after="0" w:line="215" w:lineRule="exact"/>
              <w:rPr>
                <w:sz w:val="20"/>
                <w:szCs w:val="20"/>
                <w:color w:val="auto"/>
              </w:rPr>
            </w:pPr>
            <w:r>
              <w:rPr>
                <w:rFonts w:ascii="Calibri" w:cs="Calibri" w:eastAsia="Calibri" w:hAnsi="Calibri"/>
                <w:sz w:val="18"/>
                <w:szCs w:val="18"/>
                <w:b w:val="1"/>
                <w:bCs w:val="1"/>
                <w:color w:val="auto"/>
              </w:rPr>
              <w:t>2.9</w:t>
            </w:r>
          </w:p>
        </w:tc>
        <w:tc>
          <w:tcPr>
            <w:tcW w:w="1810" w:type="dxa"/>
            <w:vAlign w:val="bottom"/>
            <w:tcBorders>
              <w:bottom w:val="single" w:sz="8" w:color="E5F1F8"/>
            </w:tcBorders>
            <w:shd w:val="clear" w:color="auto" w:fill="E5F1F8"/>
          </w:tcPr>
          <w:p>
            <w:pPr>
              <w:jc w:val="right"/>
              <w:ind w:right="370"/>
              <w:spacing w:after="0" w:line="215" w:lineRule="exact"/>
              <w:rPr>
                <w:sz w:val="20"/>
                <w:szCs w:val="20"/>
                <w:color w:val="auto"/>
              </w:rPr>
            </w:pPr>
            <w:r>
              <w:rPr>
                <w:rFonts w:ascii="Calibri" w:cs="Calibri" w:eastAsia="Calibri" w:hAnsi="Calibri"/>
                <w:sz w:val="18"/>
                <w:szCs w:val="18"/>
                <w:color w:val="auto"/>
              </w:rPr>
              <w:t>2.3</w:t>
            </w:r>
          </w:p>
        </w:tc>
        <w:tc>
          <w:tcPr>
            <w:tcW w:w="12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2.6</w:t>
            </w:r>
          </w:p>
        </w:tc>
        <w:tc>
          <w:tcPr>
            <w:tcW w:w="40" w:type="dxa"/>
            <w:vAlign w:val="bottom"/>
          </w:tcPr>
          <w:p>
            <w:pPr>
              <w:spacing w:after="0"/>
              <w:rPr>
                <w:sz w:val="19"/>
                <w:szCs w:val="19"/>
                <w:color w:val="auto"/>
              </w:rPr>
            </w:pPr>
          </w:p>
        </w:tc>
      </w:tr>
      <w:tr>
        <w:trPr>
          <w:trHeight w:val="243"/>
        </w:trPr>
        <w:tc>
          <w:tcPr>
            <w:tcW w:w="6360" w:type="dxa"/>
            <w:vAlign w:val="bottom"/>
            <w:tcBorders>
              <w:right w:val="single" w:sz="8" w:color="007CBA"/>
            </w:tcBorders>
          </w:tcPr>
          <w:p>
            <w:pPr>
              <w:ind w:left="200"/>
              <w:spacing w:after="0" w:line="215" w:lineRule="exact"/>
              <w:rPr>
                <w:sz w:val="20"/>
                <w:szCs w:val="20"/>
                <w:color w:val="auto"/>
              </w:rPr>
            </w:pPr>
            <w:r>
              <w:rPr>
                <w:rFonts w:ascii="Calibri" w:cs="Calibri" w:eastAsia="Calibri" w:hAnsi="Calibri"/>
                <w:sz w:val="18"/>
                <w:szCs w:val="18"/>
                <w:color w:val="auto"/>
              </w:rPr>
              <w:t>Federal tax credits</w:t>
            </w:r>
          </w:p>
        </w:tc>
        <w:tc>
          <w:tcPr>
            <w:tcW w:w="1810" w:type="dxa"/>
            <w:vAlign w:val="bottom"/>
          </w:tcPr>
          <w:p>
            <w:pPr>
              <w:jc w:val="right"/>
              <w:ind w:right="140"/>
              <w:spacing w:after="0" w:line="215" w:lineRule="exact"/>
              <w:rPr>
                <w:sz w:val="20"/>
                <w:szCs w:val="20"/>
                <w:color w:val="auto"/>
              </w:rPr>
            </w:pPr>
            <w:r>
              <w:rPr>
                <w:rFonts w:ascii="Calibri" w:cs="Calibri" w:eastAsia="Calibri" w:hAnsi="Calibri"/>
                <w:sz w:val="18"/>
                <w:szCs w:val="18"/>
                <w:b w:val="1"/>
                <w:bCs w:val="1"/>
                <w:color w:val="auto"/>
              </w:rPr>
              <w:t>(0.9 )</w:t>
            </w:r>
          </w:p>
        </w:tc>
        <w:tc>
          <w:tcPr>
            <w:tcW w:w="1810" w:type="dxa"/>
            <w:vAlign w:val="bottom"/>
          </w:tcPr>
          <w:p>
            <w:pPr>
              <w:jc w:val="right"/>
              <w:ind w:right="290"/>
              <w:spacing w:after="0" w:line="215" w:lineRule="exact"/>
              <w:rPr>
                <w:sz w:val="20"/>
                <w:szCs w:val="20"/>
                <w:color w:val="auto"/>
              </w:rPr>
            </w:pPr>
            <w:r>
              <w:rPr>
                <w:rFonts w:ascii="Calibri" w:cs="Calibri" w:eastAsia="Calibri" w:hAnsi="Calibri"/>
                <w:sz w:val="18"/>
                <w:szCs w:val="18"/>
                <w:color w:val="auto"/>
              </w:rPr>
              <w:t>(1.4 )</w:t>
            </w: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(1.3 )</w:t>
            </w:r>
          </w:p>
        </w:tc>
        <w:tc>
          <w:tcPr>
            <w:tcW w:w="40" w:type="dxa"/>
            <w:vAlign w:val="bottom"/>
          </w:tcPr>
          <w:p>
            <w:pPr>
              <w:spacing w:after="0"/>
              <w:rPr>
                <w:sz w:val="21"/>
                <w:szCs w:val="21"/>
                <w:color w:val="auto"/>
              </w:rPr>
            </w:pPr>
          </w:p>
        </w:tc>
      </w:tr>
      <w:tr>
        <w:trPr>
          <w:trHeight w:val="223"/>
        </w:trPr>
        <w:tc>
          <w:tcPr>
            <w:tcW w:w="6360" w:type="dxa"/>
            <w:vAlign w:val="bottom"/>
            <w:tcBorders>
              <w:bottom w:val="single" w:sz="8" w:color="E5F1F8"/>
              <w:right w:val="single" w:sz="8" w:color="E5F1F8"/>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Other items</w:t>
            </w:r>
          </w:p>
        </w:tc>
        <w:tc>
          <w:tcPr>
            <w:tcW w:w="1810" w:type="dxa"/>
            <w:vAlign w:val="bottom"/>
            <w:tcBorders>
              <w:bottom w:val="single" w:sz="8" w:color="E5F1F8"/>
            </w:tcBorders>
            <w:shd w:val="clear" w:color="auto" w:fill="E5F1F8"/>
          </w:tcPr>
          <w:p>
            <w:pPr>
              <w:jc w:val="right"/>
              <w:ind w:right="220"/>
              <w:spacing w:after="0" w:line="215" w:lineRule="exact"/>
              <w:rPr>
                <w:sz w:val="20"/>
                <w:szCs w:val="20"/>
                <w:color w:val="auto"/>
              </w:rPr>
            </w:pPr>
            <w:r>
              <w:rPr>
                <w:rFonts w:ascii="Calibri" w:cs="Calibri" w:eastAsia="Calibri" w:hAnsi="Calibri"/>
                <w:sz w:val="18"/>
                <w:szCs w:val="18"/>
                <w:b w:val="1"/>
                <w:bCs w:val="1"/>
                <w:color w:val="auto"/>
              </w:rPr>
              <w:t>0.9</w:t>
            </w:r>
          </w:p>
        </w:tc>
        <w:tc>
          <w:tcPr>
            <w:tcW w:w="1810" w:type="dxa"/>
            <w:vAlign w:val="bottom"/>
            <w:tcBorders>
              <w:bottom w:val="single" w:sz="8" w:color="E5F1F8"/>
            </w:tcBorders>
            <w:shd w:val="clear" w:color="auto" w:fill="E5F1F8"/>
          </w:tcPr>
          <w:p>
            <w:pPr>
              <w:jc w:val="right"/>
              <w:ind w:right="290"/>
              <w:spacing w:after="0" w:line="215" w:lineRule="exact"/>
              <w:rPr>
                <w:sz w:val="20"/>
                <w:szCs w:val="20"/>
                <w:color w:val="auto"/>
              </w:rPr>
            </w:pPr>
            <w:r>
              <w:rPr>
                <w:rFonts w:ascii="Calibri" w:cs="Calibri" w:eastAsia="Calibri" w:hAnsi="Calibri"/>
                <w:sz w:val="18"/>
                <w:szCs w:val="18"/>
                <w:color w:val="auto"/>
              </w:rPr>
              <w:t>(0.5 )</w:t>
            </w:r>
          </w:p>
        </w:tc>
        <w:tc>
          <w:tcPr>
            <w:tcW w:w="12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(0.6 )</w:t>
            </w:r>
          </w:p>
        </w:tc>
        <w:tc>
          <w:tcPr>
            <w:tcW w:w="40" w:type="dxa"/>
            <w:vAlign w:val="bottom"/>
          </w:tcPr>
          <w:p>
            <w:pPr>
              <w:spacing w:after="0"/>
              <w:rPr>
                <w:sz w:val="19"/>
                <w:szCs w:val="19"/>
                <w:color w:val="auto"/>
              </w:rPr>
            </w:pPr>
          </w:p>
        </w:tc>
      </w:tr>
      <w:tr>
        <w:trPr>
          <w:trHeight w:val="20"/>
        </w:trPr>
        <w:tc>
          <w:tcPr>
            <w:tcW w:w="6360" w:type="dxa"/>
            <w:vAlign w:val="bottom"/>
            <w:tcBorders>
              <w:right w:val="single" w:sz="8" w:color="auto"/>
            </w:tcBorders>
            <w:shd w:val="clear" w:color="auto" w:fill="000000"/>
          </w:tcPr>
          <w:p>
            <w:pPr>
              <w:spacing w:after="0" w:line="20" w:lineRule="exact"/>
              <w:rPr>
                <w:sz w:val="1"/>
                <w:szCs w:val="1"/>
                <w:color w:val="auto"/>
              </w:rPr>
            </w:pPr>
          </w:p>
        </w:tc>
        <w:tc>
          <w:tcPr>
            <w:tcW w:w="1810" w:type="dxa"/>
            <w:vAlign w:val="bottom"/>
            <w:shd w:val="clear" w:color="auto" w:fill="000000"/>
          </w:tcPr>
          <w:p>
            <w:pPr>
              <w:spacing w:after="0" w:line="20" w:lineRule="exact"/>
              <w:rPr>
                <w:sz w:val="1"/>
                <w:szCs w:val="1"/>
                <w:color w:val="auto"/>
              </w:rPr>
            </w:pPr>
          </w:p>
        </w:tc>
        <w:tc>
          <w:tcPr>
            <w:tcW w:w="181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6360" w:type="dxa"/>
            <w:vAlign w:val="bottom"/>
          </w:tcPr>
          <w:p>
            <w:pPr>
              <w:ind w:left="120"/>
              <w:spacing w:after="0" w:line="208" w:lineRule="exact"/>
              <w:rPr>
                <w:sz w:val="20"/>
                <w:szCs w:val="20"/>
                <w:color w:val="auto"/>
              </w:rPr>
            </w:pPr>
            <w:r>
              <w:rPr>
                <w:rFonts w:ascii="Calibri" w:cs="Calibri" w:eastAsia="Calibri" w:hAnsi="Calibri"/>
                <w:sz w:val="18"/>
                <w:szCs w:val="18"/>
                <w:color w:val="auto"/>
              </w:rPr>
              <w:t>Efectve income tax rate</w:t>
            </w:r>
          </w:p>
        </w:tc>
        <w:tc>
          <w:tcPr>
            <w:tcW w:w="1810" w:type="dxa"/>
            <w:vAlign w:val="bottom"/>
          </w:tcPr>
          <w:p>
            <w:pPr>
              <w:jc w:val="right"/>
              <w:ind w:right="80"/>
              <w:spacing w:after="0" w:line="208" w:lineRule="exact"/>
              <w:rPr>
                <w:sz w:val="20"/>
                <w:szCs w:val="20"/>
                <w:color w:val="auto"/>
              </w:rPr>
            </w:pPr>
            <w:r>
              <w:rPr>
                <w:rFonts w:ascii="Calibri" w:cs="Calibri" w:eastAsia="Calibri" w:hAnsi="Calibri"/>
                <w:sz w:val="18"/>
                <w:szCs w:val="18"/>
                <w:b w:val="1"/>
                <w:bCs w:val="1"/>
                <w:color w:val="auto"/>
              </w:rPr>
              <w:t>21.5 %</w:t>
            </w:r>
          </w:p>
        </w:tc>
        <w:tc>
          <w:tcPr>
            <w:tcW w:w="1810" w:type="dxa"/>
            <w:vAlign w:val="bottom"/>
          </w:tcPr>
          <w:p>
            <w:pPr>
              <w:jc w:val="right"/>
              <w:ind w:right="230"/>
              <w:spacing w:after="0" w:line="208" w:lineRule="exact"/>
              <w:rPr>
                <w:sz w:val="20"/>
                <w:szCs w:val="20"/>
                <w:color w:val="auto"/>
              </w:rPr>
            </w:pPr>
            <w:r>
              <w:rPr>
                <w:rFonts w:ascii="Calibri" w:cs="Calibri" w:eastAsia="Calibri" w:hAnsi="Calibri"/>
                <w:sz w:val="18"/>
                <w:szCs w:val="18"/>
                <w:color w:val="auto"/>
              </w:rPr>
              <w:t>17.9 %</w:t>
            </w:r>
          </w:p>
        </w:tc>
        <w:tc>
          <w:tcPr>
            <w:tcW w:w="1300" w:type="dxa"/>
            <w:vAlign w:val="bottom"/>
            <w:gridSpan w:val="2"/>
          </w:tcPr>
          <w:p>
            <w:pPr>
              <w:jc w:val="right"/>
              <w:spacing w:after="0" w:line="208" w:lineRule="exact"/>
              <w:rPr>
                <w:sz w:val="20"/>
                <w:szCs w:val="20"/>
                <w:color w:val="auto"/>
              </w:rPr>
            </w:pPr>
            <w:r>
              <w:rPr>
                <w:rFonts w:ascii="Calibri" w:cs="Calibri" w:eastAsia="Calibri" w:hAnsi="Calibri"/>
                <w:sz w:val="18"/>
                <w:szCs w:val="18"/>
                <w:color w:val="auto"/>
              </w:rPr>
              <w:t>18.9 %</w:t>
            </w:r>
          </w:p>
        </w:tc>
      </w:tr>
      <w:tr>
        <w:trPr>
          <w:trHeight w:val="28"/>
        </w:trPr>
        <w:tc>
          <w:tcPr>
            <w:tcW w:w="6360" w:type="dxa"/>
            <w:vAlign w:val="bottom"/>
            <w:tcBorders>
              <w:bottom w:val="single" w:sz="8" w:color="auto"/>
            </w:tcBorders>
          </w:tcPr>
          <w:p>
            <w:pPr>
              <w:spacing w:after="0"/>
              <w:rPr>
                <w:sz w:val="2"/>
                <w:szCs w:val="2"/>
                <w:color w:val="auto"/>
              </w:rPr>
            </w:pPr>
          </w:p>
        </w:tc>
        <w:tc>
          <w:tcPr>
            <w:tcW w:w="1810" w:type="dxa"/>
            <w:vAlign w:val="bottom"/>
            <w:tcBorders>
              <w:bottom w:val="single" w:sz="8" w:color="auto"/>
            </w:tcBorders>
          </w:tcPr>
          <w:p>
            <w:pPr>
              <w:spacing w:after="0"/>
              <w:rPr>
                <w:sz w:val="2"/>
                <w:szCs w:val="2"/>
                <w:color w:val="auto"/>
              </w:rPr>
            </w:pPr>
          </w:p>
        </w:tc>
        <w:tc>
          <w:tcPr>
            <w:tcW w:w="181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1810" w:type="dxa"/>
            <w:vAlign w:val="bottom"/>
            <w:tcBorders>
              <w:bottom w:val="single" w:sz="8" w:color="auto"/>
            </w:tcBorders>
          </w:tcPr>
          <w:p>
            <w:pPr>
              <w:spacing w:after="0" w:line="20" w:lineRule="exact"/>
              <w:rPr>
                <w:sz w:val="1"/>
                <w:szCs w:val="1"/>
                <w:color w:val="auto"/>
              </w:rPr>
            </w:pPr>
          </w:p>
        </w:tc>
        <w:tc>
          <w:tcPr>
            <w:tcW w:w="181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-1113790</wp:posOffset>
            </wp:positionV>
            <wp:extent cx="7132320" cy="112712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7132320" cy="1127125"/>
                    </a:xfrm>
                    <a:prstGeom prst="rect">
                      <a:avLst/>
                    </a:prstGeom>
                    <a:noFill/>
                  </pic:spPr>
                </pic:pic>
              </a:graphicData>
            </a:graphic>
          </wp:anchor>
        </w:drawing>
      </w:r>
    </w:p>
    <w:p>
      <w:pPr>
        <w:spacing w:after="0" w:line="147"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The higher 2022 efectve tax rate versus 2021 and 2020 was primarily driven by the impact of the divestture of the Colorado and Central Texas ready mixed concrete businesses.</w:t>
      </w:r>
    </w:p>
    <w:p>
      <w:pPr>
        <w:spacing w:after="0" w:line="110"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The statutory depleton deducton for all years is calculated as a percentage of sales, subject to certain limitatons. Due to these limitatons, the impact of changes in the sales volumes and earnings may not proportonately afect the Company’s statutory depleton deducton and the corresponding impact on the efectve income tax rate.</w:t>
      </w:r>
    </w:p>
    <w:p>
      <w:pPr>
        <w:spacing w:after="0" w:line="111"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In 2022, 2021 and 2020, the Company fnanced third-party railroad track maintenance. In exchange, the Company received federal income tax credits and tax deductons.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6751320</wp:posOffset>
            </wp:positionH>
            <wp:positionV relativeFrom="paragraph">
              <wp:posOffset>92710</wp:posOffset>
            </wp:positionV>
            <wp:extent cx="325755" cy="1968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22" w:right="29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308"/>
        </w:trPr>
        <w:tc>
          <w:tcPr>
            <w:tcW w:w="6600" w:type="dxa"/>
            <w:vAlign w:val="bottom"/>
          </w:tcPr>
          <w:p>
            <w:pPr>
              <w:spacing w:after="0"/>
              <w:rPr>
                <w:sz w:val="24"/>
                <w:szCs w:val="24"/>
                <w:color w:val="auto"/>
              </w:rPr>
            </w:pPr>
          </w:p>
        </w:tc>
        <w:tc>
          <w:tcPr>
            <w:tcW w:w="4660" w:type="dxa"/>
            <w:vAlign w:val="bottom"/>
            <w:gridSpan w:val="6"/>
          </w:tcPr>
          <w:p>
            <w:pPr>
              <w:ind w:left="40"/>
              <w:spacing w:after="0"/>
              <w:rPr>
                <w:sz w:val="20"/>
                <w:szCs w:val="20"/>
                <w:color w:val="auto"/>
              </w:rPr>
            </w:pPr>
            <w:r>
              <w:rPr>
                <w:rFonts w:ascii="Calibri" w:cs="Calibri" w:eastAsia="Calibri" w:hAnsi="Calibri"/>
                <w:sz w:val="18"/>
                <w:szCs w:val="18"/>
                <w:color w:val="auto"/>
                <w:w w:val="98"/>
              </w:rPr>
              <w:t xml:space="preserve">Part II </w:t>
            </w:r>
            <w:r>
              <w:rPr>
                <w:rFonts w:ascii="Arial" w:cs="Arial" w:eastAsia="Arial" w:hAnsi="Arial"/>
                <w:sz w:val="23"/>
                <w:szCs w:val="23"/>
                <w:color w:val="0070C0"/>
                <w:w w:val="98"/>
              </w:rPr>
              <w:t>♦</w:t>
            </w:r>
            <w:r>
              <w:rPr>
                <w:rFonts w:ascii="Calibri" w:cs="Calibri" w:eastAsia="Calibri" w:hAnsi="Calibri"/>
                <w:sz w:val="18"/>
                <w:szCs w:val="18"/>
                <w:color w:val="auto"/>
                <w:w w:val="98"/>
              </w:rPr>
              <w:t xml:space="preserve"> Item 8 – Financial Statements and Supplementary Data</w:t>
            </w:r>
          </w:p>
        </w:tc>
        <w:tc>
          <w:tcPr>
            <w:tcW w:w="0" w:type="dxa"/>
            <w:vAlign w:val="bottom"/>
          </w:tcPr>
          <w:p>
            <w:pPr>
              <w:spacing w:after="0"/>
              <w:rPr>
                <w:sz w:val="1"/>
                <w:szCs w:val="1"/>
                <w:color w:val="auto"/>
              </w:rPr>
            </w:pPr>
          </w:p>
        </w:tc>
      </w:tr>
      <w:tr>
        <w:trPr>
          <w:trHeight w:val="362"/>
        </w:trPr>
        <w:tc>
          <w:tcPr>
            <w:tcW w:w="6600" w:type="dxa"/>
            <w:vAlign w:val="bottom"/>
          </w:tcPr>
          <w:p>
            <w:pPr>
              <w:spacing w:after="0"/>
              <w:rPr>
                <w:sz w:val="20"/>
                <w:szCs w:val="20"/>
                <w:color w:val="auto"/>
              </w:rPr>
            </w:pPr>
            <w:r>
              <w:rPr>
                <w:rFonts w:ascii="Calibri" w:cs="Calibri" w:eastAsia="Calibri" w:hAnsi="Calibri"/>
                <w:sz w:val="18"/>
                <w:szCs w:val="18"/>
                <w:color w:val="auto"/>
                <w:w w:val="98"/>
              </w:rPr>
              <w:t>The principal components of the Company’s deferred tax assets and liabilites are as follows:</w:t>
            </w: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880" w:type="dxa"/>
            <w:vAlign w:val="bottom"/>
            <w:gridSpan w:val="2"/>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December 31</w:t>
            </w:r>
          </w:p>
        </w:tc>
        <w:tc>
          <w:tcPr>
            <w:tcW w:w="840" w:type="dxa"/>
            <w:vAlign w:val="bottom"/>
            <w:tcBorders>
              <w:right w:val="single" w:sz="8" w:color="007CBA"/>
            </w:tcBorders>
            <w:shd w:val="clear" w:color="auto" w:fill="007CBA"/>
          </w:tcPr>
          <w:p>
            <w:pPr>
              <w:spacing w:after="0"/>
              <w:rPr>
                <w:sz w:val="19"/>
                <w:szCs w:val="19"/>
                <w:color w:val="auto"/>
              </w:rPr>
            </w:pPr>
          </w:p>
        </w:tc>
        <w:tc>
          <w:tcPr>
            <w:tcW w:w="580" w:type="dxa"/>
            <w:vAlign w:val="bottom"/>
            <w:shd w:val="clear" w:color="auto" w:fill="007CBA"/>
          </w:tcPr>
          <w:p>
            <w:pPr>
              <w:spacing w:after="0"/>
              <w:rPr>
                <w:sz w:val="19"/>
                <w:szCs w:val="19"/>
                <w:color w:val="auto"/>
              </w:rPr>
            </w:pPr>
          </w:p>
        </w:tc>
        <w:tc>
          <w:tcPr>
            <w:tcW w:w="3220" w:type="dxa"/>
            <w:vAlign w:val="bottom"/>
            <w:gridSpan w:val="3"/>
            <w:shd w:val="clear" w:color="auto" w:fill="007CBA"/>
          </w:tcPr>
          <w:p>
            <w:pPr>
              <w:jc w:val="right"/>
              <w:ind w:right="770"/>
              <w:spacing w:after="0" w:line="215" w:lineRule="exact"/>
              <w:rPr>
                <w:sz w:val="20"/>
                <w:szCs w:val="20"/>
                <w:color w:val="auto"/>
              </w:rPr>
            </w:pPr>
            <w:r>
              <w:rPr>
                <w:rFonts w:ascii="Calibri" w:cs="Calibri" w:eastAsia="Calibri" w:hAnsi="Calibri"/>
                <w:sz w:val="18"/>
                <w:szCs w:val="18"/>
                <w:b w:val="1"/>
                <w:bCs w:val="1"/>
                <w:color w:val="FFFFFF"/>
              </w:rPr>
              <w:t>Deferred Assets (Liabilites)</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6600" w:type="dxa"/>
            <w:vAlign w:val="bottom"/>
            <w:tcBorders>
              <w:bottom w:val="single" w:sz="8" w:color="007CBA"/>
            </w:tcBorders>
            <w:shd w:val="clear" w:color="auto" w:fill="007CBA"/>
          </w:tcPr>
          <w:p>
            <w:pPr>
              <w:ind w:left="120"/>
              <w:spacing w:after="0"/>
              <w:rPr>
                <w:sz w:val="20"/>
                <w:szCs w:val="20"/>
                <w:color w:val="auto"/>
              </w:rPr>
            </w:pPr>
            <w:r>
              <w:rPr>
                <w:rFonts w:ascii="Calibri" w:cs="Calibri" w:eastAsia="Calibri" w:hAnsi="Calibri"/>
                <w:sz w:val="18"/>
                <w:szCs w:val="18"/>
                <w:color w:val="FFFFFF"/>
              </w:rPr>
              <w:t>(in millions)</w:t>
            </w:r>
          </w:p>
        </w:tc>
        <w:tc>
          <w:tcPr>
            <w:tcW w:w="840" w:type="dxa"/>
            <w:vAlign w:val="bottom"/>
            <w:tcBorders>
              <w:bottom w:val="single" w:sz="8" w:color="007CBA"/>
              <w:right w:val="single" w:sz="8" w:color="007CBA"/>
            </w:tcBorders>
            <w:shd w:val="clear" w:color="auto" w:fill="007CBA"/>
          </w:tcPr>
          <w:p>
            <w:pPr>
              <w:spacing w:after="0"/>
              <w:rPr>
                <w:sz w:val="23"/>
                <w:szCs w:val="23"/>
                <w:color w:val="auto"/>
              </w:rPr>
            </w:pPr>
          </w:p>
        </w:tc>
        <w:tc>
          <w:tcPr>
            <w:tcW w:w="580" w:type="dxa"/>
            <w:vAlign w:val="bottom"/>
            <w:tcBorders>
              <w:bottom w:val="single" w:sz="8" w:color="007CBA"/>
            </w:tcBorders>
            <w:shd w:val="clear" w:color="auto" w:fill="007CBA"/>
          </w:tcPr>
          <w:p>
            <w:pPr>
              <w:spacing w:after="0"/>
              <w:rPr>
                <w:sz w:val="23"/>
                <w:szCs w:val="23"/>
                <w:color w:val="auto"/>
              </w:rPr>
            </w:pPr>
          </w:p>
        </w:tc>
        <w:tc>
          <w:tcPr>
            <w:tcW w:w="1340" w:type="dxa"/>
            <w:vAlign w:val="bottom"/>
            <w:tcBorders>
              <w:bottom w:val="single" w:sz="8" w:color="007CBA"/>
              <w:right w:val="single" w:sz="8" w:color="007CBA"/>
            </w:tcBorders>
            <w:shd w:val="clear" w:color="auto" w:fill="007CBA"/>
          </w:tcPr>
          <w:p>
            <w:pPr>
              <w:jc w:val="right"/>
              <w:ind w:right="650"/>
              <w:spacing w:after="0"/>
              <w:rPr>
                <w:sz w:val="20"/>
                <w:szCs w:val="20"/>
                <w:color w:val="auto"/>
              </w:rPr>
            </w:pPr>
            <w:r>
              <w:rPr>
                <w:rFonts w:ascii="Calibri" w:cs="Calibri" w:eastAsia="Calibri" w:hAnsi="Calibri"/>
                <w:sz w:val="18"/>
                <w:szCs w:val="18"/>
                <w:b w:val="1"/>
                <w:bCs w:val="1"/>
                <w:color w:val="FFFFFF"/>
              </w:rPr>
              <w:t>2022</w:t>
            </w:r>
          </w:p>
        </w:tc>
        <w:tc>
          <w:tcPr>
            <w:tcW w:w="560" w:type="dxa"/>
            <w:vAlign w:val="bottom"/>
            <w:tcBorders>
              <w:bottom w:val="single" w:sz="8" w:color="007CBA"/>
            </w:tcBorders>
            <w:shd w:val="clear" w:color="auto" w:fill="007CBA"/>
          </w:tcPr>
          <w:p>
            <w:pPr>
              <w:spacing w:after="0"/>
              <w:rPr>
                <w:sz w:val="23"/>
                <w:szCs w:val="23"/>
                <w:color w:val="auto"/>
              </w:rPr>
            </w:pPr>
          </w:p>
        </w:tc>
        <w:tc>
          <w:tcPr>
            <w:tcW w:w="1320" w:type="dxa"/>
            <w:vAlign w:val="bottom"/>
            <w:tcBorders>
              <w:bottom w:val="single" w:sz="8" w:color="007CBA"/>
            </w:tcBorders>
            <w:shd w:val="clear" w:color="auto" w:fill="007CBA"/>
          </w:tcPr>
          <w:p>
            <w:pPr>
              <w:jc w:val="right"/>
              <w:ind w:right="630"/>
              <w:spacing w:after="0"/>
              <w:rPr>
                <w:sz w:val="20"/>
                <w:szCs w:val="20"/>
                <w:color w:val="auto"/>
              </w:rPr>
            </w:pPr>
            <w:r>
              <w:rPr>
                <w:rFonts w:ascii="Calibri" w:cs="Calibri" w:eastAsia="Calibri" w:hAnsi="Calibri"/>
                <w:sz w:val="18"/>
                <w:szCs w:val="18"/>
                <w:color w:val="FFFFFF"/>
              </w:rPr>
              <w:t>2021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6600" w:type="dxa"/>
            <w:vAlign w:val="bottom"/>
          </w:tcPr>
          <w:p>
            <w:pPr>
              <w:ind w:left="120"/>
              <w:spacing w:after="0" w:line="215" w:lineRule="exact"/>
              <w:rPr>
                <w:sz w:val="20"/>
                <w:szCs w:val="20"/>
                <w:color w:val="auto"/>
              </w:rPr>
            </w:pPr>
            <w:r>
              <w:rPr>
                <w:rFonts w:ascii="Calibri" w:cs="Calibri" w:eastAsia="Calibri" w:hAnsi="Calibri"/>
                <w:sz w:val="18"/>
                <w:szCs w:val="18"/>
                <w:color w:val="auto"/>
              </w:rPr>
              <w:t>Deferred tax assets related to:</w:t>
            </w:r>
          </w:p>
        </w:tc>
        <w:tc>
          <w:tcPr>
            <w:tcW w:w="840" w:type="dxa"/>
            <w:vAlign w:val="bottom"/>
            <w:tcBorders>
              <w:right w:val="single" w:sz="8" w:color="007CBA"/>
            </w:tcBorders>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Borders>
              <w:right w:val="single" w:sz="8" w:color="007CBA"/>
            </w:tcBorders>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600" w:type="dxa"/>
            <w:vAlign w:val="bottom"/>
          </w:tcPr>
          <w:p>
            <w:pPr>
              <w:spacing w:after="0"/>
              <w:rPr>
                <w:sz w:val="2"/>
                <w:szCs w:val="2"/>
                <w:color w:val="auto"/>
              </w:rPr>
            </w:pPr>
          </w:p>
        </w:tc>
        <w:tc>
          <w:tcPr>
            <w:tcW w:w="840" w:type="dxa"/>
            <w:vAlign w:val="bottom"/>
            <w:tcBorders>
              <w:right w:val="single" w:sz="8" w:color="007CBA"/>
            </w:tcBorders>
          </w:tcPr>
          <w:p>
            <w:pPr>
              <w:spacing w:after="0"/>
              <w:rPr>
                <w:sz w:val="2"/>
                <w:szCs w:val="2"/>
                <w:color w:val="auto"/>
              </w:rPr>
            </w:pPr>
          </w:p>
        </w:tc>
        <w:tc>
          <w:tcPr>
            <w:tcW w:w="580" w:type="dxa"/>
            <w:vAlign w:val="bottom"/>
          </w:tcPr>
          <w:p>
            <w:pPr>
              <w:spacing w:after="0"/>
              <w:rPr>
                <w:sz w:val="2"/>
                <w:szCs w:val="2"/>
                <w:color w:val="auto"/>
              </w:rPr>
            </w:pPr>
          </w:p>
        </w:tc>
        <w:tc>
          <w:tcPr>
            <w:tcW w:w="134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0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Inventories</w:t>
            </w:r>
          </w:p>
        </w:tc>
        <w:tc>
          <w:tcPr>
            <w:tcW w:w="840" w:type="dxa"/>
            <w:vAlign w:val="bottom"/>
            <w:tcBorders>
              <w:bottom w:val="single" w:sz="8" w:color="E5F1F8"/>
              <w:right w:val="single" w:sz="8" w:color="007CBA"/>
            </w:tcBorders>
            <w:shd w:val="clear" w:color="auto" w:fill="E5F1F8"/>
          </w:tcPr>
          <w:p>
            <w:pPr>
              <w:spacing w:after="0"/>
              <w:rPr>
                <w:sz w:val="19"/>
                <w:szCs w:val="19"/>
                <w:color w:val="auto"/>
              </w:rPr>
            </w:pP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b w:val="1"/>
                <w:bCs w:val="1"/>
                <w:color w:val="auto"/>
              </w:rPr>
              <w:t>$</w:t>
            </w:r>
          </w:p>
        </w:tc>
        <w:tc>
          <w:tcPr>
            <w:tcW w:w="134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85.5</w:t>
            </w:r>
          </w:p>
        </w:tc>
        <w:tc>
          <w:tcPr>
            <w:tcW w:w="56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100.2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00" w:type="dxa"/>
            <w:vAlign w:val="bottom"/>
          </w:tcPr>
          <w:p>
            <w:pPr>
              <w:ind w:left="300"/>
              <w:spacing w:after="0" w:line="215" w:lineRule="exact"/>
              <w:rPr>
                <w:sz w:val="20"/>
                <w:szCs w:val="20"/>
                <w:color w:val="auto"/>
              </w:rPr>
            </w:pPr>
            <w:r>
              <w:rPr>
                <w:rFonts w:ascii="Calibri" w:cs="Calibri" w:eastAsia="Calibri" w:hAnsi="Calibri"/>
                <w:sz w:val="18"/>
                <w:szCs w:val="18"/>
                <w:color w:val="auto"/>
              </w:rPr>
              <w:t>Valuaton and other reserves</w:t>
            </w:r>
          </w:p>
        </w:tc>
        <w:tc>
          <w:tcPr>
            <w:tcW w:w="840" w:type="dxa"/>
            <w:vAlign w:val="bottom"/>
            <w:tcBorders>
              <w:right w:val="single" w:sz="8" w:color="007CBA"/>
            </w:tcBorders>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30.9</w:t>
            </w:r>
          </w:p>
        </w:tc>
        <w:tc>
          <w:tcPr>
            <w:tcW w:w="560" w:type="dxa"/>
            <w:vAlign w:val="bottom"/>
          </w:tcPr>
          <w:p>
            <w:pPr>
              <w:spacing w:after="0"/>
              <w:rPr>
                <w:sz w:val="18"/>
                <w:szCs w:val="18"/>
                <w:color w:val="auto"/>
              </w:rPr>
            </w:pPr>
          </w:p>
        </w:tc>
        <w:tc>
          <w:tcPr>
            <w:tcW w:w="13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600" w:type="dxa"/>
            <w:vAlign w:val="bottom"/>
          </w:tcPr>
          <w:p>
            <w:pPr>
              <w:spacing w:after="0"/>
              <w:rPr>
                <w:sz w:val="2"/>
                <w:szCs w:val="2"/>
                <w:color w:val="auto"/>
              </w:rPr>
            </w:pPr>
          </w:p>
        </w:tc>
        <w:tc>
          <w:tcPr>
            <w:tcW w:w="840" w:type="dxa"/>
            <w:vAlign w:val="bottom"/>
            <w:tcBorders>
              <w:right w:val="single" w:sz="8" w:color="007CBA"/>
            </w:tcBorders>
          </w:tcPr>
          <w:p>
            <w:pPr>
              <w:spacing w:after="0"/>
              <w:rPr>
                <w:sz w:val="2"/>
                <w:szCs w:val="2"/>
                <w:color w:val="auto"/>
              </w:rPr>
            </w:pPr>
          </w:p>
        </w:tc>
        <w:tc>
          <w:tcPr>
            <w:tcW w:w="580" w:type="dxa"/>
            <w:vAlign w:val="bottom"/>
          </w:tcPr>
          <w:p>
            <w:pPr>
              <w:spacing w:after="0"/>
              <w:rPr>
                <w:sz w:val="2"/>
                <w:szCs w:val="2"/>
                <w:color w:val="auto"/>
              </w:rPr>
            </w:pPr>
          </w:p>
        </w:tc>
        <w:tc>
          <w:tcPr>
            <w:tcW w:w="134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0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Net operatng loss carryforwards</w:t>
            </w:r>
          </w:p>
        </w:tc>
        <w:tc>
          <w:tcPr>
            <w:tcW w:w="840" w:type="dxa"/>
            <w:vAlign w:val="bottom"/>
            <w:tcBorders>
              <w:bottom w:val="single" w:sz="8" w:color="E5F1F8"/>
              <w:right w:val="single" w:sz="8" w:color="007CBA"/>
            </w:tcBorders>
            <w:shd w:val="clear" w:color="auto" w:fill="E5F1F8"/>
          </w:tcPr>
          <w:p>
            <w:pPr>
              <w:spacing w:after="0"/>
              <w:rPr>
                <w:sz w:val="19"/>
                <w:szCs w:val="19"/>
                <w:color w:val="auto"/>
              </w:rPr>
            </w:pPr>
          </w:p>
        </w:tc>
        <w:tc>
          <w:tcPr>
            <w:tcW w:w="580" w:type="dxa"/>
            <w:vAlign w:val="bottom"/>
            <w:tcBorders>
              <w:bottom w:val="single" w:sz="8" w:color="E5F1F8"/>
            </w:tcBorders>
            <w:shd w:val="clear" w:color="auto" w:fill="E5F1F8"/>
          </w:tcPr>
          <w:p>
            <w:pPr>
              <w:spacing w:after="0"/>
              <w:rPr>
                <w:sz w:val="19"/>
                <w:szCs w:val="19"/>
                <w:color w:val="auto"/>
              </w:rPr>
            </w:pPr>
          </w:p>
        </w:tc>
        <w:tc>
          <w:tcPr>
            <w:tcW w:w="134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3.6</w:t>
            </w:r>
          </w:p>
        </w:tc>
        <w:tc>
          <w:tcPr>
            <w:tcW w:w="560" w:type="dxa"/>
            <w:vAlign w:val="bottom"/>
            <w:tcBorders>
              <w:bottom w:val="single" w:sz="8" w:color="E5F1F8"/>
            </w:tcBorders>
            <w:shd w:val="clear" w:color="auto" w:fill="E5F1F8"/>
          </w:tcPr>
          <w:p>
            <w:pPr>
              <w:spacing w:after="0"/>
              <w:rPr>
                <w:sz w:val="19"/>
                <w:szCs w:val="19"/>
                <w:color w:val="auto"/>
              </w:rPr>
            </w:pPr>
          </w:p>
        </w:tc>
        <w:tc>
          <w:tcPr>
            <w:tcW w:w="13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00" w:type="dxa"/>
            <w:vAlign w:val="bottom"/>
          </w:tcPr>
          <w:p>
            <w:pPr>
              <w:ind w:left="300"/>
              <w:spacing w:after="0" w:line="215" w:lineRule="exact"/>
              <w:rPr>
                <w:sz w:val="20"/>
                <w:szCs w:val="20"/>
                <w:color w:val="auto"/>
              </w:rPr>
            </w:pPr>
            <w:r>
              <w:rPr>
                <w:rFonts w:ascii="Calibri" w:cs="Calibri" w:eastAsia="Calibri" w:hAnsi="Calibri"/>
                <w:sz w:val="18"/>
                <w:szCs w:val="18"/>
                <w:color w:val="auto"/>
              </w:rPr>
              <w:t>Accumulated other comprehensive loss</w:t>
            </w:r>
          </w:p>
        </w:tc>
        <w:tc>
          <w:tcPr>
            <w:tcW w:w="840" w:type="dxa"/>
            <w:vAlign w:val="bottom"/>
            <w:tcBorders>
              <w:right w:val="single" w:sz="8" w:color="007CBA"/>
            </w:tcBorders>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50.1</w:t>
            </w:r>
          </w:p>
        </w:tc>
        <w:tc>
          <w:tcPr>
            <w:tcW w:w="560" w:type="dxa"/>
            <w:vAlign w:val="bottom"/>
          </w:tcPr>
          <w:p>
            <w:pPr>
              <w:spacing w:after="0"/>
              <w:rPr>
                <w:sz w:val="18"/>
                <w:szCs w:val="18"/>
                <w:color w:val="auto"/>
              </w:rPr>
            </w:pPr>
          </w:p>
        </w:tc>
        <w:tc>
          <w:tcPr>
            <w:tcW w:w="13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69.7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600" w:type="dxa"/>
            <w:vAlign w:val="bottom"/>
          </w:tcPr>
          <w:p>
            <w:pPr>
              <w:spacing w:after="0"/>
              <w:rPr>
                <w:sz w:val="2"/>
                <w:szCs w:val="2"/>
                <w:color w:val="auto"/>
              </w:rPr>
            </w:pPr>
          </w:p>
        </w:tc>
        <w:tc>
          <w:tcPr>
            <w:tcW w:w="840" w:type="dxa"/>
            <w:vAlign w:val="bottom"/>
            <w:tcBorders>
              <w:right w:val="single" w:sz="8" w:color="007CBA"/>
            </w:tcBorders>
          </w:tcPr>
          <w:p>
            <w:pPr>
              <w:spacing w:after="0"/>
              <w:rPr>
                <w:sz w:val="2"/>
                <w:szCs w:val="2"/>
                <w:color w:val="auto"/>
              </w:rPr>
            </w:pPr>
          </w:p>
        </w:tc>
        <w:tc>
          <w:tcPr>
            <w:tcW w:w="580" w:type="dxa"/>
            <w:vAlign w:val="bottom"/>
          </w:tcPr>
          <w:p>
            <w:pPr>
              <w:spacing w:after="0"/>
              <w:rPr>
                <w:sz w:val="2"/>
                <w:szCs w:val="2"/>
                <w:color w:val="auto"/>
              </w:rPr>
            </w:pPr>
          </w:p>
        </w:tc>
        <w:tc>
          <w:tcPr>
            <w:tcW w:w="134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0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Lease liabilites</w:t>
            </w:r>
          </w:p>
        </w:tc>
        <w:tc>
          <w:tcPr>
            <w:tcW w:w="840" w:type="dxa"/>
            <w:vAlign w:val="bottom"/>
            <w:tcBorders>
              <w:bottom w:val="single" w:sz="8" w:color="E5F1F8"/>
              <w:right w:val="single" w:sz="8" w:color="007CBA"/>
            </w:tcBorders>
            <w:shd w:val="clear" w:color="auto" w:fill="E5F1F8"/>
          </w:tcPr>
          <w:p>
            <w:pPr>
              <w:spacing w:after="0"/>
              <w:rPr>
                <w:sz w:val="19"/>
                <w:szCs w:val="19"/>
                <w:color w:val="auto"/>
              </w:rPr>
            </w:pPr>
          </w:p>
        </w:tc>
        <w:tc>
          <w:tcPr>
            <w:tcW w:w="580" w:type="dxa"/>
            <w:vAlign w:val="bottom"/>
            <w:tcBorders>
              <w:bottom w:val="single" w:sz="8" w:color="E5F1F8"/>
            </w:tcBorders>
            <w:shd w:val="clear" w:color="auto" w:fill="E5F1F8"/>
          </w:tcPr>
          <w:p>
            <w:pPr>
              <w:spacing w:after="0"/>
              <w:rPr>
                <w:sz w:val="19"/>
                <w:szCs w:val="19"/>
                <w:color w:val="auto"/>
              </w:rPr>
            </w:pPr>
          </w:p>
        </w:tc>
        <w:tc>
          <w:tcPr>
            <w:tcW w:w="134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139.6</w:t>
            </w:r>
          </w:p>
        </w:tc>
        <w:tc>
          <w:tcPr>
            <w:tcW w:w="560" w:type="dxa"/>
            <w:vAlign w:val="bottom"/>
            <w:tcBorders>
              <w:bottom w:val="single" w:sz="8" w:color="E5F1F8"/>
            </w:tcBorders>
            <w:shd w:val="clear" w:color="auto" w:fill="E5F1F8"/>
          </w:tcPr>
          <w:p>
            <w:pPr>
              <w:spacing w:after="0"/>
              <w:rPr>
                <w:sz w:val="19"/>
                <w:szCs w:val="19"/>
                <w:color w:val="auto"/>
              </w:rPr>
            </w:pPr>
          </w:p>
        </w:tc>
        <w:tc>
          <w:tcPr>
            <w:tcW w:w="13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150.1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00" w:type="dxa"/>
            <w:vAlign w:val="bottom"/>
          </w:tcPr>
          <w:p>
            <w:pPr>
              <w:ind w:left="300"/>
              <w:spacing w:after="0" w:line="215" w:lineRule="exact"/>
              <w:rPr>
                <w:sz w:val="20"/>
                <w:szCs w:val="20"/>
                <w:color w:val="auto"/>
              </w:rPr>
            </w:pPr>
            <w:r>
              <w:rPr>
                <w:rFonts w:ascii="Calibri" w:cs="Calibri" w:eastAsia="Calibri" w:hAnsi="Calibri"/>
                <w:sz w:val="18"/>
                <w:szCs w:val="18"/>
                <w:color w:val="auto"/>
              </w:rPr>
              <w:t>Other items, net</w:t>
            </w: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1.9</w:t>
            </w:r>
          </w:p>
        </w:tc>
        <w:tc>
          <w:tcPr>
            <w:tcW w:w="560" w:type="dxa"/>
            <w:vAlign w:val="bottom"/>
          </w:tcPr>
          <w:p>
            <w:pPr>
              <w:spacing w:after="0"/>
              <w:rPr>
                <w:sz w:val="18"/>
                <w:szCs w:val="18"/>
                <w:color w:val="auto"/>
              </w:rPr>
            </w:pPr>
          </w:p>
        </w:tc>
        <w:tc>
          <w:tcPr>
            <w:tcW w:w="13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600" w:type="dxa"/>
            <w:vAlign w:val="bottom"/>
            <w:tcBorders>
              <w:bottom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Gross deferred tax assets</w:t>
            </w:r>
          </w:p>
        </w:tc>
        <w:tc>
          <w:tcPr>
            <w:tcW w:w="840" w:type="dxa"/>
            <w:vAlign w:val="bottom"/>
            <w:tcBorders>
              <w:bottom w:val="single" w:sz="8" w:color="E5F1F8"/>
              <w:right w:val="single" w:sz="8" w:color="007CBA"/>
            </w:tcBorders>
            <w:shd w:val="clear" w:color="auto" w:fill="E5F1F8"/>
          </w:tcPr>
          <w:p>
            <w:pPr>
              <w:spacing w:after="0"/>
              <w:rPr>
                <w:sz w:val="18"/>
                <w:szCs w:val="18"/>
                <w:color w:val="auto"/>
              </w:rPr>
            </w:pPr>
          </w:p>
        </w:tc>
        <w:tc>
          <w:tcPr>
            <w:tcW w:w="580" w:type="dxa"/>
            <w:vAlign w:val="bottom"/>
            <w:tcBorders>
              <w:bottom w:val="single" w:sz="8" w:color="E5F1F8"/>
            </w:tcBorders>
            <w:shd w:val="clear" w:color="auto" w:fill="E5F1F8"/>
          </w:tcPr>
          <w:p>
            <w:pPr>
              <w:spacing w:after="0"/>
              <w:rPr>
                <w:sz w:val="18"/>
                <w:szCs w:val="18"/>
                <w:color w:val="auto"/>
              </w:rPr>
            </w:pPr>
          </w:p>
        </w:tc>
        <w:tc>
          <w:tcPr>
            <w:tcW w:w="1340" w:type="dxa"/>
            <w:vAlign w:val="bottom"/>
            <w:tcBorders>
              <w:bottom w:val="single" w:sz="8" w:color="E5F1F8"/>
              <w:right w:val="single" w:sz="8" w:color="007CBA"/>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b w:val="1"/>
                <w:bCs w:val="1"/>
                <w:color w:val="auto"/>
              </w:rPr>
              <w:t>311.6</w:t>
            </w:r>
          </w:p>
        </w:tc>
        <w:tc>
          <w:tcPr>
            <w:tcW w:w="560" w:type="dxa"/>
            <w:vAlign w:val="bottom"/>
            <w:tcBorders>
              <w:bottom w:val="single" w:sz="8" w:color="E5F1F8"/>
            </w:tcBorders>
            <w:shd w:val="clear" w:color="auto" w:fill="E5F1F8"/>
          </w:tcPr>
          <w:p>
            <w:pPr>
              <w:spacing w:after="0"/>
              <w:rPr>
                <w:sz w:val="18"/>
                <w:szCs w:val="18"/>
                <w:color w:val="auto"/>
              </w:rPr>
            </w:pPr>
          </w:p>
        </w:tc>
        <w:tc>
          <w:tcPr>
            <w:tcW w:w="132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348.1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00" w:type="dxa"/>
            <w:vAlign w:val="bottom"/>
          </w:tcPr>
          <w:p>
            <w:pPr>
              <w:ind w:left="120"/>
              <w:spacing w:after="0" w:line="215" w:lineRule="exact"/>
              <w:rPr>
                <w:sz w:val="20"/>
                <w:szCs w:val="20"/>
                <w:color w:val="auto"/>
              </w:rPr>
            </w:pPr>
            <w:r>
              <w:rPr>
                <w:rFonts w:ascii="Calibri" w:cs="Calibri" w:eastAsia="Calibri" w:hAnsi="Calibri"/>
                <w:sz w:val="18"/>
                <w:szCs w:val="18"/>
                <w:color w:val="auto"/>
              </w:rPr>
              <w:t>Valuaton allowance on deferred tax assets</w:t>
            </w: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(2.6 )</w:t>
            </w:r>
          </w:p>
        </w:tc>
        <w:tc>
          <w:tcPr>
            <w:tcW w:w="56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(2.8 )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6600" w:type="dxa"/>
            <w:vAlign w:val="bottom"/>
            <w:tcBorders>
              <w:bottom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Total net deferred tax assets</w:t>
            </w:r>
          </w:p>
        </w:tc>
        <w:tc>
          <w:tcPr>
            <w:tcW w:w="840" w:type="dxa"/>
            <w:vAlign w:val="bottom"/>
            <w:tcBorders>
              <w:bottom w:val="single" w:sz="8" w:color="E5F1F8"/>
              <w:right w:val="single" w:sz="8" w:color="E5F1F8"/>
            </w:tcBorders>
            <w:shd w:val="clear" w:color="auto" w:fill="E5F1F8"/>
          </w:tcPr>
          <w:p>
            <w:pPr>
              <w:spacing w:after="0"/>
              <w:rPr>
                <w:sz w:val="20"/>
                <w:szCs w:val="20"/>
                <w:color w:val="auto"/>
              </w:rPr>
            </w:pPr>
          </w:p>
        </w:tc>
        <w:tc>
          <w:tcPr>
            <w:tcW w:w="580" w:type="dxa"/>
            <w:vAlign w:val="bottom"/>
            <w:tcBorders>
              <w:bottom w:val="single" w:sz="8" w:color="E5F1F8"/>
            </w:tcBorders>
            <w:shd w:val="clear" w:color="auto" w:fill="E5F1F8"/>
          </w:tcPr>
          <w:p>
            <w:pPr>
              <w:spacing w:after="0"/>
              <w:rPr>
                <w:sz w:val="20"/>
                <w:szCs w:val="20"/>
                <w:color w:val="auto"/>
              </w:rPr>
            </w:pPr>
          </w:p>
        </w:tc>
        <w:tc>
          <w:tcPr>
            <w:tcW w:w="1340" w:type="dxa"/>
            <w:vAlign w:val="bottom"/>
            <w:tcBorders>
              <w:bottom w:val="single" w:sz="8" w:color="E5F1F8"/>
              <w:right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b w:val="1"/>
                <w:bCs w:val="1"/>
                <w:color w:val="auto"/>
              </w:rPr>
              <w:t>309.0</w:t>
            </w:r>
          </w:p>
        </w:tc>
        <w:tc>
          <w:tcPr>
            <w:tcW w:w="560" w:type="dxa"/>
            <w:vAlign w:val="bottom"/>
            <w:tcBorders>
              <w:bottom w:val="single" w:sz="8" w:color="E5F1F8"/>
            </w:tcBorders>
            <w:shd w:val="clear" w:color="auto" w:fill="E5F1F8"/>
          </w:tcPr>
          <w:p>
            <w:pPr>
              <w:spacing w:after="0"/>
              <w:rPr>
                <w:sz w:val="20"/>
                <w:szCs w:val="20"/>
                <w:color w:val="auto"/>
              </w:rPr>
            </w:pPr>
          </w:p>
        </w:tc>
        <w:tc>
          <w:tcPr>
            <w:tcW w:w="132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345.3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60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Deferred tax liabilites related to:</w:t>
            </w:r>
          </w:p>
        </w:tc>
        <w:tc>
          <w:tcPr>
            <w:tcW w:w="840" w:type="dxa"/>
            <w:vAlign w:val="bottom"/>
            <w:tcBorders>
              <w:top w:val="single" w:sz="8" w:color="auto"/>
              <w:right w:val="single" w:sz="8" w:color="007CBA"/>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340" w:type="dxa"/>
            <w:vAlign w:val="bottom"/>
            <w:tcBorders>
              <w:top w:val="single" w:sz="8" w:color="auto"/>
              <w:right w:val="single" w:sz="8" w:color="007CBA"/>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600" w:type="dxa"/>
            <w:vAlign w:val="bottom"/>
          </w:tcPr>
          <w:p>
            <w:pPr>
              <w:spacing w:after="0"/>
              <w:rPr>
                <w:sz w:val="2"/>
                <w:szCs w:val="2"/>
                <w:color w:val="auto"/>
              </w:rPr>
            </w:pPr>
          </w:p>
        </w:tc>
        <w:tc>
          <w:tcPr>
            <w:tcW w:w="840" w:type="dxa"/>
            <w:vAlign w:val="bottom"/>
            <w:tcBorders>
              <w:right w:val="single" w:sz="8" w:color="007CBA"/>
            </w:tcBorders>
          </w:tcPr>
          <w:p>
            <w:pPr>
              <w:spacing w:after="0"/>
              <w:rPr>
                <w:sz w:val="2"/>
                <w:szCs w:val="2"/>
                <w:color w:val="auto"/>
              </w:rPr>
            </w:pPr>
          </w:p>
        </w:tc>
        <w:tc>
          <w:tcPr>
            <w:tcW w:w="580" w:type="dxa"/>
            <w:vAlign w:val="bottom"/>
          </w:tcPr>
          <w:p>
            <w:pPr>
              <w:spacing w:after="0"/>
              <w:rPr>
                <w:sz w:val="2"/>
                <w:szCs w:val="2"/>
                <w:color w:val="auto"/>
              </w:rPr>
            </w:pPr>
          </w:p>
        </w:tc>
        <w:tc>
          <w:tcPr>
            <w:tcW w:w="134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0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Property, plant and equipment</w:t>
            </w:r>
          </w:p>
        </w:tc>
        <w:tc>
          <w:tcPr>
            <w:tcW w:w="840" w:type="dxa"/>
            <w:vAlign w:val="bottom"/>
            <w:tcBorders>
              <w:bottom w:val="single" w:sz="8" w:color="E5F1F8"/>
              <w:right w:val="single" w:sz="8" w:color="007CBA"/>
            </w:tcBorders>
            <w:shd w:val="clear" w:color="auto" w:fill="E5F1F8"/>
          </w:tcPr>
          <w:p>
            <w:pPr>
              <w:spacing w:after="0"/>
              <w:rPr>
                <w:sz w:val="19"/>
                <w:szCs w:val="19"/>
                <w:color w:val="auto"/>
              </w:rPr>
            </w:pPr>
          </w:p>
        </w:tc>
        <w:tc>
          <w:tcPr>
            <w:tcW w:w="580" w:type="dxa"/>
            <w:vAlign w:val="bottom"/>
            <w:tcBorders>
              <w:bottom w:val="single" w:sz="8" w:color="E5F1F8"/>
            </w:tcBorders>
            <w:shd w:val="clear" w:color="auto" w:fill="E5F1F8"/>
          </w:tcPr>
          <w:p>
            <w:pPr>
              <w:spacing w:after="0"/>
              <w:rPr>
                <w:sz w:val="19"/>
                <w:szCs w:val="19"/>
                <w:color w:val="auto"/>
              </w:rPr>
            </w:pPr>
          </w:p>
        </w:tc>
        <w:tc>
          <w:tcPr>
            <w:tcW w:w="1340" w:type="dxa"/>
            <w:vAlign w:val="bottom"/>
            <w:tcBorders>
              <w:bottom w:val="single" w:sz="8" w:color="E5F1F8"/>
              <w:right w:val="single" w:sz="8" w:color="007CBA"/>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(843.8 )</w:t>
            </w:r>
          </w:p>
        </w:tc>
        <w:tc>
          <w:tcPr>
            <w:tcW w:w="560" w:type="dxa"/>
            <w:vAlign w:val="bottom"/>
            <w:tcBorders>
              <w:bottom w:val="single" w:sz="8" w:color="E5F1F8"/>
            </w:tcBorders>
            <w:shd w:val="clear" w:color="auto" w:fill="E5F1F8"/>
          </w:tcPr>
          <w:p>
            <w:pPr>
              <w:spacing w:after="0"/>
              <w:rPr>
                <w:sz w:val="19"/>
                <w:szCs w:val="19"/>
                <w:color w:val="auto"/>
              </w:rPr>
            </w:pPr>
          </w:p>
        </w:tc>
        <w:tc>
          <w:tcPr>
            <w:tcW w:w="132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(840.6 )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00" w:type="dxa"/>
            <w:vAlign w:val="bottom"/>
          </w:tcPr>
          <w:p>
            <w:pPr>
              <w:ind w:left="300"/>
              <w:spacing w:after="0" w:line="215" w:lineRule="exact"/>
              <w:rPr>
                <w:sz w:val="20"/>
                <w:szCs w:val="20"/>
                <w:color w:val="auto"/>
              </w:rPr>
            </w:pPr>
            <w:r>
              <w:rPr>
                <w:rFonts w:ascii="Calibri" w:cs="Calibri" w:eastAsia="Calibri" w:hAnsi="Calibri"/>
                <w:sz w:val="18"/>
                <w:szCs w:val="18"/>
                <w:color w:val="auto"/>
              </w:rPr>
              <w:t>Goodwill and other intangibles</w:t>
            </w:r>
          </w:p>
        </w:tc>
        <w:tc>
          <w:tcPr>
            <w:tcW w:w="840" w:type="dxa"/>
            <w:vAlign w:val="bottom"/>
            <w:tcBorders>
              <w:right w:val="single" w:sz="8" w:color="007CBA"/>
            </w:tcBorders>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b w:val="1"/>
                <w:bCs w:val="1"/>
                <w:color w:val="auto"/>
              </w:rPr>
              <w:t>(143.9 )</w:t>
            </w:r>
          </w:p>
        </w:tc>
        <w:tc>
          <w:tcPr>
            <w:tcW w:w="56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(160.2 )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600" w:type="dxa"/>
            <w:vAlign w:val="bottom"/>
          </w:tcPr>
          <w:p>
            <w:pPr>
              <w:spacing w:after="0"/>
              <w:rPr>
                <w:sz w:val="2"/>
                <w:szCs w:val="2"/>
                <w:color w:val="auto"/>
              </w:rPr>
            </w:pPr>
          </w:p>
        </w:tc>
        <w:tc>
          <w:tcPr>
            <w:tcW w:w="840" w:type="dxa"/>
            <w:vAlign w:val="bottom"/>
            <w:tcBorders>
              <w:right w:val="single" w:sz="8" w:color="007CBA"/>
            </w:tcBorders>
          </w:tcPr>
          <w:p>
            <w:pPr>
              <w:spacing w:after="0"/>
              <w:rPr>
                <w:sz w:val="2"/>
                <w:szCs w:val="2"/>
                <w:color w:val="auto"/>
              </w:rPr>
            </w:pPr>
          </w:p>
        </w:tc>
        <w:tc>
          <w:tcPr>
            <w:tcW w:w="580" w:type="dxa"/>
            <w:vAlign w:val="bottom"/>
          </w:tcPr>
          <w:p>
            <w:pPr>
              <w:spacing w:after="0"/>
              <w:rPr>
                <w:sz w:val="2"/>
                <w:szCs w:val="2"/>
                <w:color w:val="auto"/>
              </w:rPr>
            </w:pPr>
          </w:p>
        </w:tc>
        <w:tc>
          <w:tcPr>
            <w:tcW w:w="134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0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Right-of-use assets</w:t>
            </w:r>
          </w:p>
        </w:tc>
        <w:tc>
          <w:tcPr>
            <w:tcW w:w="840" w:type="dxa"/>
            <w:vAlign w:val="bottom"/>
            <w:tcBorders>
              <w:bottom w:val="single" w:sz="8" w:color="E5F1F8"/>
              <w:right w:val="single" w:sz="8" w:color="007CBA"/>
            </w:tcBorders>
            <w:shd w:val="clear" w:color="auto" w:fill="E5F1F8"/>
          </w:tcPr>
          <w:p>
            <w:pPr>
              <w:spacing w:after="0"/>
              <w:rPr>
                <w:sz w:val="19"/>
                <w:szCs w:val="19"/>
                <w:color w:val="auto"/>
              </w:rPr>
            </w:pPr>
          </w:p>
        </w:tc>
        <w:tc>
          <w:tcPr>
            <w:tcW w:w="580" w:type="dxa"/>
            <w:vAlign w:val="bottom"/>
            <w:tcBorders>
              <w:bottom w:val="single" w:sz="8" w:color="E5F1F8"/>
            </w:tcBorders>
            <w:shd w:val="clear" w:color="auto" w:fill="E5F1F8"/>
          </w:tcPr>
          <w:p>
            <w:pPr>
              <w:spacing w:after="0"/>
              <w:rPr>
                <w:sz w:val="19"/>
                <w:szCs w:val="19"/>
                <w:color w:val="auto"/>
              </w:rPr>
            </w:pPr>
          </w:p>
        </w:tc>
        <w:tc>
          <w:tcPr>
            <w:tcW w:w="1340" w:type="dxa"/>
            <w:vAlign w:val="bottom"/>
            <w:tcBorders>
              <w:bottom w:val="single" w:sz="8" w:color="E5F1F8"/>
              <w:right w:val="single" w:sz="8" w:color="007CBA"/>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(140.8 )</w:t>
            </w:r>
          </w:p>
        </w:tc>
        <w:tc>
          <w:tcPr>
            <w:tcW w:w="560" w:type="dxa"/>
            <w:vAlign w:val="bottom"/>
            <w:tcBorders>
              <w:bottom w:val="single" w:sz="8" w:color="E5F1F8"/>
            </w:tcBorders>
            <w:shd w:val="clear" w:color="auto" w:fill="E5F1F8"/>
          </w:tcPr>
          <w:p>
            <w:pPr>
              <w:spacing w:after="0"/>
              <w:rPr>
                <w:sz w:val="19"/>
                <w:szCs w:val="19"/>
                <w:color w:val="auto"/>
              </w:rPr>
            </w:pPr>
          </w:p>
        </w:tc>
        <w:tc>
          <w:tcPr>
            <w:tcW w:w="132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(155.2 )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300"/>
              <w:spacing w:after="0" w:line="215" w:lineRule="exact"/>
              <w:rPr>
                <w:sz w:val="20"/>
                <w:szCs w:val="20"/>
                <w:color w:val="auto"/>
              </w:rPr>
            </w:pPr>
            <w:r>
              <w:rPr>
                <w:rFonts w:ascii="Calibri" w:cs="Calibri" w:eastAsia="Calibri" w:hAnsi="Calibri"/>
                <w:sz w:val="18"/>
                <w:szCs w:val="18"/>
                <w:color w:val="auto"/>
              </w:rPr>
              <w:t>Partnerships and joint ventures</w:t>
            </w:r>
          </w:p>
        </w:tc>
        <w:tc>
          <w:tcPr>
            <w:tcW w:w="840" w:type="dxa"/>
            <w:vAlign w:val="bottom"/>
            <w:tcBorders>
              <w:right w:val="single" w:sz="8" w:color="007CBA"/>
            </w:tcBorders>
          </w:tcPr>
          <w:p>
            <w:pPr>
              <w:spacing w:after="0"/>
              <w:rPr>
                <w:sz w:val="21"/>
                <w:szCs w:val="21"/>
                <w:color w:val="auto"/>
              </w:rPr>
            </w:pPr>
          </w:p>
        </w:tc>
        <w:tc>
          <w:tcPr>
            <w:tcW w:w="580" w:type="dxa"/>
            <w:vAlign w:val="bottom"/>
          </w:tcPr>
          <w:p>
            <w:pPr>
              <w:spacing w:after="0"/>
              <w:rPr>
                <w:sz w:val="21"/>
                <w:szCs w:val="21"/>
                <w:color w:val="auto"/>
              </w:rPr>
            </w:pPr>
          </w:p>
        </w:tc>
        <w:tc>
          <w:tcPr>
            <w:tcW w:w="134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b w:val="1"/>
                <w:bCs w:val="1"/>
                <w:color w:val="auto"/>
              </w:rPr>
              <w:t>(32.5 )</w:t>
            </w:r>
          </w:p>
        </w:tc>
        <w:tc>
          <w:tcPr>
            <w:tcW w:w="560" w:type="dxa"/>
            <w:vAlign w:val="bottom"/>
          </w:tcPr>
          <w:p>
            <w:pPr>
              <w:spacing w:after="0"/>
              <w:rPr>
                <w:sz w:val="21"/>
                <w:szCs w:val="21"/>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(29.1 )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60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Employee benefts</w:t>
            </w:r>
          </w:p>
        </w:tc>
        <w:tc>
          <w:tcPr>
            <w:tcW w:w="840" w:type="dxa"/>
            <w:vAlign w:val="bottom"/>
            <w:tcBorders>
              <w:bottom w:val="single" w:sz="8" w:color="E5F1F8"/>
              <w:right w:val="single" w:sz="8" w:color="E5F1F8"/>
            </w:tcBorders>
            <w:shd w:val="clear" w:color="auto" w:fill="E5F1F8"/>
          </w:tcPr>
          <w:p>
            <w:pPr>
              <w:spacing w:after="0"/>
              <w:rPr>
                <w:sz w:val="21"/>
                <w:szCs w:val="21"/>
                <w:color w:val="auto"/>
              </w:rPr>
            </w:pPr>
          </w:p>
        </w:tc>
        <w:tc>
          <w:tcPr>
            <w:tcW w:w="580" w:type="dxa"/>
            <w:vAlign w:val="bottom"/>
            <w:tcBorders>
              <w:bottom w:val="single" w:sz="8" w:color="E5F1F8"/>
            </w:tcBorders>
            <w:shd w:val="clear" w:color="auto" w:fill="E5F1F8"/>
          </w:tcPr>
          <w:p>
            <w:pPr>
              <w:spacing w:after="0"/>
              <w:rPr>
                <w:sz w:val="21"/>
                <w:szCs w:val="21"/>
                <w:color w:val="auto"/>
              </w:rPr>
            </w:pPr>
          </w:p>
        </w:tc>
        <w:tc>
          <w:tcPr>
            <w:tcW w:w="134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(62.3 )</w:t>
            </w:r>
          </w:p>
        </w:tc>
        <w:tc>
          <w:tcPr>
            <w:tcW w:w="560" w:type="dxa"/>
            <w:vAlign w:val="bottom"/>
            <w:tcBorders>
              <w:bottom w:val="single" w:sz="8" w:color="E5F1F8"/>
            </w:tcBorders>
            <w:shd w:val="clear" w:color="auto" w:fill="E5F1F8"/>
          </w:tcPr>
          <w:p>
            <w:pPr>
              <w:spacing w:after="0"/>
              <w:rPr>
                <w:sz w:val="21"/>
                <w:szCs w:val="21"/>
                <w:color w:val="auto"/>
              </w:rPr>
            </w:pPr>
          </w:p>
        </w:tc>
        <w:tc>
          <w:tcPr>
            <w:tcW w:w="132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(55.5 )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60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 deferred tax liabilites</w:t>
            </w:r>
          </w:p>
        </w:tc>
        <w:tc>
          <w:tcPr>
            <w:tcW w:w="8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(1,223.3 )</w:t>
            </w:r>
          </w:p>
        </w:tc>
        <w:tc>
          <w:tcPr>
            <w:tcW w:w="5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(1,240.6 )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6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6600" w:type="dxa"/>
            <w:vAlign w:val="bottom"/>
            <w:tcBorders>
              <w:bottom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Deferred income taxes, net</w:t>
            </w:r>
          </w:p>
        </w:tc>
        <w:tc>
          <w:tcPr>
            <w:tcW w:w="840" w:type="dxa"/>
            <w:vAlign w:val="bottom"/>
            <w:tcBorders>
              <w:bottom w:val="single" w:sz="8" w:color="E5F1F8"/>
              <w:right w:val="single" w:sz="8" w:color="E5F1F8"/>
            </w:tcBorders>
            <w:shd w:val="clear" w:color="auto" w:fill="E5F1F8"/>
          </w:tcPr>
          <w:p>
            <w:pPr>
              <w:spacing w:after="0"/>
              <w:rPr>
                <w:sz w:val="22"/>
                <w:szCs w:val="22"/>
                <w:color w:val="auto"/>
              </w:rPr>
            </w:pPr>
          </w:p>
        </w:tc>
        <w:tc>
          <w:tcPr>
            <w:tcW w:w="580" w:type="dxa"/>
            <w:vAlign w:val="bottom"/>
            <w:tcBorders>
              <w:bottom w:val="single" w:sz="8" w:color="E5F1F8"/>
            </w:tcBorders>
            <w:shd w:val="clear" w:color="auto" w:fill="E5F1F8"/>
          </w:tcPr>
          <w:p>
            <w:pPr>
              <w:jc w:val="right"/>
              <w:ind w:right="170"/>
              <w:spacing w:after="0" w:line="208" w:lineRule="exact"/>
              <w:rPr>
                <w:sz w:val="20"/>
                <w:szCs w:val="20"/>
                <w:color w:val="auto"/>
              </w:rPr>
            </w:pPr>
            <w:r>
              <w:rPr>
                <w:rFonts w:ascii="Calibri" w:cs="Calibri" w:eastAsia="Calibri" w:hAnsi="Calibri"/>
                <w:sz w:val="18"/>
                <w:szCs w:val="18"/>
                <w:b w:val="1"/>
                <w:bCs w:val="1"/>
                <w:color w:val="auto"/>
              </w:rPr>
              <w:t>$</w:t>
            </w:r>
          </w:p>
        </w:tc>
        <w:tc>
          <w:tcPr>
            <w:tcW w:w="1340" w:type="dxa"/>
            <w:vAlign w:val="bottom"/>
            <w:tcBorders>
              <w:bottom w:val="single" w:sz="8" w:color="E5F1F8"/>
              <w:right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b w:val="1"/>
                <w:bCs w:val="1"/>
                <w:color w:val="auto"/>
              </w:rPr>
              <w:t>(914.3 )</w:t>
            </w:r>
          </w:p>
        </w:tc>
        <w:tc>
          <w:tcPr>
            <w:tcW w:w="560" w:type="dxa"/>
            <w:vAlign w:val="bottom"/>
            <w:tcBorders>
              <w:bottom w:val="single" w:sz="8" w:color="E5F1F8"/>
            </w:tcBorders>
            <w:shd w:val="clear" w:color="auto" w:fill="E5F1F8"/>
          </w:tcPr>
          <w:p>
            <w:pPr>
              <w:jc w:val="right"/>
              <w:ind w:right="170"/>
              <w:spacing w:after="0" w:line="208" w:lineRule="exact"/>
              <w:rPr>
                <w:sz w:val="20"/>
                <w:szCs w:val="20"/>
                <w:color w:val="auto"/>
              </w:rPr>
            </w:pPr>
            <w:r>
              <w:rPr>
                <w:rFonts w:ascii="Calibri" w:cs="Calibri" w:eastAsia="Calibri" w:hAnsi="Calibri"/>
                <w:sz w:val="18"/>
                <w:szCs w:val="18"/>
                <w:color w:val="auto"/>
              </w:rPr>
              <w:t>$</w:t>
            </w:r>
          </w:p>
        </w:tc>
        <w:tc>
          <w:tcPr>
            <w:tcW w:w="1320" w:type="dxa"/>
            <w:vAlign w:val="bottom"/>
            <w:tcBorders>
              <w:bottom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color w:val="auto"/>
              </w:rPr>
              <w:t>(895.3 )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-3020695</wp:posOffset>
            </wp:positionV>
            <wp:extent cx="7132320" cy="3302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7132320" cy="330200"/>
                    </a:xfrm>
                    <a:prstGeom prst="rect">
                      <a:avLst/>
                    </a:prstGeom>
                    <a:noFill/>
                  </pic:spPr>
                </pic:pic>
              </a:graphicData>
            </a:graphic>
          </wp:anchor>
        </w:drawing>
        <w:drawing>
          <wp:anchor simplePos="0" relativeHeight="251657728" behindDoc="1" locked="0" layoutInCell="0" allowOverlap="1">
            <wp:simplePos x="0" y="0"/>
            <wp:positionH relativeFrom="column">
              <wp:posOffset>4698365</wp:posOffset>
            </wp:positionH>
            <wp:positionV relativeFrom="paragraph">
              <wp:posOffset>-1932305</wp:posOffset>
            </wp:positionV>
            <wp:extent cx="2438400" cy="18796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2438400" cy="1879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-1614805</wp:posOffset>
            </wp:positionV>
            <wp:extent cx="7132320" cy="49276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7132320" cy="492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-518160</wp:posOffset>
            </wp:positionV>
            <wp:extent cx="7132320" cy="53149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spacing w:after="0" w:line="1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had $1.3 million of domestc federal net operatng loss (NOL) carryforwards at December 31, 2022 and 2021. The Company had domestc state NOL carryforwards of $55.3 million and $40.7 million at December 31, 2022 and 2021, respectvely. These carryforwards have various expiraton dates through 2042. At December 31, 2022 and 2021, deferred tax assets associated with these carryforwards were $3.6 million and $2.6 million, respectvely, net of the federal beneft of the state deducton, for which valuaton allowances of $2.1 million and $2.2 million, respectvely, were recorded. The Company also had domestc state tax credit carryforwards of $1.3 million and $0.9 million at December 31, 2022 and 2021, respectvely, which have various expiraton dates through 2042. At December 31, 2022 and 2021, deferred tax assets associated with these carryforwards were $1.0 million and $0.7 million, respectvely, net of the federal beneft of the state deducton.</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expects to reinvest the earnings from its wholly-owned Canadian and Bahamian subsidiaries indefnitely, and accordingly, has not provided deferred taxes on the subsidiaries’ undistributed net earnings or basis diferences. The Company believes that the tax liability that would be incurred upon repatriaton was immaterial at December 31, 2022 and 2021.</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the Company’s unrecognized tax benefts, excluding interest and correlatve efects of $0.2 million for the years ended</w:t>
      </w:r>
    </w:p>
    <w:p>
      <w:pPr>
        <w:spacing w:after="0" w:line="235" w:lineRule="auto"/>
        <w:rPr>
          <w:sz w:val="20"/>
          <w:szCs w:val="20"/>
          <w:color w:val="auto"/>
        </w:rPr>
      </w:pPr>
      <w:r>
        <w:rPr>
          <w:rFonts w:ascii="Calibri" w:cs="Calibri" w:eastAsia="Calibri" w:hAnsi="Calibri"/>
          <w:sz w:val="18"/>
          <w:szCs w:val="18"/>
          <w:color w:val="auto"/>
        </w:rPr>
        <w:t>December 31, 2022, 2021 and 2020:</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36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480" w:type="dxa"/>
            <w:vAlign w:val="bottom"/>
            <w:shd w:val="clear" w:color="auto" w:fill="007CBA"/>
          </w:tcPr>
          <w:p>
            <w:pPr>
              <w:spacing w:after="0"/>
              <w:rPr>
                <w:sz w:val="19"/>
                <w:szCs w:val="19"/>
                <w:color w:val="auto"/>
              </w:rPr>
            </w:pPr>
          </w:p>
        </w:tc>
        <w:tc>
          <w:tcPr>
            <w:tcW w:w="1160" w:type="dxa"/>
            <w:vAlign w:val="bottom"/>
            <w:tcBorders>
              <w:right w:val="single" w:sz="8" w:color="007CBA"/>
            </w:tcBorders>
            <w:shd w:val="clear" w:color="auto" w:fill="007CBA"/>
          </w:tcPr>
          <w:p>
            <w:pPr>
              <w:spacing w:after="0"/>
              <w:rPr>
                <w:sz w:val="19"/>
                <w:szCs w:val="19"/>
                <w:color w:val="auto"/>
              </w:rPr>
            </w:pPr>
          </w:p>
        </w:tc>
        <w:tc>
          <w:tcPr>
            <w:tcW w:w="480" w:type="dxa"/>
            <w:vAlign w:val="bottom"/>
            <w:shd w:val="clear" w:color="auto" w:fill="007CBA"/>
          </w:tcPr>
          <w:p>
            <w:pPr>
              <w:spacing w:after="0"/>
              <w:rPr>
                <w:sz w:val="19"/>
                <w:szCs w:val="19"/>
                <w:color w:val="auto"/>
              </w:rPr>
            </w:pPr>
          </w:p>
        </w:tc>
        <w:tc>
          <w:tcPr>
            <w:tcW w:w="1140" w:type="dxa"/>
            <w:vAlign w:val="bottom"/>
            <w:tcBorders>
              <w:right w:val="single" w:sz="8" w:color="007CBA"/>
            </w:tcBorders>
            <w:shd w:val="clear" w:color="auto" w:fill="007CBA"/>
          </w:tcPr>
          <w:p>
            <w:pPr>
              <w:spacing w:after="0"/>
              <w:rPr>
                <w:sz w:val="19"/>
                <w:szCs w:val="19"/>
                <w:color w:val="auto"/>
              </w:rPr>
            </w:pPr>
          </w:p>
        </w:tc>
        <w:tc>
          <w:tcPr>
            <w:tcW w:w="480" w:type="dxa"/>
            <w:vAlign w:val="bottom"/>
            <w:shd w:val="clear" w:color="auto" w:fill="007CBA"/>
          </w:tcPr>
          <w:p>
            <w:pPr>
              <w:spacing w:after="0"/>
              <w:rPr>
                <w:sz w:val="19"/>
                <w:szCs w:val="19"/>
                <w:color w:val="auto"/>
              </w:rPr>
            </w:pPr>
          </w:p>
        </w:tc>
        <w:tc>
          <w:tcPr>
            <w:tcW w:w="1140" w:type="dxa"/>
            <w:vAlign w:val="bottom"/>
            <w:shd w:val="clear" w:color="auto" w:fill="007CBA"/>
          </w:tcPr>
          <w:p>
            <w:pPr>
              <w:spacing w:after="0"/>
              <w:rPr>
                <w:sz w:val="19"/>
                <w:szCs w:val="19"/>
                <w:color w:val="auto"/>
              </w:rPr>
            </w:pPr>
          </w:p>
        </w:tc>
      </w:tr>
      <w:tr>
        <w:trPr>
          <w:trHeight w:val="245"/>
        </w:trPr>
        <w:tc>
          <w:tcPr>
            <w:tcW w:w="636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480" w:type="dxa"/>
            <w:vAlign w:val="bottom"/>
            <w:tcBorders>
              <w:bottom w:val="single" w:sz="8" w:color="007CBA"/>
            </w:tcBorders>
            <w:shd w:val="clear" w:color="auto" w:fill="007CBA"/>
          </w:tcPr>
          <w:p>
            <w:pPr>
              <w:spacing w:after="0"/>
              <w:rPr>
                <w:sz w:val="21"/>
                <w:szCs w:val="21"/>
                <w:color w:val="auto"/>
              </w:rPr>
            </w:pPr>
          </w:p>
        </w:tc>
        <w:tc>
          <w:tcPr>
            <w:tcW w:w="1160" w:type="dxa"/>
            <w:vAlign w:val="bottom"/>
            <w:tcBorders>
              <w:bottom w:val="single" w:sz="8" w:color="007CBA"/>
              <w:right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b w:val="1"/>
                <w:bCs w:val="1"/>
                <w:color w:val="FFFFFF"/>
              </w:rPr>
              <w:t>2022</w:t>
            </w:r>
          </w:p>
        </w:tc>
        <w:tc>
          <w:tcPr>
            <w:tcW w:w="480" w:type="dxa"/>
            <w:vAlign w:val="bottom"/>
            <w:tcBorders>
              <w:bottom w:val="single" w:sz="8" w:color="007CBA"/>
            </w:tcBorders>
            <w:shd w:val="clear" w:color="auto" w:fill="007CBA"/>
          </w:tcPr>
          <w:p>
            <w:pPr>
              <w:spacing w:after="0"/>
              <w:rPr>
                <w:sz w:val="21"/>
                <w:szCs w:val="21"/>
                <w:color w:val="auto"/>
              </w:rPr>
            </w:pPr>
          </w:p>
        </w:tc>
        <w:tc>
          <w:tcPr>
            <w:tcW w:w="1140" w:type="dxa"/>
            <w:vAlign w:val="bottom"/>
            <w:tcBorders>
              <w:bottom w:val="single" w:sz="8" w:color="007CBA"/>
              <w:right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color w:val="FFFFFF"/>
              </w:rPr>
              <w:t>2021</w:t>
            </w:r>
          </w:p>
        </w:tc>
        <w:tc>
          <w:tcPr>
            <w:tcW w:w="480" w:type="dxa"/>
            <w:vAlign w:val="bottom"/>
            <w:tcBorders>
              <w:bottom w:val="single" w:sz="8" w:color="007CBA"/>
            </w:tcBorders>
            <w:shd w:val="clear" w:color="auto" w:fill="007CBA"/>
          </w:tcPr>
          <w:p>
            <w:pPr>
              <w:spacing w:after="0"/>
              <w:rPr>
                <w:sz w:val="21"/>
                <w:szCs w:val="21"/>
                <w:color w:val="auto"/>
              </w:rPr>
            </w:pPr>
          </w:p>
        </w:tc>
        <w:tc>
          <w:tcPr>
            <w:tcW w:w="1140" w:type="dxa"/>
            <w:vAlign w:val="bottom"/>
            <w:tcBorders>
              <w:bottom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color w:val="FFFFFF"/>
              </w:rPr>
              <w:t>2020</w:t>
            </w:r>
          </w:p>
        </w:tc>
      </w:tr>
      <w:tr>
        <w:trPr>
          <w:trHeight w:val="215"/>
        </w:trPr>
        <w:tc>
          <w:tcPr>
            <w:tcW w:w="63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Unrecognized tax benefts at beginning of year</w:t>
            </w:r>
          </w:p>
        </w:tc>
        <w:tc>
          <w:tcPr>
            <w:tcW w:w="480" w:type="dxa"/>
            <w:vAlign w:val="bottom"/>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5.4</w:t>
            </w:r>
          </w:p>
        </w:tc>
        <w:tc>
          <w:tcPr>
            <w:tcW w:w="48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8.2</w:t>
            </w:r>
          </w:p>
        </w:tc>
        <w:tc>
          <w:tcPr>
            <w:tcW w:w="48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25.5</w:t>
            </w:r>
          </w:p>
        </w:tc>
      </w:tr>
      <w:tr>
        <w:trPr>
          <w:trHeight w:val="28"/>
        </w:trPr>
        <w:tc>
          <w:tcPr>
            <w:tcW w:w="63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636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Gross increases – tax positons in prior years</w:t>
            </w:r>
          </w:p>
        </w:tc>
        <w:tc>
          <w:tcPr>
            <w:tcW w:w="48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48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0.5</w:t>
            </w:r>
          </w:p>
        </w:tc>
        <w:tc>
          <w:tcPr>
            <w:tcW w:w="48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0.2</w:t>
            </w:r>
          </w:p>
        </w:tc>
      </w:tr>
      <w:tr>
        <w:trPr>
          <w:trHeight w:val="215"/>
        </w:trPr>
        <w:tc>
          <w:tcPr>
            <w:tcW w:w="63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Gross decreases – tax positons in prior years</w:t>
            </w:r>
          </w:p>
        </w:tc>
        <w:tc>
          <w:tcPr>
            <w:tcW w:w="480" w:type="dxa"/>
            <w:vAlign w:val="bottom"/>
          </w:tcPr>
          <w:p>
            <w:pPr>
              <w:spacing w:after="0"/>
              <w:rPr>
                <w:sz w:val="18"/>
                <w:szCs w:val="18"/>
                <w:color w:val="auto"/>
              </w:rPr>
            </w:pPr>
          </w:p>
        </w:tc>
        <w:tc>
          <w:tcPr>
            <w:tcW w:w="11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480" w:type="dxa"/>
            <w:vAlign w:val="bottom"/>
          </w:tcPr>
          <w:p>
            <w:pPr>
              <w:spacing w:after="0"/>
              <w:rPr>
                <w:sz w:val="18"/>
                <w:szCs w:val="18"/>
                <w:color w:val="auto"/>
              </w:rPr>
            </w:pPr>
          </w:p>
        </w:tc>
        <w:tc>
          <w:tcPr>
            <w:tcW w:w="11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480" w:type="dxa"/>
            <w:vAlign w:val="bottom"/>
          </w:tcPr>
          <w:p>
            <w:pPr>
              <w:spacing w:after="0"/>
              <w:rPr>
                <w:sz w:val="18"/>
                <w:szCs w:val="18"/>
                <w:color w:val="auto"/>
              </w:rPr>
            </w:pP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r>
      <w:tr>
        <w:trPr>
          <w:trHeight w:val="28"/>
        </w:trPr>
        <w:tc>
          <w:tcPr>
            <w:tcW w:w="63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636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Gross increases – tax positons in current year</w:t>
            </w:r>
          </w:p>
        </w:tc>
        <w:tc>
          <w:tcPr>
            <w:tcW w:w="48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0.2</w:t>
            </w:r>
          </w:p>
        </w:tc>
        <w:tc>
          <w:tcPr>
            <w:tcW w:w="48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0.1</w:t>
            </w:r>
          </w:p>
        </w:tc>
        <w:tc>
          <w:tcPr>
            <w:tcW w:w="48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0.1</w:t>
            </w:r>
          </w:p>
        </w:tc>
      </w:tr>
      <w:tr>
        <w:trPr>
          <w:trHeight w:val="243"/>
        </w:trPr>
        <w:tc>
          <w:tcPr>
            <w:tcW w:w="63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Gross decreases – tax positons in current year</w:t>
            </w:r>
          </w:p>
        </w:tc>
        <w:tc>
          <w:tcPr>
            <w:tcW w:w="480" w:type="dxa"/>
            <w:vAlign w:val="bottom"/>
          </w:tcPr>
          <w:p>
            <w:pPr>
              <w:spacing w:after="0"/>
              <w:rPr>
                <w:sz w:val="21"/>
                <w:szCs w:val="21"/>
                <w:color w:val="auto"/>
              </w:rPr>
            </w:pPr>
          </w:p>
        </w:tc>
        <w:tc>
          <w:tcPr>
            <w:tcW w:w="11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480" w:type="dxa"/>
            <w:vAlign w:val="bottom"/>
          </w:tcPr>
          <w:p>
            <w:pPr>
              <w:spacing w:after="0"/>
              <w:rPr>
                <w:sz w:val="21"/>
                <w:szCs w:val="21"/>
                <w:color w:val="auto"/>
              </w:rPr>
            </w:pPr>
          </w:p>
        </w:tc>
        <w:tc>
          <w:tcPr>
            <w:tcW w:w="11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480" w:type="dxa"/>
            <w:vAlign w:val="bottom"/>
          </w:tcPr>
          <w:p>
            <w:pPr>
              <w:spacing w:after="0"/>
              <w:rPr>
                <w:sz w:val="21"/>
                <w:szCs w:val="21"/>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(0.2 )</w:t>
            </w:r>
          </w:p>
        </w:tc>
      </w:tr>
      <w:tr>
        <w:trPr>
          <w:trHeight w:val="248"/>
        </w:trPr>
        <w:tc>
          <w:tcPr>
            <w:tcW w:w="636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Lapse of statute of limitatons</w:t>
            </w:r>
          </w:p>
        </w:tc>
        <w:tc>
          <w:tcPr>
            <w:tcW w:w="48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(2.0 )</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(3.4 )</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(17.4 )</w:t>
            </w:r>
          </w:p>
        </w:tc>
      </w:tr>
      <w:tr>
        <w:trPr>
          <w:trHeight w:val="208"/>
        </w:trPr>
        <w:tc>
          <w:tcPr>
            <w:tcW w:w="636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Unrecognized tax benefts at end of year</w:t>
            </w:r>
          </w:p>
        </w:tc>
        <w:tc>
          <w:tcPr>
            <w:tcW w:w="48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3.6</w:t>
            </w:r>
          </w:p>
        </w:tc>
        <w:tc>
          <w:tcPr>
            <w:tcW w:w="48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5.4</w:t>
            </w:r>
          </w:p>
        </w:tc>
        <w:tc>
          <w:tcPr>
            <w:tcW w:w="48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8.2</w:t>
            </w:r>
          </w:p>
        </w:tc>
      </w:tr>
      <w:tr>
        <w:trPr>
          <w:trHeight w:val="28"/>
        </w:trPr>
        <w:tc>
          <w:tcPr>
            <w:tcW w:w="6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4"/>
        </w:trPr>
        <w:tc>
          <w:tcPr>
            <w:tcW w:w="6360" w:type="dxa"/>
            <w:vAlign w:val="bottom"/>
            <w:tcBorders>
              <w:right w:val="single" w:sz="8" w:color="007CBA"/>
            </w:tcBorders>
            <w:shd w:val="clear" w:color="auto" w:fill="E5F1F8"/>
          </w:tcPr>
          <w:p>
            <w:pPr>
              <w:spacing w:after="0"/>
              <w:rPr>
                <w:sz w:val="19"/>
                <w:szCs w:val="19"/>
                <w:color w:val="auto"/>
              </w:rPr>
            </w:pPr>
          </w:p>
        </w:tc>
        <w:tc>
          <w:tcPr>
            <w:tcW w:w="480" w:type="dxa"/>
            <w:vAlign w:val="bottom"/>
            <w:shd w:val="clear" w:color="auto" w:fill="E5F1F8"/>
          </w:tcPr>
          <w:p>
            <w:pPr>
              <w:spacing w:after="0"/>
              <w:rPr>
                <w:sz w:val="19"/>
                <w:szCs w:val="19"/>
                <w:color w:val="auto"/>
              </w:rPr>
            </w:pPr>
          </w:p>
        </w:tc>
        <w:tc>
          <w:tcPr>
            <w:tcW w:w="1160" w:type="dxa"/>
            <w:vAlign w:val="bottom"/>
            <w:tcBorders>
              <w:right w:val="single" w:sz="8" w:color="007CBA"/>
            </w:tcBorders>
            <w:shd w:val="clear" w:color="auto" w:fill="E5F1F8"/>
          </w:tcPr>
          <w:p>
            <w:pPr>
              <w:spacing w:after="0"/>
              <w:rPr>
                <w:sz w:val="19"/>
                <w:szCs w:val="19"/>
                <w:color w:val="auto"/>
              </w:rPr>
            </w:pPr>
          </w:p>
        </w:tc>
        <w:tc>
          <w:tcPr>
            <w:tcW w:w="480" w:type="dxa"/>
            <w:vAlign w:val="bottom"/>
            <w:shd w:val="clear" w:color="auto" w:fill="E5F1F8"/>
          </w:tcPr>
          <w:p>
            <w:pPr>
              <w:spacing w:after="0"/>
              <w:rPr>
                <w:sz w:val="19"/>
                <w:szCs w:val="19"/>
                <w:color w:val="auto"/>
              </w:rPr>
            </w:pPr>
          </w:p>
        </w:tc>
        <w:tc>
          <w:tcPr>
            <w:tcW w:w="1140" w:type="dxa"/>
            <w:vAlign w:val="bottom"/>
            <w:tcBorders>
              <w:right w:val="single" w:sz="8" w:color="007CBA"/>
            </w:tcBorders>
            <w:shd w:val="clear" w:color="auto" w:fill="E5F1F8"/>
          </w:tcPr>
          <w:p>
            <w:pPr>
              <w:spacing w:after="0"/>
              <w:rPr>
                <w:sz w:val="19"/>
                <w:szCs w:val="19"/>
                <w:color w:val="auto"/>
              </w:rPr>
            </w:pPr>
          </w:p>
        </w:tc>
        <w:tc>
          <w:tcPr>
            <w:tcW w:w="480" w:type="dxa"/>
            <w:vAlign w:val="bottom"/>
            <w:shd w:val="clear" w:color="auto" w:fill="E5F1F8"/>
          </w:tcPr>
          <w:p>
            <w:pPr>
              <w:spacing w:after="0"/>
              <w:rPr>
                <w:sz w:val="19"/>
                <w:szCs w:val="19"/>
                <w:color w:val="auto"/>
              </w:rPr>
            </w:pPr>
          </w:p>
        </w:tc>
        <w:tc>
          <w:tcPr>
            <w:tcW w:w="1140" w:type="dxa"/>
            <w:vAlign w:val="bottom"/>
            <w:shd w:val="clear" w:color="auto" w:fill="E5F1F8"/>
          </w:tcPr>
          <w:p>
            <w:pPr>
              <w:spacing w:after="0"/>
              <w:rPr>
                <w:sz w:val="19"/>
                <w:szCs w:val="19"/>
                <w:color w:val="auto"/>
              </w:rPr>
            </w:pPr>
          </w:p>
        </w:tc>
      </w:tr>
      <w:tr>
        <w:trPr>
          <w:trHeight w:val="207"/>
        </w:trPr>
        <w:tc>
          <w:tcPr>
            <w:tcW w:w="6360" w:type="dxa"/>
            <w:vAlign w:val="bottom"/>
          </w:tcPr>
          <w:p>
            <w:pPr>
              <w:ind w:left="120"/>
              <w:spacing w:after="0" w:line="207" w:lineRule="exact"/>
              <w:rPr>
                <w:sz w:val="20"/>
                <w:szCs w:val="20"/>
                <w:color w:val="auto"/>
              </w:rPr>
            </w:pPr>
            <w:r>
              <w:rPr>
                <w:rFonts w:ascii="Calibri" w:cs="Calibri" w:eastAsia="Calibri" w:hAnsi="Calibri"/>
                <w:sz w:val="18"/>
                <w:szCs w:val="18"/>
                <w:color w:val="auto"/>
              </w:rPr>
              <w:t>Amount that, if recognized, would favorably impact</w:t>
            </w: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5"/>
        </w:trPr>
        <w:tc>
          <w:tcPr>
            <w:tcW w:w="6360" w:type="dxa"/>
            <w:vAlign w:val="bottom"/>
          </w:tcPr>
          <w:p>
            <w:pPr>
              <w:ind w:left="240"/>
              <w:spacing w:after="0" w:line="215" w:lineRule="exact"/>
              <w:rPr>
                <w:sz w:val="20"/>
                <w:szCs w:val="20"/>
                <w:color w:val="auto"/>
              </w:rPr>
            </w:pPr>
            <w:r>
              <w:rPr>
                <w:rFonts w:ascii="Calibri" w:cs="Calibri" w:eastAsia="Calibri" w:hAnsi="Calibri"/>
                <w:sz w:val="18"/>
                <w:szCs w:val="18"/>
                <w:color w:val="auto"/>
              </w:rPr>
              <w:t>the efectve tax rate</w:t>
            </w:r>
          </w:p>
        </w:tc>
        <w:tc>
          <w:tcPr>
            <w:tcW w:w="480" w:type="dxa"/>
            <w:vAlign w:val="bottom"/>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16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3.7</w:t>
            </w:r>
          </w:p>
        </w:tc>
        <w:tc>
          <w:tcPr>
            <w:tcW w:w="48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5.5</w:t>
            </w:r>
          </w:p>
        </w:tc>
        <w:tc>
          <w:tcPr>
            <w:tcW w:w="48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6.4</w:t>
            </w:r>
          </w:p>
        </w:tc>
      </w:tr>
      <w:tr>
        <w:trPr>
          <w:trHeight w:val="37"/>
        </w:trPr>
        <w:tc>
          <w:tcPr>
            <w:tcW w:w="63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-1576705</wp:posOffset>
            </wp:positionV>
            <wp:extent cx="7132320" cy="16319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-808990</wp:posOffset>
            </wp:positionV>
            <wp:extent cx="7132320" cy="3683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7132320" cy="368300"/>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-311785</wp:posOffset>
            </wp:positionV>
            <wp:extent cx="3124200" cy="3251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3124200" cy="325120"/>
                    </a:xfrm>
                    <a:prstGeom prst="rect">
                      <a:avLst/>
                    </a:prstGeom>
                    <a:noFill/>
                  </pic:spPr>
                </pic:pic>
              </a:graphicData>
            </a:graphic>
          </wp:anchor>
        </w:drawing>
      </w:r>
    </w:p>
    <w:p>
      <w:pPr>
        <w:spacing w:after="0" w:line="13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Unrecognized tax benefts are reversed as a discrete event if an examinaton of applicable tax returns is not initated by a federal or state tax authority within the statute of limitatons or upon efectve setlement with federal or state tax authorites. For the year ended December 31, 2022, $2.1 million was reversed into income upon the statute of limitatons expiraton for 2018. For the year ended December 31, 2021, $1.6 million was reversed into income upon the statute of limitatons expiraton for 2017.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6751320</wp:posOffset>
            </wp:positionH>
            <wp:positionV relativeFrom="paragraph">
              <wp:posOffset>93345</wp:posOffset>
            </wp:positionV>
            <wp:extent cx="325755" cy="1968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98" w:name="page99"/>
    <w:bookmarkEnd w:id="98"/>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year ended December 31, 2020, $9.7 million was reversed into income upon the statute of limitatons expiraton for 2016 and all prior open tax years.</w:t>
      </w:r>
    </w:p>
    <w:p>
      <w:pPr>
        <w:spacing w:after="0" w:line="235" w:lineRule="auto"/>
        <w:rPr>
          <w:sz w:val="20"/>
          <w:szCs w:val="20"/>
          <w:color w:val="auto"/>
        </w:rPr>
      </w:pPr>
      <w:r>
        <w:rPr>
          <w:rFonts w:ascii="Calibri" w:cs="Calibri" w:eastAsia="Calibri" w:hAnsi="Calibri"/>
          <w:sz w:val="18"/>
          <w:szCs w:val="18"/>
          <w:color w:val="auto"/>
        </w:rPr>
        <w:t>Management believes its accrual for unrecognized tax benefts is sufcient to cover uncertain tax positons reviewed during audits by taxing authorites.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antcipates that it is reasonably possible that its unrecognized tax benefts may decrease up to $2.0 million, excluding interest and correlatve efects, during the twelve months ending December 31, 2023, due to the expiraton of the statutes of limitatons for the 2019 tax year.</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Company’s tax years subject to federal, state or foreign examinatons are 2018 through 2022.</w:t>
      </w:r>
    </w:p>
    <w:p>
      <w:pPr>
        <w:spacing w:after="0" w:line="21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K: Retrement Plans, Postretrement and Postemployment Benefts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sponsors defned beneft retrement plans that cover substantally all employees. Additonally, the Company provides other postretrement benefts for certain employees, including medical benefts for retrees and their spouses and retree life insurance. Employees startng on or afer January 1, 2002 are not eligible for postretrement welfare plans. The Company also provides certain benefts, such as disability benefts, to former or inactve employees afer employment but before retrement.</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measurement date for the Company’s defned beneft plans, postretrement beneft plans and postemployment beneft plans is December 31. During 2022, the Company amended its qualifed pension plan to provide an enhanced beneft for eligible hourly actve partcipants who retre subsequent to April 30, 2022, which resulted in a remeasurement of the qualifed pension plan as of February 28, 2022. The remeasurement increased the defned beneft plans’ unrecognized prior service cost by $47.6 million.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Defned Beneft Retrement Plans. </w:t>
      </w:r>
      <w:r>
        <w:rPr>
          <w:rFonts w:ascii="Calibri" w:cs="Calibri" w:eastAsia="Calibri" w:hAnsi="Calibri"/>
          <w:sz w:val="18"/>
          <w:szCs w:val="18"/>
          <w:color w:val="000000"/>
        </w:rPr>
        <w:t>Defned retrement benefts for salaried employees are based on each employee’s years of service and average</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compensaton for a specifed period of tme before retrement. Defned retrement benefts for hourly employees are generally stated amounts for specifed periods of service.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sponsors a Supplemental Excess Retrement Plan (SERP) that generally provides for the payment of retrement benefts in excess of allowable Internal Revenue Code limits. The SERP generally provides for a lump-sum payment of vested benefts. When these beneft payments exceed the sum of the service and interest costs for the SERP during a year, the Company recognizes a pro rata porton of the SERP’s unrecognized actuarial loss as setlement expense.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60" w:type="dxa"/>
            <w:vAlign w:val="bottom"/>
            <w:gridSpan w:val="2"/>
          </w:tcPr>
          <w:p>
            <w:pPr>
              <w:spacing w:after="0"/>
              <w:rPr>
                <w:sz w:val="20"/>
                <w:szCs w:val="20"/>
                <w:color w:val="auto"/>
              </w:rPr>
            </w:pPr>
            <w:r>
              <w:rPr>
                <w:rFonts w:ascii="Calibri" w:cs="Calibri" w:eastAsia="Calibri" w:hAnsi="Calibri"/>
                <w:sz w:val="18"/>
                <w:szCs w:val="18"/>
                <w:color w:val="auto"/>
              </w:rPr>
              <w:t>The net periodic beneft cost of defned beneft plans includes the following components:</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32"/>
        </w:trPr>
        <w:tc>
          <w:tcPr>
            <w:tcW w:w="6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07"/>
        </w:trPr>
        <w:tc>
          <w:tcPr>
            <w:tcW w:w="6460" w:type="dxa"/>
            <w:vAlign w:val="bottom"/>
            <w:gridSpan w:val="2"/>
            <w:shd w:val="clear" w:color="auto" w:fill="007CBA"/>
          </w:tcPr>
          <w:p>
            <w:pPr>
              <w:ind w:left="120"/>
              <w:spacing w:after="0" w:line="207" w:lineRule="exact"/>
              <w:rPr>
                <w:sz w:val="20"/>
                <w:szCs w:val="20"/>
                <w:color w:val="auto"/>
              </w:rPr>
            </w:pPr>
            <w:r>
              <w:rPr>
                <w:rFonts w:ascii="Calibri" w:cs="Calibri" w:eastAsia="Calibri" w:hAnsi="Calibri"/>
                <w:sz w:val="18"/>
                <w:szCs w:val="18"/>
                <w:i w:val="1"/>
                <w:iCs w:val="1"/>
                <w:color w:val="FFFFFF"/>
              </w:rPr>
              <w:t>years ended December 31</w:t>
            </w:r>
          </w:p>
        </w:tc>
        <w:tc>
          <w:tcPr>
            <w:tcW w:w="38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80" w:type="dxa"/>
            <w:vAlign w:val="bottom"/>
            <w:shd w:val="clear" w:color="auto" w:fill="007CBA"/>
          </w:tcPr>
          <w:p>
            <w:pPr>
              <w:spacing w:after="0"/>
              <w:rPr>
                <w:sz w:val="18"/>
                <w:szCs w:val="18"/>
                <w:color w:val="auto"/>
              </w:rPr>
            </w:pPr>
          </w:p>
        </w:tc>
        <w:tc>
          <w:tcPr>
            <w:tcW w:w="1140" w:type="dxa"/>
            <w:vAlign w:val="bottom"/>
            <w:tcBorders>
              <w:right w:val="single" w:sz="8" w:color="007CBA"/>
            </w:tcBorders>
            <w:shd w:val="clear" w:color="auto" w:fill="007CBA"/>
          </w:tcPr>
          <w:p>
            <w:pPr>
              <w:spacing w:after="0"/>
              <w:rPr>
                <w:sz w:val="18"/>
                <w:szCs w:val="18"/>
                <w:color w:val="auto"/>
              </w:rPr>
            </w:pPr>
          </w:p>
        </w:tc>
        <w:tc>
          <w:tcPr>
            <w:tcW w:w="480" w:type="dxa"/>
            <w:vAlign w:val="bottom"/>
            <w:shd w:val="clear" w:color="auto" w:fill="007CBA"/>
          </w:tcPr>
          <w:p>
            <w:pPr>
              <w:spacing w:after="0"/>
              <w:rPr>
                <w:sz w:val="18"/>
                <w:szCs w:val="18"/>
                <w:color w:val="auto"/>
              </w:rPr>
            </w:pPr>
          </w:p>
        </w:tc>
        <w:tc>
          <w:tcPr>
            <w:tcW w:w="1140" w:type="dxa"/>
            <w:vAlign w:val="bottom"/>
            <w:shd w:val="clear" w:color="auto" w:fill="007CBA"/>
          </w:tcPr>
          <w:p>
            <w:pPr>
              <w:spacing w:after="0"/>
              <w:rPr>
                <w:sz w:val="18"/>
                <w:szCs w:val="18"/>
                <w:color w:val="auto"/>
              </w:rPr>
            </w:pPr>
          </w:p>
        </w:tc>
      </w:tr>
      <w:tr>
        <w:trPr>
          <w:trHeight w:val="232"/>
        </w:trPr>
        <w:tc>
          <w:tcPr>
            <w:tcW w:w="6460" w:type="dxa"/>
            <w:vAlign w:val="bottom"/>
            <w:tcBorders>
              <w:bottom w:val="single" w:sz="8" w:color="007CBA"/>
            </w:tcBorders>
            <w:gridSpan w:val="2"/>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380" w:type="dxa"/>
            <w:vAlign w:val="bottom"/>
            <w:tcBorders>
              <w:bottom w:val="single" w:sz="8" w:color="007CBA"/>
            </w:tcBorders>
            <w:shd w:val="clear" w:color="auto" w:fill="007CBA"/>
          </w:tcPr>
          <w:p>
            <w:pPr>
              <w:spacing w:after="0"/>
              <w:rPr>
                <w:sz w:val="20"/>
                <w:szCs w:val="20"/>
                <w:color w:val="auto"/>
              </w:rPr>
            </w:pPr>
          </w:p>
        </w:tc>
        <w:tc>
          <w:tcPr>
            <w:tcW w:w="1160" w:type="dxa"/>
            <w:vAlign w:val="bottom"/>
            <w:tcBorders>
              <w:bottom w:val="single" w:sz="8" w:color="007CBA"/>
              <w:right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b w:val="1"/>
                <w:bCs w:val="1"/>
                <w:color w:val="FFFFFF"/>
              </w:rPr>
              <w:t>2022</w:t>
            </w:r>
          </w:p>
        </w:tc>
        <w:tc>
          <w:tcPr>
            <w:tcW w:w="48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right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color w:val="FFFFFF"/>
              </w:rPr>
              <w:t>2021</w:t>
            </w:r>
          </w:p>
        </w:tc>
        <w:tc>
          <w:tcPr>
            <w:tcW w:w="48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color w:val="FFFFFF"/>
              </w:rPr>
              <w:t>2020</w:t>
            </w:r>
          </w:p>
        </w:tc>
      </w:tr>
      <w:tr>
        <w:trPr>
          <w:trHeight w:val="215"/>
        </w:trPr>
        <w:tc>
          <w:tcPr>
            <w:tcW w:w="63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Service cost</w:t>
            </w:r>
          </w:p>
        </w:tc>
        <w:tc>
          <w:tcPr>
            <w:tcW w:w="100" w:type="dxa"/>
            <w:vAlign w:val="bottom"/>
          </w:tcPr>
          <w:p>
            <w:pPr>
              <w:spacing w:after="0"/>
              <w:rPr>
                <w:sz w:val="18"/>
                <w:szCs w:val="18"/>
                <w:color w:val="auto"/>
              </w:rPr>
            </w:pPr>
          </w:p>
        </w:tc>
        <w:tc>
          <w:tcPr>
            <w:tcW w:w="380" w:type="dxa"/>
            <w:vAlign w:val="bottom"/>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48.1</w:t>
            </w:r>
          </w:p>
        </w:tc>
        <w:tc>
          <w:tcPr>
            <w:tcW w:w="48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46.2</w:t>
            </w:r>
          </w:p>
        </w:tc>
        <w:tc>
          <w:tcPr>
            <w:tcW w:w="48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39.2</w:t>
            </w:r>
          </w:p>
        </w:tc>
      </w:tr>
      <w:tr>
        <w:trPr>
          <w:trHeight w:val="28"/>
        </w:trPr>
        <w:tc>
          <w:tcPr>
            <w:tcW w:w="6360" w:type="dxa"/>
            <w:vAlign w:val="bottom"/>
            <w:tcBorders>
              <w:right w:val="single" w:sz="8" w:color="007CBA"/>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636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Interest cost</w:t>
            </w:r>
          </w:p>
        </w:tc>
        <w:tc>
          <w:tcPr>
            <w:tcW w:w="100" w:type="dxa"/>
            <w:vAlign w:val="bottom"/>
            <w:tcBorders>
              <w:bottom w:val="single" w:sz="8" w:color="E5F1F8"/>
            </w:tcBorders>
            <w:shd w:val="clear" w:color="auto" w:fill="E5F1F8"/>
          </w:tcPr>
          <w:p>
            <w:pPr>
              <w:spacing w:after="0"/>
              <w:rPr>
                <w:sz w:val="19"/>
                <w:szCs w:val="19"/>
                <w:color w:val="auto"/>
              </w:rPr>
            </w:pPr>
          </w:p>
        </w:tc>
        <w:tc>
          <w:tcPr>
            <w:tcW w:w="38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41.2</w:t>
            </w:r>
          </w:p>
        </w:tc>
        <w:tc>
          <w:tcPr>
            <w:tcW w:w="48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35.7</w:t>
            </w:r>
          </w:p>
        </w:tc>
        <w:tc>
          <w:tcPr>
            <w:tcW w:w="48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37.1</w:t>
            </w:r>
          </w:p>
        </w:tc>
      </w:tr>
      <w:tr>
        <w:trPr>
          <w:trHeight w:val="215"/>
        </w:trPr>
        <w:tc>
          <w:tcPr>
            <w:tcW w:w="63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Expected return on assets</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b w:val="1"/>
                <w:bCs w:val="1"/>
                <w:color w:val="auto"/>
              </w:rPr>
              <w:t>(77.3 )</w:t>
            </w:r>
          </w:p>
        </w:tc>
        <w:tc>
          <w:tcPr>
            <w:tcW w:w="480" w:type="dxa"/>
            <w:vAlign w:val="bottom"/>
          </w:tcPr>
          <w:p>
            <w:pPr>
              <w:spacing w:after="0"/>
              <w:rPr>
                <w:sz w:val="18"/>
                <w:szCs w:val="18"/>
                <w:color w:val="auto"/>
              </w:rPr>
            </w:pPr>
          </w:p>
        </w:tc>
        <w:tc>
          <w:tcPr>
            <w:tcW w:w="114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color w:val="auto"/>
              </w:rPr>
              <w:t>(70.5 )</w:t>
            </w:r>
          </w:p>
        </w:tc>
        <w:tc>
          <w:tcPr>
            <w:tcW w:w="48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(58.4 )</w:t>
            </w:r>
          </w:p>
        </w:tc>
      </w:tr>
      <w:tr>
        <w:trPr>
          <w:trHeight w:val="28"/>
        </w:trPr>
        <w:tc>
          <w:tcPr>
            <w:tcW w:w="6360" w:type="dxa"/>
            <w:vAlign w:val="bottom"/>
            <w:tcBorders>
              <w:right w:val="single" w:sz="8" w:color="007CBA"/>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636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Amortzaton of:</w:t>
            </w:r>
          </w:p>
        </w:tc>
        <w:tc>
          <w:tcPr>
            <w:tcW w:w="100" w:type="dxa"/>
            <w:vAlign w:val="bottom"/>
            <w:tcBorders>
              <w:bottom w:val="single" w:sz="8" w:color="E5F1F8"/>
            </w:tcBorders>
            <w:shd w:val="clear" w:color="auto" w:fill="E5F1F8"/>
          </w:tcPr>
          <w:p>
            <w:pPr>
              <w:spacing w:after="0"/>
              <w:rPr>
                <w:sz w:val="19"/>
                <w:szCs w:val="19"/>
                <w:color w:val="auto"/>
              </w:rPr>
            </w:pPr>
          </w:p>
        </w:tc>
        <w:tc>
          <w:tcPr>
            <w:tcW w:w="38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spacing w:after="0"/>
              <w:rPr>
                <w:sz w:val="19"/>
                <w:szCs w:val="19"/>
                <w:color w:val="auto"/>
              </w:rPr>
            </w:pPr>
          </w:p>
        </w:tc>
        <w:tc>
          <w:tcPr>
            <w:tcW w:w="48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right w:val="single" w:sz="8" w:color="007CBA"/>
            </w:tcBorders>
            <w:shd w:val="clear" w:color="auto" w:fill="E5F1F8"/>
          </w:tcPr>
          <w:p>
            <w:pPr>
              <w:spacing w:after="0"/>
              <w:rPr>
                <w:sz w:val="19"/>
                <w:szCs w:val="19"/>
                <w:color w:val="auto"/>
              </w:rPr>
            </w:pPr>
          </w:p>
        </w:tc>
        <w:tc>
          <w:tcPr>
            <w:tcW w:w="48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tcBorders>
            <w:shd w:val="clear" w:color="auto" w:fill="E5F1F8"/>
          </w:tcPr>
          <w:p>
            <w:pPr>
              <w:spacing w:after="0"/>
              <w:rPr>
                <w:sz w:val="19"/>
                <w:szCs w:val="19"/>
                <w:color w:val="auto"/>
              </w:rPr>
            </w:pPr>
          </w:p>
        </w:tc>
      </w:tr>
      <w:tr>
        <w:trPr>
          <w:trHeight w:val="215"/>
        </w:trPr>
        <w:tc>
          <w:tcPr>
            <w:tcW w:w="6360" w:type="dxa"/>
            <w:vAlign w:val="bottom"/>
            <w:tcBorders>
              <w:right w:val="single" w:sz="8" w:color="007CBA"/>
            </w:tcBorders>
          </w:tcPr>
          <w:p>
            <w:pPr>
              <w:ind w:left="300"/>
              <w:spacing w:after="0" w:line="215" w:lineRule="exact"/>
              <w:rPr>
                <w:sz w:val="20"/>
                <w:szCs w:val="20"/>
                <w:color w:val="auto"/>
              </w:rPr>
            </w:pPr>
            <w:r>
              <w:rPr>
                <w:rFonts w:ascii="Calibri" w:cs="Calibri" w:eastAsia="Calibri" w:hAnsi="Calibri"/>
                <w:sz w:val="18"/>
                <w:szCs w:val="18"/>
                <w:color w:val="auto"/>
              </w:rPr>
              <w:t>Prior service cost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4.9</w:t>
            </w:r>
          </w:p>
        </w:tc>
        <w:tc>
          <w:tcPr>
            <w:tcW w:w="480" w:type="dxa"/>
            <w:vAlign w:val="bottom"/>
          </w:tcPr>
          <w:p>
            <w:pPr>
              <w:spacing w:after="0"/>
              <w:rPr>
                <w:sz w:val="18"/>
                <w:szCs w:val="18"/>
                <w:color w:val="auto"/>
              </w:rPr>
            </w:pPr>
          </w:p>
        </w:tc>
        <w:tc>
          <w:tcPr>
            <w:tcW w:w="11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0.8</w:t>
            </w:r>
          </w:p>
        </w:tc>
        <w:tc>
          <w:tcPr>
            <w:tcW w:w="480" w:type="dxa"/>
            <w:vAlign w:val="bottom"/>
          </w:tcPr>
          <w:p>
            <w:pPr>
              <w:spacing w:after="0"/>
              <w:rPr>
                <w:sz w:val="18"/>
                <w:szCs w:val="18"/>
                <w:color w:val="auto"/>
              </w:rPr>
            </w:pP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0.7</w:t>
            </w:r>
          </w:p>
        </w:tc>
      </w:tr>
      <w:tr>
        <w:trPr>
          <w:trHeight w:val="28"/>
        </w:trPr>
        <w:tc>
          <w:tcPr>
            <w:tcW w:w="6360" w:type="dxa"/>
            <w:vAlign w:val="bottom"/>
            <w:tcBorders>
              <w:right w:val="single" w:sz="8" w:color="007CBA"/>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6360" w:type="dxa"/>
            <w:vAlign w:val="bottom"/>
            <w:tcBorders>
              <w:bottom w:val="single" w:sz="8" w:color="E5F1F8"/>
              <w:right w:val="single" w:sz="8" w:color="007CBA"/>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Actuarial loss</w:t>
            </w:r>
          </w:p>
        </w:tc>
        <w:tc>
          <w:tcPr>
            <w:tcW w:w="100" w:type="dxa"/>
            <w:vAlign w:val="bottom"/>
            <w:tcBorders>
              <w:bottom w:val="single" w:sz="8" w:color="E5F1F8"/>
            </w:tcBorders>
            <w:shd w:val="clear" w:color="auto" w:fill="E5F1F8"/>
          </w:tcPr>
          <w:p>
            <w:pPr>
              <w:spacing w:after="0"/>
              <w:rPr>
                <w:sz w:val="19"/>
                <w:szCs w:val="19"/>
                <w:color w:val="auto"/>
              </w:rPr>
            </w:pPr>
          </w:p>
        </w:tc>
        <w:tc>
          <w:tcPr>
            <w:tcW w:w="38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3.9</w:t>
            </w:r>
          </w:p>
        </w:tc>
        <w:tc>
          <w:tcPr>
            <w:tcW w:w="48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12.2</w:t>
            </w:r>
          </w:p>
        </w:tc>
        <w:tc>
          <w:tcPr>
            <w:tcW w:w="48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14.5</w:t>
            </w:r>
          </w:p>
        </w:tc>
      </w:tr>
      <w:tr>
        <w:trPr>
          <w:trHeight w:val="215"/>
        </w:trPr>
        <w:tc>
          <w:tcPr>
            <w:tcW w:w="6460" w:type="dxa"/>
            <w:vAlign w:val="bottom"/>
            <w:gridSpan w:val="2"/>
          </w:tcPr>
          <w:p>
            <w:pPr>
              <w:ind w:left="120"/>
              <w:spacing w:after="0" w:line="215" w:lineRule="exact"/>
              <w:rPr>
                <w:sz w:val="20"/>
                <w:szCs w:val="20"/>
                <w:color w:val="auto"/>
              </w:rPr>
            </w:pPr>
            <w:r>
              <w:rPr>
                <w:rFonts w:ascii="Calibri" w:cs="Calibri" w:eastAsia="Calibri" w:hAnsi="Calibri"/>
                <w:sz w:val="18"/>
                <w:szCs w:val="18"/>
                <w:color w:val="auto"/>
              </w:rPr>
              <w:t>Setlement charge</w:t>
            </w:r>
          </w:p>
        </w:tc>
        <w:tc>
          <w:tcPr>
            <w:tcW w:w="380" w:type="dxa"/>
            <w:vAlign w:val="bottom"/>
          </w:tcPr>
          <w:p>
            <w:pPr>
              <w:spacing w:after="0"/>
              <w:rPr>
                <w:sz w:val="18"/>
                <w:szCs w:val="18"/>
                <w:color w:val="auto"/>
              </w:rPr>
            </w:pPr>
          </w:p>
        </w:tc>
        <w:tc>
          <w:tcPr>
            <w:tcW w:w="116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4.6</w:t>
            </w:r>
          </w:p>
        </w:tc>
        <w:tc>
          <w:tcPr>
            <w:tcW w:w="480" w:type="dxa"/>
            <w:vAlign w:val="bottom"/>
          </w:tcPr>
          <w:p>
            <w:pPr>
              <w:spacing w:after="0"/>
              <w:rPr>
                <w:sz w:val="18"/>
                <w:szCs w:val="18"/>
                <w:color w:val="auto"/>
              </w:rPr>
            </w:pP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480" w:type="dxa"/>
            <w:vAlign w:val="bottom"/>
          </w:tcPr>
          <w:p>
            <w:pPr>
              <w:spacing w:after="0"/>
              <w:rPr>
                <w:sz w:val="18"/>
                <w:szCs w:val="18"/>
                <w:color w:val="auto"/>
              </w:rPr>
            </w:pP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3.7</w:t>
            </w:r>
          </w:p>
        </w:tc>
      </w:tr>
      <w:tr>
        <w:trPr>
          <w:trHeight w:val="28"/>
        </w:trPr>
        <w:tc>
          <w:tcPr>
            <w:tcW w:w="64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2"/>
        </w:trPr>
        <w:tc>
          <w:tcPr>
            <w:tcW w:w="636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Net periodic beneft cost</w:t>
            </w:r>
          </w:p>
        </w:tc>
        <w:tc>
          <w:tcPr>
            <w:tcW w:w="100" w:type="dxa"/>
            <w:vAlign w:val="bottom"/>
            <w:tcBorders>
              <w:bottom w:val="single" w:sz="8" w:color="E5F1F8"/>
            </w:tcBorders>
            <w:shd w:val="clear" w:color="auto" w:fill="E5F1F8"/>
          </w:tcPr>
          <w:p>
            <w:pPr>
              <w:spacing w:after="0"/>
              <w:rPr>
                <w:sz w:val="22"/>
                <w:szCs w:val="22"/>
                <w:color w:val="auto"/>
              </w:rPr>
            </w:pPr>
          </w:p>
        </w:tc>
        <w:tc>
          <w:tcPr>
            <w:tcW w:w="380" w:type="dxa"/>
            <w:vAlign w:val="bottom"/>
            <w:tcBorders>
              <w:bottom w:val="single" w:sz="8" w:color="E5F1F8"/>
            </w:tcBorders>
            <w:shd w:val="clear" w:color="auto" w:fill="E5F1F8"/>
          </w:tcPr>
          <w:p>
            <w:pPr>
              <w:jc w:val="right"/>
              <w:ind w:right="110"/>
              <w:spacing w:after="0" w:line="208"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bottom w:val="single" w:sz="8" w:color="E5F1F8"/>
              <w:right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b w:val="1"/>
                <w:bCs w:val="1"/>
                <w:color w:val="auto"/>
              </w:rPr>
              <w:t>25.4</w:t>
            </w:r>
          </w:p>
        </w:tc>
        <w:tc>
          <w:tcPr>
            <w:tcW w:w="480" w:type="dxa"/>
            <w:vAlign w:val="bottom"/>
            <w:tcBorders>
              <w:bottom w:val="single" w:sz="8" w:color="E5F1F8"/>
            </w:tcBorders>
            <w:shd w:val="clear" w:color="auto" w:fill="E5F1F8"/>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E5F1F8"/>
              <w:right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24.4</w:t>
            </w:r>
          </w:p>
        </w:tc>
        <w:tc>
          <w:tcPr>
            <w:tcW w:w="480" w:type="dxa"/>
            <w:vAlign w:val="bottom"/>
            <w:tcBorders>
              <w:bottom w:val="single" w:sz="8" w:color="E5F1F8"/>
            </w:tcBorders>
            <w:shd w:val="clear" w:color="auto" w:fill="E5F1F8"/>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36.8</w:t>
            </w:r>
          </w:p>
        </w:tc>
      </w:tr>
      <w:tr>
        <w:trPr>
          <w:trHeight w:val="20"/>
        </w:trPr>
        <w:tc>
          <w:tcPr>
            <w:tcW w:w="63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4012565</wp:posOffset>
            </wp:positionH>
            <wp:positionV relativeFrom="paragraph">
              <wp:posOffset>-354965</wp:posOffset>
            </wp:positionV>
            <wp:extent cx="3124200" cy="3683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3124200" cy="368300"/>
                    </a:xfrm>
                    <a:prstGeom prst="rect">
                      <a:avLst/>
                    </a:prstGeom>
                    <a:noFill/>
                  </pic:spPr>
                </pic:pic>
              </a:graphicData>
            </a:graphic>
          </wp:anchor>
        </w:drawing>
      </w:r>
    </w:p>
    <w:p>
      <w:pPr>
        <w:spacing w:after="0" w:line="1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components of net periodic beneft cost, other than service cost, are included in the line item </w:t>
      </w:r>
      <w:r>
        <w:rPr>
          <w:rFonts w:ascii="Calibri" w:cs="Calibri" w:eastAsia="Calibri" w:hAnsi="Calibri"/>
          <w:sz w:val="18"/>
          <w:szCs w:val="18"/>
          <w:i w:val="1"/>
          <w:iCs w:val="1"/>
          <w:color w:val="auto"/>
        </w:rPr>
        <w:t>Other nonoperatng income, net</w:t>
      </w:r>
      <w:r>
        <w:rPr>
          <w:rFonts w:ascii="Calibri" w:cs="Calibri" w:eastAsia="Calibri" w:hAnsi="Calibri"/>
          <w:sz w:val="18"/>
          <w:szCs w:val="18"/>
          <w:color w:val="auto"/>
        </w:rPr>
        <w:t xml:space="preserve">, in the consolidated statements of earnings. Based on the roles of the employees, service cost is included in </w:t>
      </w:r>
      <w:r>
        <w:rPr>
          <w:rFonts w:ascii="Calibri" w:cs="Calibri" w:eastAsia="Calibri" w:hAnsi="Calibri"/>
          <w:sz w:val="18"/>
          <w:szCs w:val="18"/>
          <w:i w:val="1"/>
          <w:iCs w:val="1"/>
          <w:color w:val="auto"/>
        </w:rPr>
        <w:t>Cost of revenues – products and services</w:t>
      </w:r>
      <w:r>
        <w:rPr>
          <w:rFonts w:ascii="Calibri" w:cs="Calibri" w:eastAsia="Calibri" w:hAnsi="Calibri"/>
          <w:sz w:val="18"/>
          <w:szCs w:val="18"/>
          <w:color w:val="auto"/>
        </w:rPr>
        <w:t xml:space="preserve"> or </w:t>
      </w:r>
      <w:r>
        <w:rPr>
          <w:rFonts w:ascii="Calibri" w:cs="Calibri" w:eastAsia="Calibri" w:hAnsi="Calibri"/>
          <w:sz w:val="18"/>
          <w:szCs w:val="18"/>
          <w:i w:val="1"/>
          <w:iCs w:val="1"/>
          <w:color w:val="auto"/>
        </w:rPr>
        <w:t>Selling</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general and</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administratve expenses </w:t>
      </w:r>
      <w:r>
        <w:rPr>
          <w:rFonts w:ascii="Calibri" w:cs="Calibri" w:eastAsia="Calibri" w:hAnsi="Calibri"/>
          <w:sz w:val="18"/>
          <w:szCs w:val="18"/>
          <w:color w:val="auto"/>
        </w:rPr>
        <w:t>line items in the consolidated statements of earnings.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expected return on assets is calculated by applying an annually selected expected long-term rate of return assumpton to the estmated fair value of the plan assets during the year, giving consideraton to contributons and benefts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6751320</wp:posOffset>
            </wp:positionH>
            <wp:positionV relativeFrom="paragraph">
              <wp:posOffset>92710</wp:posOffset>
            </wp:positionV>
            <wp:extent cx="325755" cy="1968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308"/>
        </w:trPr>
        <w:tc>
          <w:tcPr>
            <w:tcW w:w="6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0" w:type="dxa"/>
            <w:vAlign w:val="bottom"/>
            <w:gridSpan w:val="7"/>
          </w:tcPr>
          <w:p>
            <w:pPr>
              <w:ind w:left="180"/>
              <w:spacing w:after="0"/>
              <w:rPr>
                <w:sz w:val="20"/>
                <w:szCs w:val="20"/>
                <w:color w:val="auto"/>
              </w:rPr>
            </w:pPr>
            <w:r>
              <w:rPr>
                <w:rFonts w:ascii="Calibri" w:cs="Calibri" w:eastAsia="Calibri" w:hAnsi="Calibri"/>
                <w:sz w:val="18"/>
                <w:szCs w:val="18"/>
                <w:color w:val="auto"/>
                <w:w w:val="98"/>
              </w:rPr>
              <w:t xml:space="preserve">Part II </w:t>
            </w:r>
            <w:r>
              <w:rPr>
                <w:rFonts w:ascii="Arial" w:cs="Arial" w:eastAsia="Arial" w:hAnsi="Arial"/>
                <w:sz w:val="23"/>
                <w:szCs w:val="23"/>
                <w:color w:val="0070C0"/>
                <w:w w:val="98"/>
              </w:rPr>
              <w:t>♦</w:t>
            </w:r>
            <w:r>
              <w:rPr>
                <w:rFonts w:ascii="Calibri" w:cs="Calibri" w:eastAsia="Calibri" w:hAnsi="Calibri"/>
                <w:sz w:val="18"/>
                <w:szCs w:val="18"/>
                <w:color w:val="auto"/>
                <w:w w:val="98"/>
              </w:rPr>
              <w:t xml:space="preserve"> Item 8 – Financial Statements and Supplementary Data</w:t>
            </w:r>
          </w:p>
        </w:tc>
        <w:tc>
          <w:tcPr>
            <w:tcW w:w="0" w:type="dxa"/>
            <w:vAlign w:val="bottom"/>
          </w:tcPr>
          <w:p>
            <w:pPr>
              <w:spacing w:after="0"/>
              <w:rPr>
                <w:sz w:val="1"/>
                <w:szCs w:val="1"/>
                <w:color w:val="auto"/>
              </w:rPr>
            </w:pPr>
          </w:p>
        </w:tc>
      </w:tr>
      <w:tr>
        <w:trPr>
          <w:trHeight w:val="362"/>
        </w:trPr>
        <w:tc>
          <w:tcPr>
            <w:tcW w:w="6460" w:type="dxa"/>
            <w:vAlign w:val="bottom"/>
            <w:gridSpan w:val="2"/>
          </w:tcPr>
          <w:p>
            <w:pPr>
              <w:spacing w:after="0"/>
              <w:rPr>
                <w:sz w:val="20"/>
                <w:szCs w:val="20"/>
                <w:color w:val="auto"/>
              </w:rPr>
            </w:pPr>
            <w:r>
              <w:rPr>
                <w:rFonts w:ascii="Calibri" w:cs="Calibri" w:eastAsia="Calibri" w:hAnsi="Calibri"/>
                <w:sz w:val="18"/>
                <w:szCs w:val="18"/>
                <w:color w:val="auto"/>
                <w:w w:val="98"/>
              </w:rPr>
              <w:t>The Company recognized the following amounts in consolidated comprehensive earnings:</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636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i w:val="1"/>
                <w:iCs w:val="1"/>
                <w:color w:val="FFFFFF"/>
              </w:rPr>
              <w:t>years ended December 31</w:t>
            </w:r>
          </w:p>
        </w:tc>
        <w:tc>
          <w:tcPr>
            <w:tcW w:w="100" w:type="dxa"/>
            <w:vAlign w:val="bottom"/>
            <w:shd w:val="clear" w:color="auto" w:fill="007CBA"/>
          </w:tcPr>
          <w:p>
            <w:pPr>
              <w:spacing w:after="0"/>
              <w:rPr>
                <w:sz w:val="18"/>
                <w:szCs w:val="18"/>
                <w:color w:val="auto"/>
              </w:rPr>
            </w:pPr>
          </w:p>
        </w:tc>
        <w:tc>
          <w:tcPr>
            <w:tcW w:w="38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80" w:type="dxa"/>
            <w:vAlign w:val="bottom"/>
            <w:shd w:val="clear" w:color="auto" w:fill="007CBA"/>
          </w:tcPr>
          <w:p>
            <w:pPr>
              <w:spacing w:after="0"/>
              <w:rPr>
                <w:sz w:val="18"/>
                <w:szCs w:val="18"/>
                <w:color w:val="auto"/>
              </w:rPr>
            </w:pPr>
          </w:p>
        </w:tc>
        <w:tc>
          <w:tcPr>
            <w:tcW w:w="1140" w:type="dxa"/>
            <w:vAlign w:val="bottom"/>
            <w:tcBorders>
              <w:right w:val="single" w:sz="8" w:color="007CBA"/>
            </w:tcBorders>
            <w:shd w:val="clear" w:color="auto" w:fill="007CBA"/>
          </w:tcPr>
          <w:p>
            <w:pPr>
              <w:spacing w:after="0"/>
              <w:rPr>
                <w:sz w:val="18"/>
                <w:szCs w:val="18"/>
                <w:color w:val="auto"/>
              </w:rPr>
            </w:pPr>
          </w:p>
        </w:tc>
        <w:tc>
          <w:tcPr>
            <w:tcW w:w="480" w:type="dxa"/>
            <w:vAlign w:val="bottom"/>
            <w:shd w:val="clear" w:color="auto" w:fill="007CBA"/>
          </w:tcPr>
          <w:p>
            <w:pPr>
              <w:spacing w:after="0"/>
              <w:rPr>
                <w:sz w:val="18"/>
                <w:szCs w:val="18"/>
                <w:color w:val="auto"/>
              </w:rPr>
            </w:pPr>
          </w:p>
        </w:tc>
        <w:tc>
          <w:tcPr>
            <w:tcW w:w="1140" w:type="dxa"/>
            <w:vAlign w:val="bottom"/>
            <w:shd w:val="clear" w:color="auto" w:fill="007CB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6360" w:type="dxa"/>
            <w:vAlign w:val="bottom"/>
            <w:tcBorders>
              <w:bottom w:val="single" w:sz="8" w:color="007CBA"/>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color w:val="FFFFFF"/>
              </w:rPr>
              <w:t>(in millions)</w:t>
            </w:r>
          </w:p>
        </w:tc>
        <w:tc>
          <w:tcPr>
            <w:tcW w:w="100" w:type="dxa"/>
            <w:vAlign w:val="bottom"/>
            <w:tcBorders>
              <w:bottom w:val="single" w:sz="8" w:color="007CBA"/>
            </w:tcBorders>
            <w:shd w:val="clear" w:color="auto" w:fill="007CBA"/>
          </w:tcPr>
          <w:p>
            <w:pPr>
              <w:spacing w:after="0"/>
              <w:rPr>
                <w:sz w:val="21"/>
                <w:szCs w:val="21"/>
                <w:color w:val="auto"/>
              </w:rPr>
            </w:pPr>
          </w:p>
        </w:tc>
        <w:tc>
          <w:tcPr>
            <w:tcW w:w="380" w:type="dxa"/>
            <w:vAlign w:val="bottom"/>
            <w:tcBorders>
              <w:bottom w:val="single" w:sz="8" w:color="007CBA"/>
            </w:tcBorders>
            <w:shd w:val="clear" w:color="auto" w:fill="007CBA"/>
          </w:tcPr>
          <w:p>
            <w:pPr>
              <w:spacing w:after="0"/>
              <w:rPr>
                <w:sz w:val="21"/>
                <w:szCs w:val="21"/>
                <w:color w:val="auto"/>
              </w:rPr>
            </w:pPr>
          </w:p>
        </w:tc>
        <w:tc>
          <w:tcPr>
            <w:tcW w:w="1160" w:type="dxa"/>
            <w:vAlign w:val="bottom"/>
            <w:tcBorders>
              <w:bottom w:val="single" w:sz="8" w:color="007CBA"/>
              <w:right w:val="single" w:sz="8" w:color="007CBA"/>
            </w:tcBorders>
            <w:shd w:val="clear" w:color="auto" w:fill="007CBA"/>
          </w:tcPr>
          <w:p>
            <w:pPr>
              <w:jc w:val="right"/>
              <w:ind w:right="510"/>
              <w:spacing w:after="0"/>
              <w:rPr>
                <w:sz w:val="20"/>
                <w:szCs w:val="20"/>
                <w:color w:val="auto"/>
              </w:rPr>
            </w:pPr>
            <w:r>
              <w:rPr>
                <w:rFonts w:ascii="Calibri" w:cs="Calibri" w:eastAsia="Calibri" w:hAnsi="Calibri"/>
                <w:sz w:val="18"/>
                <w:szCs w:val="18"/>
                <w:b w:val="1"/>
                <w:bCs w:val="1"/>
                <w:color w:val="FFFFFF"/>
              </w:rPr>
              <w:t>2022</w:t>
            </w:r>
          </w:p>
        </w:tc>
        <w:tc>
          <w:tcPr>
            <w:tcW w:w="480" w:type="dxa"/>
            <w:vAlign w:val="bottom"/>
            <w:tcBorders>
              <w:bottom w:val="single" w:sz="8" w:color="007CBA"/>
            </w:tcBorders>
            <w:shd w:val="clear" w:color="auto" w:fill="007CBA"/>
          </w:tcPr>
          <w:p>
            <w:pPr>
              <w:spacing w:after="0"/>
              <w:rPr>
                <w:sz w:val="21"/>
                <w:szCs w:val="21"/>
                <w:color w:val="auto"/>
              </w:rPr>
            </w:pPr>
          </w:p>
        </w:tc>
        <w:tc>
          <w:tcPr>
            <w:tcW w:w="1140" w:type="dxa"/>
            <w:vAlign w:val="bottom"/>
            <w:tcBorders>
              <w:bottom w:val="single" w:sz="8" w:color="007CBA"/>
              <w:right w:val="single" w:sz="8" w:color="007CBA"/>
            </w:tcBorders>
            <w:shd w:val="clear" w:color="auto" w:fill="007CBA"/>
          </w:tcPr>
          <w:p>
            <w:pPr>
              <w:jc w:val="right"/>
              <w:ind w:right="510"/>
              <w:spacing w:after="0"/>
              <w:rPr>
                <w:sz w:val="20"/>
                <w:szCs w:val="20"/>
                <w:color w:val="auto"/>
              </w:rPr>
            </w:pPr>
            <w:r>
              <w:rPr>
                <w:rFonts w:ascii="Calibri" w:cs="Calibri" w:eastAsia="Calibri" w:hAnsi="Calibri"/>
                <w:sz w:val="18"/>
                <w:szCs w:val="18"/>
                <w:color w:val="FFFFFF"/>
              </w:rPr>
              <w:t>2021</w:t>
            </w:r>
          </w:p>
        </w:tc>
        <w:tc>
          <w:tcPr>
            <w:tcW w:w="480" w:type="dxa"/>
            <w:vAlign w:val="bottom"/>
            <w:tcBorders>
              <w:bottom w:val="single" w:sz="8" w:color="007CBA"/>
            </w:tcBorders>
            <w:shd w:val="clear" w:color="auto" w:fill="007CBA"/>
          </w:tcPr>
          <w:p>
            <w:pPr>
              <w:spacing w:after="0"/>
              <w:rPr>
                <w:sz w:val="21"/>
                <w:szCs w:val="21"/>
                <w:color w:val="auto"/>
              </w:rPr>
            </w:pPr>
          </w:p>
        </w:tc>
        <w:tc>
          <w:tcPr>
            <w:tcW w:w="1140" w:type="dxa"/>
            <w:vAlign w:val="bottom"/>
            <w:tcBorders>
              <w:bottom w:val="single" w:sz="8" w:color="007CBA"/>
            </w:tcBorders>
            <w:shd w:val="clear" w:color="auto" w:fill="007CBA"/>
          </w:tcPr>
          <w:p>
            <w:pPr>
              <w:jc w:val="right"/>
              <w:ind w:right="510"/>
              <w:spacing w:after="0"/>
              <w:rPr>
                <w:sz w:val="20"/>
                <w:szCs w:val="20"/>
                <w:color w:val="auto"/>
              </w:rPr>
            </w:pPr>
            <w:r>
              <w:rPr>
                <w:rFonts w:ascii="Calibri" w:cs="Calibri" w:eastAsia="Calibri" w:hAnsi="Calibri"/>
                <w:sz w:val="18"/>
                <w:szCs w:val="18"/>
                <w:color w:val="FFFFFF"/>
              </w:rPr>
              <w:t>2020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63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Actuarial (gain) loss</w:t>
            </w:r>
          </w:p>
        </w:tc>
        <w:tc>
          <w:tcPr>
            <w:tcW w:w="100" w:type="dxa"/>
            <w:vAlign w:val="bottom"/>
          </w:tcPr>
          <w:p>
            <w:pPr>
              <w:spacing w:after="0"/>
              <w:rPr>
                <w:sz w:val="18"/>
                <w:szCs w:val="18"/>
                <w:color w:val="auto"/>
              </w:rPr>
            </w:pPr>
          </w:p>
        </w:tc>
        <w:tc>
          <w:tcPr>
            <w:tcW w:w="380" w:type="dxa"/>
            <w:vAlign w:val="bottom"/>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b w:val="1"/>
                <w:bCs w:val="1"/>
                <w:color w:val="auto"/>
              </w:rPr>
              <w:t>(114.5 )</w:t>
            </w:r>
          </w:p>
        </w:tc>
        <w:tc>
          <w:tcPr>
            <w:tcW w:w="48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color w:val="auto"/>
              </w:rPr>
              <w:t>(67.5 )</w:t>
            </w:r>
          </w:p>
        </w:tc>
        <w:tc>
          <w:tcPr>
            <w:tcW w:w="48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360" w:type="dxa"/>
            <w:vAlign w:val="bottom"/>
            <w:tcBorders>
              <w:right w:val="single" w:sz="8" w:color="007CBA"/>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36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Prior service cost</w:t>
            </w:r>
          </w:p>
        </w:tc>
        <w:tc>
          <w:tcPr>
            <w:tcW w:w="100" w:type="dxa"/>
            <w:vAlign w:val="bottom"/>
            <w:tcBorders>
              <w:bottom w:val="single" w:sz="8" w:color="E5F1F8"/>
            </w:tcBorders>
            <w:shd w:val="clear" w:color="auto" w:fill="E5F1F8"/>
          </w:tcPr>
          <w:p>
            <w:pPr>
              <w:spacing w:after="0"/>
              <w:rPr>
                <w:sz w:val="19"/>
                <w:szCs w:val="19"/>
                <w:color w:val="auto"/>
              </w:rPr>
            </w:pPr>
          </w:p>
        </w:tc>
        <w:tc>
          <w:tcPr>
            <w:tcW w:w="38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48.1</w:t>
            </w:r>
          </w:p>
        </w:tc>
        <w:tc>
          <w:tcPr>
            <w:tcW w:w="48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48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3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Amortzaton of:</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Borders>
              <w:right w:val="single" w:sz="8" w:color="007CBA"/>
            </w:tcBorders>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Borders>
              <w:right w:val="single" w:sz="8" w:color="007CBA"/>
            </w:tcBorders>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360" w:type="dxa"/>
            <w:vAlign w:val="bottom"/>
            <w:tcBorders>
              <w:right w:val="single" w:sz="8" w:color="007CBA"/>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360" w:type="dxa"/>
            <w:vAlign w:val="bottom"/>
            <w:tcBorders>
              <w:bottom w:val="single" w:sz="8" w:color="E5F1F8"/>
              <w:right w:val="single" w:sz="8" w:color="007CBA"/>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Prior service cost</w:t>
            </w:r>
          </w:p>
        </w:tc>
        <w:tc>
          <w:tcPr>
            <w:tcW w:w="100" w:type="dxa"/>
            <w:vAlign w:val="bottom"/>
            <w:tcBorders>
              <w:bottom w:val="single" w:sz="8" w:color="E5F1F8"/>
            </w:tcBorders>
            <w:shd w:val="clear" w:color="auto" w:fill="E5F1F8"/>
          </w:tcPr>
          <w:p>
            <w:pPr>
              <w:spacing w:after="0"/>
              <w:rPr>
                <w:sz w:val="19"/>
                <w:szCs w:val="19"/>
                <w:color w:val="auto"/>
              </w:rPr>
            </w:pPr>
          </w:p>
        </w:tc>
        <w:tc>
          <w:tcPr>
            <w:tcW w:w="38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(4.9 )</w:t>
            </w:r>
          </w:p>
        </w:tc>
        <w:tc>
          <w:tcPr>
            <w:tcW w:w="48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right w:val="single" w:sz="8" w:color="007CBA"/>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(0.8 )</w:t>
            </w:r>
          </w:p>
        </w:tc>
        <w:tc>
          <w:tcPr>
            <w:tcW w:w="48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(0.7 )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360" w:type="dxa"/>
            <w:vAlign w:val="bottom"/>
            <w:tcBorders>
              <w:right w:val="single" w:sz="8" w:color="007CBA"/>
            </w:tcBorders>
          </w:tcPr>
          <w:p>
            <w:pPr>
              <w:ind w:left="300"/>
              <w:spacing w:after="0" w:line="215" w:lineRule="exact"/>
              <w:rPr>
                <w:sz w:val="20"/>
                <w:szCs w:val="20"/>
                <w:color w:val="auto"/>
              </w:rPr>
            </w:pPr>
            <w:r>
              <w:rPr>
                <w:rFonts w:ascii="Calibri" w:cs="Calibri" w:eastAsia="Calibri" w:hAnsi="Calibri"/>
                <w:sz w:val="18"/>
                <w:szCs w:val="18"/>
                <w:color w:val="auto"/>
              </w:rPr>
              <w:t>Actuarial loss</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b w:val="1"/>
                <w:bCs w:val="1"/>
                <w:color w:val="auto"/>
              </w:rPr>
              <w:t>(3.9 )</w:t>
            </w:r>
          </w:p>
        </w:tc>
        <w:tc>
          <w:tcPr>
            <w:tcW w:w="480" w:type="dxa"/>
            <w:vAlign w:val="bottom"/>
          </w:tcPr>
          <w:p>
            <w:pPr>
              <w:spacing w:after="0"/>
              <w:rPr>
                <w:sz w:val="21"/>
                <w:szCs w:val="21"/>
                <w:color w:val="auto"/>
              </w:rPr>
            </w:pPr>
          </w:p>
        </w:tc>
        <w:tc>
          <w:tcPr>
            <w:tcW w:w="114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color w:val="auto"/>
              </w:rPr>
              <w:t>(12.2 )</w:t>
            </w:r>
          </w:p>
        </w:tc>
        <w:tc>
          <w:tcPr>
            <w:tcW w:w="480" w:type="dxa"/>
            <w:vAlign w:val="bottom"/>
          </w:tcPr>
          <w:p>
            <w:pPr>
              <w:spacing w:after="0"/>
              <w:rPr>
                <w:sz w:val="21"/>
                <w:szCs w:val="21"/>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(14.5 )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36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Setlement charge</w:t>
            </w:r>
          </w:p>
        </w:tc>
        <w:tc>
          <w:tcPr>
            <w:tcW w:w="100" w:type="dxa"/>
            <w:vAlign w:val="bottom"/>
            <w:tcBorders>
              <w:bottom w:val="single" w:sz="8" w:color="E5F1F8"/>
            </w:tcBorders>
            <w:shd w:val="clear" w:color="auto" w:fill="E5F1F8"/>
          </w:tcPr>
          <w:p>
            <w:pPr>
              <w:spacing w:after="0"/>
              <w:rPr>
                <w:sz w:val="21"/>
                <w:szCs w:val="21"/>
                <w:color w:val="auto"/>
              </w:rPr>
            </w:pPr>
          </w:p>
        </w:tc>
        <w:tc>
          <w:tcPr>
            <w:tcW w:w="38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(4.6 )</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(3.7 )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36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(79.8 )</w:t>
            </w:r>
          </w:p>
        </w:tc>
        <w:tc>
          <w:tcPr>
            <w:tcW w:w="48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(80.5 )</w:t>
            </w:r>
          </w:p>
        </w:tc>
        <w:tc>
          <w:tcPr>
            <w:tcW w:w="48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3683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Calibri" w:cs="Calibri" w:eastAsia="Calibri" w:hAnsi="Calibri"/>
          <w:sz w:val="18"/>
          <w:szCs w:val="18"/>
          <w:color w:val="auto"/>
        </w:rPr>
        <w:t>Accumulated other comprehensive loss includes the following amounts that have not yet been recognized in net periodic beneft cost: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56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December 31</w:t>
            </w:r>
          </w:p>
        </w:tc>
        <w:tc>
          <w:tcPr>
            <w:tcW w:w="400" w:type="dxa"/>
            <w:vAlign w:val="bottom"/>
            <w:shd w:val="clear" w:color="auto" w:fill="007CBA"/>
          </w:tcPr>
          <w:p>
            <w:pPr>
              <w:spacing w:after="0"/>
              <w:rPr>
                <w:sz w:val="20"/>
                <w:szCs w:val="20"/>
                <w:color w:val="auto"/>
              </w:rPr>
            </w:pPr>
          </w:p>
        </w:tc>
        <w:tc>
          <w:tcPr>
            <w:tcW w:w="1360" w:type="dxa"/>
            <w:vAlign w:val="bottom"/>
            <w:gridSpan w:val="2"/>
            <w:shd w:val="clear" w:color="auto" w:fill="007CBA"/>
          </w:tcPr>
          <w:p>
            <w:pPr>
              <w:jc w:val="right"/>
              <w:ind w:right="30"/>
              <w:spacing w:after="0"/>
              <w:rPr>
                <w:sz w:val="20"/>
                <w:szCs w:val="20"/>
                <w:color w:val="auto"/>
              </w:rPr>
            </w:pPr>
            <w:r>
              <w:rPr>
                <w:rFonts w:ascii="Calibri" w:cs="Calibri" w:eastAsia="Calibri" w:hAnsi="Calibri"/>
                <w:sz w:val="18"/>
                <w:szCs w:val="18"/>
                <w:b w:val="1"/>
                <w:bCs w:val="1"/>
                <w:color w:val="FFFFFF"/>
              </w:rPr>
              <w:t>2022</w:t>
            </w:r>
          </w:p>
        </w:tc>
        <w:tc>
          <w:tcPr>
            <w:tcW w:w="140" w:type="dxa"/>
            <w:vAlign w:val="bottom"/>
            <w:tcBorders>
              <w:right w:val="single" w:sz="8" w:color="007CBA"/>
            </w:tcBorders>
            <w:shd w:val="clear" w:color="auto" w:fill="007CBA"/>
          </w:tcPr>
          <w:p>
            <w:pPr>
              <w:spacing w:after="0"/>
              <w:rPr>
                <w:sz w:val="20"/>
                <w:szCs w:val="20"/>
                <w:color w:val="auto"/>
              </w:rPr>
            </w:pPr>
          </w:p>
        </w:tc>
        <w:tc>
          <w:tcPr>
            <w:tcW w:w="1000" w:type="dxa"/>
            <w:vAlign w:val="bottom"/>
            <w:tcBorders>
              <w:right w:val="single" w:sz="8" w:color="007CBA"/>
            </w:tcBorders>
            <w:shd w:val="clear" w:color="auto" w:fill="007CBA"/>
          </w:tcPr>
          <w:p>
            <w:pPr>
              <w:spacing w:after="0"/>
              <w:rPr>
                <w:sz w:val="20"/>
                <w:szCs w:val="20"/>
                <w:color w:val="auto"/>
              </w:rPr>
            </w:pPr>
          </w:p>
        </w:tc>
        <w:tc>
          <w:tcPr>
            <w:tcW w:w="240" w:type="dxa"/>
            <w:vAlign w:val="bottom"/>
            <w:shd w:val="clear" w:color="auto" w:fill="007CBA"/>
          </w:tcPr>
          <w:p>
            <w:pPr>
              <w:spacing w:after="0"/>
              <w:rPr>
                <w:sz w:val="20"/>
                <w:szCs w:val="20"/>
                <w:color w:val="auto"/>
              </w:rPr>
            </w:pPr>
          </w:p>
        </w:tc>
        <w:tc>
          <w:tcPr>
            <w:tcW w:w="660" w:type="dxa"/>
            <w:vAlign w:val="bottom"/>
            <w:tcBorders>
              <w:right w:val="single" w:sz="8" w:color="007CBA"/>
            </w:tcBorders>
            <w:shd w:val="clear" w:color="auto" w:fill="007CBA"/>
          </w:tcPr>
          <w:p>
            <w:pPr>
              <w:spacing w:after="0"/>
              <w:rPr>
                <w:sz w:val="20"/>
                <w:szCs w:val="20"/>
                <w:color w:val="auto"/>
              </w:rPr>
            </w:pPr>
          </w:p>
        </w:tc>
        <w:tc>
          <w:tcPr>
            <w:tcW w:w="60" w:type="dxa"/>
            <w:vAlign w:val="bottom"/>
            <w:shd w:val="clear" w:color="auto" w:fill="007CBA"/>
          </w:tcPr>
          <w:p>
            <w:pPr>
              <w:spacing w:after="0"/>
              <w:rPr>
                <w:sz w:val="20"/>
                <w:szCs w:val="20"/>
                <w:color w:val="auto"/>
              </w:rPr>
            </w:pPr>
          </w:p>
        </w:tc>
        <w:tc>
          <w:tcPr>
            <w:tcW w:w="700" w:type="dxa"/>
            <w:vAlign w:val="bottom"/>
            <w:gridSpan w:val="2"/>
            <w:shd w:val="clear" w:color="auto" w:fill="007CBA"/>
          </w:tcPr>
          <w:p>
            <w:pPr>
              <w:jc w:val="right"/>
              <w:spacing w:after="0"/>
              <w:rPr>
                <w:sz w:val="20"/>
                <w:szCs w:val="20"/>
                <w:color w:val="auto"/>
              </w:rPr>
            </w:pPr>
            <w:r>
              <w:rPr>
                <w:rFonts w:ascii="Calibri" w:cs="Calibri" w:eastAsia="Calibri" w:hAnsi="Calibri"/>
                <w:sz w:val="18"/>
                <w:szCs w:val="18"/>
                <w:color w:val="FFFFFF"/>
              </w:rPr>
              <w:t>2021</w:t>
            </w:r>
          </w:p>
        </w:tc>
        <w:tc>
          <w:tcPr>
            <w:tcW w:w="1120" w:type="dxa"/>
            <w:vAlign w:val="bottom"/>
            <w:shd w:val="clear" w:color="auto" w:fill="007CBA"/>
          </w:tcPr>
          <w:p>
            <w:pPr>
              <w:spacing w:after="0"/>
              <w:rPr>
                <w:sz w:val="20"/>
                <w:szCs w:val="20"/>
                <w:color w:val="auto"/>
              </w:rPr>
            </w:pPr>
          </w:p>
        </w:tc>
      </w:tr>
      <w:tr>
        <w:trPr>
          <w:trHeight w:val="245"/>
        </w:trPr>
        <w:tc>
          <w:tcPr>
            <w:tcW w:w="5560" w:type="dxa"/>
            <w:vAlign w:val="bottom"/>
            <w:tcBorders>
              <w:bottom w:val="single" w:sz="8" w:color="007CBA"/>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color w:val="FFFFFF"/>
              </w:rPr>
              <w:t>(in millions)</w:t>
            </w:r>
          </w:p>
        </w:tc>
        <w:tc>
          <w:tcPr>
            <w:tcW w:w="400" w:type="dxa"/>
            <w:vAlign w:val="bottom"/>
            <w:tcBorders>
              <w:bottom w:val="single" w:sz="8" w:color="007CBA"/>
            </w:tcBorders>
            <w:shd w:val="clear" w:color="auto" w:fill="007CBA"/>
          </w:tcPr>
          <w:p>
            <w:pPr>
              <w:spacing w:after="0"/>
              <w:rPr>
                <w:sz w:val="21"/>
                <w:szCs w:val="21"/>
                <w:color w:val="auto"/>
              </w:rPr>
            </w:pPr>
          </w:p>
        </w:tc>
        <w:tc>
          <w:tcPr>
            <w:tcW w:w="1040" w:type="dxa"/>
            <w:vAlign w:val="bottom"/>
            <w:tcBorders>
              <w:bottom w:val="single" w:sz="8" w:color="007CBA"/>
              <w:right w:val="single" w:sz="8" w:color="007CBA"/>
            </w:tcBorders>
            <w:shd w:val="clear" w:color="auto" w:fill="007CBA"/>
          </w:tcPr>
          <w:p>
            <w:pPr>
              <w:jc w:val="right"/>
              <w:ind w:right="410"/>
              <w:spacing w:after="0"/>
              <w:rPr>
                <w:sz w:val="20"/>
                <w:szCs w:val="20"/>
                <w:color w:val="auto"/>
              </w:rPr>
            </w:pPr>
            <w:r>
              <w:rPr>
                <w:rFonts w:ascii="Calibri" w:cs="Calibri" w:eastAsia="Calibri" w:hAnsi="Calibri"/>
                <w:sz w:val="18"/>
                <w:szCs w:val="18"/>
                <w:b w:val="1"/>
                <w:bCs w:val="1"/>
                <w:color w:val="FFFFFF"/>
              </w:rPr>
              <w:t>Gross</w:t>
            </w:r>
          </w:p>
        </w:tc>
        <w:tc>
          <w:tcPr>
            <w:tcW w:w="320" w:type="dxa"/>
            <w:vAlign w:val="bottom"/>
            <w:tcBorders>
              <w:bottom w:val="single" w:sz="8" w:color="007CBA"/>
            </w:tcBorders>
            <w:shd w:val="clear" w:color="auto" w:fill="007CBA"/>
          </w:tcPr>
          <w:p>
            <w:pPr>
              <w:spacing w:after="0"/>
              <w:rPr>
                <w:sz w:val="21"/>
                <w:szCs w:val="21"/>
                <w:color w:val="auto"/>
              </w:rPr>
            </w:pPr>
          </w:p>
        </w:tc>
        <w:tc>
          <w:tcPr>
            <w:tcW w:w="1140" w:type="dxa"/>
            <w:vAlign w:val="bottom"/>
            <w:tcBorders>
              <w:bottom w:val="single" w:sz="8" w:color="007CBA"/>
              <w:right w:val="single" w:sz="8" w:color="007CBA"/>
            </w:tcBorders>
            <w:gridSpan w:val="2"/>
            <w:shd w:val="clear" w:color="auto" w:fill="007CBA"/>
          </w:tcPr>
          <w:p>
            <w:pPr>
              <w:jc w:val="right"/>
              <w:ind w:right="250"/>
              <w:spacing w:after="0"/>
              <w:rPr>
                <w:sz w:val="20"/>
                <w:szCs w:val="20"/>
                <w:color w:val="auto"/>
              </w:rPr>
            </w:pPr>
            <w:r>
              <w:rPr>
                <w:rFonts w:ascii="Calibri" w:cs="Calibri" w:eastAsia="Calibri" w:hAnsi="Calibri"/>
                <w:sz w:val="18"/>
                <w:szCs w:val="18"/>
                <w:b w:val="1"/>
                <w:bCs w:val="1"/>
                <w:color w:val="FFFFFF"/>
              </w:rPr>
              <w:t>Net of tax</w:t>
            </w:r>
          </w:p>
        </w:tc>
        <w:tc>
          <w:tcPr>
            <w:tcW w:w="240" w:type="dxa"/>
            <w:vAlign w:val="bottom"/>
            <w:tcBorders>
              <w:bottom w:val="single" w:sz="8" w:color="007CBA"/>
            </w:tcBorders>
            <w:shd w:val="clear" w:color="auto" w:fill="007CBA"/>
          </w:tcPr>
          <w:p>
            <w:pPr>
              <w:spacing w:after="0"/>
              <w:rPr>
                <w:sz w:val="21"/>
                <w:szCs w:val="21"/>
                <w:color w:val="auto"/>
              </w:rPr>
            </w:pPr>
          </w:p>
        </w:tc>
        <w:tc>
          <w:tcPr>
            <w:tcW w:w="720" w:type="dxa"/>
            <w:vAlign w:val="bottom"/>
            <w:tcBorders>
              <w:bottom w:val="single" w:sz="8" w:color="007CBA"/>
            </w:tcBorders>
            <w:gridSpan w:val="2"/>
            <w:shd w:val="clear" w:color="auto" w:fill="007CBA"/>
          </w:tcPr>
          <w:p>
            <w:pPr>
              <w:ind w:left="260"/>
              <w:spacing w:after="0"/>
              <w:rPr>
                <w:sz w:val="20"/>
                <w:szCs w:val="20"/>
                <w:color w:val="auto"/>
              </w:rPr>
            </w:pPr>
            <w:r>
              <w:rPr>
                <w:rFonts w:ascii="Calibri" w:cs="Calibri" w:eastAsia="Calibri" w:hAnsi="Calibri"/>
                <w:sz w:val="18"/>
                <w:szCs w:val="18"/>
                <w:b w:val="1"/>
                <w:bCs w:val="1"/>
                <w:color w:val="FFFFFF"/>
              </w:rPr>
              <w:t>Gross</w:t>
            </w:r>
          </w:p>
        </w:tc>
        <w:tc>
          <w:tcPr>
            <w:tcW w:w="420" w:type="dxa"/>
            <w:vAlign w:val="bottom"/>
            <w:tcBorders>
              <w:bottom w:val="single" w:sz="8" w:color="007CBA"/>
              <w:right w:val="single" w:sz="8" w:color="007CBA"/>
            </w:tcBorders>
            <w:shd w:val="clear" w:color="auto" w:fill="007CBA"/>
          </w:tcPr>
          <w:p>
            <w:pPr>
              <w:spacing w:after="0"/>
              <w:rPr>
                <w:sz w:val="21"/>
                <w:szCs w:val="21"/>
                <w:color w:val="auto"/>
              </w:rPr>
            </w:pPr>
          </w:p>
        </w:tc>
        <w:tc>
          <w:tcPr>
            <w:tcW w:w="280" w:type="dxa"/>
            <w:vAlign w:val="bottom"/>
            <w:tcBorders>
              <w:bottom w:val="single" w:sz="8" w:color="007CBA"/>
            </w:tcBorders>
            <w:shd w:val="clear" w:color="auto" w:fill="007CBA"/>
          </w:tcPr>
          <w:p>
            <w:pPr>
              <w:spacing w:after="0"/>
              <w:rPr>
                <w:sz w:val="21"/>
                <w:szCs w:val="21"/>
                <w:color w:val="auto"/>
              </w:rPr>
            </w:pPr>
          </w:p>
        </w:tc>
        <w:tc>
          <w:tcPr>
            <w:tcW w:w="1120" w:type="dxa"/>
            <w:vAlign w:val="bottom"/>
            <w:tcBorders>
              <w:bottom w:val="single" w:sz="8" w:color="007CBA"/>
            </w:tcBorders>
            <w:shd w:val="clear" w:color="auto" w:fill="007CBA"/>
          </w:tcPr>
          <w:p>
            <w:pPr>
              <w:jc w:val="right"/>
              <w:ind w:right="230"/>
              <w:spacing w:after="0"/>
              <w:rPr>
                <w:sz w:val="20"/>
                <w:szCs w:val="20"/>
                <w:color w:val="auto"/>
              </w:rPr>
            </w:pPr>
            <w:r>
              <w:rPr>
                <w:rFonts w:ascii="Calibri" w:cs="Calibri" w:eastAsia="Calibri" w:hAnsi="Calibri"/>
                <w:sz w:val="18"/>
                <w:szCs w:val="18"/>
                <w:b w:val="1"/>
                <w:bCs w:val="1"/>
                <w:color w:val="FFFFFF"/>
              </w:rPr>
              <w:t>Net of tax</w:t>
            </w:r>
          </w:p>
        </w:tc>
      </w:tr>
      <w:tr>
        <w:trPr>
          <w:trHeight w:val="243"/>
        </w:trPr>
        <w:tc>
          <w:tcPr>
            <w:tcW w:w="55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Prior service cost</w:t>
            </w:r>
          </w:p>
        </w:tc>
        <w:tc>
          <w:tcPr>
            <w:tcW w:w="40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104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48.2</w:t>
            </w:r>
          </w:p>
        </w:tc>
        <w:tc>
          <w:tcPr>
            <w:tcW w:w="32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140" w:type="dxa"/>
            <w:vAlign w:val="bottom"/>
            <w:tcBorders>
              <w:right w:val="single" w:sz="8" w:color="007CBA"/>
            </w:tcBorders>
            <w:gridSpan w:val="2"/>
          </w:tcPr>
          <w:p>
            <w:pPr>
              <w:jc w:val="right"/>
              <w:ind w:right="50"/>
              <w:spacing w:after="0" w:line="215" w:lineRule="exact"/>
              <w:rPr>
                <w:sz w:val="20"/>
                <w:szCs w:val="20"/>
                <w:color w:val="auto"/>
              </w:rPr>
            </w:pPr>
            <w:r>
              <w:rPr>
                <w:rFonts w:ascii="Calibri" w:cs="Calibri" w:eastAsia="Calibri" w:hAnsi="Calibri"/>
                <w:sz w:val="18"/>
                <w:szCs w:val="18"/>
                <w:b w:val="1"/>
                <w:bCs w:val="1"/>
                <w:color w:val="auto"/>
              </w:rPr>
              <w:t>20.3</w:t>
            </w:r>
          </w:p>
        </w:tc>
        <w:tc>
          <w:tcPr>
            <w:tcW w:w="2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5.1</w:t>
            </w:r>
          </w:p>
        </w:tc>
        <w:tc>
          <w:tcPr>
            <w:tcW w:w="2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3.0</w:t>
            </w:r>
          </w:p>
        </w:tc>
      </w:tr>
      <w:tr>
        <w:trPr>
          <w:trHeight w:val="248"/>
        </w:trPr>
        <w:tc>
          <w:tcPr>
            <w:tcW w:w="556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Actuarial loss</w:t>
            </w:r>
          </w:p>
        </w:tc>
        <w:tc>
          <w:tcPr>
            <w:tcW w:w="400" w:type="dxa"/>
            <w:vAlign w:val="bottom"/>
            <w:tcBorders>
              <w:bottom w:val="single" w:sz="8" w:color="E5F1F8"/>
            </w:tcBorders>
            <w:shd w:val="clear" w:color="auto" w:fill="E5F1F8"/>
          </w:tcPr>
          <w:p>
            <w:pPr>
              <w:spacing w:after="0"/>
              <w:rPr>
                <w:sz w:val="21"/>
                <w:szCs w:val="21"/>
                <w:color w:val="auto"/>
              </w:rPr>
            </w:pPr>
          </w:p>
        </w:tc>
        <w:tc>
          <w:tcPr>
            <w:tcW w:w="104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43.2</w:t>
            </w:r>
          </w:p>
        </w:tc>
        <w:tc>
          <w:tcPr>
            <w:tcW w:w="32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right w:val="single" w:sz="8" w:color="E5F1F8"/>
            </w:tcBorders>
            <w:gridSpan w:val="2"/>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18.2</w:t>
            </w:r>
          </w:p>
        </w:tc>
        <w:tc>
          <w:tcPr>
            <w:tcW w:w="24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right w:val="single" w:sz="8" w:color="E5F1F8"/>
            </w:tcBorders>
            <w:gridSpan w:val="3"/>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166.2</w:t>
            </w:r>
          </w:p>
        </w:tc>
        <w:tc>
          <w:tcPr>
            <w:tcW w:w="280" w:type="dxa"/>
            <w:vAlign w:val="bottom"/>
            <w:tcBorders>
              <w:bottom w:val="single" w:sz="8" w:color="E5F1F8"/>
            </w:tcBorders>
            <w:shd w:val="clear" w:color="auto" w:fill="E5F1F8"/>
          </w:tcPr>
          <w:p>
            <w:pPr>
              <w:spacing w:after="0"/>
              <w:rPr>
                <w:sz w:val="21"/>
                <w:szCs w:val="21"/>
                <w:color w:val="auto"/>
              </w:rPr>
            </w:pPr>
          </w:p>
        </w:tc>
        <w:tc>
          <w:tcPr>
            <w:tcW w:w="11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97.0</w:t>
            </w:r>
          </w:p>
        </w:tc>
      </w:tr>
      <w:tr>
        <w:trPr>
          <w:trHeight w:val="208"/>
        </w:trPr>
        <w:tc>
          <w:tcPr>
            <w:tcW w:w="556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w:t>
            </w:r>
          </w:p>
        </w:tc>
        <w:tc>
          <w:tcPr>
            <w:tcW w:w="40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w:t>
            </w:r>
          </w:p>
        </w:tc>
        <w:tc>
          <w:tcPr>
            <w:tcW w:w="104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91.4</w:t>
            </w:r>
          </w:p>
        </w:tc>
        <w:tc>
          <w:tcPr>
            <w:tcW w:w="3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w:t>
            </w:r>
          </w:p>
        </w:tc>
        <w:tc>
          <w:tcPr>
            <w:tcW w:w="1140" w:type="dxa"/>
            <w:vAlign w:val="bottom"/>
            <w:tcBorders>
              <w:top w:val="single" w:sz="8" w:color="auto"/>
            </w:tcBorders>
            <w:gridSpan w:val="2"/>
          </w:tcPr>
          <w:p>
            <w:pPr>
              <w:jc w:val="right"/>
              <w:ind w:right="50"/>
              <w:spacing w:after="0" w:line="208" w:lineRule="exact"/>
              <w:rPr>
                <w:sz w:val="20"/>
                <w:szCs w:val="20"/>
                <w:color w:val="auto"/>
              </w:rPr>
            </w:pPr>
            <w:r>
              <w:rPr>
                <w:rFonts w:ascii="Calibri" w:cs="Calibri" w:eastAsia="Calibri" w:hAnsi="Calibri"/>
                <w:sz w:val="18"/>
                <w:szCs w:val="18"/>
                <w:b w:val="1"/>
                <w:bCs w:val="1"/>
                <w:color w:val="auto"/>
              </w:rPr>
              <w:t>38.5</w:t>
            </w:r>
          </w:p>
        </w:tc>
        <w:tc>
          <w:tcPr>
            <w:tcW w:w="2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top w:val="single" w:sz="8" w:color="auto"/>
            </w:tcBorders>
            <w:gridSpan w:val="3"/>
          </w:tcPr>
          <w:p>
            <w:pPr>
              <w:jc w:val="right"/>
              <w:ind w:right="30"/>
              <w:spacing w:after="0" w:line="208" w:lineRule="exact"/>
              <w:rPr>
                <w:sz w:val="20"/>
                <w:szCs w:val="20"/>
                <w:color w:val="auto"/>
              </w:rPr>
            </w:pPr>
            <w:r>
              <w:rPr>
                <w:rFonts w:ascii="Calibri" w:cs="Calibri" w:eastAsia="Calibri" w:hAnsi="Calibri"/>
                <w:sz w:val="18"/>
                <w:szCs w:val="18"/>
                <w:color w:val="auto"/>
              </w:rPr>
              <w:t>171.3</w:t>
            </w:r>
          </w:p>
        </w:tc>
        <w:tc>
          <w:tcPr>
            <w:tcW w:w="2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w:t>
            </w:r>
          </w:p>
        </w:tc>
        <w:tc>
          <w:tcPr>
            <w:tcW w:w="112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100.0</w:t>
            </w:r>
          </w:p>
        </w:tc>
      </w:tr>
      <w:tr>
        <w:trPr>
          <w:trHeight w:val="28"/>
        </w:trPr>
        <w:tc>
          <w:tcPr>
            <w:tcW w:w="5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48"/>
        </w:trPr>
        <w:tc>
          <w:tcPr>
            <w:tcW w:w="5560" w:type="dxa"/>
            <w:vAlign w:val="bottom"/>
          </w:tcPr>
          <w:p>
            <w:pPr>
              <w:spacing w:after="0"/>
              <w:rPr>
                <w:sz w:val="20"/>
                <w:szCs w:val="20"/>
                <w:color w:val="auto"/>
              </w:rPr>
            </w:pPr>
            <w:r>
              <w:rPr>
                <w:rFonts w:ascii="Calibri" w:cs="Calibri" w:eastAsia="Calibri" w:hAnsi="Calibri"/>
                <w:sz w:val="18"/>
                <w:szCs w:val="18"/>
                <w:color w:val="auto"/>
                <w:w w:val="99"/>
              </w:rPr>
              <w:t>The defned beneft plans’ change in projected beneft obligaton is as follows:</w:t>
            </w: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31"/>
        </w:trPr>
        <w:tc>
          <w:tcPr>
            <w:tcW w:w="5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215"/>
        </w:trPr>
        <w:tc>
          <w:tcPr>
            <w:tcW w:w="556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i w:val="1"/>
                <w:iCs w:val="1"/>
                <w:color w:val="FFFFFF"/>
              </w:rPr>
              <w:t>years ended December 31</w:t>
            </w:r>
          </w:p>
        </w:tc>
        <w:tc>
          <w:tcPr>
            <w:tcW w:w="400" w:type="dxa"/>
            <w:vAlign w:val="bottom"/>
            <w:shd w:val="clear" w:color="auto" w:fill="007CBA"/>
          </w:tcPr>
          <w:p>
            <w:pPr>
              <w:spacing w:after="0"/>
              <w:rPr>
                <w:sz w:val="18"/>
                <w:szCs w:val="18"/>
                <w:color w:val="auto"/>
              </w:rPr>
            </w:pPr>
          </w:p>
        </w:tc>
        <w:tc>
          <w:tcPr>
            <w:tcW w:w="1040" w:type="dxa"/>
            <w:vAlign w:val="bottom"/>
            <w:tcBorders>
              <w:right w:val="single" w:sz="8" w:color="007CBA"/>
            </w:tcBorders>
            <w:shd w:val="clear" w:color="auto" w:fill="007CBA"/>
          </w:tcPr>
          <w:p>
            <w:pPr>
              <w:spacing w:after="0"/>
              <w:rPr>
                <w:sz w:val="18"/>
                <w:szCs w:val="18"/>
                <w:color w:val="auto"/>
              </w:rPr>
            </w:pPr>
          </w:p>
        </w:tc>
        <w:tc>
          <w:tcPr>
            <w:tcW w:w="320" w:type="dxa"/>
            <w:vAlign w:val="bottom"/>
            <w:shd w:val="clear" w:color="auto" w:fill="007CBA"/>
          </w:tcPr>
          <w:p>
            <w:pPr>
              <w:spacing w:after="0"/>
              <w:rPr>
                <w:sz w:val="18"/>
                <w:szCs w:val="18"/>
                <w:color w:val="auto"/>
              </w:rPr>
            </w:pPr>
          </w:p>
        </w:tc>
        <w:tc>
          <w:tcPr>
            <w:tcW w:w="140" w:type="dxa"/>
            <w:vAlign w:val="bottom"/>
            <w:tcBorders>
              <w:right w:val="single" w:sz="8" w:color="007CBA"/>
            </w:tcBorders>
            <w:shd w:val="clear" w:color="auto" w:fill="007CBA"/>
          </w:tcPr>
          <w:p>
            <w:pPr>
              <w:spacing w:after="0"/>
              <w:rPr>
                <w:sz w:val="18"/>
                <w:szCs w:val="18"/>
                <w:color w:val="auto"/>
              </w:rPr>
            </w:pPr>
          </w:p>
        </w:tc>
        <w:tc>
          <w:tcPr>
            <w:tcW w:w="1000" w:type="dxa"/>
            <w:vAlign w:val="bottom"/>
            <w:tcBorders>
              <w:right w:val="single" w:sz="8" w:color="007CBA"/>
            </w:tcBorders>
            <w:shd w:val="clear" w:color="auto" w:fill="007CBA"/>
          </w:tcPr>
          <w:p>
            <w:pPr>
              <w:spacing w:after="0"/>
              <w:rPr>
                <w:sz w:val="18"/>
                <w:szCs w:val="18"/>
                <w:color w:val="auto"/>
              </w:rPr>
            </w:pPr>
          </w:p>
        </w:tc>
        <w:tc>
          <w:tcPr>
            <w:tcW w:w="240" w:type="dxa"/>
            <w:vAlign w:val="bottom"/>
            <w:shd w:val="clear" w:color="auto" w:fill="007CBA"/>
          </w:tcPr>
          <w:p>
            <w:pPr>
              <w:spacing w:after="0"/>
              <w:rPr>
                <w:sz w:val="18"/>
                <w:szCs w:val="18"/>
                <w:color w:val="auto"/>
              </w:rPr>
            </w:pPr>
          </w:p>
        </w:tc>
        <w:tc>
          <w:tcPr>
            <w:tcW w:w="660" w:type="dxa"/>
            <w:vAlign w:val="bottom"/>
            <w:tcBorders>
              <w:right w:val="single" w:sz="8" w:color="007CBA"/>
            </w:tcBorders>
            <w:shd w:val="clear" w:color="auto" w:fill="007CBA"/>
          </w:tcPr>
          <w:p>
            <w:pPr>
              <w:spacing w:after="0"/>
              <w:rPr>
                <w:sz w:val="18"/>
                <w:szCs w:val="18"/>
                <w:color w:val="auto"/>
              </w:rPr>
            </w:pPr>
          </w:p>
        </w:tc>
        <w:tc>
          <w:tcPr>
            <w:tcW w:w="60" w:type="dxa"/>
            <w:vAlign w:val="bottom"/>
            <w:shd w:val="clear" w:color="auto" w:fill="007CBA"/>
          </w:tcPr>
          <w:p>
            <w:pPr>
              <w:spacing w:after="0"/>
              <w:rPr>
                <w:sz w:val="18"/>
                <w:szCs w:val="18"/>
                <w:color w:val="auto"/>
              </w:rPr>
            </w:pPr>
          </w:p>
        </w:tc>
        <w:tc>
          <w:tcPr>
            <w:tcW w:w="420" w:type="dxa"/>
            <w:vAlign w:val="bottom"/>
            <w:tcBorders>
              <w:right w:val="single" w:sz="8" w:color="007CBA"/>
            </w:tcBorders>
            <w:shd w:val="clear" w:color="auto" w:fill="007CBA"/>
          </w:tcPr>
          <w:p>
            <w:pPr>
              <w:spacing w:after="0"/>
              <w:rPr>
                <w:sz w:val="18"/>
                <w:szCs w:val="18"/>
                <w:color w:val="auto"/>
              </w:rPr>
            </w:pPr>
          </w:p>
        </w:tc>
        <w:tc>
          <w:tcPr>
            <w:tcW w:w="280" w:type="dxa"/>
            <w:vAlign w:val="bottom"/>
            <w:shd w:val="clear" w:color="auto" w:fill="007CBA"/>
          </w:tcPr>
          <w:p>
            <w:pPr>
              <w:spacing w:after="0"/>
              <w:rPr>
                <w:sz w:val="18"/>
                <w:szCs w:val="18"/>
                <w:color w:val="auto"/>
              </w:rPr>
            </w:pPr>
          </w:p>
        </w:tc>
        <w:tc>
          <w:tcPr>
            <w:tcW w:w="1120" w:type="dxa"/>
            <w:vAlign w:val="bottom"/>
            <w:shd w:val="clear" w:color="auto" w:fill="007CBA"/>
          </w:tcPr>
          <w:p>
            <w:pPr>
              <w:spacing w:after="0"/>
              <w:rPr>
                <w:sz w:val="18"/>
                <w:szCs w:val="18"/>
                <w:color w:val="auto"/>
              </w:rPr>
            </w:pPr>
          </w:p>
        </w:tc>
      </w:tr>
      <w:tr>
        <w:trPr>
          <w:trHeight w:val="251"/>
        </w:trPr>
        <w:tc>
          <w:tcPr>
            <w:tcW w:w="5560" w:type="dxa"/>
            <w:vAlign w:val="bottom"/>
            <w:tcBorders>
              <w:bottom w:val="single" w:sz="8" w:color="007CBA"/>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color w:val="FFFFFF"/>
              </w:rPr>
              <w:t>(in millions)</w:t>
            </w:r>
          </w:p>
        </w:tc>
        <w:tc>
          <w:tcPr>
            <w:tcW w:w="400" w:type="dxa"/>
            <w:vAlign w:val="bottom"/>
            <w:tcBorders>
              <w:bottom w:val="single" w:sz="8" w:color="007CBA"/>
            </w:tcBorders>
            <w:shd w:val="clear" w:color="auto" w:fill="007CBA"/>
          </w:tcPr>
          <w:p>
            <w:pPr>
              <w:spacing w:after="0"/>
              <w:rPr>
                <w:sz w:val="21"/>
                <w:szCs w:val="21"/>
                <w:color w:val="auto"/>
              </w:rPr>
            </w:pPr>
          </w:p>
        </w:tc>
        <w:tc>
          <w:tcPr>
            <w:tcW w:w="1040" w:type="dxa"/>
            <w:vAlign w:val="bottom"/>
            <w:tcBorders>
              <w:bottom w:val="single" w:sz="8" w:color="007CBA"/>
              <w:right w:val="single" w:sz="8" w:color="007CBA"/>
            </w:tcBorders>
            <w:shd w:val="clear" w:color="auto" w:fill="007CBA"/>
          </w:tcPr>
          <w:p>
            <w:pPr>
              <w:spacing w:after="0"/>
              <w:rPr>
                <w:sz w:val="21"/>
                <w:szCs w:val="21"/>
                <w:color w:val="auto"/>
              </w:rPr>
            </w:pPr>
          </w:p>
        </w:tc>
        <w:tc>
          <w:tcPr>
            <w:tcW w:w="320" w:type="dxa"/>
            <w:vAlign w:val="bottom"/>
            <w:tcBorders>
              <w:bottom w:val="single" w:sz="8" w:color="007CBA"/>
            </w:tcBorders>
            <w:shd w:val="clear" w:color="auto" w:fill="007CBA"/>
          </w:tcPr>
          <w:p>
            <w:pPr>
              <w:spacing w:after="0"/>
              <w:rPr>
                <w:sz w:val="21"/>
                <w:szCs w:val="21"/>
                <w:color w:val="auto"/>
              </w:rPr>
            </w:pPr>
          </w:p>
        </w:tc>
        <w:tc>
          <w:tcPr>
            <w:tcW w:w="140" w:type="dxa"/>
            <w:vAlign w:val="bottom"/>
            <w:tcBorders>
              <w:bottom w:val="single" w:sz="8" w:color="007CBA"/>
              <w:right w:val="single" w:sz="8" w:color="007CBA"/>
            </w:tcBorders>
            <w:shd w:val="clear" w:color="auto" w:fill="007CBA"/>
          </w:tcPr>
          <w:p>
            <w:pPr>
              <w:spacing w:after="0"/>
              <w:rPr>
                <w:sz w:val="21"/>
                <w:szCs w:val="21"/>
                <w:color w:val="auto"/>
              </w:rPr>
            </w:pPr>
          </w:p>
        </w:tc>
        <w:tc>
          <w:tcPr>
            <w:tcW w:w="1240" w:type="dxa"/>
            <w:vAlign w:val="bottom"/>
            <w:tcBorders>
              <w:bottom w:val="single" w:sz="8" w:color="007CBA"/>
            </w:tcBorders>
            <w:gridSpan w:val="2"/>
            <w:shd w:val="clear" w:color="auto" w:fill="007CBA"/>
          </w:tcPr>
          <w:p>
            <w:pPr>
              <w:jc w:val="right"/>
              <w:spacing w:after="0"/>
              <w:rPr>
                <w:sz w:val="20"/>
                <w:szCs w:val="20"/>
                <w:color w:val="auto"/>
              </w:rPr>
            </w:pPr>
            <w:r>
              <w:rPr>
                <w:rFonts w:ascii="Calibri" w:cs="Calibri" w:eastAsia="Calibri" w:hAnsi="Calibri"/>
                <w:sz w:val="18"/>
                <w:szCs w:val="18"/>
                <w:b w:val="1"/>
                <w:bCs w:val="1"/>
                <w:color w:val="FFFFFF"/>
              </w:rPr>
              <w:t>2022</w:t>
            </w:r>
          </w:p>
        </w:tc>
        <w:tc>
          <w:tcPr>
            <w:tcW w:w="660" w:type="dxa"/>
            <w:vAlign w:val="bottom"/>
            <w:tcBorders>
              <w:bottom w:val="single" w:sz="8" w:color="007CBA"/>
              <w:right w:val="single" w:sz="8" w:color="007CBA"/>
            </w:tcBorders>
            <w:shd w:val="clear" w:color="auto" w:fill="007CBA"/>
          </w:tcPr>
          <w:p>
            <w:pPr>
              <w:spacing w:after="0"/>
              <w:rPr>
                <w:sz w:val="21"/>
                <w:szCs w:val="21"/>
                <w:color w:val="auto"/>
              </w:rPr>
            </w:pPr>
          </w:p>
        </w:tc>
        <w:tc>
          <w:tcPr>
            <w:tcW w:w="60" w:type="dxa"/>
            <w:vAlign w:val="bottom"/>
            <w:tcBorders>
              <w:bottom w:val="single" w:sz="8" w:color="007CBA"/>
            </w:tcBorders>
            <w:shd w:val="clear" w:color="auto" w:fill="007CBA"/>
          </w:tcPr>
          <w:p>
            <w:pPr>
              <w:spacing w:after="0"/>
              <w:rPr>
                <w:sz w:val="21"/>
                <w:szCs w:val="21"/>
                <w:color w:val="auto"/>
              </w:rPr>
            </w:pPr>
          </w:p>
        </w:tc>
        <w:tc>
          <w:tcPr>
            <w:tcW w:w="420" w:type="dxa"/>
            <w:vAlign w:val="bottom"/>
            <w:tcBorders>
              <w:bottom w:val="single" w:sz="8" w:color="007CBA"/>
              <w:right w:val="single" w:sz="8" w:color="007CBA"/>
            </w:tcBorders>
            <w:shd w:val="clear" w:color="auto" w:fill="007CBA"/>
          </w:tcPr>
          <w:p>
            <w:pPr>
              <w:spacing w:after="0"/>
              <w:rPr>
                <w:sz w:val="21"/>
                <w:szCs w:val="21"/>
                <w:color w:val="auto"/>
              </w:rPr>
            </w:pPr>
          </w:p>
        </w:tc>
        <w:tc>
          <w:tcPr>
            <w:tcW w:w="280" w:type="dxa"/>
            <w:vAlign w:val="bottom"/>
            <w:tcBorders>
              <w:bottom w:val="single" w:sz="8" w:color="007CBA"/>
            </w:tcBorders>
            <w:shd w:val="clear" w:color="auto" w:fill="007CBA"/>
          </w:tcPr>
          <w:p>
            <w:pPr>
              <w:spacing w:after="0"/>
              <w:rPr>
                <w:sz w:val="21"/>
                <w:szCs w:val="21"/>
                <w:color w:val="auto"/>
              </w:rPr>
            </w:pPr>
          </w:p>
        </w:tc>
        <w:tc>
          <w:tcPr>
            <w:tcW w:w="1120" w:type="dxa"/>
            <w:vAlign w:val="bottom"/>
            <w:tcBorders>
              <w:bottom w:val="single" w:sz="8" w:color="007CBA"/>
            </w:tcBorders>
            <w:shd w:val="clear" w:color="auto" w:fill="007CBA"/>
          </w:tcPr>
          <w:p>
            <w:pPr>
              <w:jc w:val="right"/>
              <w:ind w:right="630"/>
              <w:spacing w:after="0"/>
              <w:rPr>
                <w:sz w:val="20"/>
                <w:szCs w:val="20"/>
                <w:color w:val="auto"/>
              </w:rPr>
            </w:pPr>
            <w:r>
              <w:rPr>
                <w:rFonts w:ascii="Calibri" w:cs="Calibri" w:eastAsia="Calibri" w:hAnsi="Calibri"/>
                <w:sz w:val="18"/>
                <w:szCs w:val="18"/>
                <w:color w:val="FFFFFF"/>
              </w:rPr>
              <w:t>2021</w:t>
            </w:r>
          </w:p>
        </w:tc>
      </w:tr>
      <w:tr>
        <w:trPr>
          <w:trHeight w:val="215"/>
        </w:trPr>
        <w:tc>
          <w:tcPr>
            <w:tcW w:w="5560" w:type="dxa"/>
            <w:vAlign w:val="bottom"/>
          </w:tcPr>
          <w:p>
            <w:pPr>
              <w:ind w:left="120"/>
              <w:spacing w:after="0" w:line="215" w:lineRule="exact"/>
              <w:rPr>
                <w:sz w:val="20"/>
                <w:szCs w:val="20"/>
                <w:color w:val="auto"/>
              </w:rPr>
            </w:pPr>
            <w:r>
              <w:rPr>
                <w:rFonts w:ascii="Calibri" w:cs="Calibri" w:eastAsia="Calibri" w:hAnsi="Calibri"/>
                <w:sz w:val="18"/>
                <w:szCs w:val="18"/>
                <w:color w:val="auto"/>
              </w:rPr>
              <w:t>Net projected beneft obligaton at beginning of year</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right w:val="single" w:sz="8" w:color="007CBA"/>
            </w:tcBorders>
          </w:tcPr>
          <w:p>
            <w:pPr>
              <w:spacing w:after="0"/>
              <w:rPr>
                <w:sz w:val="18"/>
                <w:szCs w:val="18"/>
                <w:color w:val="auto"/>
              </w:rPr>
            </w:pPr>
          </w:p>
        </w:tc>
        <w:tc>
          <w:tcPr>
            <w:tcW w:w="1000" w:type="dxa"/>
            <w:vAlign w:val="bottom"/>
          </w:tcPr>
          <w:p>
            <w:pPr>
              <w:jc w:val="right"/>
              <w:ind w:right="610"/>
              <w:spacing w:after="0" w:line="215" w:lineRule="exact"/>
              <w:rPr>
                <w:sz w:val="20"/>
                <w:szCs w:val="20"/>
                <w:color w:val="auto"/>
              </w:rPr>
            </w:pPr>
            <w:r>
              <w:rPr>
                <w:rFonts w:ascii="Calibri" w:cs="Calibri" w:eastAsia="Calibri" w:hAnsi="Calibri"/>
                <w:sz w:val="18"/>
                <w:szCs w:val="18"/>
                <w:b w:val="1"/>
                <w:bCs w:val="1"/>
                <w:color w:val="auto"/>
              </w:rPr>
              <w:t>$</w:t>
            </w:r>
          </w:p>
        </w:tc>
        <w:tc>
          <w:tcPr>
            <w:tcW w:w="240" w:type="dxa"/>
            <w:vAlign w:val="bottom"/>
          </w:tcPr>
          <w:p>
            <w:pPr>
              <w:spacing w:after="0"/>
              <w:rPr>
                <w:sz w:val="18"/>
                <w:szCs w:val="18"/>
                <w:color w:val="auto"/>
              </w:rPr>
            </w:pPr>
          </w:p>
        </w:tc>
        <w:tc>
          <w:tcPr>
            <w:tcW w:w="6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w w:val="94"/>
              </w:rPr>
              <w:t>1,135.5</w:t>
            </w:r>
          </w:p>
        </w:tc>
        <w:tc>
          <w:tcPr>
            <w:tcW w:w="60" w:type="dxa"/>
            <w:vAlign w:val="bottom"/>
          </w:tcPr>
          <w:p>
            <w:pPr>
              <w:spacing w:after="0"/>
              <w:rPr>
                <w:sz w:val="18"/>
                <w:szCs w:val="18"/>
                <w:color w:val="auto"/>
              </w:rPr>
            </w:pPr>
          </w:p>
        </w:tc>
        <w:tc>
          <w:tcPr>
            <w:tcW w:w="42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280" w:type="dxa"/>
            <w:vAlign w:val="bottom"/>
          </w:tcPr>
          <w:p>
            <w:pPr>
              <w:spacing w:after="0"/>
              <w:rPr>
                <w:sz w:val="18"/>
                <w:szCs w:val="18"/>
                <w:color w:val="auto"/>
              </w:rPr>
            </w:pPr>
          </w:p>
        </w:tc>
        <w:tc>
          <w:tcPr>
            <w:tcW w:w="11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1,111.9</w:t>
            </w:r>
          </w:p>
        </w:tc>
      </w:tr>
      <w:tr>
        <w:trPr>
          <w:trHeight w:val="28"/>
        </w:trPr>
        <w:tc>
          <w:tcPr>
            <w:tcW w:w="5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right w:val="single" w:sz="8" w:color="007CBA"/>
            </w:tcBorders>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Borders>
              <w:right w:val="single" w:sz="8" w:color="007CBA"/>
            </w:tcBorders>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556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Service cost</w:t>
            </w:r>
          </w:p>
        </w:tc>
        <w:tc>
          <w:tcPr>
            <w:tcW w:w="400" w:type="dxa"/>
            <w:vAlign w:val="bottom"/>
            <w:tcBorders>
              <w:bottom w:val="single" w:sz="8" w:color="E5F1F8"/>
            </w:tcBorders>
            <w:shd w:val="clear" w:color="auto" w:fill="E5F1F8"/>
          </w:tcPr>
          <w:p>
            <w:pPr>
              <w:spacing w:after="0"/>
              <w:rPr>
                <w:sz w:val="19"/>
                <w:szCs w:val="19"/>
                <w:color w:val="auto"/>
              </w:rPr>
            </w:pPr>
          </w:p>
        </w:tc>
        <w:tc>
          <w:tcPr>
            <w:tcW w:w="1040" w:type="dxa"/>
            <w:vAlign w:val="bottom"/>
            <w:tcBorders>
              <w:bottom w:val="single" w:sz="8" w:color="E5F1F8"/>
              <w:right w:val="single" w:sz="8" w:color="E5F1F8"/>
            </w:tcBorders>
            <w:shd w:val="clear" w:color="auto" w:fill="E5F1F8"/>
          </w:tcPr>
          <w:p>
            <w:pPr>
              <w:spacing w:after="0"/>
              <w:rPr>
                <w:sz w:val="19"/>
                <w:szCs w:val="19"/>
                <w:color w:val="auto"/>
              </w:rPr>
            </w:pPr>
          </w:p>
        </w:tc>
        <w:tc>
          <w:tcPr>
            <w:tcW w:w="320" w:type="dxa"/>
            <w:vAlign w:val="bottom"/>
            <w:tcBorders>
              <w:bottom w:val="single" w:sz="8" w:color="E5F1F8"/>
            </w:tcBorders>
            <w:shd w:val="clear" w:color="auto" w:fill="E5F1F8"/>
          </w:tcPr>
          <w:p>
            <w:pPr>
              <w:spacing w:after="0"/>
              <w:rPr>
                <w:sz w:val="19"/>
                <w:szCs w:val="19"/>
                <w:color w:val="auto"/>
              </w:rPr>
            </w:pPr>
          </w:p>
        </w:tc>
        <w:tc>
          <w:tcPr>
            <w:tcW w:w="140" w:type="dxa"/>
            <w:vAlign w:val="bottom"/>
            <w:tcBorders>
              <w:bottom w:val="single" w:sz="8" w:color="E5F1F8"/>
              <w:right w:val="single" w:sz="8" w:color="007CBA"/>
            </w:tcBorders>
            <w:shd w:val="clear" w:color="auto" w:fill="E5F1F8"/>
          </w:tcPr>
          <w:p>
            <w:pPr>
              <w:spacing w:after="0"/>
              <w:rPr>
                <w:sz w:val="19"/>
                <w:szCs w:val="19"/>
                <w:color w:val="auto"/>
              </w:rPr>
            </w:pPr>
          </w:p>
        </w:tc>
        <w:tc>
          <w:tcPr>
            <w:tcW w:w="1000" w:type="dxa"/>
            <w:vAlign w:val="bottom"/>
            <w:tcBorders>
              <w:bottom w:val="single" w:sz="8" w:color="E5F1F8"/>
              <w:right w:val="single" w:sz="8" w:color="E5F1F8"/>
            </w:tcBorders>
            <w:shd w:val="clear" w:color="auto" w:fill="E5F1F8"/>
          </w:tcPr>
          <w:p>
            <w:pPr>
              <w:spacing w:after="0"/>
              <w:rPr>
                <w:sz w:val="19"/>
                <w:szCs w:val="19"/>
                <w:color w:val="auto"/>
              </w:rPr>
            </w:pPr>
          </w:p>
        </w:tc>
        <w:tc>
          <w:tcPr>
            <w:tcW w:w="240" w:type="dxa"/>
            <w:vAlign w:val="bottom"/>
            <w:tcBorders>
              <w:bottom w:val="single" w:sz="8" w:color="E5F1F8"/>
            </w:tcBorders>
            <w:shd w:val="clear" w:color="auto" w:fill="E5F1F8"/>
          </w:tcPr>
          <w:p>
            <w:pPr>
              <w:spacing w:after="0"/>
              <w:rPr>
                <w:sz w:val="19"/>
                <w:szCs w:val="19"/>
                <w:color w:val="auto"/>
              </w:rPr>
            </w:pPr>
          </w:p>
        </w:tc>
        <w:tc>
          <w:tcPr>
            <w:tcW w:w="66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48.1</w:t>
            </w:r>
          </w:p>
        </w:tc>
        <w:tc>
          <w:tcPr>
            <w:tcW w:w="60" w:type="dxa"/>
            <w:vAlign w:val="bottom"/>
            <w:tcBorders>
              <w:bottom w:val="single" w:sz="8" w:color="E5F1F8"/>
            </w:tcBorders>
            <w:shd w:val="clear" w:color="auto" w:fill="E5F1F8"/>
          </w:tcPr>
          <w:p>
            <w:pPr>
              <w:spacing w:after="0"/>
              <w:rPr>
                <w:sz w:val="19"/>
                <w:szCs w:val="19"/>
                <w:color w:val="auto"/>
              </w:rPr>
            </w:pPr>
          </w:p>
        </w:tc>
        <w:tc>
          <w:tcPr>
            <w:tcW w:w="420" w:type="dxa"/>
            <w:vAlign w:val="bottom"/>
            <w:tcBorders>
              <w:bottom w:val="single" w:sz="8" w:color="E5F1F8"/>
              <w:right w:val="single" w:sz="8" w:color="E5F1F8"/>
            </w:tcBorders>
            <w:shd w:val="clear" w:color="auto" w:fill="E5F1F8"/>
          </w:tcPr>
          <w:p>
            <w:pPr>
              <w:spacing w:after="0"/>
              <w:rPr>
                <w:sz w:val="19"/>
                <w:szCs w:val="19"/>
                <w:color w:val="auto"/>
              </w:rPr>
            </w:pPr>
          </w:p>
        </w:tc>
        <w:tc>
          <w:tcPr>
            <w:tcW w:w="280" w:type="dxa"/>
            <w:vAlign w:val="bottom"/>
            <w:tcBorders>
              <w:bottom w:val="single" w:sz="8" w:color="E5F1F8"/>
            </w:tcBorders>
            <w:shd w:val="clear" w:color="auto" w:fill="E5F1F8"/>
          </w:tcPr>
          <w:p>
            <w:pPr>
              <w:spacing w:after="0"/>
              <w:rPr>
                <w:sz w:val="19"/>
                <w:szCs w:val="19"/>
                <w:color w:val="auto"/>
              </w:rPr>
            </w:pPr>
          </w:p>
        </w:tc>
        <w:tc>
          <w:tcPr>
            <w:tcW w:w="11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46.2</w:t>
            </w:r>
          </w:p>
        </w:tc>
      </w:tr>
      <w:tr>
        <w:trPr>
          <w:trHeight w:val="215"/>
        </w:trPr>
        <w:tc>
          <w:tcPr>
            <w:tcW w:w="5560" w:type="dxa"/>
            <w:vAlign w:val="bottom"/>
          </w:tcPr>
          <w:p>
            <w:pPr>
              <w:ind w:left="120"/>
              <w:spacing w:after="0" w:line="215" w:lineRule="exact"/>
              <w:rPr>
                <w:sz w:val="20"/>
                <w:szCs w:val="20"/>
                <w:color w:val="auto"/>
              </w:rPr>
            </w:pPr>
            <w:r>
              <w:rPr>
                <w:rFonts w:ascii="Calibri" w:cs="Calibri" w:eastAsia="Calibri" w:hAnsi="Calibri"/>
                <w:sz w:val="18"/>
                <w:szCs w:val="18"/>
                <w:color w:val="auto"/>
              </w:rPr>
              <w:t>Interest cost</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right w:val="single" w:sz="8" w:color="007CBA"/>
            </w:tcBorders>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41.2</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35.7</w:t>
            </w:r>
          </w:p>
        </w:tc>
      </w:tr>
      <w:tr>
        <w:trPr>
          <w:trHeight w:val="28"/>
        </w:trPr>
        <w:tc>
          <w:tcPr>
            <w:tcW w:w="5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right w:val="single" w:sz="8" w:color="007CBA"/>
            </w:tcBorders>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Borders>
              <w:right w:val="single" w:sz="8" w:color="007CBA"/>
            </w:tcBorders>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556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Actuarial gain</w:t>
            </w:r>
          </w:p>
        </w:tc>
        <w:tc>
          <w:tcPr>
            <w:tcW w:w="400" w:type="dxa"/>
            <w:vAlign w:val="bottom"/>
            <w:tcBorders>
              <w:bottom w:val="single" w:sz="8" w:color="E5F1F8"/>
            </w:tcBorders>
            <w:shd w:val="clear" w:color="auto" w:fill="E5F1F8"/>
          </w:tcPr>
          <w:p>
            <w:pPr>
              <w:spacing w:after="0"/>
              <w:rPr>
                <w:sz w:val="19"/>
                <w:szCs w:val="19"/>
                <w:color w:val="auto"/>
              </w:rPr>
            </w:pPr>
          </w:p>
        </w:tc>
        <w:tc>
          <w:tcPr>
            <w:tcW w:w="1040" w:type="dxa"/>
            <w:vAlign w:val="bottom"/>
            <w:tcBorders>
              <w:bottom w:val="single" w:sz="8" w:color="E5F1F8"/>
              <w:right w:val="single" w:sz="8" w:color="E5F1F8"/>
            </w:tcBorders>
            <w:shd w:val="clear" w:color="auto" w:fill="E5F1F8"/>
          </w:tcPr>
          <w:p>
            <w:pPr>
              <w:spacing w:after="0"/>
              <w:rPr>
                <w:sz w:val="19"/>
                <w:szCs w:val="19"/>
                <w:color w:val="auto"/>
              </w:rPr>
            </w:pPr>
          </w:p>
        </w:tc>
        <w:tc>
          <w:tcPr>
            <w:tcW w:w="320" w:type="dxa"/>
            <w:vAlign w:val="bottom"/>
            <w:tcBorders>
              <w:bottom w:val="single" w:sz="8" w:color="E5F1F8"/>
            </w:tcBorders>
            <w:shd w:val="clear" w:color="auto" w:fill="E5F1F8"/>
          </w:tcPr>
          <w:p>
            <w:pPr>
              <w:spacing w:after="0"/>
              <w:rPr>
                <w:sz w:val="19"/>
                <w:szCs w:val="19"/>
                <w:color w:val="auto"/>
              </w:rPr>
            </w:pPr>
          </w:p>
        </w:tc>
        <w:tc>
          <w:tcPr>
            <w:tcW w:w="140" w:type="dxa"/>
            <w:vAlign w:val="bottom"/>
            <w:tcBorders>
              <w:bottom w:val="single" w:sz="8" w:color="E5F1F8"/>
              <w:right w:val="single" w:sz="8" w:color="007CBA"/>
            </w:tcBorders>
            <w:shd w:val="clear" w:color="auto" w:fill="E5F1F8"/>
          </w:tcPr>
          <w:p>
            <w:pPr>
              <w:spacing w:after="0"/>
              <w:rPr>
                <w:sz w:val="19"/>
                <w:szCs w:val="19"/>
                <w:color w:val="auto"/>
              </w:rPr>
            </w:pPr>
          </w:p>
        </w:tc>
        <w:tc>
          <w:tcPr>
            <w:tcW w:w="1000" w:type="dxa"/>
            <w:vAlign w:val="bottom"/>
            <w:tcBorders>
              <w:bottom w:val="single" w:sz="8" w:color="E5F1F8"/>
              <w:right w:val="single" w:sz="8" w:color="E5F1F8"/>
            </w:tcBorders>
            <w:shd w:val="clear" w:color="auto" w:fill="E5F1F8"/>
          </w:tcPr>
          <w:p>
            <w:pPr>
              <w:spacing w:after="0"/>
              <w:rPr>
                <w:sz w:val="19"/>
                <w:szCs w:val="19"/>
                <w:color w:val="auto"/>
              </w:rPr>
            </w:pPr>
          </w:p>
        </w:tc>
        <w:tc>
          <w:tcPr>
            <w:tcW w:w="240" w:type="dxa"/>
            <w:vAlign w:val="bottom"/>
            <w:tcBorders>
              <w:bottom w:val="single" w:sz="8" w:color="E5F1F8"/>
            </w:tcBorders>
            <w:shd w:val="clear" w:color="auto" w:fill="E5F1F8"/>
          </w:tcPr>
          <w:p>
            <w:pPr>
              <w:spacing w:after="0"/>
              <w:rPr>
                <w:sz w:val="19"/>
                <w:szCs w:val="19"/>
                <w:color w:val="auto"/>
              </w:rPr>
            </w:pPr>
          </w:p>
        </w:tc>
        <w:tc>
          <w:tcPr>
            <w:tcW w:w="660" w:type="dxa"/>
            <w:vAlign w:val="bottom"/>
            <w:tcBorders>
              <w:bottom w:val="single" w:sz="8" w:color="E5F1F8"/>
              <w:right w:val="single" w:sz="8" w:color="007CBA"/>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(363.3 )</w:t>
            </w:r>
          </w:p>
        </w:tc>
        <w:tc>
          <w:tcPr>
            <w:tcW w:w="60" w:type="dxa"/>
            <w:vAlign w:val="bottom"/>
            <w:tcBorders>
              <w:bottom w:val="single" w:sz="8" w:color="E5F1F8"/>
            </w:tcBorders>
            <w:shd w:val="clear" w:color="auto" w:fill="E5F1F8"/>
          </w:tcPr>
          <w:p>
            <w:pPr>
              <w:spacing w:after="0"/>
              <w:rPr>
                <w:sz w:val="19"/>
                <w:szCs w:val="19"/>
                <w:color w:val="auto"/>
              </w:rPr>
            </w:pPr>
          </w:p>
        </w:tc>
        <w:tc>
          <w:tcPr>
            <w:tcW w:w="420" w:type="dxa"/>
            <w:vAlign w:val="bottom"/>
            <w:tcBorders>
              <w:bottom w:val="single" w:sz="8" w:color="E5F1F8"/>
              <w:right w:val="single" w:sz="8" w:color="E5F1F8"/>
            </w:tcBorders>
            <w:shd w:val="clear" w:color="auto" w:fill="E5F1F8"/>
          </w:tcPr>
          <w:p>
            <w:pPr>
              <w:spacing w:after="0"/>
              <w:rPr>
                <w:sz w:val="19"/>
                <w:szCs w:val="19"/>
                <w:color w:val="auto"/>
              </w:rPr>
            </w:pPr>
          </w:p>
        </w:tc>
        <w:tc>
          <w:tcPr>
            <w:tcW w:w="280" w:type="dxa"/>
            <w:vAlign w:val="bottom"/>
            <w:tcBorders>
              <w:bottom w:val="single" w:sz="8" w:color="E5F1F8"/>
            </w:tcBorders>
            <w:shd w:val="clear" w:color="auto" w:fill="E5F1F8"/>
          </w:tcPr>
          <w:p>
            <w:pPr>
              <w:spacing w:after="0"/>
              <w:rPr>
                <w:sz w:val="19"/>
                <w:szCs w:val="19"/>
                <w:color w:val="auto"/>
              </w:rPr>
            </w:pPr>
          </w:p>
        </w:tc>
        <w:tc>
          <w:tcPr>
            <w:tcW w:w="112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(16.2 )</w:t>
            </w:r>
          </w:p>
        </w:tc>
      </w:tr>
      <w:tr>
        <w:trPr>
          <w:trHeight w:val="243"/>
        </w:trPr>
        <w:tc>
          <w:tcPr>
            <w:tcW w:w="5560" w:type="dxa"/>
            <w:vAlign w:val="bottom"/>
          </w:tcPr>
          <w:p>
            <w:pPr>
              <w:ind w:left="120"/>
              <w:spacing w:after="0" w:line="215" w:lineRule="exact"/>
              <w:rPr>
                <w:sz w:val="20"/>
                <w:szCs w:val="20"/>
                <w:color w:val="auto"/>
              </w:rPr>
            </w:pPr>
            <w:r>
              <w:rPr>
                <w:rFonts w:ascii="Calibri" w:cs="Calibri" w:eastAsia="Calibri" w:hAnsi="Calibri"/>
                <w:sz w:val="18"/>
                <w:szCs w:val="18"/>
                <w:color w:val="auto"/>
              </w:rPr>
              <w:t>Gross benefts paid</w:t>
            </w: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Borders>
              <w:right w:val="single" w:sz="8" w:color="007CBA"/>
            </w:tcBorders>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b w:val="1"/>
                <w:bCs w:val="1"/>
                <w:color w:val="auto"/>
              </w:rPr>
              <w:t>(52.0 )</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(42.1 )</w:t>
            </w:r>
          </w:p>
        </w:tc>
      </w:tr>
      <w:tr>
        <w:trPr>
          <w:trHeight w:val="248"/>
        </w:trPr>
        <w:tc>
          <w:tcPr>
            <w:tcW w:w="556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Plan amendments</w:t>
            </w:r>
          </w:p>
        </w:tc>
        <w:tc>
          <w:tcPr>
            <w:tcW w:w="400" w:type="dxa"/>
            <w:vAlign w:val="bottom"/>
            <w:tcBorders>
              <w:bottom w:val="single" w:sz="8" w:color="E5F1F8"/>
            </w:tcBorders>
            <w:shd w:val="clear" w:color="auto" w:fill="E5F1F8"/>
          </w:tcPr>
          <w:p>
            <w:pPr>
              <w:spacing w:after="0"/>
              <w:rPr>
                <w:sz w:val="21"/>
                <w:szCs w:val="21"/>
                <w:color w:val="auto"/>
              </w:rPr>
            </w:pPr>
          </w:p>
        </w:tc>
        <w:tc>
          <w:tcPr>
            <w:tcW w:w="1040" w:type="dxa"/>
            <w:vAlign w:val="bottom"/>
            <w:tcBorders>
              <w:bottom w:val="single" w:sz="8" w:color="E5F1F8"/>
              <w:right w:val="single" w:sz="8" w:color="E5F1F8"/>
            </w:tcBorders>
            <w:shd w:val="clear" w:color="auto" w:fill="E5F1F8"/>
          </w:tcPr>
          <w:p>
            <w:pPr>
              <w:spacing w:after="0"/>
              <w:rPr>
                <w:sz w:val="21"/>
                <w:szCs w:val="21"/>
                <w:color w:val="auto"/>
              </w:rPr>
            </w:pPr>
          </w:p>
        </w:tc>
        <w:tc>
          <w:tcPr>
            <w:tcW w:w="320" w:type="dxa"/>
            <w:vAlign w:val="bottom"/>
            <w:tcBorders>
              <w:bottom w:val="single" w:sz="8" w:color="E5F1F8"/>
            </w:tcBorders>
            <w:shd w:val="clear" w:color="auto" w:fill="E5F1F8"/>
          </w:tcPr>
          <w:p>
            <w:pPr>
              <w:spacing w:after="0"/>
              <w:rPr>
                <w:sz w:val="21"/>
                <w:szCs w:val="21"/>
                <w:color w:val="auto"/>
              </w:rPr>
            </w:pPr>
          </w:p>
        </w:tc>
        <w:tc>
          <w:tcPr>
            <w:tcW w:w="140" w:type="dxa"/>
            <w:vAlign w:val="bottom"/>
            <w:tcBorders>
              <w:bottom w:val="single" w:sz="8" w:color="E5F1F8"/>
              <w:right w:val="single" w:sz="8" w:color="E5F1F8"/>
            </w:tcBorders>
            <w:shd w:val="clear" w:color="auto" w:fill="E5F1F8"/>
          </w:tcPr>
          <w:p>
            <w:pPr>
              <w:spacing w:after="0"/>
              <w:rPr>
                <w:sz w:val="21"/>
                <w:szCs w:val="21"/>
                <w:color w:val="auto"/>
              </w:rPr>
            </w:pPr>
          </w:p>
        </w:tc>
        <w:tc>
          <w:tcPr>
            <w:tcW w:w="1000" w:type="dxa"/>
            <w:vAlign w:val="bottom"/>
            <w:tcBorders>
              <w:bottom w:val="single" w:sz="8" w:color="E5F1F8"/>
              <w:right w:val="single" w:sz="8" w:color="E5F1F8"/>
            </w:tcBorders>
            <w:shd w:val="clear" w:color="auto" w:fill="E5F1F8"/>
          </w:tcPr>
          <w:p>
            <w:pPr>
              <w:spacing w:after="0"/>
              <w:rPr>
                <w:sz w:val="21"/>
                <w:szCs w:val="21"/>
                <w:color w:val="auto"/>
              </w:rPr>
            </w:pPr>
          </w:p>
        </w:tc>
        <w:tc>
          <w:tcPr>
            <w:tcW w:w="240" w:type="dxa"/>
            <w:vAlign w:val="bottom"/>
            <w:tcBorders>
              <w:bottom w:val="single" w:sz="8" w:color="E5F1F8"/>
            </w:tcBorders>
            <w:shd w:val="clear" w:color="auto" w:fill="E5F1F8"/>
          </w:tcPr>
          <w:p>
            <w:pPr>
              <w:spacing w:after="0"/>
              <w:rPr>
                <w:sz w:val="21"/>
                <w:szCs w:val="21"/>
                <w:color w:val="auto"/>
              </w:rPr>
            </w:pPr>
          </w:p>
        </w:tc>
        <w:tc>
          <w:tcPr>
            <w:tcW w:w="66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48.1</w:t>
            </w:r>
          </w:p>
        </w:tc>
        <w:tc>
          <w:tcPr>
            <w:tcW w:w="60" w:type="dxa"/>
            <w:vAlign w:val="bottom"/>
            <w:tcBorders>
              <w:bottom w:val="single" w:sz="8" w:color="E5F1F8"/>
            </w:tcBorders>
            <w:shd w:val="clear" w:color="auto" w:fill="E5F1F8"/>
          </w:tcPr>
          <w:p>
            <w:pPr>
              <w:spacing w:after="0"/>
              <w:rPr>
                <w:sz w:val="21"/>
                <w:szCs w:val="21"/>
                <w:color w:val="auto"/>
              </w:rPr>
            </w:pPr>
          </w:p>
        </w:tc>
        <w:tc>
          <w:tcPr>
            <w:tcW w:w="420" w:type="dxa"/>
            <w:vAlign w:val="bottom"/>
            <w:tcBorders>
              <w:bottom w:val="single" w:sz="8" w:color="E5F1F8"/>
              <w:right w:val="single" w:sz="8" w:color="E5F1F8"/>
            </w:tcBorders>
            <w:shd w:val="clear" w:color="auto" w:fill="E5F1F8"/>
          </w:tcPr>
          <w:p>
            <w:pPr>
              <w:spacing w:after="0"/>
              <w:rPr>
                <w:sz w:val="21"/>
                <w:szCs w:val="21"/>
                <w:color w:val="auto"/>
              </w:rPr>
            </w:pPr>
          </w:p>
        </w:tc>
        <w:tc>
          <w:tcPr>
            <w:tcW w:w="280" w:type="dxa"/>
            <w:vAlign w:val="bottom"/>
            <w:tcBorders>
              <w:bottom w:val="single" w:sz="8" w:color="E5F1F8"/>
            </w:tcBorders>
            <w:shd w:val="clear" w:color="auto" w:fill="E5F1F8"/>
          </w:tcPr>
          <w:p>
            <w:pPr>
              <w:spacing w:after="0"/>
              <w:rPr>
                <w:sz w:val="21"/>
                <w:szCs w:val="21"/>
                <w:color w:val="auto"/>
              </w:rPr>
            </w:pPr>
          </w:p>
        </w:tc>
        <w:tc>
          <w:tcPr>
            <w:tcW w:w="11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08"/>
        </w:trPr>
        <w:tc>
          <w:tcPr>
            <w:tcW w:w="556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Net projected beneft obligaton at end of year</w:t>
            </w:r>
          </w:p>
        </w:tc>
        <w:tc>
          <w:tcPr>
            <w:tcW w:w="4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610"/>
              <w:spacing w:after="0" w:line="208" w:lineRule="exact"/>
              <w:rPr>
                <w:sz w:val="20"/>
                <w:szCs w:val="20"/>
                <w:color w:val="auto"/>
              </w:rPr>
            </w:pPr>
            <w:r>
              <w:rPr>
                <w:rFonts w:ascii="Calibri" w:cs="Calibri" w:eastAsia="Calibri" w:hAnsi="Calibri"/>
                <w:sz w:val="18"/>
                <w:szCs w:val="18"/>
                <w:b w:val="1"/>
                <w:bCs w:val="1"/>
                <w:color w:val="auto"/>
              </w:rPr>
              <w:t>$</w:t>
            </w: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857.6</w:t>
            </w:r>
          </w:p>
        </w:tc>
        <w:tc>
          <w:tcPr>
            <w:tcW w:w="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90"/>
              <w:spacing w:after="0" w:line="208" w:lineRule="exact"/>
              <w:rPr>
                <w:sz w:val="20"/>
                <w:szCs w:val="20"/>
                <w:color w:val="auto"/>
              </w:rPr>
            </w:pPr>
            <w:r>
              <w:rPr>
                <w:rFonts w:ascii="Calibri" w:cs="Calibri" w:eastAsia="Calibri" w:hAnsi="Calibri"/>
                <w:sz w:val="18"/>
                <w:szCs w:val="18"/>
                <w:color w:val="auto"/>
              </w:rPr>
              <w:t>$</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1,135.5</w:t>
            </w:r>
          </w:p>
        </w:tc>
      </w:tr>
      <w:tr>
        <w:trPr>
          <w:trHeight w:val="28"/>
        </w:trPr>
        <w:tc>
          <w:tcPr>
            <w:tcW w:w="5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-2399665</wp:posOffset>
            </wp:positionV>
            <wp:extent cx="35058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3505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-2094865</wp:posOffset>
            </wp:positionV>
            <wp:extent cx="7132320" cy="3683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7132320" cy="3683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3683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Calibri" w:cs="Calibri" w:eastAsia="Calibri" w:hAnsi="Calibri"/>
          <w:sz w:val="18"/>
          <w:szCs w:val="18"/>
          <w:color w:val="auto"/>
        </w:rPr>
        <w:t>The actuarial gain in 2022 was primarily atributable to a higher discount rate compared with the prior year.</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Company’s change in plan assets, funded status and amounts recognized on the Company’s consolidated balance sheets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46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560" w:type="dxa"/>
            <w:vAlign w:val="bottom"/>
            <w:shd w:val="clear" w:color="auto" w:fill="007CBA"/>
          </w:tcPr>
          <w:p>
            <w:pPr>
              <w:spacing w:after="0"/>
              <w:rPr>
                <w:sz w:val="20"/>
                <w:szCs w:val="20"/>
                <w:color w:val="auto"/>
              </w:rPr>
            </w:pPr>
          </w:p>
        </w:tc>
        <w:tc>
          <w:tcPr>
            <w:tcW w:w="1360" w:type="dxa"/>
            <w:vAlign w:val="bottom"/>
            <w:tcBorders>
              <w:right w:val="single" w:sz="8" w:color="007CBA"/>
            </w:tcBorders>
            <w:shd w:val="clear" w:color="auto" w:fill="007CBA"/>
          </w:tcPr>
          <w:p>
            <w:pPr>
              <w:spacing w:after="0"/>
              <w:rPr>
                <w:sz w:val="20"/>
                <w:szCs w:val="20"/>
                <w:color w:val="auto"/>
              </w:rPr>
            </w:pPr>
          </w:p>
        </w:tc>
        <w:tc>
          <w:tcPr>
            <w:tcW w:w="540" w:type="dxa"/>
            <w:vAlign w:val="bottom"/>
            <w:shd w:val="clear" w:color="auto" w:fill="007CBA"/>
          </w:tcPr>
          <w:p>
            <w:pPr>
              <w:spacing w:after="0"/>
              <w:rPr>
                <w:sz w:val="20"/>
                <w:szCs w:val="20"/>
                <w:color w:val="auto"/>
              </w:rPr>
            </w:pPr>
          </w:p>
        </w:tc>
        <w:tc>
          <w:tcPr>
            <w:tcW w:w="1320" w:type="dxa"/>
            <w:vAlign w:val="bottom"/>
            <w:shd w:val="clear" w:color="auto" w:fill="007CBA"/>
          </w:tcPr>
          <w:p>
            <w:pPr>
              <w:spacing w:after="0"/>
              <w:rPr>
                <w:sz w:val="20"/>
                <w:szCs w:val="20"/>
                <w:color w:val="auto"/>
              </w:rPr>
            </w:pPr>
          </w:p>
        </w:tc>
      </w:tr>
      <w:tr>
        <w:trPr>
          <w:trHeight w:val="231"/>
        </w:trPr>
        <w:tc>
          <w:tcPr>
            <w:tcW w:w="746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560" w:type="dxa"/>
            <w:vAlign w:val="bottom"/>
            <w:tcBorders>
              <w:bottom w:val="single" w:sz="8" w:color="007CBA"/>
            </w:tcBorders>
            <w:shd w:val="clear" w:color="auto" w:fill="007CBA"/>
          </w:tcPr>
          <w:p>
            <w:pPr>
              <w:spacing w:after="0"/>
              <w:rPr>
                <w:sz w:val="20"/>
                <w:szCs w:val="20"/>
                <w:color w:val="auto"/>
              </w:rPr>
            </w:pPr>
          </w:p>
        </w:tc>
        <w:tc>
          <w:tcPr>
            <w:tcW w:w="1360" w:type="dxa"/>
            <w:vAlign w:val="bottom"/>
            <w:tcBorders>
              <w:bottom w:val="single" w:sz="8" w:color="007CBA"/>
              <w:right w:val="single" w:sz="8" w:color="007CBA"/>
            </w:tcBorders>
            <w:shd w:val="clear" w:color="auto" w:fill="007CBA"/>
          </w:tcPr>
          <w:p>
            <w:pPr>
              <w:jc w:val="right"/>
              <w:ind w:right="650"/>
              <w:spacing w:after="0" w:line="215" w:lineRule="exact"/>
              <w:rPr>
                <w:sz w:val="20"/>
                <w:szCs w:val="20"/>
                <w:color w:val="auto"/>
              </w:rPr>
            </w:pPr>
            <w:r>
              <w:rPr>
                <w:rFonts w:ascii="Calibri" w:cs="Calibri" w:eastAsia="Calibri" w:hAnsi="Calibri"/>
                <w:sz w:val="18"/>
                <w:szCs w:val="18"/>
                <w:b w:val="1"/>
                <w:bCs w:val="1"/>
                <w:color w:val="FFFFFF"/>
              </w:rPr>
              <w:t>2022</w:t>
            </w:r>
          </w:p>
        </w:tc>
        <w:tc>
          <w:tcPr>
            <w:tcW w:w="540" w:type="dxa"/>
            <w:vAlign w:val="bottom"/>
            <w:tcBorders>
              <w:bottom w:val="single" w:sz="8" w:color="007CBA"/>
            </w:tcBorders>
            <w:shd w:val="clear" w:color="auto" w:fill="007CBA"/>
          </w:tcPr>
          <w:p>
            <w:pPr>
              <w:spacing w:after="0"/>
              <w:rPr>
                <w:sz w:val="20"/>
                <w:szCs w:val="20"/>
                <w:color w:val="auto"/>
              </w:rPr>
            </w:pPr>
          </w:p>
        </w:tc>
        <w:tc>
          <w:tcPr>
            <w:tcW w:w="1320" w:type="dxa"/>
            <w:vAlign w:val="bottom"/>
            <w:tcBorders>
              <w:bottom w:val="single" w:sz="8" w:color="007CBA"/>
            </w:tcBorders>
            <w:shd w:val="clear" w:color="auto" w:fill="007CBA"/>
          </w:tcPr>
          <w:p>
            <w:pPr>
              <w:jc w:val="right"/>
              <w:ind w:right="630"/>
              <w:spacing w:after="0" w:line="215" w:lineRule="exact"/>
              <w:rPr>
                <w:sz w:val="20"/>
                <w:szCs w:val="20"/>
                <w:color w:val="auto"/>
              </w:rPr>
            </w:pPr>
            <w:r>
              <w:rPr>
                <w:rFonts w:ascii="Calibri" w:cs="Calibri" w:eastAsia="Calibri" w:hAnsi="Calibri"/>
                <w:sz w:val="18"/>
                <w:szCs w:val="18"/>
                <w:color w:val="FFFFFF"/>
              </w:rPr>
              <w:t>2021</w:t>
            </w:r>
          </w:p>
        </w:tc>
      </w:tr>
      <w:tr>
        <w:trPr>
          <w:trHeight w:val="215"/>
        </w:trPr>
        <w:tc>
          <w:tcPr>
            <w:tcW w:w="74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Fair value of plan assets at beginning of year</w:t>
            </w:r>
          </w:p>
        </w:tc>
        <w:tc>
          <w:tcPr>
            <w:tcW w:w="560" w:type="dxa"/>
            <w:vAlign w:val="bottom"/>
          </w:tcPr>
          <w:p>
            <w:pPr>
              <w:jc w:val="right"/>
              <w:ind w:right="170"/>
              <w:spacing w:after="0" w:line="215" w:lineRule="exact"/>
              <w:rPr>
                <w:sz w:val="20"/>
                <w:szCs w:val="20"/>
                <w:color w:val="auto"/>
              </w:rPr>
            </w:pPr>
            <w:r>
              <w:rPr>
                <w:rFonts w:ascii="Calibri" w:cs="Calibri" w:eastAsia="Calibri" w:hAnsi="Calibri"/>
                <w:sz w:val="18"/>
                <w:szCs w:val="18"/>
                <w:b w:val="1"/>
                <w:bCs w:val="1"/>
                <w:color w:val="auto"/>
              </w:rPr>
              <w:t>$</w:t>
            </w:r>
          </w:p>
        </w:tc>
        <w:tc>
          <w:tcPr>
            <w:tcW w:w="13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1,200.3</w:t>
            </w:r>
          </w:p>
        </w:tc>
        <w:tc>
          <w:tcPr>
            <w:tcW w:w="54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1,037.9</w:t>
            </w:r>
          </w:p>
        </w:tc>
      </w:tr>
      <w:tr>
        <w:trPr>
          <w:trHeight w:val="28"/>
        </w:trPr>
        <w:tc>
          <w:tcPr>
            <w:tcW w:w="746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360" w:type="dxa"/>
            <w:vAlign w:val="bottom"/>
            <w:tcBorders>
              <w:right w:val="single" w:sz="8" w:color="007CBA"/>
            </w:tcBorders>
          </w:tcPr>
          <w:p>
            <w:pPr>
              <w:spacing w:after="0"/>
              <w:rPr>
                <w:sz w:val="2"/>
                <w:szCs w:val="2"/>
                <w:color w:val="auto"/>
              </w:rPr>
            </w:pPr>
          </w:p>
        </w:tc>
        <w:tc>
          <w:tcPr>
            <w:tcW w:w="5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3"/>
        </w:trPr>
        <w:tc>
          <w:tcPr>
            <w:tcW w:w="746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Actual return on plan assets, net</w:t>
            </w:r>
          </w:p>
        </w:tc>
        <w:tc>
          <w:tcPr>
            <w:tcW w:w="560" w:type="dxa"/>
            <w:vAlign w:val="bottom"/>
            <w:tcBorders>
              <w:bottom w:val="single" w:sz="8" w:color="E5F1F8"/>
            </w:tcBorders>
            <w:shd w:val="clear" w:color="auto" w:fill="E5F1F8"/>
          </w:tcPr>
          <w:p>
            <w:pPr>
              <w:spacing w:after="0"/>
              <w:rPr>
                <w:sz w:val="19"/>
                <w:szCs w:val="19"/>
                <w:color w:val="auto"/>
              </w:rPr>
            </w:pPr>
          </w:p>
        </w:tc>
        <w:tc>
          <w:tcPr>
            <w:tcW w:w="1360" w:type="dxa"/>
            <w:vAlign w:val="bottom"/>
            <w:tcBorders>
              <w:bottom w:val="single" w:sz="8" w:color="E5F1F8"/>
              <w:right w:val="single" w:sz="8" w:color="007CBA"/>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(171.4 )</w:t>
            </w:r>
          </w:p>
        </w:tc>
        <w:tc>
          <w:tcPr>
            <w:tcW w:w="540" w:type="dxa"/>
            <w:vAlign w:val="bottom"/>
            <w:tcBorders>
              <w:bottom w:val="single" w:sz="8" w:color="E5F1F8"/>
            </w:tcBorders>
            <w:shd w:val="clear" w:color="auto" w:fill="E5F1F8"/>
          </w:tcPr>
          <w:p>
            <w:pPr>
              <w:spacing w:after="0"/>
              <w:rPr>
                <w:sz w:val="19"/>
                <w:szCs w:val="19"/>
                <w:color w:val="auto"/>
              </w:rPr>
            </w:pPr>
          </w:p>
        </w:tc>
        <w:tc>
          <w:tcPr>
            <w:tcW w:w="13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121.7</w:t>
            </w:r>
          </w:p>
        </w:tc>
      </w:tr>
      <w:tr>
        <w:trPr>
          <w:trHeight w:val="243"/>
        </w:trPr>
        <w:tc>
          <w:tcPr>
            <w:tcW w:w="74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Employer contributons</w:t>
            </w:r>
          </w:p>
        </w:tc>
        <w:tc>
          <w:tcPr>
            <w:tcW w:w="560" w:type="dxa"/>
            <w:vAlign w:val="bottom"/>
          </w:tcPr>
          <w:p>
            <w:pPr>
              <w:spacing w:after="0"/>
              <w:rPr>
                <w:sz w:val="21"/>
                <w:szCs w:val="21"/>
                <w:color w:val="auto"/>
              </w:rPr>
            </w:pPr>
          </w:p>
        </w:tc>
        <w:tc>
          <w:tcPr>
            <w:tcW w:w="13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90.2</w:t>
            </w:r>
          </w:p>
        </w:tc>
        <w:tc>
          <w:tcPr>
            <w:tcW w:w="540" w:type="dxa"/>
            <w:vAlign w:val="bottom"/>
          </w:tcPr>
          <w:p>
            <w:pPr>
              <w:spacing w:after="0"/>
              <w:rPr>
                <w:sz w:val="21"/>
                <w:szCs w:val="21"/>
                <w:color w:val="auto"/>
              </w:rPr>
            </w:pPr>
          </w:p>
        </w:tc>
        <w:tc>
          <w:tcPr>
            <w:tcW w:w="13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82.8</w:t>
            </w:r>
          </w:p>
        </w:tc>
      </w:tr>
      <w:tr>
        <w:trPr>
          <w:trHeight w:val="248"/>
        </w:trPr>
        <w:tc>
          <w:tcPr>
            <w:tcW w:w="746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Gross benefts paid</w:t>
            </w:r>
          </w:p>
        </w:tc>
        <w:tc>
          <w:tcPr>
            <w:tcW w:w="560" w:type="dxa"/>
            <w:vAlign w:val="bottom"/>
            <w:tcBorders>
              <w:bottom w:val="single" w:sz="8" w:color="E5F1F8"/>
            </w:tcBorders>
            <w:shd w:val="clear" w:color="auto" w:fill="E5F1F8"/>
          </w:tcPr>
          <w:p>
            <w:pPr>
              <w:spacing w:after="0"/>
              <w:rPr>
                <w:sz w:val="21"/>
                <w:szCs w:val="21"/>
                <w:color w:val="auto"/>
              </w:rPr>
            </w:pPr>
          </w:p>
        </w:tc>
        <w:tc>
          <w:tcPr>
            <w:tcW w:w="136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(52.0 )</w:t>
            </w:r>
          </w:p>
        </w:tc>
        <w:tc>
          <w:tcPr>
            <w:tcW w:w="540" w:type="dxa"/>
            <w:vAlign w:val="bottom"/>
            <w:tcBorders>
              <w:bottom w:val="single" w:sz="8" w:color="E5F1F8"/>
            </w:tcBorders>
            <w:shd w:val="clear" w:color="auto" w:fill="E5F1F8"/>
          </w:tcPr>
          <w:p>
            <w:pPr>
              <w:spacing w:after="0"/>
              <w:rPr>
                <w:sz w:val="21"/>
                <w:szCs w:val="21"/>
                <w:color w:val="auto"/>
              </w:rPr>
            </w:pPr>
          </w:p>
        </w:tc>
        <w:tc>
          <w:tcPr>
            <w:tcW w:w="132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(42.1 )</w:t>
            </w:r>
          </w:p>
        </w:tc>
      </w:tr>
      <w:tr>
        <w:trPr>
          <w:trHeight w:val="208"/>
        </w:trPr>
        <w:tc>
          <w:tcPr>
            <w:tcW w:w="746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Fair value of plan assets at end of year</w:t>
            </w:r>
          </w:p>
        </w:tc>
        <w:tc>
          <w:tcPr>
            <w:tcW w:w="560" w:type="dxa"/>
            <w:vAlign w:val="bottom"/>
            <w:tcBorders>
              <w:top w:val="single" w:sz="8" w:color="auto"/>
            </w:tcBorders>
          </w:tcPr>
          <w:p>
            <w:pPr>
              <w:jc w:val="right"/>
              <w:ind w:right="170"/>
              <w:spacing w:after="0" w:line="208" w:lineRule="exact"/>
              <w:rPr>
                <w:sz w:val="20"/>
                <w:szCs w:val="20"/>
                <w:color w:val="auto"/>
              </w:rPr>
            </w:pPr>
            <w:r>
              <w:rPr>
                <w:rFonts w:ascii="Calibri" w:cs="Calibri" w:eastAsia="Calibri" w:hAnsi="Calibri"/>
                <w:sz w:val="18"/>
                <w:szCs w:val="18"/>
                <w:b w:val="1"/>
                <w:bCs w:val="1"/>
                <w:color w:val="auto"/>
              </w:rPr>
              <w:t>$</w:t>
            </w:r>
          </w:p>
        </w:tc>
        <w:tc>
          <w:tcPr>
            <w:tcW w:w="136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1,067.1</w:t>
            </w:r>
          </w:p>
        </w:tc>
        <w:tc>
          <w:tcPr>
            <w:tcW w:w="540" w:type="dxa"/>
            <w:vAlign w:val="bottom"/>
            <w:tcBorders>
              <w:top w:val="single" w:sz="8" w:color="auto"/>
            </w:tcBorders>
          </w:tcPr>
          <w:p>
            <w:pPr>
              <w:jc w:val="right"/>
              <w:ind w:right="170"/>
              <w:spacing w:after="0" w:line="208" w:lineRule="exact"/>
              <w:rPr>
                <w:sz w:val="20"/>
                <w:szCs w:val="20"/>
                <w:color w:val="auto"/>
              </w:rPr>
            </w:pPr>
            <w:r>
              <w:rPr>
                <w:rFonts w:ascii="Calibri" w:cs="Calibri" w:eastAsia="Calibri" w:hAnsi="Calibri"/>
                <w:sz w:val="18"/>
                <w:szCs w:val="18"/>
                <w:color w:val="auto"/>
              </w:rPr>
              <w:t>$</w:t>
            </w:r>
          </w:p>
        </w:tc>
        <w:tc>
          <w:tcPr>
            <w:tcW w:w="132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1,200.3</w:t>
            </w:r>
          </w:p>
        </w:tc>
      </w:tr>
      <w:tr>
        <w:trPr>
          <w:trHeight w:val="28"/>
        </w:trPr>
        <w:tc>
          <w:tcPr>
            <w:tcW w:w="7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7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6"/>
        </w:trPr>
        <w:tc>
          <w:tcPr>
            <w:tcW w:w="7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5"/>
        </w:trPr>
        <w:tc>
          <w:tcPr>
            <w:tcW w:w="746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i w:val="1"/>
                <w:iCs w:val="1"/>
                <w:color w:val="FFFFFF"/>
              </w:rPr>
              <w:t>December 31</w:t>
            </w:r>
          </w:p>
        </w:tc>
        <w:tc>
          <w:tcPr>
            <w:tcW w:w="560" w:type="dxa"/>
            <w:vAlign w:val="bottom"/>
            <w:shd w:val="clear" w:color="auto" w:fill="007CBA"/>
          </w:tcPr>
          <w:p>
            <w:pPr>
              <w:spacing w:after="0"/>
              <w:rPr>
                <w:sz w:val="18"/>
                <w:szCs w:val="18"/>
                <w:color w:val="auto"/>
              </w:rPr>
            </w:pPr>
          </w:p>
        </w:tc>
        <w:tc>
          <w:tcPr>
            <w:tcW w:w="1360" w:type="dxa"/>
            <w:vAlign w:val="bottom"/>
            <w:tcBorders>
              <w:right w:val="single" w:sz="8" w:color="007CBA"/>
            </w:tcBorders>
            <w:shd w:val="clear" w:color="auto" w:fill="007CBA"/>
          </w:tcPr>
          <w:p>
            <w:pPr>
              <w:spacing w:after="0"/>
              <w:rPr>
                <w:sz w:val="18"/>
                <w:szCs w:val="18"/>
                <w:color w:val="auto"/>
              </w:rPr>
            </w:pPr>
          </w:p>
        </w:tc>
        <w:tc>
          <w:tcPr>
            <w:tcW w:w="540" w:type="dxa"/>
            <w:vAlign w:val="bottom"/>
            <w:shd w:val="clear" w:color="auto" w:fill="007CBA"/>
          </w:tcPr>
          <w:p>
            <w:pPr>
              <w:spacing w:after="0"/>
              <w:rPr>
                <w:sz w:val="18"/>
                <w:szCs w:val="18"/>
                <w:color w:val="auto"/>
              </w:rPr>
            </w:pPr>
          </w:p>
        </w:tc>
        <w:tc>
          <w:tcPr>
            <w:tcW w:w="1320" w:type="dxa"/>
            <w:vAlign w:val="bottom"/>
            <w:shd w:val="clear" w:color="auto" w:fill="007CBA"/>
          </w:tcPr>
          <w:p>
            <w:pPr>
              <w:spacing w:after="0"/>
              <w:rPr>
                <w:sz w:val="18"/>
                <w:szCs w:val="18"/>
                <w:color w:val="auto"/>
              </w:rPr>
            </w:pPr>
          </w:p>
        </w:tc>
      </w:tr>
      <w:tr>
        <w:trPr>
          <w:trHeight w:val="251"/>
        </w:trPr>
        <w:tc>
          <w:tcPr>
            <w:tcW w:w="7460" w:type="dxa"/>
            <w:vAlign w:val="bottom"/>
            <w:tcBorders>
              <w:bottom w:val="single" w:sz="8" w:color="007CBA"/>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color w:val="FFFFFF"/>
              </w:rPr>
              <w:t>(in millions)</w:t>
            </w:r>
          </w:p>
        </w:tc>
        <w:tc>
          <w:tcPr>
            <w:tcW w:w="560" w:type="dxa"/>
            <w:vAlign w:val="bottom"/>
            <w:tcBorders>
              <w:bottom w:val="single" w:sz="8" w:color="007CBA"/>
            </w:tcBorders>
            <w:shd w:val="clear" w:color="auto" w:fill="007CBA"/>
          </w:tcPr>
          <w:p>
            <w:pPr>
              <w:spacing w:after="0"/>
              <w:rPr>
                <w:sz w:val="21"/>
                <w:szCs w:val="21"/>
                <w:color w:val="auto"/>
              </w:rPr>
            </w:pPr>
          </w:p>
        </w:tc>
        <w:tc>
          <w:tcPr>
            <w:tcW w:w="1360" w:type="dxa"/>
            <w:vAlign w:val="bottom"/>
            <w:tcBorders>
              <w:bottom w:val="single" w:sz="8" w:color="007CBA"/>
              <w:right w:val="single" w:sz="8" w:color="007CBA"/>
            </w:tcBorders>
            <w:shd w:val="clear" w:color="auto" w:fill="007CBA"/>
          </w:tcPr>
          <w:p>
            <w:pPr>
              <w:jc w:val="right"/>
              <w:ind w:right="670"/>
              <w:spacing w:after="0"/>
              <w:rPr>
                <w:sz w:val="20"/>
                <w:szCs w:val="20"/>
                <w:color w:val="auto"/>
              </w:rPr>
            </w:pPr>
            <w:r>
              <w:rPr>
                <w:rFonts w:ascii="Calibri" w:cs="Calibri" w:eastAsia="Calibri" w:hAnsi="Calibri"/>
                <w:sz w:val="18"/>
                <w:szCs w:val="18"/>
                <w:b w:val="1"/>
                <w:bCs w:val="1"/>
                <w:color w:val="FFFFFF"/>
              </w:rPr>
              <w:t>2022</w:t>
            </w:r>
          </w:p>
        </w:tc>
        <w:tc>
          <w:tcPr>
            <w:tcW w:w="540" w:type="dxa"/>
            <w:vAlign w:val="bottom"/>
            <w:tcBorders>
              <w:bottom w:val="single" w:sz="8" w:color="007CBA"/>
            </w:tcBorders>
            <w:shd w:val="clear" w:color="auto" w:fill="007CBA"/>
          </w:tcPr>
          <w:p>
            <w:pPr>
              <w:spacing w:after="0"/>
              <w:rPr>
                <w:sz w:val="21"/>
                <w:szCs w:val="21"/>
                <w:color w:val="auto"/>
              </w:rPr>
            </w:pPr>
          </w:p>
        </w:tc>
        <w:tc>
          <w:tcPr>
            <w:tcW w:w="1320" w:type="dxa"/>
            <w:vAlign w:val="bottom"/>
            <w:tcBorders>
              <w:bottom w:val="single" w:sz="8" w:color="007CBA"/>
            </w:tcBorders>
            <w:shd w:val="clear" w:color="auto" w:fill="007CBA"/>
          </w:tcPr>
          <w:p>
            <w:pPr>
              <w:jc w:val="right"/>
              <w:ind w:right="630"/>
              <w:spacing w:after="0"/>
              <w:rPr>
                <w:sz w:val="20"/>
                <w:szCs w:val="20"/>
                <w:color w:val="auto"/>
              </w:rPr>
            </w:pPr>
            <w:r>
              <w:rPr>
                <w:rFonts w:ascii="Calibri" w:cs="Calibri" w:eastAsia="Calibri" w:hAnsi="Calibri"/>
                <w:sz w:val="18"/>
                <w:szCs w:val="18"/>
                <w:color w:val="FFFFFF"/>
              </w:rPr>
              <w:t>2021</w:t>
            </w:r>
          </w:p>
        </w:tc>
      </w:tr>
      <w:tr>
        <w:trPr>
          <w:trHeight w:val="243"/>
        </w:trPr>
        <w:tc>
          <w:tcPr>
            <w:tcW w:w="74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Funded status of the plan at end of year</w:t>
            </w:r>
          </w:p>
        </w:tc>
        <w:tc>
          <w:tcPr>
            <w:tcW w:w="560" w:type="dxa"/>
            <w:vAlign w:val="bottom"/>
          </w:tcPr>
          <w:p>
            <w:pPr>
              <w:jc w:val="right"/>
              <w:ind w:right="170"/>
              <w:spacing w:after="0" w:line="215" w:lineRule="exact"/>
              <w:rPr>
                <w:sz w:val="20"/>
                <w:szCs w:val="20"/>
                <w:color w:val="auto"/>
              </w:rPr>
            </w:pPr>
            <w:r>
              <w:rPr>
                <w:rFonts w:ascii="Calibri" w:cs="Calibri" w:eastAsia="Calibri" w:hAnsi="Calibri"/>
                <w:sz w:val="18"/>
                <w:szCs w:val="18"/>
                <w:b w:val="1"/>
                <w:bCs w:val="1"/>
                <w:color w:val="auto"/>
              </w:rPr>
              <w:t>$</w:t>
            </w:r>
          </w:p>
        </w:tc>
        <w:tc>
          <w:tcPr>
            <w:tcW w:w="13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209.5</w:t>
            </w:r>
          </w:p>
        </w:tc>
        <w:tc>
          <w:tcPr>
            <w:tcW w:w="54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64.8</w:t>
            </w:r>
          </w:p>
        </w:tc>
      </w:tr>
      <w:tr>
        <w:trPr>
          <w:trHeight w:val="223"/>
        </w:trPr>
        <w:tc>
          <w:tcPr>
            <w:tcW w:w="746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Accrued beneft credit</w:t>
            </w:r>
          </w:p>
        </w:tc>
        <w:tc>
          <w:tcPr>
            <w:tcW w:w="56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b w:val="1"/>
                <w:bCs w:val="1"/>
                <w:color w:val="auto"/>
              </w:rPr>
              <w:t>$</w:t>
            </w:r>
          </w:p>
        </w:tc>
        <w:tc>
          <w:tcPr>
            <w:tcW w:w="136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209.5</w:t>
            </w:r>
          </w:p>
        </w:tc>
        <w:tc>
          <w:tcPr>
            <w:tcW w:w="54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64.8</w:t>
            </w:r>
          </w:p>
        </w:tc>
      </w:tr>
      <w:tr>
        <w:trPr>
          <w:trHeight w:val="20"/>
        </w:trPr>
        <w:tc>
          <w:tcPr>
            <w:tcW w:w="746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6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-1117600</wp:posOffset>
            </wp:positionV>
            <wp:extent cx="7132320" cy="3683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7132320" cy="368300"/>
                    </a:xfrm>
                    <a:prstGeom prst="rect">
                      <a:avLst/>
                    </a:prstGeom>
                    <a:noFill/>
                  </pic:spPr>
                </pic:pic>
              </a:graphicData>
            </a:graphic>
          </wp:anchor>
        </w:drawing>
        <w:drawing>
          <wp:anchor simplePos="0" relativeHeight="251657728" behindDoc="1" locked="0" layoutInCell="0" allowOverlap="1">
            <wp:simplePos x="0" y="0"/>
            <wp:positionH relativeFrom="column">
              <wp:posOffset>4698365</wp:posOffset>
            </wp:positionH>
            <wp:positionV relativeFrom="paragraph">
              <wp:posOffset>-174625</wp:posOffset>
            </wp:positionV>
            <wp:extent cx="34290" cy="18796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34290" cy="187960"/>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-174625</wp:posOffset>
            </wp:positionV>
            <wp:extent cx="33655" cy="18796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33655" cy="18796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213995</wp:posOffset>
            </wp:positionV>
            <wp:extent cx="325755" cy="1968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34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308"/>
        </w:trPr>
        <w:tc>
          <w:tcPr>
            <w:tcW w:w="5620" w:type="dxa"/>
            <w:vAlign w:val="bottom"/>
          </w:tcPr>
          <w:p>
            <w:pPr>
              <w:spacing w:after="0"/>
              <w:rPr>
                <w:sz w:val="24"/>
                <w:szCs w:val="24"/>
                <w:color w:val="auto"/>
              </w:rPr>
            </w:pPr>
          </w:p>
        </w:tc>
        <w:tc>
          <w:tcPr>
            <w:tcW w:w="5620" w:type="dxa"/>
            <w:vAlign w:val="bottom"/>
            <w:gridSpan w:val="5"/>
          </w:tcPr>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8 – Financial Statements and Supplementary Data</w:t>
            </w:r>
          </w:p>
        </w:tc>
      </w:tr>
      <w:tr>
        <w:trPr>
          <w:trHeight w:val="385"/>
        </w:trPr>
        <w:tc>
          <w:tcPr>
            <w:tcW w:w="56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5"/>
        </w:trPr>
        <w:tc>
          <w:tcPr>
            <w:tcW w:w="5620" w:type="dxa"/>
            <w:vAlign w:val="bottom"/>
            <w:shd w:val="clear" w:color="auto" w:fill="007CBA"/>
          </w:tcPr>
          <w:p>
            <w:pPr>
              <w:ind w:left="120"/>
              <w:spacing w:after="0" w:line="215" w:lineRule="exact"/>
              <w:rPr>
                <w:sz w:val="20"/>
                <w:szCs w:val="20"/>
                <w:color w:val="auto"/>
              </w:rPr>
            </w:pPr>
            <w:r>
              <w:rPr>
                <w:rFonts w:ascii="Calibri" w:cs="Calibri" w:eastAsia="Calibri" w:hAnsi="Calibri"/>
                <w:sz w:val="18"/>
                <w:szCs w:val="18"/>
                <w:i w:val="1"/>
                <w:iCs w:val="1"/>
                <w:color w:val="FFFFFF"/>
              </w:rPr>
              <w:t>December 31</w:t>
            </w:r>
          </w:p>
        </w:tc>
        <w:tc>
          <w:tcPr>
            <w:tcW w:w="1820" w:type="dxa"/>
            <w:vAlign w:val="bottom"/>
            <w:tcBorders>
              <w:right w:val="single" w:sz="8" w:color="007CBA"/>
            </w:tcBorders>
            <w:shd w:val="clear" w:color="auto" w:fill="007CBA"/>
          </w:tcPr>
          <w:p>
            <w:pPr>
              <w:spacing w:after="0"/>
              <w:rPr>
                <w:sz w:val="18"/>
                <w:szCs w:val="18"/>
                <w:color w:val="auto"/>
              </w:rPr>
            </w:pPr>
          </w:p>
        </w:tc>
        <w:tc>
          <w:tcPr>
            <w:tcW w:w="580" w:type="dxa"/>
            <w:vAlign w:val="bottom"/>
            <w:shd w:val="clear" w:color="auto" w:fill="007CBA"/>
          </w:tcPr>
          <w:p>
            <w:pPr>
              <w:spacing w:after="0"/>
              <w:rPr>
                <w:sz w:val="18"/>
                <w:szCs w:val="18"/>
                <w:color w:val="auto"/>
              </w:rPr>
            </w:pPr>
          </w:p>
        </w:tc>
        <w:tc>
          <w:tcPr>
            <w:tcW w:w="1340" w:type="dxa"/>
            <w:vAlign w:val="bottom"/>
            <w:tcBorders>
              <w:right w:val="single" w:sz="8" w:color="007CBA"/>
            </w:tcBorders>
            <w:shd w:val="clear" w:color="auto" w:fill="007CBA"/>
          </w:tcPr>
          <w:p>
            <w:pPr>
              <w:spacing w:after="0"/>
              <w:rPr>
                <w:sz w:val="18"/>
                <w:szCs w:val="18"/>
                <w:color w:val="auto"/>
              </w:rPr>
            </w:pPr>
          </w:p>
        </w:tc>
        <w:tc>
          <w:tcPr>
            <w:tcW w:w="560" w:type="dxa"/>
            <w:vAlign w:val="bottom"/>
            <w:shd w:val="clear" w:color="auto" w:fill="007CBA"/>
          </w:tcPr>
          <w:p>
            <w:pPr>
              <w:spacing w:after="0"/>
              <w:rPr>
                <w:sz w:val="18"/>
                <w:szCs w:val="18"/>
                <w:color w:val="auto"/>
              </w:rPr>
            </w:pPr>
          </w:p>
        </w:tc>
        <w:tc>
          <w:tcPr>
            <w:tcW w:w="1320" w:type="dxa"/>
            <w:vAlign w:val="bottom"/>
            <w:shd w:val="clear" w:color="auto" w:fill="007CBA"/>
          </w:tcPr>
          <w:p>
            <w:pPr>
              <w:spacing w:after="0"/>
              <w:rPr>
                <w:sz w:val="18"/>
                <w:szCs w:val="18"/>
                <w:color w:val="auto"/>
              </w:rPr>
            </w:pPr>
          </w:p>
        </w:tc>
      </w:tr>
      <w:tr>
        <w:trPr>
          <w:trHeight w:val="251"/>
        </w:trPr>
        <w:tc>
          <w:tcPr>
            <w:tcW w:w="5620" w:type="dxa"/>
            <w:vAlign w:val="bottom"/>
            <w:tcBorders>
              <w:bottom w:val="single" w:sz="8" w:color="007CBA"/>
            </w:tcBorders>
            <w:shd w:val="clear" w:color="auto" w:fill="007CBA"/>
          </w:tcPr>
          <w:p>
            <w:pPr>
              <w:ind w:left="120"/>
              <w:spacing w:after="0"/>
              <w:rPr>
                <w:sz w:val="20"/>
                <w:szCs w:val="20"/>
                <w:color w:val="auto"/>
              </w:rPr>
            </w:pPr>
            <w:r>
              <w:rPr>
                <w:rFonts w:ascii="Calibri" w:cs="Calibri" w:eastAsia="Calibri" w:hAnsi="Calibri"/>
                <w:sz w:val="18"/>
                <w:szCs w:val="18"/>
                <w:color w:val="FFFFFF"/>
              </w:rPr>
              <w:t>(in millions)</w:t>
            </w:r>
          </w:p>
        </w:tc>
        <w:tc>
          <w:tcPr>
            <w:tcW w:w="1820" w:type="dxa"/>
            <w:vAlign w:val="bottom"/>
            <w:tcBorders>
              <w:bottom w:val="single" w:sz="8" w:color="007CBA"/>
              <w:right w:val="single" w:sz="8" w:color="007CBA"/>
            </w:tcBorders>
            <w:shd w:val="clear" w:color="auto" w:fill="007CBA"/>
          </w:tcPr>
          <w:p>
            <w:pPr>
              <w:spacing w:after="0"/>
              <w:rPr>
                <w:sz w:val="21"/>
                <w:szCs w:val="21"/>
                <w:color w:val="auto"/>
              </w:rPr>
            </w:pPr>
          </w:p>
        </w:tc>
        <w:tc>
          <w:tcPr>
            <w:tcW w:w="580" w:type="dxa"/>
            <w:vAlign w:val="bottom"/>
            <w:tcBorders>
              <w:bottom w:val="single" w:sz="8" w:color="007CBA"/>
            </w:tcBorders>
            <w:shd w:val="clear" w:color="auto" w:fill="007CBA"/>
          </w:tcPr>
          <w:p>
            <w:pPr>
              <w:spacing w:after="0"/>
              <w:rPr>
                <w:sz w:val="21"/>
                <w:szCs w:val="21"/>
                <w:color w:val="auto"/>
              </w:rPr>
            </w:pPr>
          </w:p>
        </w:tc>
        <w:tc>
          <w:tcPr>
            <w:tcW w:w="1340" w:type="dxa"/>
            <w:vAlign w:val="bottom"/>
            <w:tcBorders>
              <w:bottom w:val="single" w:sz="8" w:color="007CBA"/>
              <w:right w:val="single" w:sz="8" w:color="007CBA"/>
            </w:tcBorders>
            <w:shd w:val="clear" w:color="auto" w:fill="007CBA"/>
          </w:tcPr>
          <w:p>
            <w:pPr>
              <w:jc w:val="right"/>
              <w:ind w:right="650"/>
              <w:spacing w:after="0"/>
              <w:rPr>
                <w:sz w:val="20"/>
                <w:szCs w:val="20"/>
                <w:color w:val="auto"/>
              </w:rPr>
            </w:pPr>
            <w:r>
              <w:rPr>
                <w:rFonts w:ascii="Calibri" w:cs="Calibri" w:eastAsia="Calibri" w:hAnsi="Calibri"/>
                <w:sz w:val="18"/>
                <w:szCs w:val="18"/>
                <w:b w:val="1"/>
                <w:bCs w:val="1"/>
                <w:color w:val="FFFFFF"/>
              </w:rPr>
              <w:t>2022</w:t>
            </w:r>
          </w:p>
        </w:tc>
        <w:tc>
          <w:tcPr>
            <w:tcW w:w="560" w:type="dxa"/>
            <w:vAlign w:val="bottom"/>
            <w:tcBorders>
              <w:bottom w:val="single" w:sz="8" w:color="007CBA"/>
            </w:tcBorders>
            <w:shd w:val="clear" w:color="auto" w:fill="007CBA"/>
          </w:tcPr>
          <w:p>
            <w:pPr>
              <w:spacing w:after="0"/>
              <w:rPr>
                <w:sz w:val="21"/>
                <w:szCs w:val="21"/>
                <w:color w:val="auto"/>
              </w:rPr>
            </w:pPr>
          </w:p>
        </w:tc>
        <w:tc>
          <w:tcPr>
            <w:tcW w:w="1320" w:type="dxa"/>
            <w:vAlign w:val="bottom"/>
            <w:tcBorders>
              <w:bottom w:val="single" w:sz="8" w:color="007CBA"/>
            </w:tcBorders>
            <w:shd w:val="clear" w:color="auto" w:fill="007CBA"/>
          </w:tcPr>
          <w:p>
            <w:pPr>
              <w:jc w:val="right"/>
              <w:ind w:right="630"/>
              <w:spacing w:after="0"/>
              <w:rPr>
                <w:sz w:val="20"/>
                <w:szCs w:val="20"/>
                <w:color w:val="auto"/>
              </w:rPr>
            </w:pPr>
            <w:r>
              <w:rPr>
                <w:rFonts w:ascii="Calibri" w:cs="Calibri" w:eastAsia="Calibri" w:hAnsi="Calibri"/>
                <w:sz w:val="18"/>
                <w:szCs w:val="18"/>
                <w:color w:val="FFFFFF"/>
              </w:rPr>
              <w:t>2021</w:t>
            </w:r>
          </w:p>
        </w:tc>
      </w:tr>
      <w:tr>
        <w:trPr>
          <w:trHeight w:val="223"/>
        </w:trPr>
        <w:tc>
          <w:tcPr>
            <w:tcW w:w="5620" w:type="dxa"/>
            <w:vAlign w:val="bottom"/>
            <w:tcBorders>
              <w:bottom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Amounts recognized on consolidated balance sheets consist of:</w:t>
            </w:r>
          </w:p>
        </w:tc>
        <w:tc>
          <w:tcPr>
            <w:tcW w:w="1820" w:type="dxa"/>
            <w:vAlign w:val="bottom"/>
            <w:tcBorders>
              <w:bottom w:val="single" w:sz="8" w:color="E5F1F8"/>
              <w:right w:val="single" w:sz="8" w:color="007CBA"/>
            </w:tcBorders>
            <w:shd w:val="clear" w:color="auto" w:fill="E5F1F8"/>
          </w:tcPr>
          <w:p>
            <w:pPr>
              <w:spacing w:after="0"/>
              <w:rPr>
                <w:sz w:val="19"/>
                <w:szCs w:val="19"/>
                <w:color w:val="auto"/>
              </w:rPr>
            </w:pPr>
          </w:p>
        </w:tc>
        <w:tc>
          <w:tcPr>
            <w:tcW w:w="580" w:type="dxa"/>
            <w:vAlign w:val="bottom"/>
            <w:tcBorders>
              <w:bottom w:val="single" w:sz="8" w:color="E5F1F8"/>
            </w:tcBorders>
            <w:shd w:val="clear" w:color="auto" w:fill="E5F1F8"/>
          </w:tcPr>
          <w:p>
            <w:pPr>
              <w:spacing w:after="0"/>
              <w:rPr>
                <w:sz w:val="19"/>
                <w:szCs w:val="19"/>
                <w:color w:val="auto"/>
              </w:rPr>
            </w:pPr>
          </w:p>
        </w:tc>
        <w:tc>
          <w:tcPr>
            <w:tcW w:w="1340" w:type="dxa"/>
            <w:vAlign w:val="bottom"/>
            <w:tcBorders>
              <w:bottom w:val="single" w:sz="8" w:color="E5F1F8"/>
              <w:right w:val="single" w:sz="8" w:color="007CBA"/>
            </w:tcBorders>
            <w:shd w:val="clear" w:color="auto" w:fill="E5F1F8"/>
          </w:tcPr>
          <w:p>
            <w:pPr>
              <w:spacing w:after="0"/>
              <w:rPr>
                <w:sz w:val="19"/>
                <w:szCs w:val="19"/>
                <w:color w:val="auto"/>
              </w:rPr>
            </w:pPr>
          </w:p>
        </w:tc>
        <w:tc>
          <w:tcPr>
            <w:tcW w:w="560" w:type="dxa"/>
            <w:vAlign w:val="bottom"/>
            <w:tcBorders>
              <w:bottom w:val="single" w:sz="8" w:color="E5F1F8"/>
            </w:tcBorders>
            <w:shd w:val="clear" w:color="auto" w:fill="E5F1F8"/>
          </w:tcPr>
          <w:p>
            <w:pPr>
              <w:spacing w:after="0"/>
              <w:rPr>
                <w:sz w:val="19"/>
                <w:szCs w:val="19"/>
                <w:color w:val="auto"/>
              </w:rPr>
            </w:pPr>
          </w:p>
        </w:tc>
        <w:tc>
          <w:tcPr>
            <w:tcW w:w="1320" w:type="dxa"/>
            <w:vAlign w:val="bottom"/>
            <w:tcBorders>
              <w:bottom w:val="single" w:sz="8" w:color="E5F1F8"/>
            </w:tcBorders>
            <w:shd w:val="clear" w:color="auto" w:fill="E5F1F8"/>
          </w:tcPr>
          <w:p>
            <w:pPr>
              <w:spacing w:after="0"/>
              <w:rPr>
                <w:sz w:val="19"/>
                <w:szCs w:val="19"/>
                <w:color w:val="auto"/>
              </w:rPr>
            </w:pPr>
          </w:p>
        </w:tc>
      </w:tr>
      <w:tr>
        <w:trPr>
          <w:trHeight w:val="215"/>
        </w:trPr>
        <w:tc>
          <w:tcPr>
            <w:tcW w:w="5620" w:type="dxa"/>
            <w:vAlign w:val="bottom"/>
          </w:tcPr>
          <w:p>
            <w:pPr>
              <w:ind w:left="120"/>
              <w:spacing w:after="0" w:line="215" w:lineRule="exact"/>
              <w:rPr>
                <w:sz w:val="20"/>
                <w:szCs w:val="20"/>
                <w:color w:val="auto"/>
              </w:rPr>
            </w:pPr>
            <w:r>
              <w:rPr>
                <w:rFonts w:ascii="Calibri" w:cs="Calibri" w:eastAsia="Calibri" w:hAnsi="Calibri"/>
                <w:sz w:val="18"/>
                <w:szCs w:val="18"/>
                <w:color w:val="auto"/>
              </w:rPr>
              <w:t>Noncurrent asset</w:t>
            </w:r>
          </w:p>
        </w:tc>
        <w:tc>
          <w:tcPr>
            <w:tcW w:w="1820" w:type="dxa"/>
            <w:vAlign w:val="bottom"/>
            <w:tcBorders>
              <w:right w:val="single" w:sz="8" w:color="007CBA"/>
            </w:tcBorders>
          </w:tcPr>
          <w:p>
            <w:pPr>
              <w:spacing w:after="0"/>
              <w:rPr>
                <w:sz w:val="18"/>
                <w:szCs w:val="18"/>
                <w:color w:val="auto"/>
              </w:rPr>
            </w:pP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b w:val="1"/>
                <w:bCs w:val="1"/>
                <w:color w:val="auto"/>
              </w:rPr>
              <w:t>$</w:t>
            </w:r>
          </w:p>
        </w:tc>
        <w:tc>
          <w:tcPr>
            <w:tcW w:w="13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295.3</w:t>
            </w:r>
          </w:p>
        </w:tc>
        <w:tc>
          <w:tcPr>
            <w:tcW w:w="56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179.2</w:t>
            </w:r>
          </w:p>
        </w:tc>
      </w:tr>
      <w:tr>
        <w:trPr>
          <w:trHeight w:val="28"/>
        </w:trPr>
        <w:tc>
          <w:tcPr>
            <w:tcW w:w="5620" w:type="dxa"/>
            <w:vAlign w:val="bottom"/>
          </w:tcPr>
          <w:p>
            <w:pPr>
              <w:spacing w:after="0"/>
              <w:rPr>
                <w:sz w:val="2"/>
                <w:szCs w:val="2"/>
                <w:color w:val="auto"/>
              </w:rPr>
            </w:pPr>
          </w:p>
        </w:tc>
        <w:tc>
          <w:tcPr>
            <w:tcW w:w="1820" w:type="dxa"/>
            <w:vAlign w:val="bottom"/>
            <w:tcBorders>
              <w:right w:val="single" w:sz="8" w:color="007CBA"/>
            </w:tcBorders>
          </w:tcPr>
          <w:p>
            <w:pPr>
              <w:spacing w:after="0"/>
              <w:rPr>
                <w:sz w:val="2"/>
                <w:szCs w:val="2"/>
                <w:color w:val="auto"/>
              </w:rPr>
            </w:pPr>
          </w:p>
        </w:tc>
        <w:tc>
          <w:tcPr>
            <w:tcW w:w="580" w:type="dxa"/>
            <w:vAlign w:val="bottom"/>
          </w:tcPr>
          <w:p>
            <w:pPr>
              <w:spacing w:after="0"/>
              <w:rPr>
                <w:sz w:val="2"/>
                <w:szCs w:val="2"/>
                <w:color w:val="auto"/>
              </w:rPr>
            </w:pPr>
          </w:p>
        </w:tc>
        <w:tc>
          <w:tcPr>
            <w:tcW w:w="134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3"/>
        </w:trPr>
        <w:tc>
          <w:tcPr>
            <w:tcW w:w="5620" w:type="dxa"/>
            <w:vAlign w:val="bottom"/>
            <w:tcBorders>
              <w:bottom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Current liability</w:t>
            </w:r>
          </w:p>
        </w:tc>
        <w:tc>
          <w:tcPr>
            <w:tcW w:w="1820" w:type="dxa"/>
            <w:vAlign w:val="bottom"/>
            <w:tcBorders>
              <w:bottom w:val="single" w:sz="8" w:color="E5F1F8"/>
              <w:right w:val="single" w:sz="8" w:color="007CBA"/>
            </w:tcBorders>
            <w:shd w:val="clear" w:color="auto" w:fill="E5F1F8"/>
          </w:tcPr>
          <w:p>
            <w:pPr>
              <w:spacing w:after="0"/>
              <w:rPr>
                <w:sz w:val="19"/>
                <w:szCs w:val="19"/>
                <w:color w:val="auto"/>
              </w:rPr>
            </w:pPr>
          </w:p>
        </w:tc>
        <w:tc>
          <w:tcPr>
            <w:tcW w:w="580" w:type="dxa"/>
            <w:vAlign w:val="bottom"/>
            <w:tcBorders>
              <w:bottom w:val="single" w:sz="8" w:color="E5F1F8"/>
            </w:tcBorders>
            <w:shd w:val="clear" w:color="auto" w:fill="E5F1F8"/>
          </w:tcPr>
          <w:p>
            <w:pPr>
              <w:spacing w:after="0"/>
              <w:rPr>
                <w:sz w:val="19"/>
                <w:szCs w:val="19"/>
                <w:color w:val="auto"/>
              </w:rPr>
            </w:pPr>
          </w:p>
        </w:tc>
        <w:tc>
          <w:tcPr>
            <w:tcW w:w="1340" w:type="dxa"/>
            <w:vAlign w:val="bottom"/>
            <w:tcBorders>
              <w:bottom w:val="single" w:sz="8" w:color="E5F1F8"/>
              <w:right w:val="single" w:sz="8" w:color="007CBA"/>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(6.8 )</w:t>
            </w:r>
          </w:p>
        </w:tc>
        <w:tc>
          <w:tcPr>
            <w:tcW w:w="560" w:type="dxa"/>
            <w:vAlign w:val="bottom"/>
            <w:tcBorders>
              <w:bottom w:val="single" w:sz="8" w:color="E5F1F8"/>
            </w:tcBorders>
            <w:shd w:val="clear" w:color="auto" w:fill="E5F1F8"/>
          </w:tcPr>
          <w:p>
            <w:pPr>
              <w:spacing w:after="0"/>
              <w:rPr>
                <w:sz w:val="19"/>
                <w:szCs w:val="19"/>
                <w:color w:val="auto"/>
              </w:rPr>
            </w:pPr>
          </w:p>
        </w:tc>
        <w:tc>
          <w:tcPr>
            <w:tcW w:w="132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(14.8 )</w:t>
            </w:r>
          </w:p>
        </w:tc>
      </w:tr>
      <w:tr>
        <w:trPr>
          <w:trHeight w:val="215"/>
        </w:trPr>
        <w:tc>
          <w:tcPr>
            <w:tcW w:w="5620" w:type="dxa"/>
            <w:vAlign w:val="bottom"/>
          </w:tcPr>
          <w:p>
            <w:pPr>
              <w:ind w:left="120"/>
              <w:spacing w:after="0" w:line="215" w:lineRule="exact"/>
              <w:rPr>
                <w:sz w:val="20"/>
                <w:szCs w:val="20"/>
                <w:color w:val="auto"/>
              </w:rPr>
            </w:pPr>
            <w:r>
              <w:rPr>
                <w:rFonts w:ascii="Calibri" w:cs="Calibri" w:eastAsia="Calibri" w:hAnsi="Calibri"/>
                <w:sz w:val="18"/>
                <w:szCs w:val="18"/>
                <w:color w:val="auto"/>
              </w:rPr>
              <w:t>Noncurrent liability</w:t>
            </w:r>
          </w:p>
        </w:tc>
        <w:tc>
          <w:tcPr>
            <w:tcW w:w="1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(79.0 )</w:t>
            </w:r>
          </w:p>
        </w:tc>
        <w:tc>
          <w:tcPr>
            <w:tcW w:w="56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(99.6 )</w:t>
            </w:r>
          </w:p>
        </w:tc>
      </w:tr>
      <w:tr>
        <w:trPr>
          <w:trHeight w:val="28"/>
        </w:trPr>
        <w:tc>
          <w:tcPr>
            <w:tcW w:w="56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1"/>
        </w:trPr>
        <w:tc>
          <w:tcPr>
            <w:tcW w:w="5620" w:type="dxa"/>
            <w:vAlign w:val="bottom"/>
            <w:tcBorders>
              <w:bottom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Net amount recognized at end of year</w:t>
            </w:r>
          </w:p>
        </w:tc>
        <w:tc>
          <w:tcPr>
            <w:tcW w:w="1820" w:type="dxa"/>
            <w:vAlign w:val="bottom"/>
            <w:tcBorders>
              <w:bottom w:val="single" w:sz="8" w:color="E5F1F8"/>
              <w:right w:val="single" w:sz="8" w:color="E5F1F8"/>
            </w:tcBorders>
            <w:shd w:val="clear" w:color="auto" w:fill="E5F1F8"/>
          </w:tcPr>
          <w:p>
            <w:pPr>
              <w:spacing w:after="0"/>
              <w:rPr>
                <w:sz w:val="22"/>
                <w:szCs w:val="22"/>
                <w:color w:val="auto"/>
              </w:rPr>
            </w:pPr>
          </w:p>
        </w:tc>
        <w:tc>
          <w:tcPr>
            <w:tcW w:w="580" w:type="dxa"/>
            <w:vAlign w:val="bottom"/>
            <w:tcBorders>
              <w:bottom w:val="single" w:sz="8" w:color="E5F1F8"/>
            </w:tcBorders>
            <w:shd w:val="clear" w:color="auto" w:fill="E5F1F8"/>
          </w:tcPr>
          <w:p>
            <w:pPr>
              <w:jc w:val="right"/>
              <w:ind w:right="170"/>
              <w:spacing w:after="0" w:line="208" w:lineRule="exact"/>
              <w:rPr>
                <w:sz w:val="20"/>
                <w:szCs w:val="20"/>
                <w:color w:val="auto"/>
              </w:rPr>
            </w:pPr>
            <w:r>
              <w:rPr>
                <w:rFonts w:ascii="Calibri" w:cs="Calibri" w:eastAsia="Calibri" w:hAnsi="Calibri"/>
                <w:sz w:val="18"/>
                <w:szCs w:val="18"/>
                <w:b w:val="1"/>
                <w:bCs w:val="1"/>
                <w:color w:val="auto"/>
              </w:rPr>
              <w:t>$</w:t>
            </w:r>
          </w:p>
        </w:tc>
        <w:tc>
          <w:tcPr>
            <w:tcW w:w="1340" w:type="dxa"/>
            <w:vAlign w:val="bottom"/>
            <w:tcBorders>
              <w:bottom w:val="single" w:sz="8" w:color="E5F1F8"/>
              <w:right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b w:val="1"/>
                <w:bCs w:val="1"/>
                <w:color w:val="auto"/>
              </w:rPr>
              <w:t>209.5</w:t>
            </w:r>
          </w:p>
        </w:tc>
        <w:tc>
          <w:tcPr>
            <w:tcW w:w="560" w:type="dxa"/>
            <w:vAlign w:val="bottom"/>
            <w:tcBorders>
              <w:bottom w:val="single" w:sz="8" w:color="E5F1F8"/>
            </w:tcBorders>
            <w:shd w:val="clear" w:color="auto" w:fill="E5F1F8"/>
          </w:tcPr>
          <w:p>
            <w:pPr>
              <w:jc w:val="right"/>
              <w:ind w:right="170"/>
              <w:spacing w:after="0" w:line="208" w:lineRule="exact"/>
              <w:rPr>
                <w:sz w:val="20"/>
                <w:szCs w:val="20"/>
                <w:color w:val="auto"/>
              </w:rPr>
            </w:pPr>
            <w:r>
              <w:rPr>
                <w:rFonts w:ascii="Calibri" w:cs="Calibri" w:eastAsia="Calibri" w:hAnsi="Calibri"/>
                <w:sz w:val="18"/>
                <w:szCs w:val="18"/>
                <w:color w:val="auto"/>
              </w:rPr>
              <w:t>$</w:t>
            </w:r>
          </w:p>
        </w:tc>
        <w:tc>
          <w:tcPr>
            <w:tcW w:w="132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64.8</w:t>
            </w:r>
          </w:p>
        </w:tc>
      </w:tr>
      <w:tr>
        <w:trPr>
          <w:trHeight w:val="20"/>
        </w:trPr>
        <w:tc>
          <w:tcPr>
            <w:tcW w:w="5620" w:type="dxa"/>
            <w:vAlign w:val="bottom"/>
            <w:tcBorders>
              <w:top w:val="single" w:sz="8" w:color="auto"/>
            </w:tcBorders>
            <w:shd w:val="clear" w:color="auto" w:fill="000000"/>
          </w:tcPr>
          <w:p>
            <w:pPr>
              <w:spacing w:after="0" w:line="20" w:lineRule="exact"/>
              <w:rPr>
                <w:sz w:val="1"/>
                <w:szCs w:val="1"/>
                <w:color w:val="auto"/>
              </w:rPr>
            </w:pPr>
          </w:p>
        </w:tc>
        <w:tc>
          <w:tcPr>
            <w:tcW w:w="18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4698365</wp:posOffset>
            </wp:positionH>
            <wp:positionV relativeFrom="paragraph">
              <wp:posOffset>-354965</wp:posOffset>
            </wp:positionV>
            <wp:extent cx="2438400" cy="3683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2438400" cy="36830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Calibri" w:cs="Calibri" w:eastAsia="Calibri" w:hAnsi="Calibri"/>
          <w:sz w:val="18"/>
          <w:szCs w:val="18"/>
          <w:color w:val="auto"/>
        </w:rPr>
        <w:t>The accumulated beneft obligaton for all defned beneft pension plans was $789.6 million and $1.00 billion at December 31, 2022 and 2021, respectvely.</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Beneft obligatons and fair value of plan assets for pension plans with accumulated beneft obligatons in excess of plan assets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860" w:type="dxa"/>
            <w:vAlign w:val="bottom"/>
            <w:gridSpan w:val="2"/>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December 31</w:t>
            </w:r>
          </w:p>
        </w:tc>
        <w:tc>
          <w:tcPr>
            <w:tcW w:w="600" w:type="dxa"/>
            <w:vAlign w:val="bottom"/>
            <w:tcBorders>
              <w:right w:val="single" w:sz="8" w:color="007CBA"/>
            </w:tcBorders>
            <w:shd w:val="clear" w:color="auto" w:fill="007CBA"/>
          </w:tcPr>
          <w:p>
            <w:pPr>
              <w:spacing w:after="0"/>
              <w:rPr>
                <w:sz w:val="20"/>
                <w:szCs w:val="20"/>
                <w:color w:val="auto"/>
              </w:rPr>
            </w:pPr>
          </w:p>
        </w:tc>
        <w:tc>
          <w:tcPr>
            <w:tcW w:w="580" w:type="dxa"/>
            <w:vAlign w:val="bottom"/>
            <w:tcBorders>
              <w:right w:val="single" w:sz="8" w:color="007CBA"/>
            </w:tcBorders>
            <w:shd w:val="clear" w:color="auto" w:fill="007CBA"/>
          </w:tcPr>
          <w:p>
            <w:pPr>
              <w:spacing w:after="0"/>
              <w:rPr>
                <w:sz w:val="20"/>
                <w:szCs w:val="20"/>
                <w:color w:val="auto"/>
              </w:rPr>
            </w:pPr>
          </w:p>
        </w:tc>
        <w:tc>
          <w:tcPr>
            <w:tcW w:w="140" w:type="dxa"/>
            <w:vAlign w:val="bottom"/>
            <w:shd w:val="clear" w:color="auto" w:fill="007CBA"/>
          </w:tcPr>
          <w:p>
            <w:pPr>
              <w:spacing w:after="0"/>
              <w:rPr>
                <w:sz w:val="20"/>
                <w:szCs w:val="20"/>
                <w:color w:val="auto"/>
              </w:rPr>
            </w:pPr>
          </w:p>
        </w:tc>
        <w:tc>
          <w:tcPr>
            <w:tcW w:w="1200" w:type="dxa"/>
            <w:vAlign w:val="bottom"/>
            <w:tcBorders>
              <w:right w:val="single" w:sz="8" w:color="007CBA"/>
            </w:tcBorders>
            <w:shd w:val="clear" w:color="auto" w:fill="007CBA"/>
          </w:tcPr>
          <w:p>
            <w:pPr>
              <w:spacing w:after="0"/>
              <w:rPr>
                <w:sz w:val="20"/>
                <w:szCs w:val="20"/>
                <w:color w:val="auto"/>
              </w:rPr>
            </w:pPr>
          </w:p>
        </w:tc>
        <w:tc>
          <w:tcPr>
            <w:tcW w:w="260" w:type="dxa"/>
            <w:vAlign w:val="bottom"/>
            <w:tcBorders>
              <w:right w:val="single" w:sz="8" w:color="007CBA"/>
            </w:tcBorders>
            <w:shd w:val="clear" w:color="auto" w:fill="007CBA"/>
          </w:tcPr>
          <w:p>
            <w:pPr>
              <w:spacing w:after="0"/>
              <w:rPr>
                <w:sz w:val="20"/>
                <w:szCs w:val="20"/>
                <w:color w:val="auto"/>
              </w:rPr>
            </w:pPr>
          </w:p>
        </w:tc>
        <w:tc>
          <w:tcPr>
            <w:tcW w:w="280" w:type="dxa"/>
            <w:vAlign w:val="bottom"/>
            <w:shd w:val="clear" w:color="auto" w:fill="007CBA"/>
          </w:tcPr>
          <w:p>
            <w:pPr>
              <w:spacing w:after="0"/>
              <w:rPr>
                <w:sz w:val="20"/>
                <w:szCs w:val="20"/>
                <w:color w:val="auto"/>
              </w:rPr>
            </w:pPr>
          </w:p>
        </w:tc>
        <w:tc>
          <w:tcPr>
            <w:tcW w:w="1320" w:type="dxa"/>
            <w:vAlign w:val="bottom"/>
            <w:shd w:val="clear" w:color="auto" w:fill="007CBA"/>
          </w:tcPr>
          <w:p>
            <w:pPr>
              <w:spacing w:after="0"/>
              <w:rPr>
                <w:sz w:val="20"/>
                <w:szCs w:val="20"/>
                <w:color w:val="auto"/>
              </w:rPr>
            </w:pPr>
          </w:p>
        </w:tc>
      </w:tr>
      <w:tr>
        <w:trPr>
          <w:trHeight w:val="231"/>
        </w:trPr>
        <w:tc>
          <w:tcPr>
            <w:tcW w:w="6860" w:type="dxa"/>
            <w:vAlign w:val="bottom"/>
            <w:tcBorders>
              <w:bottom w:val="single" w:sz="8" w:color="007CBA"/>
            </w:tcBorders>
            <w:gridSpan w:val="2"/>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600" w:type="dxa"/>
            <w:vAlign w:val="bottom"/>
            <w:tcBorders>
              <w:bottom w:val="single" w:sz="8" w:color="007CBA"/>
              <w:right w:val="single" w:sz="8" w:color="007CBA"/>
            </w:tcBorders>
            <w:shd w:val="clear" w:color="auto" w:fill="007CBA"/>
          </w:tcPr>
          <w:p>
            <w:pPr>
              <w:spacing w:after="0"/>
              <w:rPr>
                <w:sz w:val="20"/>
                <w:szCs w:val="20"/>
                <w:color w:val="auto"/>
              </w:rPr>
            </w:pPr>
          </w:p>
        </w:tc>
        <w:tc>
          <w:tcPr>
            <w:tcW w:w="580" w:type="dxa"/>
            <w:vAlign w:val="bottom"/>
            <w:tcBorders>
              <w:bottom w:val="single" w:sz="8" w:color="007CBA"/>
              <w:right w:val="single" w:sz="8" w:color="007CBA"/>
            </w:tcBorders>
            <w:shd w:val="clear" w:color="auto" w:fill="007CBA"/>
          </w:tcPr>
          <w:p>
            <w:pPr>
              <w:spacing w:after="0"/>
              <w:rPr>
                <w:sz w:val="20"/>
                <w:szCs w:val="20"/>
                <w:color w:val="auto"/>
              </w:rPr>
            </w:pPr>
          </w:p>
        </w:tc>
        <w:tc>
          <w:tcPr>
            <w:tcW w:w="140" w:type="dxa"/>
            <w:vAlign w:val="bottom"/>
            <w:tcBorders>
              <w:bottom w:val="single" w:sz="8" w:color="007CBA"/>
            </w:tcBorders>
            <w:shd w:val="clear" w:color="auto" w:fill="007CBA"/>
          </w:tcPr>
          <w:p>
            <w:pPr>
              <w:spacing w:after="0"/>
              <w:rPr>
                <w:sz w:val="20"/>
                <w:szCs w:val="20"/>
                <w:color w:val="auto"/>
              </w:rPr>
            </w:pPr>
          </w:p>
        </w:tc>
        <w:tc>
          <w:tcPr>
            <w:tcW w:w="1200" w:type="dxa"/>
            <w:vAlign w:val="bottom"/>
            <w:tcBorders>
              <w:bottom w:val="single" w:sz="8" w:color="007CBA"/>
              <w:right w:val="single" w:sz="8" w:color="007CBA"/>
            </w:tcBorders>
            <w:shd w:val="clear" w:color="auto" w:fill="007CBA"/>
          </w:tcPr>
          <w:p>
            <w:pPr>
              <w:jc w:val="right"/>
              <w:ind w:right="670"/>
              <w:spacing w:after="0" w:line="215" w:lineRule="exact"/>
              <w:rPr>
                <w:sz w:val="20"/>
                <w:szCs w:val="20"/>
                <w:color w:val="auto"/>
              </w:rPr>
            </w:pPr>
            <w:r>
              <w:rPr>
                <w:rFonts w:ascii="Calibri" w:cs="Calibri" w:eastAsia="Calibri" w:hAnsi="Calibri"/>
                <w:sz w:val="18"/>
                <w:szCs w:val="18"/>
                <w:b w:val="1"/>
                <w:bCs w:val="1"/>
                <w:color w:val="FFFFFF"/>
              </w:rPr>
              <w:t>2022</w:t>
            </w:r>
          </w:p>
        </w:tc>
        <w:tc>
          <w:tcPr>
            <w:tcW w:w="260" w:type="dxa"/>
            <w:vAlign w:val="bottom"/>
            <w:tcBorders>
              <w:bottom w:val="single" w:sz="8" w:color="007CBA"/>
              <w:right w:val="single" w:sz="8" w:color="007CBA"/>
            </w:tcBorders>
            <w:shd w:val="clear" w:color="auto" w:fill="007CBA"/>
          </w:tcPr>
          <w:p>
            <w:pPr>
              <w:spacing w:after="0"/>
              <w:rPr>
                <w:sz w:val="20"/>
                <w:szCs w:val="20"/>
                <w:color w:val="auto"/>
              </w:rPr>
            </w:pPr>
          </w:p>
        </w:tc>
        <w:tc>
          <w:tcPr>
            <w:tcW w:w="280" w:type="dxa"/>
            <w:vAlign w:val="bottom"/>
            <w:tcBorders>
              <w:bottom w:val="single" w:sz="8" w:color="007CBA"/>
            </w:tcBorders>
            <w:shd w:val="clear" w:color="auto" w:fill="007CBA"/>
          </w:tcPr>
          <w:p>
            <w:pPr>
              <w:spacing w:after="0"/>
              <w:rPr>
                <w:sz w:val="20"/>
                <w:szCs w:val="20"/>
                <w:color w:val="auto"/>
              </w:rPr>
            </w:pPr>
          </w:p>
        </w:tc>
        <w:tc>
          <w:tcPr>
            <w:tcW w:w="1320" w:type="dxa"/>
            <w:vAlign w:val="bottom"/>
            <w:tcBorders>
              <w:bottom w:val="single" w:sz="8" w:color="007CBA"/>
            </w:tcBorders>
            <w:shd w:val="clear" w:color="auto" w:fill="007CBA"/>
          </w:tcPr>
          <w:p>
            <w:pPr>
              <w:jc w:val="right"/>
              <w:ind w:right="630"/>
              <w:spacing w:after="0" w:line="215" w:lineRule="exact"/>
              <w:rPr>
                <w:sz w:val="20"/>
                <w:szCs w:val="20"/>
                <w:color w:val="auto"/>
              </w:rPr>
            </w:pPr>
            <w:r>
              <w:rPr>
                <w:rFonts w:ascii="Calibri" w:cs="Calibri" w:eastAsia="Calibri" w:hAnsi="Calibri"/>
                <w:sz w:val="18"/>
                <w:szCs w:val="18"/>
                <w:color w:val="FFFFFF"/>
              </w:rPr>
              <w:t>2021</w:t>
            </w:r>
          </w:p>
        </w:tc>
      </w:tr>
      <w:tr>
        <w:trPr>
          <w:trHeight w:val="215"/>
        </w:trPr>
        <w:tc>
          <w:tcPr>
            <w:tcW w:w="6860" w:type="dxa"/>
            <w:vAlign w:val="bottom"/>
            <w:gridSpan w:val="2"/>
          </w:tcPr>
          <w:p>
            <w:pPr>
              <w:ind w:left="120"/>
              <w:spacing w:after="0" w:line="215" w:lineRule="exact"/>
              <w:rPr>
                <w:sz w:val="20"/>
                <w:szCs w:val="20"/>
                <w:color w:val="auto"/>
              </w:rPr>
            </w:pPr>
            <w:r>
              <w:rPr>
                <w:rFonts w:ascii="Calibri" w:cs="Calibri" w:eastAsia="Calibri" w:hAnsi="Calibri"/>
                <w:sz w:val="18"/>
                <w:szCs w:val="18"/>
                <w:color w:val="auto"/>
              </w:rPr>
              <w:t>Projected beneft obligaton</w:t>
            </w:r>
          </w:p>
        </w:tc>
        <w:tc>
          <w:tcPr>
            <w:tcW w:w="600" w:type="dxa"/>
            <w:vAlign w:val="bottom"/>
            <w:tcBorders>
              <w:right w:val="single" w:sz="8" w:color="007CBA"/>
            </w:tcBorders>
          </w:tcPr>
          <w:p>
            <w:pPr>
              <w:spacing w:after="0"/>
              <w:rPr>
                <w:sz w:val="18"/>
                <w:szCs w:val="18"/>
                <w:color w:val="auto"/>
              </w:rPr>
            </w:pPr>
          </w:p>
        </w:tc>
        <w:tc>
          <w:tcPr>
            <w:tcW w:w="5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140" w:type="dxa"/>
            <w:vAlign w:val="bottom"/>
          </w:tcPr>
          <w:p>
            <w:pPr>
              <w:spacing w:after="0"/>
              <w:rPr>
                <w:sz w:val="18"/>
                <w:szCs w:val="18"/>
                <w:color w:val="auto"/>
              </w:rPr>
            </w:pPr>
          </w:p>
        </w:tc>
        <w:tc>
          <w:tcPr>
            <w:tcW w:w="120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86.3</w:t>
            </w:r>
          </w:p>
        </w:tc>
        <w:tc>
          <w:tcPr>
            <w:tcW w:w="54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115.0</w:t>
            </w:r>
          </w:p>
        </w:tc>
      </w:tr>
      <w:tr>
        <w:trPr>
          <w:trHeight w:val="28"/>
        </w:trPr>
        <w:tc>
          <w:tcPr>
            <w:tcW w:w="6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Borders>
              <w:right w:val="single" w:sz="8" w:color="007CBA"/>
            </w:tcBorders>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Borders>
              <w:right w:val="single" w:sz="8" w:color="007CBA"/>
            </w:tcBorders>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3"/>
        </w:trPr>
        <w:tc>
          <w:tcPr>
            <w:tcW w:w="6860" w:type="dxa"/>
            <w:vAlign w:val="bottom"/>
            <w:tcBorders>
              <w:bottom w:val="single" w:sz="8" w:color="E5F1F8"/>
            </w:tcBorders>
            <w:gridSpan w:val="2"/>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Accumulated beneft obligaton</w:t>
            </w:r>
          </w:p>
        </w:tc>
        <w:tc>
          <w:tcPr>
            <w:tcW w:w="600" w:type="dxa"/>
            <w:vAlign w:val="bottom"/>
            <w:tcBorders>
              <w:bottom w:val="single" w:sz="8" w:color="E5F1F8"/>
              <w:right w:val="single" w:sz="8" w:color="007CBA"/>
            </w:tcBorders>
            <w:shd w:val="clear" w:color="auto" w:fill="E5F1F8"/>
          </w:tcPr>
          <w:p>
            <w:pPr>
              <w:spacing w:after="0"/>
              <w:rPr>
                <w:sz w:val="19"/>
                <w:szCs w:val="19"/>
                <w:color w:val="auto"/>
              </w:rPr>
            </w:pPr>
          </w:p>
        </w:tc>
        <w:tc>
          <w:tcPr>
            <w:tcW w:w="580" w:type="dxa"/>
            <w:vAlign w:val="bottom"/>
            <w:tcBorders>
              <w:bottom w:val="single" w:sz="8" w:color="E5F1F8"/>
              <w:right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140" w:type="dxa"/>
            <w:vAlign w:val="bottom"/>
            <w:tcBorders>
              <w:bottom w:val="single" w:sz="8" w:color="E5F1F8"/>
            </w:tcBorders>
            <w:shd w:val="clear" w:color="auto" w:fill="E5F1F8"/>
          </w:tcPr>
          <w:p>
            <w:pPr>
              <w:spacing w:after="0"/>
              <w:rPr>
                <w:sz w:val="19"/>
                <w:szCs w:val="19"/>
                <w:color w:val="auto"/>
              </w:rPr>
            </w:pPr>
          </w:p>
        </w:tc>
        <w:tc>
          <w:tcPr>
            <w:tcW w:w="120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79.5</w:t>
            </w:r>
          </w:p>
        </w:tc>
        <w:tc>
          <w:tcPr>
            <w:tcW w:w="540" w:type="dxa"/>
            <w:vAlign w:val="bottom"/>
            <w:tcBorders>
              <w:bottom w:val="single" w:sz="8" w:color="E5F1F8"/>
            </w:tcBorders>
            <w:gridSpan w:val="2"/>
            <w:shd w:val="clear" w:color="auto" w:fill="E5F1F8"/>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101.8</w:t>
            </w:r>
          </w:p>
        </w:tc>
      </w:tr>
      <w:tr>
        <w:trPr>
          <w:trHeight w:val="215"/>
        </w:trPr>
        <w:tc>
          <w:tcPr>
            <w:tcW w:w="6860" w:type="dxa"/>
            <w:vAlign w:val="bottom"/>
            <w:gridSpan w:val="2"/>
          </w:tcPr>
          <w:p>
            <w:pPr>
              <w:ind w:left="120"/>
              <w:spacing w:after="0" w:line="215" w:lineRule="exact"/>
              <w:rPr>
                <w:sz w:val="20"/>
                <w:szCs w:val="20"/>
                <w:color w:val="auto"/>
              </w:rPr>
            </w:pPr>
            <w:r>
              <w:rPr>
                <w:rFonts w:ascii="Calibri" w:cs="Calibri" w:eastAsia="Calibri" w:hAnsi="Calibri"/>
                <w:sz w:val="18"/>
                <w:szCs w:val="18"/>
                <w:color w:val="auto"/>
              </w:rPr>
              <w:t>Fair value of plan assets</w:t>
            </w:r>
          </w:p>
        </w:tc>
        <w:tc>
          <w:tcPr>
            <w:tcW w:w="1180" w:type="dxa"/>
            <w:vAlign w:val="bottom"/>
            <w:gridSpan w:val="2"/>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140" w:type="dxa"/>
            <w:vAlign w:val="bottom"/>
          </w:tcPr>
          <w:p>
            <w:pPr>
              <w:spacing w:after="0"/>
              <w:rPr>
                <w:sz w:val="18"/>
                <w:szCs w:val="18"/>
                <w:color w:val="auto"/>
              </w:rPr>
            </w:pPr>
          </w:p>
        </w:tc>
        <w:tc>
          <w:tcPr>
            <w:tcW w:w="120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0.5</w:t>
            </w:r>
          </w:p>
        </w:tc>
        <w:tc>
          <w:tcPr>
            <w:tcW w:w="54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0.7</w:t>
            </w:r>
          </w:p>
        </w:tc>
      </w:tr>
      <w:tr>
        <w:trPr>
          <w:trHeight w:val="28"/>
        </w:trPr>
        <w:tc>
          <w:tcPr>
            <w:tcW w:w="6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362"/>
        </w:trPr>
        <w:tc>
          <w:tcPr>
            <w:tcW w:w="6860" w:type="dxa"/>
            <w:vAlign w:val="bottom"/>
            <w:gridSpan w:val="2"/>
          </w:tcPr>
          <w:p>
            <w:pPr>
              <w:spacing w:after="0"/>
              <w:rPr>
                <w:sz w:val="20"/>
                <w:szCs w:val="20"/>
                <w:color w:val="auto"/>
              </w:rPr>
            </w:pPr>
            <w:r>
              <w:rPr>
                <w:rFonts w:ascii="Calibri" w:cs="Calibri" w:eastAsia="Calibri" w:hAnsi="Calibri"/>
                <w:sz w:val="18"/>
                <w:szCs w:val="18"/>
                <w:color w:val="auto"/>
              </w:rPr>
              <w:t>Weighted-average assumptons used to determine beneft obligatons as of December 31 are:</w:t>
            </w: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32"/>
        </w:trPr>
        <w:tc>
          <w:tcPr>
            <w:tcW w:w="6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223"/>
        </w:trPr>
        <w:tc>
          <w:tcPr>
            <w:tcW w:w="6400" w:type="dxa"/>
            <w:vAlign w:val="bottom"/>
            <w:tcBorders>
              <w:bottom w:val="single" w:sz="8" w:color="007CBA"/>
              <w:right w:val="single" w:sz="8" w:color="007CBA"/>
            </w:tcBorders>
            <w:shd w:val="clear" w:color="auto" w:fill="007CBA"/>
          </w:tcPr>
          <w:p>
            <w:pPr>
              <w:spacing w:after="0"/>
              <w:rPr>
                <w:sz w:val="19"/>
                <w:szCs w:val="19"/>
                <w:color w:val="auto"/>
              </w:rPr>
            </w:pPr>
          </w:p>
        </w:tc>
        <w:tc>
          <w:tcPr>
            <w:tcW w:w="460" w:type="dxa"/>
            <w:vAlign w:val="bottom"/>
            <w:tcBorders>
              <w:bottom w:val="single" w:sz="8" w:color="007CBA"/>
            </w:tcBorders>
            <w:shd w:val="clear" w:color="auto" w:fill="007CBA"/>
          </w:tcPr>
          <w:p>
            <w:pPr>
              <w:spacing w:after="0"/>
              <w:rPr>
                <w:sz w:val="19"/>
                <w:szCs w:val="19"/>
                <w:color w:val="auto"/>
              </w:rPr>
            </w:pPr>
          </w:p>
        </w:tc>
        <w:tc>
          <w:tcPr>
            <w:tcW w:w="600" w:type="dxa"/>
            <w:vAlign w:val="bottom"/>
            <w:tcBorders>
              <w:bottom w:val="single" w:sz="8" w:color="007CBA"/>
              <w:right w:val="single" w:sz="8" w:color="007CBA"/>
            </w:tcBorders>
            <w:shd w:val="clear" w:color="auto" w:fill="007CBA"/>
          </w:tcPr>
          <w:p>
            <w:pPr>
              <w:spacing w:after="0"/>
              <w:rPr>
                <w:sz w:val="19"/>
                <w:szCs w:val="19"/>
                <w:color w:val="auto"/>
              </w:rPr>
            </w:pPr>
          </w:p>
        </w:tc>
        <w:tc>
          <w:tcPr>
            <w:tcW w:w="580" w:type="dxa"/>
            <w:vAlign w:val="bottom"/>
            <w:tcBorders>
              <w:bottom w:val="single" w:sz="8" w:color="007CBA"/>
              <w:right w:val="single" w:sz="8" w:color="007CBA"/>
            </w:tcBorders>
            <w:shd w:val="clear" w:color="auto" w:fill="007CBA"/>
          </w:tcPr>
          <w:p>
            <w:pPr>
              <w:spacing w:after="0"/>
              <w:rPr>
                <w:sz w:val="19"/>
                <w:szCs w:val="19"/>
                <w:color w:val="auto"/>
              </w:rPr>
            </w:pPr>
          </w:p>
        </w:tc>
        <w:tc>
          <w:tcPr>
            <w:tcW w:w="140" w:type="dxa"/>
            <w:vAlign w:val="bottom"/>
            <w:tcBorders>
              <w:bottom w:val="single" w:sz="8" w:color="007CBA"/>
            </w:tcBorders>
            <w:shd w:val="clear" w:color="auto" w:fill="007CBA"/>
          </w:tcPr>
          <w:p>
            <w:pPr>
              <w:spacing w:after="0"/>
              <w:rPr>
                <w:sz w:val="19"/>
                <w:szCs w:val="19"/>
                <w:color w:val="auto"/>
              </w:rPr>
            </w:pPr>
          </w:p>
        </w:tc>
        <w:tc>
          <w:tcPr>
            <w:tcW w:w="1200" w:type="dxa"/>
            <w:vAlign w:val="bottom"/>
            <w:tcBorders>
              <w:bottom w:val="single" w:sz="8" w:color="007CBA"/>
              <w:right w:val="single" w:sz="8" w:color="007CBA"/>
            </w:tcBorders>
            <w:shd w:val="clear" w:color="auto" w:fill="007CBA"/>
          </w:tcPr>
          <w:p>
            <w:pPr>
              <w:jc w:val="center"/>
              <w:ind w:right="430"/>
              <w:spacing w:after="0" w:line="215" w:lineRule="exact"/>
              <w:rPr>
                <w:sz w:val="20"/>
                <w:szCs w:val="20"/>
                <w:color w:val="auto"/>
              </w:rPr>
            </w:pPr>
            <w:r>
              <w:rPr>
                <w:rFonts w:ascii="Calibri" w:cs="Calibri" w:eastAsia="Calibri" w:hAnsi="Calibri"/>
                <w:sz w:val="18"/>
                <w:szCs w:val="18"/>
                <w:b w:val="1"/>
                <w:bCs w:val="1"/>
                <w:color w:val="FFFFFF"/>
                <w:w w:val="98"/>
              </w:rPr>
              <w:t>2022</w:t>
            </w:r>
          </w:p>
        </w:tc>
        <w:tc>
          <w:tcPr>
            <w:tcW w:w="260" w:type="dxa"/>
            <w:vAlign w:val="bottom"/>
            <w:tcBorders>
              <w:bottom w:val="single" w:sz="8" w:color="007CBA"/>
              <w:right w:val="single" w:sz="8" w:color="007CBA"/>
            </w:tcBorders>
            <w:shd w:val="clear" w:color="auto" w:fill="007CBA"/>
          </w:tcPr>
          <w:p>
            <w:pPr>
              <w:spacing w:after="0"/>
              <w:rPr>
                <w:sz w:val="19"/>
                <w:szCs w:val="19"/>
                <w:color w:val="auto"/>
              </w:rPr>
            </w:pPr>
          </w:p>
        </w:tc>
        <w:tc>
          <w:tcPr>
            <w:tcW w:w="280" w:type="dxa"/>
            <w:vAlign w:val="bottom"/>
            <w:tcBorders>
              <w:bottom w:val="single" w:sz="8" w:color="007CBA"/>
            </w:tcBorders>
            <w:shd w:val="clear" w:color="auto" w:fill="007CBA"/>
          </w:tcPr>
          <w:p>
            <w:pPr>
              <w:spacing w:after="0"/>
              <w:rPr>
                <w:sz w:val="19"/>
                <w:szCs w:val="19"/>
                <w:color w:val="auto"/>
              </w:rPr>
            </w:pPr>
          </w:p>
        </w:tc>
        <w:tc>
          <w:tcPr>
            <w:tcW w:w="1320" w:type="dxa"/>
            <w:vAlign w:val="bottom"/>
            <w:tcBorders>
              <w:bottom w:val="single" w:sz="8" w:color="007CBA"/>
            </w:tcBorders>
            <w:shd w:val="clear" w:color="auto" w:fill="007CBA"/>
          </w:tcPr>
          <w:p>
            <w:pPr>
              <w:jc w:val="center"/>
              <w:ind w:right="270"/>
              <w:spacing w:after="0" w:line="215" w:lineRule="exact"/>
              <w:rPr>
                <w:sz w:val="20"/>
                <w:szCs w:val="20"/>
                <w:color w:val="auto"/>
              </w:rPr>
            </w:pPr>
            <w:r>
              <w:rPr>
                <w:rFonts w:ascii="Calibri" w:cs="Calibri" w:eastAsia="Calibri" w:hAnsi="Calibri"/>
                <w:sz w:val="18"/>
                <w:szCs w:val="18"/>
                <w:color w:val="FFFFFF"/>
                <w:w w:val="98"/>
              </w:rPr>
              <w:t>2021</w:t>
            </w:r>
          </w:p>
        </w:tc>
      </w:tr>
      <w:tr>
        <w:trPr>
          <w:trHeight w:val="243"/>
        </w:trPr>
        <w:tc>
          <w:tcPr>
            <w:tcW w:w="6860" w:type="dxa"/>
            <w:vAlign w:val="bottom"/>
            <w:gridSpan w:val="2"/>
          </w:tcPr>
          <w:p>
            <w:pPr>
              <w:ind w:left="120"/>
              <w:spacing w:after="0" w:line="215" w:lineRule="exact"/>
              <w:rPr>
                <w:sz w:val="20"/>
                <w:szCs w:val="20"/>
                <w:color w:val="auto"/>
              </w:rPr>
            </w:pPr>
            <w:r>
              <w:rPr>
                <w:rFonts w:ascii="Calibri" w:cs="Calibri" w:eastAsia="Calibri" w:hAnsi="Calibri"/>
                <w:sz w:val="18"/>
                <w:szCs w:val="18"/>
                <w:color w:val="auto"/>
              </w:rPr>
              <w:t>Discount rate</w:t>
            </w:r>
          </w:p>
        </w:tc>
        <w:tc>
          <w:tcPr>
            <w:tcW w:w="600" w:type="dxa"/>
            <w:vAlign w:val="bottom"/>
            <w:tcBorders>
              <w:right w:val="single" w:sz="8" w:color="007CBA"/>
            </w:tcBorders>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Borders>
              <w:right w:val="single" w:sz="8" w:color="007CBA"/>
            </w:tcBorders>
          </w:tcPr>
          <w:p>
            <w:pPr>
              <w:jc w:val="center"/>
              <w:ind w:right="430"/>
              <w:spacing w:after="0" w:line="215" w:lineRule="exact"/>
              <w:rPr>
                <w:sz w:val="20"/>
                <w:szCs w:val="20"/>
                <w:color w:val="auto"/>
              </w:rPr>
            </w:pPr>
            <w:r>
              <w:rPr>
                <w:rFonts w:ascii="Calibri" w:cs="Calibri" w:eastAsia="Calibri" w:hAnsi="Calibri"/>
                <w:sz w:val="18"/>
                <w:szCs w:val="18"/>
                <w:b w:val="1"/>
                <w:bCs w:val="1"/>
                <w:color w:val="auto"/>
                <w:w w:val="97"/>
              </w:rPr>
              <w:t>5.88%</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center"/>
              <w:ind w:right="270"/>
              <w:spacing w:after="0" w:line="215" w:lineRule="exact"/>
              <w:rPr>
                <w:sz w:val="20"/>
                <w:szCs w:val="20"/>
                <w:color w:val="auto"/>
              </w:rPr>
            </w:pPr>
            <w:r>
              <w:rPr>
                <w:rFonts w:ascii="Calibri" w:cs="Calibri" w:eastAsia="Calibri" w:hAnsi="Calibri"/>
                <w:sz w:val="18"/>
                <w:szCs w:val="18"/>
                <w:color w:val="auto"/>
                <w:w w:val="98"/>
              </w:rPr>
              <w:t>3.23%</w:t>
            </w:r>
          </w:p>
        </w:tc>
      </w:tr>
      <w:tr>
        <w:trPr>
          <w:trHeight w:val="248"/>
        </w:trPr>
        <w:tc>
          <w:tcPr>
            <w:tcW w:w="6860" w:type="dxa"/>
            <w:vAlign w:val="bottom"/>
            <w:tcBorders>
              <w:bottom w:val="single" w:sz="8" w:color="E5F1F8"/>
            </w:tcBorders>
            <w:gridSpan w:val="2"/>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Rate of increase in future compensaton levels</w:t>
            </w:r>
          </w:p>
        </w:tc>
        <w:tc>
          <w:tcPr>
            <w:tcW w:w="600" w:type="dxa"/>
            <w:vAlign w:val="bottom"/>
            <w:tcBorders>
              <w:bottom w:val="single" w:sz="8" w:color="E5F1F8"/>
              <w:right w:val="single" w:sz="8" w:color="E5F1F8"/>
            </w:tcBorders>
            <w:shd w:val="clear" w:color="auto" w:fill="E5F1F8"/>
          </w:tcPr>
          <w:p>
            <w:pPr>
              <w:spacing w:after="0"/>
              <w:rPr>
                <w:sz w:val="21"/>
                <w:szCs w:val="21"/>
                <w:color w:val="auto"/>
              </w:rPr>
            </w:pPr>
          </w:p>
        </w:tc>
        <w:tc>
          <w:tcPr>
            <w:tcW w:w="580" w:type="dxa"/>
            <w:vAlign w:val="bottom"/>
            <w:tcBorders>
              <w:bottom w:val="single" w:sz="8" w:color="E5F1F8"/>
              <w:right w:val="single" w:sz="8" w:color="E5F1F8"/>
            </w:tcBorders>
            <w:shd w:val="clear" w:color="auto" w:fill="E5F1F8"/>
          </w:tcPr>
          <w:p>
            <w:pPr>
              <w:spacing w:after="0"/>
              <w:rPr>
                <w:sz w:val="21"/>
                <w:szCs w:val="21"/>
                <w:color w:val="auto"/>
              </w:rPr>
            </w:pPr>
          </w:p>
        </w:tc>
        <w:tc>
          <w:tcPr>
            <w:tcW w:w="140" w:type="dxa"/>
            <w:vAlign w:val="bottom"/>
            <w:tcBorders>
              <w:bottom w:val="single" w:sz="8" w:color="E5F1F8"/>
            </w:tcBorders>
            <w:shd w:val="clear" w:color="auto" w:fill="E5F1F8"/>
          </w:tcPr>
          <w:p>
            <w:pPr>
              <w:spacing w:after="0"/>
              <w:rPr>
                <w:sz w:val="21"/>
                <w:szCs w:val="21"/>
                <w:color w:val="auto"/>
              </w:rPr>
            </w:pPr>
          </w:p>
        </w:tc>
        <w:tc>
          <w:tcPr>
            <w:tcW w:w="1200" w:type="dxa"/>
            <w:vAlign w:val="bottom"/>
            <w:tcBorders>
              <w:bottom w:val="single" w:sz="8" w:color="E5F1F8"/>
              <w:right w:val="single" w:sz="8" w:color="E5F1F8"/>
            </w:tcBorders>
            <w:shd w:val="clear" w:color="auto" w:fill="E5F1F8"/>
          </w:tcPr>
          <w:p>
            <w:pPr>
              <w:jc w:val="center"/>
              <w:ind w:right="430"/>
              <w:spacing w:after="0" w:line="215" w:lineRule="exact"/>
              <w:rPr>
                <w:sz w:val="20"/>
                <w:szCs w:val="20"/>
                <w:color w:val="auto"/>
              </w:rPr>
            </w:pPr>
            <w:r>
              <w:rPr>
                <w:rFonts w:ascii="Calibri" w:cs="Calibri" w:eastAsia="Calibri" w:hAnsi="Calibri"/>
                <w:sz w:val="18"/>
                <w:szCs w:val="18"/>
                <w:b w:val="1"/>
                <w:bCs w:val="1"/>
                <w:color w:val="auto"/>
                <w:w w:val="97"/>
              </w:rPr>
              <w:t>4.50%</w:t>
            </w:r>
          </w:p>
        </w:tc>
        <w:tc>
          <w:tcPr>
            <w:tcW w:w="260" w:type="dxa"/>
            <w:vAlign w:val="bottom"/>
            <w:tcBorders>
              <w:bottom w:val="single" w:sz="8" w:color="E5F1F8"/>
              <w:right w:val="single" w:sz="8" w:color="E5F1F8"/>
            </w:tcBorders>
            <w:shd w:val="clear" w:color="auto" w:fill="E5F1F8"/>
          </w:tcPr>
          <w:p>
            <w:pPr>
              <w:spacing w:after="0"/>
              <w:rPr>
                <w:sz w:val="21"/>
                <w:szCs w:val="21"/>
                <w:color w:val="auto"/>
              </w:rPr>
            </w:pPr>
          </w:p>
        </w:tc>
        <w:tc>
          <w:tcPr>
            <w:tcW w:w="280" w:type="dxa"/>
            <w:vAlign w:val="bottom"/>
            <w:tcBorders>
              <w:bottom w:val="single" w:sz="8" w:color="E5F1F8"/>
            </w:tcBorders>
            <w:shd w:val="clear" w:color="auto" w:fill="E5F1F8"/>
          </w:tcPr>
          <w:p>
            <w:pPr>
              <w:spacing w:after="0"/>
              <w:rPr>
                <w:sz w:val="21"/>
                <w:szCs w:val="21"/>
                <w:color w:val="auto"/>
              </w:rPr>
            </w:pPr>
          </w:p>
        </w:tc>
        <w:tc>
          <w:tcPr>
            <w:tcW w:w="1320" w:type="dxa"/>
            <w:vAlign w:val="bottom"/>
            <w:tcBorders>
              <w:bottom w:val="single" w:sz="8" w:color="E5F1F8"/>
            </w:tcBorders>
            <w:shd w:val="clear" w:color="auto" w:fill="E5F1F8"/>
          </w:tcPr>
          <w:p>
            <w:pPr>
              <w:jc w:val="center"/>
              <w:ind w:right="270"/>
              <w:spacing w:after="0" w:line="215" w:lineRule="exact"/>
              <w:rPr>
                <w:sz w:val="20"/>
                <w:szCs w:val="20"/>
                <w:color w:val="auto"/>
              </w:rPr>
            </w:pPr>
            <w:r>
              <w:rPr>
                <w:rFonts w:ascii="Calibri" w:cs="Calibri" w:eastAsia="Calibri" w:hAnsi="Calibri"/>
                <w:sz w:val="18"/>
                <w:szCs w:val="18"/>
                <w:color w:val="auto"/>
                <w:w w:val="98"/>
              </w:rPr>
              <w:t>4.50%</w:t>
            </w:r>
          </w:p>
        </w:tc>
      </w:tr>
      <w:tr>
        <w:trPr>
          <w:trHeight w:val="362"/>
        </w:trPr>
        <w:tc>
          <w:tcPr>
            <w:tcW w:w="8180" w:type="dxa"/>
            <w:vAlign w:val="bottom"/>
            <w:tcBorders>
              <w:top w:val="single" w:sz="8" w:color="auto"/>
            </w:tcBorders>
            <w:gridSpan w:val="5"/>
          </w:tcPr>
          <w:p>
            <w:pPr>
              <w:spacing w:after="0"/>
              <w:rPr>
                <w:sz w:val="20"/>
                <w:szCs w:val="20"/>
                <w:color w:val="auto"/>
              </w:rPr>
            </w:pPr>
            <w:r>
              <w:rPr>
                <w:rFonts w:ascii="Calibri" w:cs="Calibri" w:eastAsia="Calibri" w:hAnsi="Calibri"/>
                <w:sz w:val="18"/>
                <w:szCs w:val="18"/>
                <w:color w:val="auto"/>
                <w:w w:val="98"/>
              </w:rPr>
              <w:t>Weighted-average assumptons used to determine net periodic beneft cost for the years ended December 31 are:</w:t>
            </w:r>
          </w:p>
        </w:tc>
        <w:tc>
          <w:tcPr>
            <w:tcW w:w="12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132"/>
        </w:trPr>
        <w:tc>
          <w:tcPr>
            <w:tcW w:w="6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223"/>
        </w:trPr>
        <w:tc>
          <w:tcPr>
            <w:tcW w:w="6400" w:type="dxa"/>
            <w:vAlign w:val="bottom"/>
            <w:tcBorders>
              <w:bottom w:val="single" w:sz="8" w:color="007CBA"/>
              <w:right w:val="single" w:sz="8" w:color="007CBA"/>
            </w:tcBorders>
            <w:shd w:val="clear" w:color="auto" w:fill="007CBA"/>
          </w:tcPr>
          <w:p>
            <w:pPr>
              <w:spacing w:after="0"/>
              <w:rPr>
                <w:sz w:val="19"/>
                <w:szCs w:val="19"/>
                <w:color w:val="auto"/>
              </w:rPr>
            </w:pPr>
          </w:p>
        </w:tc>
        <w:tc>
          <w:tcPr>
            <w:tcW w:w="460" w:type="dxa"/>
            <w:vAlign w:val="bottom"/>
            <w:tcBorders>
              <w:bottom w:val="single" w:sz="8" w:color="007CBA"/>
            </w:tcBorders>
            <w:shd w:val="clear" w:color="auto" w:fill="007CBA"/>
          </w:tcPr>
          <w:p>
            <w:pPr>
              <w:spacing w:after="0"/>
              <w:rPr>
                <w:sz w:val="19"/>
                <w:szCs w:val="19"/>
                <w:color w:val="auto"/>
              </w:rPr>
            </w:pPr>
          </w:p>
        </w:tc>
        <w:tc>
          <w:tcPr>
            <w:tcW w:w="1180" w:type="dxa"/>
            <w:vAlign w:val="bottom"/>
            <w:tcBorders>
              <w:bottom w:val="single" w:sz="8" w:color="007CBA"/>
              <w:right w:val="single" w:sz="8" w:color="007CBA"/>
            </w:tcBorders>
            <w:gridSpan w:val="2"/>
            <w:shd w:val="clear" w:color="auto" w:fill="007CBA"/>
          </w:tcPr>
          <w:p>
            <w:pPr>
              <w:jc w:val="center"/>
              <w:ind w:right="210"/>
              <w:spacing w:after="0" w:line="215" w:lineRule="exact"/>
              <w:rPr>
                <w:sz w:val="20"/>
                <w:szCs w:val="20"/>
                <w:color w:val="auto"/>
              </w:rPr>
            </w:pPr>
            <w:r>
              <w:rPr>
                <w:rFonts w:ascii="Calibri" w:cs="Calibri" w:eastAsia="Calibri" w:hAnsi="Calibri"/>
                <w:sz w:val="18"/>
                <w:szCs w:val="18"/>
                <w:b w:val="1"/>
                <w:bCs w:val="1"/>
                <w:color w:val="FFFFFF"/>
                <w:w w:val="98"/>
              </w:rPr>
              <w:t>2022</w:t>
            </w:r>
          </w:p>
        </w:tc>
        <w:tc>
          <w:tcPr>
            <w:tcW w:w="140" w:type="dxa"/>
            <w:vAlign w:val="bottom"/>
            <w:tcBorders>
              <w:bottom w:val="single" w:sz="8" w:color="007CBA"/>
            </w:tcBorders>
            <w:shd w:val="clear" w:color="auto" w:fill="007CBA"/>
          </w:tcPr>
          <w:p>
            <w:pPr>
              <w:spacing w:after="0"/>
              <w:rPr>
                <w:sz w:val="19"/>
                <w:szCs w:val="19"/>
                <w:color w:val="auto"/>
              </w:rPr>
            </w:pPr>
          </w:p>
        </w:tc>
        <w:tc>
          <w:tcPr>
            <w:tcW w:w="1200" w:type="dxa"/>
            <w:vAlign w:val="bottom"/>
            <w:tcBorders>
              <w:bottom w:val="single" w:sz="8" w:color="007CBA"/>
              <w:right w:val="single" w:sz="8" w:color="007CBA"/>
            </w:tcBorders>
            <w:shd w:val="clear" w:color="auto" w:fill="007CBA"/>
          </w:tcPr>
          <w:p>
            <w:pPr>
              <w:jc w:val="right"/>
              <w:ind w:right="190"/>
              <w:spacing w:after="0" w:line="215" w:lineRule="exact"/>
              <w:rPr>
                <w:sz w:val="20"/>
                <w:szCs w:val="20"/>
                <w:color w:val="auto"/>
              </w:rPr>
            </w:pPr>
            <w:r>
              <w:rPr>
                <w:rFonts w:ascii="Calibri" w:cs="Calibri" w:eastAsia="Calibri" w:hAnsi="Calibri"/>
                <w:sz w:val="18"/>
                <w:szCs w:val="18"/>
                <w:color w:val="FFFFFF"/>
              </w:rPr>
              <w:t>2021</w:t>
            </w:r>
          </w:p>
        </w:tc>
        <w:tc>
          <w:tcPr>
            <w:tcW w:w="260" w:type="dxa"/>
            <w:vAlign w:val="bottom"/>
            <w:tcBorders>
              <w:bottom w:val="single" w:sz="8" w:color="007CBA"/>
              <w:right w:val="single" w:sz="8" w:color="007CBA"/>
            </w:tcBorders>
            <w:shd w:val="clear" w:color="auto" w:fill="007CBA"/>
          </w:tcPr>
          <w:p>
            <w:pPr>
              <w:spacing w:after="0"/>
              <w:rPr>
                <w:sz w:val="19"/>
                <w:szCs w:val="19"/>
                <w:color w:val="auto"/>
              </w:rPr>
            </w:pPr>
          </w:p>
        </w:tc>
        <w:tc>
          <w:tcPr>
            <w:tcW w:w="280" w:type="dxa"/>
            <w:vAlign w:val="bottom"/>
            <w:tcBorders>
              <w:bottom w:val="single" w:sz="8" w:color="007CBA"/>
            </w:tcBorders>
            <w:shd w:val="clear" w:color="auto" w:fill="007CBA"/>
          </w:tcPr>
          <w:p>
            <w:pPr>
              <w:spacing w:after="0"/>
              <w:rPr>
                <w:sz w:val="19"/>
                <w:szCs w:val="19"/>
                <w:color w:val="auto"/>
              </w:rPr>
            </w:pPr>
          </w:p>
        </w:tc>
        <w:tc>
          <w:tcPr>
            <w:tcW w:w="1320" w:type="dxa"/>
            <w:vAlign w:val="bottom"/>
            <w:tcBorders>
              <w:bottom w:val="single" w:sz="8" w:color="007CBA"/>
            </w:tcBorders>
            <w:shd w:val="clear" w:color="auto" w:fill="007CBA"/>
          </w:tcPr>
          <w:p>
            <w:pPr>
              <w:jc w:val="center"/>
              <w:ind w:right="30"/>
              <w:spacing w:after="0" w:line="215" w:lineRule="exact"/>
              <w:rPr>
                <w:sz w:val="20"/>
                <w:szCs w:val="20"/>
                <w:color w:val="auto"/>
              </w:rPr>
            </w:pPr>
            <w:r>
              <w:rPr>
                <w:rFonts w:ascii="Calibri" w:cs="Calibri" w:eastAsia="Calibri" w:hAnsi="Calibri"/>
                <w:sz w:val="18"/>
                <w:szCs w:val="18"/>
                <w:color w:val="FFFFFF"/>
                <w:w w:val="98"/>
              </w:rPr>
              <w:t>2020</w:t>
            </w:r>
          </w:p>
        </w:tc>
      </w:tr>
      <w:tr>
        <w:trPr>
          <w:trHeight w:val="215"/>
        </w:trPr>
        <w:tc>
          <w:tcPr>
            <w:tcW w:w="64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Discount rate</w:t>
            </w:r>
          </w:p>
        </w:tc>
        <w:tc>
          <w:tcPr>
            <w:tcW w:w="460" w:type="dxa"/>
            <w:vAlign w:val="bottom"/>
          </w:tcPr>
          <w:p>
            <w:pPr>
              <w:spacing w:after="0"/>
              <w:rPr>
                <w:sz w:val="18"/>
                <w:szCs w:val="18"/>
                <w:color w:val="auto"/>
              </w:rPr>
            </w:pPr>
          </w:p>
        </w:tc>
        <w:tc>
          <w:tcPr>
            <w:tcW w:w="1180" w:type="dxa"/>
            <w:vAlign w:val="bottom"/>
            <w:tcBorders>
              <w:right w:val="single" w:sz="8" w:color="007CBA"/>
            </w:tcBorders>
            <w:gridSpan w:val="2"/>
          </w:tcPr>
          <w:p>
            <w:pPr>
              <w:jc w:val="center"/>
              <w:ind w:right="210"/>
              <w:spacing w:after="0" w:line="215" w:lineRule="exact"/>
              <w:rPr>
                <w:sz w:val="20"/>
                <w:szCs w:val="20"/>
                <w:color w:val="auto"/>
              </w:rPr>
            </w:pPr>
            <w:r>
              <w:rPr>
                <w:rFonts w:ascii="Calibri" w:cs="Calibri" w:eastAsia="Calibri" w:hAnsi="Calibri"/>
                <w:sz w:val="18"/>
                <w:szCs w:val="18"/>
                <w:b w:val="1"/>
                <w:bCs w:val="1"/>
                <w:color w:val="auto"/>
                <w:w w:val="97"/>
              </w:rPr>
              <w:t>3.44%</w:t>
            </w:r>
          </w:p>
        </w:tc>
        <w:tc>
          <w:tcPr>
            <w:tcW w:w="140" w:type="dxa"/>
            <w:vAlign w:val="bottom"/>
          </w:tcPr>
          <w:p>
            <w:pPr>
              <w:spacing w:after="0"/>
              <w:rPr>
                <w:sz w:val="18"/>
                <w:szCs w:val="18"/>
                <w:color w:val="auto"/>
              </w:rPr>
            </w:pPr>
          </w:p>
        </w:tc>
        <w:tc>
          <w:tcPr>
            <w:tcW w:w="120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3.16%</w:t>
            </w:r>
          </w:p>
        </w:tc>
        <w:tc>
          <w:tcPr>
            <w:tcW w:w="260" w:type="dxa"/>
            <w:vAlign w:val="bottom"/>
            <w:tcBorders>
              <w:right w:val="single" w:sz="8" w:color="007CBA"/>
            </w:tcBorders>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center"/>
              <w:ind w:right="30"/>
              <w:spacing w:after="0" w:line="215" w:lineRule="exact"/>
              <w:rPr>
                <w:sz w:val="20"/>
                <w:szCs w:val="20"/>
                <w:color w:val="auto"/>
              </w:rPr>
            </w:pPr>
            <w:r>
              <w:rPr>
                <w:rFonts w:ascii="Calibri" w:cs="Calibri" w:eastAsia="Calibri" w:hAnsi="Calibri"/>
                <w:sz w:val="18"/>
                <w:szCs w:val="18"/>
                <w:color w:val="auto"/>
                <w:w w:val="98"/>
              </w:rPr>
              <w:t>3.69%</w:t>
            </w:r>
          </w:p>
        </w:tc>
      </w:tr>
      <w:tr>
        <w:trPr>
          <w:trHeight w:val="28"/>
        </w:trPr>
        <w:tc>
          <w:tcPr>
            <w:tcW w:w="640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Borders>
              <w:right w:val="single" w:sz="8" w:color="007CBA"/>
            </w:tcBorders>
            <w:gridSpan w:val="2"/>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Borders>
              <w:right w:val="single" w:sz="8" w:color="007CBA"/>
            </w:tcBorders>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3"/>
        </w:trPr>
        <w:tc>
          <w:tcPr>
            <w:tcW w:w="640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Rate of increase in future compensaton levels</w:t>
            </w:r>
          </w:p>
        </w:tc>
        <w:tc>
          <w:tcPr>
            <w:tcW w:w="460" w:type="dxa"/>
            <w:vAlign w:val="bottom"/>
            <w:tcBorders>
              <w:bottom w:val="single" w:sz="8" w:color="E5F1F8"/>
            </w:tcBorders>
            <w:shd w:val="clear" w:color="auto" w:fill="E5F1F8"/>
          </w:tcPr>
          <w:p>
            <w:pPr>
              <w:spacing w:after="0"/>
              <w:rPr>
                <w:sz w:val="19"/>
                <w:szCs w:val="19"/>
                <w:color w:val="auto"/>
              </w:rPr>
            </w:pPr>
          </w:p>
        </w:tc>
        <w:tc>
          <w:tcPr>
            <w:tcW w:w="1180" w:type="dxa"/>
            <w:vAlign w:val="bottom"/>
            <w:tcBorders>
              <w:bottom w:val="single" w:sz="8" w:color="E5F1F8"/>
              <w:right w:val="single" w:sz="8" w:color="007CBA"/>
            </w:tcBorders>
            <w:gridSpan w:val="2"/>
            <w:shd w:val="clear" w:color="auto" w:fill="E5F1F8"/>
          </w:tcPr>
          <w:p>
            <w:pPr>
              <w:jc w:val="center"/>
              <w:ind w:right="210"/>
              <w:spacing w:after="0" w:line="215" w:lineRule="exact"/>
              <w:rPr>
                <w:sz w:val="20"/>
                <w:szCs w:val="20"/>
                <w:color w:val="auto"/>
              </w:rPr>
            </w:pPr>
            <w:r>
              <w:rPr>
                <w:rFonts w:ascii="Calibri" w:cs="Calibri" w:eastAsia="Calibri" w:hAnsi="Calibri"/>
                <w:sz w:val="18"/>
                <w:szCs w:val="18"/>
                <w:b w:val="1"/>
                <w:bCs w:val="1"/>
                <w:color w:val="auto"/>
                <w:w w:val="97"/>
              </w:rPr>
              <w:t>4.50%</w:t>
            </w:r>
          </w:p>
        </w:tc>
        <w:tc>
          <w:tcPr>
            <w:tcW w:w="140" w:type="dxa"/>
            <w:vAlign w:val="bottom"/>
            <w:tcBorders>
              <w:bottom w:val="single" w:sz="8" w:color="E5F1F8"/>
            </w:tcBorders>
            <w:shd w:val="clear" w:color="auto" w:fill="E5F1F8"/>
          </w:tcPr>
          <w:p>
            <w:pPr>
              <w:spacing w:after="0"/>
              <w:rPr>
                <w:sz w:val="19"/>
                <w:szCs w:val="19"/>
                <w:color w:val="auto"/>
              </w:rPr>
            </w:pPr>
          </w:p>
        </w:tc>
        <w:tc>
          <w:tcPr>
            <w:tcW w:w="1200" w:type="dxa"/>
            <w:vAlign w:val="bottom"/>
            <w:tcBorders>
              <w:bottom w:val="single" w:sz="8" w:color="E5F1F8"/>
              <w:right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4.50%</w:t>
            </w:r>
          </w:p>
        </w:tc>
        <w:tc>
          <w:tcPr>
            <w:tcW w:w="260" w:type="dxa"/>
            <w:vAlign w:val="bottom"/>
            <w:tcBorders>
              <w:bottom w:val="single" w:sz="8" w:color="E5F1F8"/>
              <w:right w:val="single" w:sz="8" w:color="007CBA"/>
            </w:tcBorders>
            <w:shd w:val="clear" w:color="auto" w:fill="E5F1F8"/>
          </w:tcPr>
          <w:p>
            <w:pPr>
              <w:spacing w:after="0"/>
              <w:rPr>
                <w:sz w:val="19"/>
                <w:szCs w:val="19"/>
                <w:color w:val="auto"/>
              </w:rPr>
            </w:pPr>
          </w:p>
        </w:tc>
        <w:tc>
          <w:tcPr>
            <w:tcW w:w="280" w:type="dxa"/>
            <w:vAlign w:val="bottom"/>
            <w:tcBorders>
              <w:bottom w:val="single" w:sz="8" w:color="E5F1F8"/>
            </w:tcBorders>
            <w:shd w:val="clear" w:color="auto" w:fill="E5F1F8"/>
          </w:tcPr>
          <w:p>
            <w:pPr>
              <w:spacing w:after="0"/>
              <w:rPr>
                <w:sz w:val="19"/>
                <w:szCs w:val="19"/>
                <w:color w:val="auto"/>
              </w:rPr>
            </w:pPr>
          </w:p>
        </w:tc>
        <w:tc>
          <w:tcPr>
            <w:tcW w:w="1320" w:type="dxa"/>
            <w:vAlign w:val="bottom"/>
            <w:tcBorders>
              <w:bottom w:val="single" w:sz="8" w:color="E5F1F8"/>
            </w:tcBorders>
            <w:shd w:val="clear" w:color="auto" w:fill="E5F1F8"/>
          </w:tcPr>
          <w:p>
            <w:pPr>
              <w:jc w:val="center"/>
              <w:ind w:right="30"/>
              <w:spacing w:after="0" w:line="215" w:lineRule="exact"/>
              <w:rPr>
                <w:sz w:val="20"/>
                <w:szCs w:val="20"/>
                <w:color w:val="auto"/>
              </w:rPr>
            </w:pPr>
            <w:r>
              <w:rPr>
                <w:rFonts w:ascii="Calibri" w:cs="Calibri" w:eastAsia="Calibri" w:hAnsi="Calibri"/>
                <w:sz w:val="18"/>
                <w:szCs w:val="18"/>
                <w:color w:val="auto"/>
                <w:w w:val="98"/>
              </w:rPr>
              <w:t>4.50%</w:t>
            </w:r>
          </w:p>
        </w:tc>
      </w:tr>
      <w:tr>
        <w:trPr>
          <w:trHeight w:val="215"/>
        </w:trPr>
        <w:tc>
          <w:tcPr>
            <w:tcW w:w="6860" w:type="dxa"/>
            <w:vAlign w:val="bottom"/>
            <w:gridSpan w:val="2"/>
          </w:tcPr>
          <w:p>
            <w:pPr>
              <w:ind w:left="120"/>
              <w:spacing w:after="0" w:line="215" w:lineRule="exact"/>
              <w:rPr>
                <w:sz w:val="20"/>
                <w:szCs w:val="20"/>
                <w:color w:val="auto"/>
              </w:rPr>
            </w:pPr>
            <w:r>
              <w:rPr>
                <w:rFonts w:ascii="Calibri" w:cs="Calibri" w:eastAsia="Calibri" w:hAnsi="Calibri"/>
                <w:sz w:val="18"/>
                <w:szCs w:val="18"/>
                <w:color w:val="auto"/>
              </w:rPr>
              <w:t>Expected long-term rate of return on assets</w:t>
            </w:r>
          </w:p>
        </w:tc>
        <w:tc>
          <w:tcPr>
            <w:tcW w:w="1180" w:type="dxa"/>
            <w:vAlign w:val="bottom"/>
            <w:gridSpan w:val="2"/>
          </w:tcPr>
          <w:p>
            <w:pPr>
              <w:jc w:val="center"/>
              <w:ind w:right="210"/>
              <w:spacing w:after="0" w:line="215" w:lineRule="exact"/>
              <w:rPr>
                <w:sz w:val="20"/>
                <w:szCs w:val="20"/>
                <w:color w:val="auto"/>
              </w:rPr>
            </w:pPr>
            <w:r>
              <w:rPr>
                <w:rFonts w:ascii="Calibri" w:cs="Calibri" w:eastAsia="Calibri" w:hAnsi="Calibri"/>
                <w:sz w:val="18"/>
                <w:szCs w:val="18"/>
                <w:b w:val="1"/>
                <w:bCs w:val="1"/>
                <w:color w:val="auto"/>
                <w:w w:val="97"/>
              </w:rPr>
              <w:t>6.75%</w:t>
            </w:r>
          </w:p>
        </w:tc>
        <w:tc>
          <w:tcPr>
            <w:tcW w:w="140" w:type="dxa"/>
            <w:vAlign w:val="bottom"/>
          </w:tcPr>
          <w:p>
            <w:pPr>
              <w:spacing w:after="0"/>
              <w:rPr>
                <w:sz w:val="18"/>
                <w:szCs w:val="18"/>
                <w:color w:val="auto"/>
              </w:rPr>
            </w:pPr>
          </w:p>
        </w:tc>
        <w:tc>
          <w:tcPr>
            <w:tcW w:w="120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6.75%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center"/>
              <w:ind w:right="30"/>
              <w:spacing w:after="0" w:line="215" w:lineRule="exact"/>
              <w:rPr>
                <w:sz w:val="20"/>
                <w:szCs w:val="20"/>
                <w:color w:val="auto"/>
              </w:rPr>
            </w:pPr>
            <w:r>
              <w:rPr>
                <w:rFonts w:ascii="Calibri" w:cs="Calibri" w:eastAsia="Calibri" w:hAnsi="Calibri"/>
                <w:sz w:val="18"/>
                <w:szCs w:val="18"/>
                <w:color w:val="auto"/>
                <w:w w:val="98"/>
              </w:rPr>
              <w:t>6.75%</w:t>
            </w:r>
          </w:p>
        </w:tc>
      </w:tr>
      <w:tr>
        <w:trPr>
          <w:trHeight w:val="28"/>
        </w:trPr>
        <w:tc>
          <w:tcPr>
            <w:tcW w:w="6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4698365</wp:posOffset>
            </wp:positionH>
            <wp:positionV relativeFrom="paragraph">
              <wp:posOffset>-1906270</wp:posOffset>
            </wp:positionV>
            <wp:extent cx="2438400" cy="18796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2438400" cy="18796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-1117600</wp:posOffset>
            </wp:positionV>
            <wp:extent cx="34290" cy="18859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34290" cy="18859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-1117600</wp:posOffset>
            </wp:positionV>
            <wp:extent cx="34290" cy="18859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34290" cy="188595"/>
                    </a:xfrm>
                    <a:prstGeom prst="rect">
                      <a:avLst/>
                    </a:prstGeom>
                    <a:noFill/>
                  </pic:spPr>
                </pic:pic>
              </a:graphicData>
            </a:graphic>
          </wp:anchor>
        </w:drawing>
        <w:drawing>
          <wp:anchor simplePos="0" relativeHeight="251657728" behindDoc="1" locked="0" layoutInCell="0" allowOverlap="1">
            <wp:simplePos x="0" y="0"/>
            <wp:positionH relativeFrom="column">
              <wp:posOffset>4038600</wp:posOffset>
            </wp:positionH>
            <wp:positionV relativeFrom="paragraph">
              <wp:posOffset>-174625</wp:posOffset>
            </wp:positionV>
            <wp:extent cx="3098800" cy="1879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3098800" cy="187960"/>
                    </a:xfrm>
                    <a:prstGeom prst="rect">
                      <a:avLst/>
                    </a:prstGeom>
                    <a:noFill/>
                  </pic:spPr>
                </pic:pic>
              </a:graphicData>
            </a:graphic>
          </wp:anchor>
        </w:drawing>
      </w:r>
    </w:p>
    <w:p>
      <w:pPr>
        <w:spacing w:after="0" w:line="1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expected long-term rate of return on assets is based on a building-block approach, whereby the components are weighted based on the allocaton of pension plan assets.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2022 and 2021, the Company estmated the remaining lives of partcipants in the pension plans using the Pri-2012 Base tables. The no-collar table was used for salaried partcipants and the blue-collar table was used for hourly partcipants; both tables were adjusted to refect the experience of the Company’s partcipants. The Company used the MP-2020 mortality improvement scale for the years 2022 and 2021.</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Retrement plan assets are invested in listed stocks, bonds, real estate, private infrastructure and cash equivalents. The target allocaton for 2022 and the actual pension plan asset allocaton by asset class are as follows:</w:t>
      </w:r>
    </w:p>
    <w:p>
      <w:pPr>
        <w:spacing w:after="0" w:line="118" w:lineRule="exact"/>
        <w:rPr>
          <w:sz w:val="20"/>
          <w:szCs w:val="20"/>
          <w:color w:val="auto"/>
        </w:rPr>
      </w:pPr>
    </w:p>
    <w:p>
      <w:pPr>
        <w:ind w:left="7900"/>
        <w:spacing w:after="0"/>
        <w:rPr>
          <w:sz w:val="20"/>
          <w:szCs w:val="20"/>
          <w:color w:val="auto"/>
        </w:rPr>
      </w:pPr>
      <w:r>
        <w:rPr>
          <w:rFonts w:ascii="Calibri" w:cs="Calibri" w:eastAsia="Calibri" w:hAnsi="Calibri"/>
          <w:sz w:val="18"/>
          <w:szCs w:val="18"/>
          <w:b w:val="1"/>
          <w:bCs w:val="1"/>
          <w:color w:val="FFFFFF"/>
        </w:rPr>
        <w:t>Percentage of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62547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7132320" cy="62547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20" w:type="dxa"/>
            <w:vAlign w:val="bottom"/>
          </w:tcPr>
          <w:p>
            <w:pPr>
              <w:spacing w:after="0"/>
              <w:rPr>
                <w:sz w:val="20"/>
                <w:szCs w:val="20"/>
                <w:color w:val="auto"/>
              </w:rPr>
            </w:pPr>
          </w:p>
        </w:tc>
        <w:tc>
          <w:tcPr>
            <w:tcW w:w="1620" w:type="dxa"/>
            <w:vAlign w:val="bottom"/>
            <w:tcBorders>
              <w:right w:val="single" w:sz="8" w:color="007CBA"/>
            </w:tcBorders>
            <w:shd w:val="clear" w:color="auto" w:fill="007CBA"/>
          </w:tcPr>
          <w:p>
            <w:pPr>
              <w:jc w:val="center"/>
              <w:ind w:left="50"/>
              <w:spacing w:after="0"/>
              <w:rPr>
                <w:sz w:val="20"/>
                <w:szCs w:val="20"/>
                <w:color w:val="auto"/>
              </w:rPr>
            </w:pPr>
            <w:r>
              <w:rPr>
                <w:rFonts w:ascii="Calibri" w:cs="Calibri" w:eastAsia="Calibri" w:hAnsi="Calibri"/>
                <w:sz w:val="18"/>
                <w:szCs w:val="18"/>
                <w:b w:val="1"/>
                <w:bCs w:val="1"/>
                <w:color w:val="FFFFFF"/>
                <w:w w:val="98"/>
              </w:rPr>
              <w:t>2022</w:t>
            </w:r>
          </w:p>
        </w:tc>
        <w:tc>
          <w:tcPr>
            <w:tcW w:w="1140" w:type="dxa"/>
            <w:vAlign w:val="bottom"/>
            <w:shd w:val="clear" w:color="auto" w:fill="007CBA"/>
          </w:tcPr>
          <w:p>
            <w:pPr>
              <w:spacing w:after="0"/>
              <w:rPr>
                <w:sz w:val="20"/>
                <w:szCs w:val="20"/>
                <w:color w:val="auto"/>
              </w:rPr>
            </w:pPr>
          </w:p>
        </w:tc>
        <w:tc>
          <w:tcPr>
            <w:tcW w:w="460" w:type="dxa"/>
            <w:vAlign w:val="bottom"/>
            <w:tcBorders>
              <w:right w:val="single" w:sz="8" w:color="007CBA"/>
            </w:tcBorders>
            <w:shd w:val="clear" w:color="auto" w:fill="007CBA"/>
          </w:tcPr>
          <w:p>
            <w:pPr>
              <w:spacing w:after="0"/>
              <w:rPr>
                <w:sz w:val="20"/>
                <w:szCs w:val="20"/>
                <w:color w:val="auto"/>
              </w:rPr>
            </w:pPr>
          </w:p>
        </w:tc>
        <w:tc>
          <w:tcPr>
            <w:tcW w:w="1600" w:type="dxa"/>
            <w:vAlign w:val="bottom"/>
            <w:shd w:val="clear" w:color="auto" w:fill="007CBA"/>
          </w:tcPr>
          <w:p>
            <w:pPr>
              <w:spacing w:after="0"/>
              <w:rPr>
                <w:sz w:val="20"/>
                <w:szCs w:val="20"/>
                <w:color w:val="auto"/>
              </w:rPr>
            </w:pPr>
          </w:p>
        </w:tc>
      </w:tr>
      <w:tr>
        <w:trPr>
          <w:trHeight w:val="215"/>
        </w:trPr>
        <w:tc>
          <w:tcPr>
            <w:tcW w:w="6420" w:type="dxa"/>
            <w:vAlign w:val="bottom"/>
          </w:tcPr>
          <w:p>
            <w:pPr>
              <w:spacing w:after="0"/>
              <w:rPr>
                <w:sz w:val="18"/>
                <w:szCs w:val="18"/>
                <w:color w:val="auto"/>
              </w:rPr>
            </w:pPr>
          </w:p>
        </w:tc>
        <w:tc>
          <w:tcPr>
            <w:tcW w:w="1620" w:type="dxa"/>
            <w:vAlign w:val="bottom"/>
            <w:tcBorders>
              <w:right w:val="single" w:sz="8" w:color="007CBA"/>
            </w:tcBorders>
            <w:shd w:val="clear" w:color="auto" w:fill="007CBA"/>
          </w:tcPr>
          <w:p>
            <w:pPr>
              <w:jc w:val="center"/>
              <w:ind w:left="70"/>
              <w:spacing w:after="0" w:line="215" w:lineRule="exact"/>
              <w:rPr>
                <w:sz w:val="20"/>
                <w:szCs w:val="20"/>
                <w:color w:val="auto"/>
              </w:rPr>
            </w:pPr>
            <w:r>
              <w:rPr>
                <w:rFonts w:ascii="Calibri" w:cs="Calibri" w:eastAsia="Calibri" w:hAnsi="Calibri"/>
                <w:sz w:val="18"/>
                <w:szCs w:val="18"/>
                <w:b w:val="1"/>
                <w:bCs w:val="1"/>
                <w:color w:val="FFFFFF"/>
                <w:w w:val="95"/>
              </w:rPr>
              <w:t>Target</w:t>
            </w:r>
          </w:p>
        </w:tc>
        <w:tc>
          <w:tcPr>
            <w:tcW w:w="1140" w:type="dxa"/>
            <w:vAlign w:val="bottom"/>
            <w:shd w:val="clear" w:color="auto" w:fill="007CBA"/>
          </w:tcPr>
          <w:p>
            <w:pPr>
              <w:spacing w:after="0"/>
              <w:rPr>
                <w:sz w:val="18"/>
                <w:szCs w:val="18"/>
                <w:color w:val="auto"/>
              </w:rPr>
            </w:pPr>
          </w:p>
        </w:tc>
        <w:tc>
          <w:tcPr>
            <w:tcW w:w="2060" w:type="dxa"/>
            <w:vAlign w:val="bottom"/>
            <w:gridSpan w:val="2"/>
            <w:shd w:val="clear" w:color="auto" w:fill="007CBA"/>
          </w:tcPr>
          <w:p>
            <w:pPr>
              <w:ind w:left="60"/>
              <w:spacing w:after="0" w:line="215" w:lineRule="exact"/>
              <w:rPr>
                <w:sz w:val="20"/>
                <w:szCs w:val="20"/>
                <w:color w:val="auto"/>
              </w:rPr>
            </w:pPr>
            <w:r>
              <w:rPr>
                <w:rFonts w:ascii="Calibri" w:cs="Calibri" w:eastAsia="Calibri" w:hAnsi="Calibri"/>
                <w:sz w:val="18"/>
                <w:szCs w:val="18"/>
                <w:i w:val="1"/>
                <w:iCs w:val="1"/>
                <w:color w:val="FFFFFF"/>
              </w:rPr>
              <w:t>December 31</w:t>
            </w:r>
          </w:p>
        </w:tc>
      </w:tr>
      <w:tr>
        <w:trPr>
          <w:trHeight w:val="259"/>
        </w:trPr>
        <w:tc>
          <w:tcPr>
            <w:tcW w:w="6420" w:type="dxa"/>
            <w:vAlign w:val="bottom"/>
          </w:tcPr>
          <w:p>
            <w:pPr>
              <w:ind w:left="120"/>
              <w:spacing w:after="0"/>
              <w:rPr>
                <w:sz w:val="20"/>
                <w:szCs w:val="20"/>
                <w:color w:val="auto"/>
              </w:rPr>
            </w:pPr>
            <w:r>
              <w:rPr>
                <w:rFonts w:ascii="Calibri" w:cs="Calibri" w:eastAsia="Calibri" w:hAnsi="Calibri"/>
                <w:sz w:val="18"/>
                <w:szCs w:val="18"/>
                <w:b w:val="1"/>
                <w:bCs w:val="1"/>
                <w:color w:val="FFFFFF"/>
              </w:rPr>
              <w:t>Asset Class</w:t>
            </w:r>
          </w:p>
        </w:tc>
        <w:tc>
          <w:tcPr>
            <w:tcW w:w="1620" w:type="dxa"/>
            <w:vAlign w:val="bottom"/>
            <w:tcBorders>
              <w:bottom w:val="single" w:sz="8" w:color="007CBA"/>
              <w:right w:val="single" w:sz="8" w:color="007CBA"/>
            </w:tcBorders>
            <w:shd w:val="clear" w:color="auto" w:fill="007CBA"/>
          </w:tcPr>
          <w:p>
            <w:pPr>
              <w:jc w:val="center"/>
              <w:ind w:left="70"/>
              <w:spacing w:after="0"/>
              <w:rPr>
                <w:sz w:val="20"/>
                <w:szCs w:val="20"/>
                <w:color w:val="auto"/>
              </w:rPr>
            </w:pPr>
            <w:r>
              <w:rPr>
                <w:rFonts w:ascii="Calibri" w:cs="Calibri" w:eastAsia="Calibri" w:hAnsi="Calibri"/>
                <w:sz w:val="18"/>
                <w:szCs w:val="18"/>
                <w:b w:val="1"/>
                <w:bCs w:val="1"/>
                <w:color w:val="FFFFFF"/>
              </w:rPr>
              <w:t>Allocaton</w:t>
            </w:r>
          </w:p>
        </w:tc>
        <w:tc>
          <w:tcPr>
            <w:tcW w:w="1140" w:type="dxa"/>
            <w:vAlign w:val="bottom"/>
            <w:tcBorders>
              <w:bottom w:val="single" w:sz="8" w:color="007CBA"/>
            </w:tcBorders>
            <w:shd w:val="clear" w:color="auto" w:fill="007CBA"/>
          </w:tcPr>
          <w:p>
            <w:pPr>
              <w:jc w:val="center"/>
              <w:ind w:left="530"/>
              <w:spacing w:after="0"/>
              <w:rPr>
                <w:sz w:val="20"/>
                <w:szCs w:val="20"/>
                <w:color w:val="auto"/>
              </w:rPr>
            </w:pPr>
            <w:r>
              <w:rPr>
                <w:rFonts w:ascii="Calibri" w:cs="Calibri" w:eastAsia="Calibri" w:hAnsi="Calibri"/>
                <w:sz w:val="18"/>
                <w:szCs w:val="18"/>
                <w:b w:val="1"/>
                <w:bCs w:val="1"/>
                <w:color w:val="FFFFFF"/>
                <w:w w:val="98"/>
              </w:rPr>
              <w:t>2022</w:t>
            </w:r>
          </w:p>
        </w:tc>
        <w:tc>
          <w:tcPr>
            <w:tcW w:w="2060" w:type="dxa"/>
            <w:vAlign w:val="bottom"/>
            <w:tcBorders>
              <w:bottom w:val="single" w:sz="8" w:color="007CBA"/>
            </w:tcBorders>
            <w:gridSpan w:val="2"/>
            <w:shd w:val="clear" w:color="auto" w:fill="007CBA"/>
          </w:tcPr>
          <w:p>
            <w:pPr>
              <w:jc w:val="center"/>
              <w:ind w:left="530"/>
              <w:spacing w:after="0"/>
              <w:rPr>
                <w:sz w:val="20"/>
                <w:szCs w:val="20"/>
                <w:color w:val="auto"/>
              </w:rPr>
            </w:pPr>
            <w:r>
              <w:rPr>
                <w:rFonts w:ascii="Calibri" w:cs="Calibri" w:eastAsia="Calibri" w:hAnsi="Calibri"/>
                <w:sz w:val="18"/>
                <w:szCs w:val="18"/>
                <w:color w:val="FFFFFF"/>
                <w:w w:val="98"/>
              </w:rPr>
              <w:t>2021</w:t>
            </w:r>
          </w:p>
        </w:tc>
      </w:tr>
      <w:tr>
        <w:trPr>
          <w:trHeight w:val="215"/>
        </w:trPr>
        <w:tc>
          <w:tcPr>
            <w:tcW w:w="6420" w:type="dxa"/>
            <w:vAlign w:val="bottom"/>
            <w:tcBorders>
              <w:right w:val="single" w:sz="8" w:color="007CBA"/>
            </w:tcBorders>
          </w:tcPr>
          <w:p>
            <w:pPr>
              <w:ind w:left="120"/>
              <w:spacing w:after="0" w:line="206" w:lineRule="exact"/>
              <w:rPr>
                <w:sz w:val="20"/>
                <w:szCs w:val="20"/>
                <w:color w:val="auto"/>
              </w:rPr>
            </w:pPr>
            <w:r>
              <w:rPr>
                <w:rFonts w:ascii="Calibri" w:cs="Calibri" w:eastAsia="Calibri" w:hAnsi="Calibri"/>
                <w:sz w:val="18"/>
                <w:szCs w:val="18"/>
                <w:color w:val="auto"/>
              </w:rPr>
              <w:t>Equity securites</w:t>
            </w:r>
          </w:p>
        </w:tc>
        <w:tc>
          <w:tcPr>
            <w:tcW w:w="1620" w:type="dxa"/>
            <w:vAlign w:val="bottom"/>
            <w:tcBorders>
              <w:right w:val="single" w:sz="8" w:color="007CBA"/>
            </w:tcBorders>
          </w:tcPr>
          <w:p>
            <w:pPr>
              <w:jc w:val="center"/>
              <w:ind w:left="50"/>
              <w:spacing w:after="0" w:line="215" w:lineRule="exact"/>
              <w:rPr>
                <w:sz w:val="20"/>
                <w:szCs w:val="20"/>
                <w:color w:val="auto"/>
              </w:rPr>
            </w:pPr>
            <w:r>
              <w:rPr>
                <w:rFonts w:ascii="Calibri" w:cs="Calibri" w:eastAsia="Calibri" w:hAnsi="Calibri"/>
                <w:sz w:val="18"/>
                <w:szCs w:val="18"/>
                <w:color w:val="auto"/>
              </w:rPr>
              <w:t>56%</w:t>
            </w:r>
          </w:p>
        </w:tc>
        <w:tc>
          <w:tcPr>
            <w:tcW w:w="1140" w:type="dxa"/>
            <w:vAlign w:val="bottom"/>
          </w:tcPr>
          <w:p>
            <w:pPr>
              <w:jc w:val="center"/>
              <w:ind w:left="510"/>
              <w:spacing w:after="0" w:line="215" w:lineRule="exact"/>
              <w:rPr>
                <w:sz w:val="20"/>
                <w:szCs w:val="20"/>
                <w:color w:val="auto"/>
              </w:rPr>
            </w:pPr>
            <w:r>
              <w:rPr>
                <w:rFonts w:ascii="Calibri" w:cs="Calibri" w:eastAsia="Calibri" w:hAnsi="Calibri"/>
                <w:sz w:val="18"/>
                <w:szCs w:val="18"/>
                <w:b w:val="1"/>
                <w:bCs w:val="1"/>
                <w:color w:val="auto"/>
                <w:w w:val="95"/>
              </w:rPr>
              <w:t>54%</w:t>
            </w:r>
          </w:p>
        </w:tc>
        <w:tc>
          <w:tcPr>
            <w:tcW w:w="460" w:type="dxa"/>
            <w:vAlign w:val="bottom"/>
            <w:tcBorders>
              <w:right w:val="single" w:sz="8" w:color="007CBA"/>
            </w:tcBorders>
          </w:tcPr>
          <w:p>
            <w:pPr>
              <w:spacing w:after="0"/>
              <w:rPr>
                <w:sz w:val="18"/>
                <w:szCs w:val="18"/>
                <w:color w:val="auto"/>
              </w:rPr>
            </w:pPr>
          </w:p>
        </w:tc>
        <w:tc>
          <w:tcPr>
            <w:tcW w:w="1600" w:type="dxa"/>
            <w:vAlign w:val="bottom"/>
          </w:tcPr>
          <w:p>
            <w:pPr>
              <w:jc w:val="center"/>
              <w:ind w:left="70"/>
              <w:spacing w:after="0" w:line="215" w:lineRule="exact"/>
              <w:rPr>
                <w:sz w:val="20"/>
                <w:szCs w:val="20"/>
                <w:color w:val="auto"/>
              </w:rPr>
            </w:pPr>
            <w:r>
              <w:rPr>
                <w:rFonts w:ascii="Calibri" w:cs="Calibri" w:eastAsia="Calibri" w:hAnsi="Calibri"/>
                <w:sz w:val="18"/>
                <w:szCs w:val="18"/>
                <w:color w:val="auto"/>
              </w:rPr>
              <w:t>59%</w:t>
            </w:r>
          </w:p>
        </w:tc>
      </w:tr>
      <w:tr>
        <w:trPr>
          <w:trHeight w:val="28"/>
        </w:trPr>
        <w:tc>
          <w:tcPr>
            <w:tcW w:w="6420" w:type="dxa"/>
            <w:vAlign w:val="bottom"/>
            <w:tcBorders>
              <w:right w:val="single" w:sz="8" w:color="007CBA"/>
            </w:tcBorders>
          </w:tcPr>
          <w:p>
            <w:pPr>
              <w:spacing w:after="0"/>
              <w:rPr>
                <w:sz w:val="2"/>
                <w:szCs w:val="2"/>
                <w:color w:val="auto"/>
              </w:rPr>
            </w:pPr>
          </w:p>
        </w:tc>
        <w:tc>
          <w:tcPr>
            <w:tcW w:w="1620" w:type="dxa"/>
            <w:vAlign w:val="bottom"/>
            <w:tcBorders>
              <w:right w:val="single" w:sz="8" w:color="007CBA"/>
            </w:tcBorders>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Borders>
              <w:right w:val="single" w:sz="8" w:color="007CBA"/>
            </w:tcBorders>
          </w:tcPr>
          <w:p>
            <w:pPr>
              <w:spacing w:after="0"/>
              <w:rPr>
                <w:sz w:val="2"/>
                <w:szCs w:val="2"/>
                <w:color w:val="auto"/>
              </w:rPr>
            </w:pPr>
          </w:p>
        </w:tc>
        <w:tc>
          <w:tcPr>
            <w:tcW w:w="1600" w:type="dxa"/>
            <w:vAlign w:val="bottom"/>
          </w:tcPr>
          <w:p>
            <w:pPr>
              <w:spacing w:after="0"/>
              <w:rPr>
                <w:sz w:val="2"/>
                <w:szCs w:val="2"/>
                <w:color w:val="auto"/>
              </w:rPr>
            </w:pPr>
          </w:p>
        </w:tc>
      </w:tr>
      <w:tr>
        <w:trPr>
          <w:trHeight w:val="223"/>
        </w:trPr>
        <w:tc>
          <w:tcPr>
            <w:tcW w:w="642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Debt securites</w:t>
            </w:r>
          </w:p>
        </w:tc>
        <w:tc>
          <w:tcPr>
            <w:tcW w:w="1620" w:type="dxa"/>
            <w:vAlign w:val="bottom"/>
            <w:tcBorders>
              <w:bottom w:val="single" w:sz="8" w:color="E5F1F8"/>
              <w:right w:val="single" w:sz="8" w:color="007CBA"/>
            </w:tcBorders>
            <w:shd w:val="clear" w:color="auto" w:fill="E5F1F8"/>
          </w:tcPr>
          <w:p>
            <w:pPr>
              <w:jc w:val="center"/>
              <w:ind w:left="50"/>
              <w:spacing w:after="0" w:line="215" w:lineRule="exact"/>
              <w:rPr>
                <w:sz w:val="20"/>
                <w:szCs w:val="20"/>
                <w:color w:val="auto"/>
              </w:rPr>
            </w:pPr>
            <w:r>
              <w:rPr>
                <w:rFonts w:ascii="Calibri" w:cs="Calibri" w:eastAsia="Calibri" w:hAnsi="Calibri"/>
                <w:sz w:val="18"/>
                <w:szCs w:val="18"/>
                <w:color w:val="auto"/>
              </w:rPr>
              <w:t>28%</w:t>
            </w:r>
          </w:p>
        </w:tc>
        <w:tc>
          <w:tcPr>
            <w:tcW w:w="1140" w:type="dxa"/>
            <w:vAlign w:val="bottom"/>
            <w:tcBorders>
              <w:bottom w:val="single" w:sz="8" w:color="E5F1F8"/>
            </w:tcBorders>
            <w:shd w:val="clear" w:color="auto" w:fill="E5F1F8"/>
          </w:tcPr>
          <w:p>
            <w:pPr>
              <w:jc w:val="center"/>
              <w:ind w:left="510"/>
              <w:spacing w:after="0" w:line="215" w:lineRule="exact"/>
              <w:rPr>
                <w:sz w:val="20"/>
                <w:szCs w:val="20"/>
                <w:color w:val="auto"/>
              </w:rPr>
            </w:pPr>
            <w:r>
              <w:rPr>
                <w:rFonts w:ascii="Calibri" w:cs="Calibri" w:eastAsia="Calibri" w:hAnsi="Calibri"/>
                <w:sz w:val="18"/>
                <w:szCs w:val="18"/>
                <w:b w:val="1"/>
                <w:bCs w:val="1"/>
                <w:color w:val="auto"/>
                <w:w w:val="95"/>
              </w:rPr>
              <w:t>24%</w:t>
            </w:r>
          </w:p>
        </w:tc>
        <w:tc>
          <w:tcPr>
            <w:tcW w:w="460" w:type="dxa"/>
            <w:vAlign w:val="bottom"/>
            <w:tcBorders>
              <w:bottom w:val="single" w:sz="8" w:color="E5F1F8"/>
              <w:right w:val="single" w:sz="8" w:color="007CBA"/>
            </w:tcBorders>
            <w:shd w:val="clear" w:color="auto" w:fill="E5F1F8"/>
          </w:tcPr>
          <w:p>
            <w:pPr>
              <w:spacing w:after="0"/>
              <w:rPr>
                <w:sz w:val="19"/>
                <w:szCs w:val="19"/>
                <w:color w:val="auto"/>
              </w:rPr>
            </w:pPr>
          </w:p>
        </w:tc>
        <w:tc>
          <w:tcPr>
            <w:tcW w:w="1600" w:type="dxa"/>
            <w:vAlign w:val="bottom"/>
            <w:tcBorders>
              <w:bottom w:val="single" w:sz="8" w:color="E5F1F8"/>
            </w:tcBorders>
            <w:shd w:val="clear" w:color="auto" w:fill="E5F1F8"/>
          </w:tcPr>
          <w:p>
            <w:pPr>
              <w:jc w:val="center"/>
              <w:ind w:left="70"/>
              <w:spacing w:after="0" w:line="215" w:lineRule="exact"/>
              <w:rPr>
                <w:sz w:val="20"/>
                <w:szCs w:val="20"/>
                <w:color w:val="auto"/>
              </w:rPr>
            </w:pPr>
            <w:r>
              <w:rPr>
                <w:rFonts w:ascii="Calibri" w:cs="Calibri" w:eastAsia="Calibri" w:hAnsi="Calibri"/>
                <w:sz w:val="18"/>
                <w:szCs w:val="18"/>
                <w:color w:val="auto"/>
              </w:rPr>
              <w:t>27%</w:t>
            </w:r>
          </w:p>
        </w:tc>
      </w:tr>
      <w:tr>
        <w:trPr>
          <w:trHeight w:val="243"/>
        </w:trPr>
        <w:tc>
          <w:tcPr>
            <w:tcW w:w="642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Real estate</w:t>
            </w:r>
          </w:p>
        </w:tc>
        <w:tc>
          <w:tcPr>
            <w:tcW w:w="1620" w:type="dxa"/>
            <w:vAlign w:val="bottom"/>
            <w:tcBorders>
              <w:right w:val="single" w:sz="8" w:color="007CBA"/>
            </w:tcBorders>
          </w:tcPr>
          <w:p>
            <w:pPr>
              <w:jc w:val="center"/>
              <w:ind w:left="50"/>
              <w:spacing w:after="0" w:line="215" w:lineRule="exact"/>
              <w:rPr>
                <w:sz w:val="20"/>
                <w:szCs w:val="20"/>
                <w:color w:val="auto"/>
              </w:rPr>
            </w:pPr>
            <w:r>
              <w:rPr>
                <w:rFonts w:ascii="Calibri" w:cs="Calibri" w:eastAsia="Calibri" w:hAnsi="Calibri"/>
                <w:sz w:val="18"/>
                <w:szCs w:val="18"/>
                <w:color w:val="auto"/>
              </w:rPr>
              <w:t>10%</w:t>
            </w:r>
          </w:p>
        </w:tc>
        <w:tc>
          <w:tcPr>
            <w:tcW w:w="1140" w:type="dxa"/>
            <w:vAlign w:val="bottom"/>
          </w:tcPr>
          <w:p>
            <w:pPr>
              <w:jc w:val="center"/>
              <w:ind w:left="510"/>
              <w:spacing w:after="0" w:line="215" w:lineRule="exact"/>
              <w:rPr>
                <w:sz w:val="20"/>
                <w:szCs w:val="20"/>
                <w:color w:val="auto"/>
              </w:rPr>
            </w:pPr>
            <w:r>
              <w:rPr>
                <w:rFonts w:ascii="Calibri" w:cs="Calibri" w:eastAsia="Calibri" w:hAnsi="Calibri"/>
                <w:sz w:val="18"/>
                <w:szCs w:val="18"/>
                <w:b w:val="1"/>
                <w:bCs w:val="1"/>
                <w:color w:val="auto"/>
                <w:w w:val="95"/>
              </w:rPr>
              <w:t>14%</w:t>
            </w:r>
          </w:p>
        </w:tc>
        <w:tc>
          <w:tcPr>
            <w:tcW w:w="460" w:type="dxa"/>
            <w:vAlign w:val="bottom"/>
            <w:tcBorders>
              <w:right w:val="single" w:sz="8" w:color="007CBA"/>
            </w:tcBorders>
          </w:tcPr>
          <w:p>
            <w:pPr>
              <w:spacing w:after="0"/>
              <w:rPr>
                <w:sz w:val="21"/>
                <w:szCs w:val="21"/>
                <w:color w:val="auto"/>
              </w:rPr>
            </w:pPr>
          </w:p>
        </w:tc>
        <w:tc>
          <w:tcPr>
            <w:tcW w:w="1600" w:type="dxa"/>
            <w:vAlign w:val="bottom"/>
          </w:tcPr>
          <w:p>
            <w:pPr>
              <w:jc w:val="center"/>
              <w:ind w:left="70"/>
              <w:spacing w:after="0" w:line="215" w:lineRule="exact"/>
              <w:rPr>
                <w:sz w:val="20"/>
                <w:szCs w:val="20"/>
                <w:color w:val="auto"/>
              </w:rPr>
            </w:pPr>
            <w:r>
              <w:rPr>
                <w:rFonts w:ascii="Calibri" w:cs="Calibri" w:eastAsia="Calibri" w:hAnsi="Calibri"/>
                <w:sz w:val="18"/>
                <w:szCs w:val="18"/>
                <w:color w:val="auto"/>
                <w:w w:val="90"/>
              </w:rPr>
              <w:t>7%</w:t>
            </w:r>
          </w:p>
        </w:tc>
      </w:tr>
      <w:tr>
        <w:trPr>
          <w:trHeight w:val="248"/>
        </w:trPr>
        <w:tc>
          <w:tcPr>
            <w:tcW w:w="642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Private infrastructure</w:t>
            </w:r>
          </w:p>
        </w:tc>
        <w:tc>
          <w:tcPr>
            <w:tcW w:w="1620" w:type="dxa"/>
            <w:vAlign w:val="bottom"/>
            <w:tcBorders>
              <w:bottom w:val="single" w:sz="8" w:color="E5F1F8"/>
              <w:right w:val="single" w:sz="8" w:color="E5F1F8"/>
            </w:tcBorders>
            <w:shd w:val="clear" w:color="auto" w:fill="E5F1F8"/>
          </w:tcPr>
          <w:p>
            <w:pPr>
              <w:jc w:val="center"/>
              <w:ind w:left="50"/>
              <w:spacing w:after="0" w:line="215" w:lineRule="exact"/>
              <w:rPr>
                <w:sz w:val="20"/>
                <w:szCs w:val="20"/>
                <w:color w:val="auto"/>
              </w:rPr>
            </w:pPr>
            <w:r>
              <w:rPr>
                <w:rFonts w:ascii="Calibri" w:cs="Calibri" w:eastAsia="Calibri" w:hAnsi="Calibri"/>
                <w:sz w:val="18"/>
                <w:szCs w:val="18"/>
                <w:color w:val="auto"/>
                <w:w w:val="90"/>
              </w:rPr>
              <w:t>6%</w:t>
            </w:r>
          </w:p>
        </w:tc>
        <w:tc>
          <w:tcPr>
            <w:tcW w:w="1140" w:type="dxa"/>
            <w:vAlign w:val="bottom"/>
            <w:tcBorders>
              <w:bottom w:val="single" w:sz="8" w:color="E5F1F8"/>
            </w:tcBorders>
            <w:shd w:val="clear" w:color="auto" w:fill="E5F1F8"/>
          </w:tcPr>
          <w:p>
            <w:pPr>
              <w:jc w:val="center"/>
              <w:ind w:left="510"/>
              <w:spacing w:after="0" w:line="215" w:lineRule="exact"/>
              <w:rPr>
                <w:sz w:val="20"/>
                <w:szCs w:val="20"/>
                <w:color w:val="auto"/>
              </w:rPr>
            </w:pPr>
            <w:r>
              <w:rPr>
                <w:rFonts w:ascii="Calibri" w:cs="Calibri" w:eastAsia="Calibri" w:hAnsi="Calibri"/>
                <w:sz w:val="18"/>
                <w:szCs w:val="18"/>
                <w:b w:val="1"/>
                <w:bCs w:val="1"/>
                <w:color w:val="auto"/>
                <w:w w:val="98"/>
              </w:rPr>
              <w:t>8%</w:t>
            </w:r>
          </w:p>
        </w:tc>
        <w:tc>
          <w:tcPr>
            <w:tcW w:w="460" w:type="dxa"/>
            <w:vAlign w:val="bottom"/>
            <w:tcBorders>
              <w:bottom w:val="single" w:sz="8" w:color="E5F1F8"/>
              <w:right w:val="single" w:sz="8" w:color="E5F1F8"/>
            </w:tcBorders>
            <w:shd w:val="clear" w:color="auto" w:fill="E5F1F8"/>
          </w:tcPr>
          <w:p>
            <w:pPr>
              <w:spacing w:after="0"/>
              <w:rPr>
                <w:sz w:val="21"/>
                <w:szCs w:val="21"/>
                <w:color w:val="auto"/>
              </w:rPr>
            </w:pPr>
          </w:p>
        </w:tc>
        <w:tc>
          <w:tcPr>
            <w:tcW w:w="1600" w:type="dxa"/>
            <w:vAlign w:val="bottom"/>
            <w:tcBorders>
              <w:bottom w:val="single" w:sz="8" w:color="E5F1F8"/>
            </w:tcBorders>
            <w:shd w:val="clear" w:color="auto" w:fill="E5F1F8"/>
          </w:tcPr>
          <w:p>
            <w:pPr>
              <w:jc w:val="center"/>
              <w:ind w:left="70"/>
              <w:spacing w:after="0" w:line="215" w:lineRule="exact"/>
              <w:rPr>
                <w:sz w:val="20"/>
                <w:szCs w:val="20"/>
                <w:color w:val="auto"/>
              </w:rPr>
            </w:pPr>
            <w:r>
              <w:rPr>
                <w:rFonts w:ascii="Calibri" w:cs="Calibri" w:eastAsia="Calibri" w:hAnsi="Calibri"/>
                <w:sz w:val="18"/>
                <w:szCs w:val="18"/>
                <w:color w:val="auto"/>
                <w:w w:val="90"/>
              </w:rPr>
              <w:t>7%</w:t>
            </w:r>
          </w:p>
        </w:tc>
      </w:tr>
      <w:tr>
        <w:trPr>
          <w:trHeight w:val="208"/>
        </w:trPr>
        <w:tc>
          <w:tcPr>
            <w:tcW w:w="642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w:t>
            </w:r>
          </w:p>
        </w:tc>
        <w:tc>
          <w:tcPr>
            <w:tcW w:w="1620" w:type="dxa"/>
            <w:vAlign w:val="bottom"/>
            <w:tcBorders>
              <w:top w:val="single" w:sz="8" w:color="auto"/>
            </w:tcBorders>
          </w:tcPr>
          <w:p>
            <w:pPr>
              <w:jc w:val="center"/>
              <w:ind w:left="50"/>
              <w:spacing w:after="0" w:line="208" w:lineRule="exact"/>
              <w:rPr>
                <w:sz w:val="20"/>
                <w:szCs w:val="20"/>
                <w:color w:val="auto"/>
              </w:rPr>
            </w:pPr>
            <w:r>
              <w:rPr>
                <w:rFonts w:ascii="Calibri" w:cs="Calibri" w:eastAsia="Calibri" w:hAnsi="Calibri"/>
                <w:sz w:val="18"/>
                <w:szCs w:val="18"/>
                <w:color w:val="auto"/>
                <w:w w:val="99"/>
              </w:rPr>
              <w:t>100%</w:t>
            </w:r>
          </w:p>
        </w:tc>
        <w:tc>
          <w:tcPr>
            <w:tcW w:w="1140" w:type="dxa"/>
            <w:vAlign w:val="bottom"/>
            <w:tcBorders>
              <w:top w:val="single" w:sz="8" w:color="auto"/>
            </w:tcBorders>
          </w:tcPr>
          <w:p>
            <w:pPr>
              <w:jc w:val="center"/>
              <w:ind w:left="490"/>
              <w:spacing w:after="0" w:line="208" w:lineRule="exact"/>
              <w:rPr>
                <w:sz w:val="20"/>
                <w:szCs w:val="20"/>
                <w:color w:val="auto"/>
              </w:rPr>
            </w:pPr>
            <w:r>
              <w:rPr>
                <w:rFonts w:ascii="Calibri" w:cs="Calibri" w:eastAsia="Calibri" w:hAnsi="Calibri"/>
                <w:sz w:val="18"/>
                <w:szCs w:val="18"/>
                <w:b w:val="1"/>
                <w:bCs w:val="1"/>
                <w:color w:val="auto"/>
                <w:w w:val="98"/>
              </w:rPr>
              <w:t>100%</w:t>
            </w:r>
          </w:p>
        </w:tc>
        <w:tc>
          <w:tcPr>
            <w:tcW w:w="4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center"/>
              <w:ind w:left="70"/>
              <w:spacing w:after="0" w:line="208" w:lineRule="exact"/>
              <w:rPr>
                <w:sz w:val="20"/>
                <w:szCs w:val="20"/>
                <w:color w:val="auto"/>
              </w:rPr>
            </w:pPr>
            <w:r>
              <w:rPr>
                <w:rFonts w:ascii="Calibri" w:cs="Calibri" w:eastAsia="Calibri" w:hAnsi="Calibri"/>
                <w:sz w:val="18"/>
                <w:szCs w:val="18"/>
                <w:color w:val="auto"/>
                <w:w w:val="99"/>
              </w:rPr>
              <w:t>100%</w:t>
            </w:r>
          </w:p>
        </w:tc>
      </w:tr>
      <w:tr>
        <w:trPr>
          <w:trHeight w:val="28"/>
        </w:trPr>
        <w:tc>
          <w:tcPr>
            <w:tcW w:w="64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64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3683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spacing w:after="0" w:line="133" w:lineRule="exact"/>
        <w:rPr>
          <w:sz w:val="20"/>
          <w:szCs w:val="20"/>
          <w:color w:val="auto"/>
        </w:rPr>
      </w:pPr>
    </w:p>
    <w:p>
      <w:pPr>
        <w:jc w:val="both"/>
        <w:spacing w:after="0" w:line="258" w:lineRule="auto"/>
        <w:rPr>
          <w:sz w:val="20"/>
          <w:szCs w:val="20"/>
          <w:color w:val="auto"/>
        </w:rPr>
      </w:pPr>
      <w:r>
        <w:rPr>
          <w:rFonts w:ascii="Calibri" w:cs="Calibri" w:eastAsia="Calibri" w:hAnsi="Calibri"/>
          <w:sz w:val="17"/>
          <w:szCs w:val="17"/>
          <w:color w:val="auto"/>
        </w:rPr>
        <w:t>The Company’s investment strategy is for equity securites to be invested in mid-sized to large capitalizaton U.S. funds, and small capitalizaton, internatonal and emerging growth funds. Debt securites, or fxed income investments, are invested in funds benchmarked to the Barclays U.S. Aggregate Bond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6751320</wp:posOffset>
            </wp:positionH>
            <wp:positionV relativeFrom="paragraph">
              <wp:posOffset>82550</wp:posOffset>
            </wp:positionV>
            <wp:extent cx="325755" cy="1974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133"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01" w:name="page102"/>
    <w:bookmarkEnd w:id="101"/>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The fair values of pension plan assets by asset class and fair value hierarchy level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00" w:type="dxa"/>
            <w:vAlign w:val="bottom"/>
            <w:tcBorders>
              <w:right w:val="single" w:sz="8" w:color="007CBA"/>
            </w:tcBorders>
            <w:shd w:val="clear" w:color="auto" w:fill="007CBA"/>
          </w:tcPr>
          <w:p>
            <w:pPr>
              <w:spacing w:after="0"/>
              <w:rPr>
                <w:sz w:val="18"/>
                <w:szCs w:val="18"/>
                <w:color w:val="auto"/>
              </w:rPr>
            </w:pPr>
          </w:p>
        </w:tc>
        <w:tc>
          <w:tcPr>
            <w:tcW w:w="240" w:type="dxa"/>
            <w:vAlign w:val="bottom"/>
            <w:shd w:val="clear" w:color="auto" w:fill="007CBA"/>
          </w:tcPr>
          <w:p>
            <w:pPr>
              <w:spacing w:after="0"/>
              <w:rPr>
                <w:sz w:val="18"/>
                <w:szCs w:val="18"/>
                <w:color w:val="auto"/>
              </w:rPr>
            </w:pPr>
          </w:p>
        </w:tc>
        <w:tc>
          <w:tcPr>
            <w:tcW w:w="2620" w:type="dxa"/>
            <w:vAlign w:val="bottom"/>
            <w:gridSpan w:val="4"/>
            <w:shd w:val="clear" w:color="auto" w:fill="007CBA"/>
          </w:tcPr>
          <w:p>
            <w:pPr>
              <w:ind w:left="900"/>
              <w:spacing w:after="0"/>
              <w:rPr>
                <w:sz w:val="20"/>
                <w:szCs w:val="20"/>
                <w:color w:val="auto"/>
              </w:rPr>
            </w:pPr>
            <w:r>
              <w:rPr>
                <w:rFonts w:ascii="Calibri" w:cs="Calibri" w:eastAsia="Calibri" w:hAnsi="Calibri"/>
                <w:sz w:val="16"/>
                <w:szCs w:val="16"/>
                <w:b w:val="1"/>
                <w:bCs w:val="1"/>
                <w:color w:val="FFFFFF"/>
                <w:w w:val="99"/>
              </w:rPr>
              <w:t>Fair Value Measurements</w:t>
            </w:r>
          </w:p>
        </w:tc>
        <w:tc>
          <w:tcPr>
            <w:tcW w:w="160" w:type="dxa"/>
            <w:vAlign w:val="bottom"/>
            <w:shd w:val="clear" w:color="auto" w:fill="007CBA"/>
          </w:tcPr>
          <w:p>
            <w:pPr>
              <w:spacing w:after="0"/>
              <w:rPr>
                <w:sz w:val="18"/>
                <w:szCs w:val="18"/>
                <w:color w:val="auto"/>
              </w:rPr>
            </w:pPr>
          </w:p>
        </w:tc>
        <w:tc>
          <w:tcPr>
            <w:tcW w:w="1080" w:type="dxa"/>
            <w:vAlign w:val="bottom"/>
            <w:tcBorders>
              <w:right w:val="single" w:sz="8" w:color="007CBA"/>
            </w:tcBorders>
            <w:shd w:val="clear" w:color="auto" w:fill="007CBA"/>
          </w:tcPr>
          <w:p>
            <w:pPr>
              <w:spacing w:after="0"/>
              <w:rPr>
                <w:sz w:val="18"/>
                <w:szCs w:val="18"/>
                <w:color w:val="auto"/>
              </w:rPr>
            </w:pPr>
          </w:p>
        </w:tc>
        <w:tc>
          <w:tcPr>
            <w:tcW w:w="100" w:type="dxa"/>
            <w:vAlign w:val="bottom"/>
            <w:shd w:val="clear" w:color="auto" w:fill="007CBA"/>
          </w:tcPr>
          <w:p>
            <w:pPr>
              <w:spacing w:after="0"/>
              <w:rPr>
                <w:sz w:val="18"/>
                <w:szCs w:val="18"/>
                <w:color w:val="auto"/>
              </w:rPr>
            </w:pPr>
          </w:p>
        </w:tc>
        <w:tc>
          <w:tcPr>
            <w:tcW w:w="120" w:type="dxa"/>
            <w:vAlign w:val="bottom"/>
            <w:shd w:val="clear" w:color="auto" w:fill="007CBA"/>
          </w:tcPr>
          <w:p>
            <w:pPr>
              <w:spacing w:after="0"/>
              <w:rPr>
                <w:sz w:val="18"/>
                <w:szCs w:val="18"/>
                <w:color w:val="auto"/>
              </w:rPr>
            </w:pPr>
          </w:p>
        </w:tc>
        <w:tc>
          <w:tcPr>
            <w:tcW w:w="960" w:type="dxa"/>
            <w:vAlign w:val="bottom"/>
            <w:tcBorders>
              <w:right w:val="single" w:sz="8" w:color="007CBA"/>
            </w:tcBorders>
            <w:shd w:val="clear" w:color="auto" w:fill="007CBA"/>
          </w:tcPr>
          <w:p>
            <w:pPr>
              <w:spacing w:after="0"/>
              <w:rPr>
                <w:sz w:val="18"/>
                <w:szCs w:val="18"/>
                <w:color w:val="auto"/>
              </w:rPr>
            </w:pPr>
          </w:p>
        </w:tc>
        <w:tc>
          <w:tcPr>
            <w:tcW w:w="220" w:type="dxa"/>
            <w:vAlign w:val="bottom"/>
            <w:shd w:val="clear" w:color="auto" w:fill="007CBA"/>
          </w:tcPr>
          <w:p>
            <w:pPr>
              <w:spacing w:after="0"/>
              <w:rPr>
                <w:sz w:val="18"/>
                <w:szCs w:val="18"/>
                <w:color w:val="auto"/>
              </w:rPr>
            </w:pPr>
          </w:p>
        </w:tc>
        <w:tc>
          <w:tcPr>
            <w:tcW w:w="940" w:type="dxa"/>
            <w:vAlign w:val="bottom"/>
            <w:shd w:val="clear" w:color="auto" w:fill="007CBA"/>
          </w:tcPr>
          <w:p>
            <w:pPr>
              <w:spacing w:after="0"/>
              <w:rPr>
                <w:sz w:val="18"/>
                <w:szCs w:val="18"/>
                <w:color w:val="auto"/>
              </w:rPr>
            </w:pPr>
          </w:p>
        </w:tc>
      </w:tr>
      <w:tr>
        <w:trPr>
          <w:trHeight w:val="218"/>
        </w:trPr>
        <w:tc>
          <w:tcPr>
            <w:tcW w:w="4800" w:type="dxa"/>
            <w:vAlign w:val="bottom"/>
            <w:tcBorders>
              <w:right w:val="single" w:sz="8" w:color="007CBA"/>
            </w:tcBorders>
            <w:shd w:val="clear" w:color="auto" w:fill="007CBA"/>
          </w:tcPr>
          <w:p>
            <w:pPr>
              <w:spacing w:after="0"/>
              <w:rPr>
                <w:sz w:val="18"/>
                <w:szCs w:val="18"/>
                <w:color w:val="auto"/>
              </w:rPr>
            </w:pPr>
          </w:p>
        </w:tc>
        <w:tc>
          <w:tcPr>
            <w:tcW w:w="1400" w:type="dxa"/>
            <w:vAlign w:val="bottom"/>
            <w:tcBorders>
              <w:right w:val="single" w:sz="8" w:color="007CBA"/>
            </w:tcBorders>
            <w:gridSpan w:val="2"/>
            <w:shd w:val="clear" w:color="auto" w:fill="007CBA"/>
          </w:tcPr>
          <w:p>
            <w:pPr>
              <w:jc w:val="center"/>
              <w:spacing w:after="0"/>
              <w:rPr>
                <w:sz w:val="20"/>
                <w:szCs w:val="20"/>
                <w:color w:val="auto"/>
              </w:rPr>
            </w:pPr>
            <w:r>
              <w:rPr>
                <w:rFonts w:ascii="Calibri" w:cs="Calibri" w:eastAsia="Calibri" w:hAnsi="Calibri"/>
                <w:sz w:val="16"/>
                <w:szCs w:val="16"/>
                <w:b w:val="1"/>
                <w:bCs w:val="1"/>
                <w:color w:val="FFFFFF"/>
              </w:rPr>
              <w:t>Quoted Prices</w:t>
            </w:r>
          </w:p>
        </w:tc>
        <w:tc>
          <w:tcPr>
            <w:tcW w:w="240" w:type="dxa"/>
            <w:vAlign w:val="bottom"/>
            <w:shd w:val="clear" w:color="auto" w:fill="007CBA"/>
          </w:tcPr>
          <w:p>
            <w:pPr>
              <w:spacing w:after="0"/>
              <w:rPr>
                <w:sz w:val="18"/>
                <w:szCs w:val="18"/>
                <w:color w:val="auto"/>
              </w:rPr>
            </w:pPr>
          </w:p>
        </w:tc>
        <w:tc>
          <w:tcPr>
            <w:tcW w:w="1120" w:type="dxa"/>
            <w:vAlign w:val="bottom"/>
            <w:tcBorders>
              <w:right w:val="single" w:sz="8" w:color="007CBA"/>
            </w:tcBorders>
            <w:shd w:val="clear" w:color="auto" w:fill="007CBA"/>
          </w:tcPr>
          <w:p>
            <w:pPr>
              <w:spacing w:after="0"/>
              <w:rPr>
                <w:sz w:val="18"/>
                <w:szCs w:val="18"/>
                <w:color w:val="auto"/>
              </w:rPr>
            </w:pPr>
          </w:p>
        </w:tc>
        <w:tc>
          <w:tcPr>
            <w:tcW w:w="100" w:type="dxa"/>
            <w:vAlign w:val="bottom"/>
            <w:shd w:val="clear" w:color="auto" w:fill="007CBA"/>
          </w:tcPr>
          <w:p>
            <w:pPr>
              <w:spacing w:after="0"/>
              <w:rPr>
                <w:sz w:val="18"/>
                <w:szCs w:val="18"/>
                <w:color w:val="auto"/>
              </w:rPr>
            </w:pPr>
          </w:p>
        </w:tc>
        <w:tc>
          <w:tcPr>
            <w:tcW w:w="160" w:type="dxa"/>
            <w:vAlign w:val="bottom"/>
            <w:shd w:val="clear" w:color="auto" w:fill="007CBA"/>
          </w:tcPr>
          <w:p>
            <w:pPr>
              <w:spacing w:after="0"/>
              <w:rPr>
                <w:sz w:val="18"/>
                <w:szCs w:val="18"/>
                <w:color w:val="auto"/>
              </w:rPr>
            </w:pPr>
          </w:p>
        </w:tc>
        <w:tc>
          <w:tcPr>
            <w:tcW w:w="1080" w:type="dxa"/>
            <w:vAlign w:val="bottom"/>
            <w:tcBorders>
              <w:right w:val="single" w:sz="8" w:color="007CBA"/>
            </w:tcBorders>
            <w:shd w:val="clear" w:color="auto" w:fill="007CBA"/>
          </w:tcPr>
          <w:p>
            <w:pPr>
              <w:spacing w:after="0"/>
              <w:rPr>
                <w:sz w:val="18"/>
                <w:szCs w:val="18"/>
                <w:color w:val="auto"/>
              </w:rPr>
            </w:pPr>
          </w:p>
        </w:tc>
        <w:tc>
          <w:tcPr>
            <w:tcW w:w="100" w:type="dxa"/>
            <w:vAlign w:val="bottom"/>
            <w:shd w:val="clear" w:color="auto" w:fill="007CBA"/>
          </w:tcPr>
          <w:p>
            <w:pPr>
              <w:spacing w:after="0"/>
              <w:rPr>
                <w:sz w:val="18"/>
                <w:szCs w:val="18"/>
                <w:color w:val="auto"/>
              </w:rPr>
            </w:pPr>
          </w:p>
        </w:tc>
        <w:tc>
          <w:tcPr>
            <w:tcW w:w="120" w:type="dxa"/>
            <w:vAlign w:val="bottom"/>
            <w:shd w:val="clear" w:color="auto" w:fill="007CBA"/>
          </w:tcPr>
          <w:p>
            <w:pPr>
              <w:spacing w:after="0"/>
              <w:rPr>
                <w:sz w:val="18"/>
                <w:szCs w:val="18"/>
                <w:color w:val="auto"/>
              </w:rPr>
            </w:pPr>
          </w:p>
        </w:tc>
        <w:tc>
          <w:tcPr>
            <w:tcW w:w="960" w:type="dxa"/>
            <w:vAlign w:val="bottom"/>
            <w:tcBorders>
              <w:right w:val="single" w:sz="8" w:color="007CBA"/>
            </w:tcBorders>
            <w:shd w:val="clear" w:color="auto" w:fill="007CBA"/>
          </w:tcPr>
          <w:p>
            <w:pPr>
              <w:spacing w:after="0"/>
              <w:rPr>
                <w:sz w:val="18"/>
                <w:szCs w:val="18"/>
                <w:color w:val="auto"/>
              </w:rPr>
            </w:pPr>
          </w:p>
        </w:tc>
        <w:tc>
          <w:tcPr>
            <w:tcW w:w="220" w:type="dxa"/>
            <w:vAlign w:val="bottom"/>
            <w:shd w:val="clear" w:color="auto" w:fill="007CBA"/>
          </w:tcPr>
          <w:p>
            <w:pPr>
              <w:spacing w:after="0"/>
              <w:rPr>
                <w:sz w:val="18"/>
                <w:szCs w:val="18"/>
                <w:color w:val="auto"/>
              </w:rPr>
            </w:pPr>
          </w:p>
        </w:tc>
        <w:tc>
          <w:tcPr>
            <w:tcW w:w="940" w:type="dxa"/>
            <w:vAlign w:val="bottom"/>
            <w:shd w:val="clear" w:color="auto" w:fill="007CBA"/>
          </w:tcPr>
          <w:p>
            <w:pPr>
              <w:spacing w:after="0"/>
              <w:rPr>
                <w:sz w:val="18"/>
                <w:szCs w:val="18"/>
                <w:color w:val="auto"/>
              </w:rPr>
            </w:pPr>
          </w:p>
        </w:tc>
      </w:tr>
      <w:tr>
        <w:trPr>
          <w:trHeight w:val="203"/>
        </w:trPr>
        <w:tc>
          <w:tcPr>
            <w:tcW w:w="4800" w:type="dxa"/>
            <w:vAlign w:val="bottom"/>
            <w:tcBorders>
              <w:right w:val="single" w:sz="8" w:color="007CBA"/>
            </w:tcBorders>
            <w:shd w:val="clear" w:color="auto" w:fill="007CBA"/>
          </w:tcPr>
          <w:p>
            <w:pPr>
              <w:spacing w:after="0"/>
              <w:rPr>
                <w:sz w:val="17"/>
                <w:szCs w:val="17"/>
                <w:color w:val="auto"/>
              </w:rPr>
            </w:pPr>
          </w:p>
        </w:tc>
        <w:tc>
          <w:tcPr>
            <w:tcW w:w="240" w:type="dxa"/>
            <w:vAlign w:val="bottom"/>
            <w:shd w:val="clear" w:color="auto" w:fill="007CBA"/>
          </w:tcPr>
          <w:p>
            <w:pPr>
              <w:spacing w:after="0"/>
              <w:rPr>
                <w:sz w:val="17"/>
                <w:szCs w:val="17"/>
                <w:color w:val="auto"/>
              </w:rPr>
            </w:pPr>
          </w:p>
        </w:tc>
        <w:tc>
          <w:tcPr>
            <w:tcW w:w="1160" w:type="dxa"/>
            <w:vAlign w:val="bottom"/>
            <w:tcBorders>
              <w:right w:val="single" w:sz="8" w:color="007CBA"/>
            </w:tcBorders>
            <w:shd w:val="clear" w:color="auto" w:fill="007CBA"/>
          </w:tcPr>
          <w:p>
            <w:pPr>
              <w:jc w:val="center"/>
              <w:ind w:right="219"/>
              <w:spacing w:after="0"/>
              <w:rPr>
                <w:sz w:val="20"/>
                <w:szCs w:val="20"/>
                <w:color w:val="auto"/>
              </w:rPr>
            </w:pPr>
            <w:r>
              <w:rPr>
                <w:rFonts w:ascii="Calibri" w:cs="Calibri" w:eastAsia="Calibri" w:hAnsi="Calibri"/>
                <w:sz w:val="16"/>
                <w:szCs w:val="16"/>
                <w:b w:val="1"/>
                <w:bCs w:val="1"/>
                <w:color w:val="FFFFFF"/>
              </w:rPr>
              <w:t>in Actve</w:t>
            </w:r>
          </w:p>
        </w:tc>
        <w:tc>
          <w:tcPr>
            <w:tcW w:w="240" w:type="dxa"/>
            <w:vAlign w:val="bottom"/>
            <w:shd w:val="clear" w:color="auto" w:fill="007CBA"/>
          </w:tcPr>
          <w:p>
            <w:pPr>
              <w:spacing w:after="0"/>
              <w:rPr>
                <w:sz w:val="17"/>
                <w:szCs w:val="17"/>
                <w:color w:val="auto"/>
              </w:rPr>
            </w:pPr>
          </w:p>
        </w:tc>
        <w:tc>
          <w:tcPr>
            <w:tcW w:w="1120" w:type="dxa"/>
            <w:vAlign w:val="bottom"/>
            <w:tcBorders>
              <w:right w:val="single" w:sz="8" w:color="007CBA"/>
            </w:tcBorders>
            <w:shd w:val="clear" w:color="auto" w:fill="007CBA"/>
          </w:tcPr>
          <w:p>
            <w:pPr>
              <w:spacing w:after="0"/>
              <w:rPr>
                <w:sz w:val="17"/>
                <w:szCs w:val="17"/>
                <w:color w:val="auto"/>
              </w:rPr>
            </w:pPr>
          </w:p>
        </w:tc>
        <w:tc>
          <w:tcPr>
            <w:tcW w:w="100" w:type="dxa"/>
            <w:vAlign w:val="bottom"/>
            <w:shd w:val="clear" w:color="auto" w:fill="007CBA"/>
          </w:tcPr>
          <w:p>
            <w:pPr>
              <w:spacing w:after="0"/>
              <w:rPr>
                <w:sz w:val="17"/>
                <w:szCs w:val="17"/>
                <w:color w:val="auto"/>
              </w:rPr>
            </w:pPr>
          </w:p>
        </w:tc>
        <w:tc>
          <w:tcPr>
            <w:tcW w:w="160" w:type="dxa"/>
            <w:vAlign w:val="bottom"/>
            <w:shd w:val="clear" w:color="auto" w:fill="007CBA"/>
          </w:tcPr>
          <w:p>
            <w:pPr>
              <w:spacing w:after="0"/>
              <w:rPr>
                <w:sz w:val="17"/>
                <w:szCs w:val="17"/>
                <w:color w:val="auto"/>
              </w:rPr>
            </w:pPr>
          </w:p>
        </w:tc>
        <w:tc>
          <w:tcPr>
            <w:tcW w:w="1080" w:type="dxa"/>
            <w:vAlign w:val="bottom"/>
            <w:tcBorders>
              <w:right w:val="single" w:sz="8" w:color="007CBA"/>
            </w:tcBorders>
            <w:shd w:val="clear" w:color="auto" w:fill="007CBA"/>
          </w:tcPr>
          <w:p>
            <w:pPr>
              <w:spacing w:after="0"/>
              <w:rPr>
                <w:sz w:val="17"/>
                <w:szCs w:val="17"/>
                <w:color w:val="auto"/>
              </w:rPr>
            </w:pPr>
          </w:p>
        </w:tc>
        <w:tc>
          <w:tcPr>
            <w:tcW w:w="100" w:type="dxa"/>
            <w:vAlign w:val="bottom"/>
            <w:shd w:val="clear" w:color="auto" w:fill="007CBA"/>
          </w:tcPr>
          <w:p>
            <w:pPr>
              <w:spacing w:after="0"/>
              <w:rPr>
                <w:sz w:val="17"/>
                <w:szCs w:val="17"/>
                <w:color w:val="auto"/>
              </w:rPr>
            </w:pPr>
          </w:p>
        </w:tc>
        <w:tc>
          <w:tcPr>
            <w:tcW w:w="120" w:type="dxa"/>
            <w:vAlign w:val="bottom"/>
            <w:shd w:val="clear" w:color="auto" w:fill="007CBA"/>
          </w:tcPr>
          <w:p>
            <w:pPr>
              <w:spacing w:after="0"/>
              <w:rPr>
                <w:sz w:val="17"/>
                <w:szCs w:val="17"/>
                <w:color w:val="auto"/>
              </w:rPr>
            </w:pPr>
          </w:p>
        </w:tc>
        <w:tc>
          <w:tcPr>
            <w:tcW w:w="960" w:type="dxa"/>
            <w:vAlign w:val="bottom"/>
            <w:tcBorders>
              <w:right w:val="single" w:sz="8" w:color="007CBA"/>
            </w:tcBorders>
            <w:shd w:val="clear" w:color="auto" w:fill="007CBA"/>
          </w:tcPr>
          <w:p>
            <w:pPr>
              <w:spacing w:after="0"/>
              <w:rPr>
                <w:sz w:val="17"/>
                <w:szCs w:val="17"/>
                <w:color w:val="auto"/>
              </w:rPr>
            </w:pPr>
          </w:p>
        </w:tc>
        <w:tc>
          <w:tcPr>
            <w:tcW w:w="220" w:type="dxa"/>
            <w:vAlign w:val="bottom"/>
            <w:shd w:val="clear" w:color="auto" w:fill="007CBA"/>
          </w:tcPr>
          <w:p>
            <w:pPr>
              <w:spacing w:after="0"/>
              <w:rPr>
                <w:sz w:val="17"/>
                <w:szCs w:val="17"/>
                <w:color w:val="auto"/>
              </w:rPr>
            </w:pPr>
          </w:p>
        </w:tc>
        <w:tc>
          <w:tcPr>
            <w:tcW w:w="940" w:type="dxa"/>
            <w:vAlign w:val="bottom"/>
            <w:shd w:val="clear" w:color="auto" w:fill="007CBA"/>
          </w:tcPr>
          <w:p>
            <w:pPr>
              <w:spacing w:after="0"/>
              <w:rPr>
                <w:sz w:val="17"/>
                <w:szCs w:val="17"/>
                <w:color w:val="auto"/>
              </w:rPr>
            </w:pPr>
          </w:p>
        </w:tc>
      </w:tr>
      <w:tr>
        <w:trPr>
          <w:trHeight w:val="203"/>
        </w:trPr>
        <w:tc>
          <w:tcPr>
            <w:tcW w:w="4800" w:type="dxa"/>
            <w:vAlign w:val="bottom"/>
            <w:tcBorders>
              <w:right w:val="single" w:sz="8" w:color="007CBA"/>
            </w:tcBorders>
            <w:shd w:val="clear" w:color="auto" w:fill="007CBA"/>
          </w:tcPr>
          <w:p>
            <w:pPr>
              <w:spacing w:after="0"/>
              <w:rPr>
                <w:sz w:val="17"/>
                <w:szCs w:val="17"/>
                <w:color w:val="auto"/>
              </w:rPr>
            </w:pPr>
          </w:p>
        </w:tc>
        <w:tc>
          <w:tcPr>
            <w:tcW w:w="240" w:type="dxa"/>
            <w:vAlign w:val="bottom"/>
            <w:shd w:val="clear" w:color="auto" w:fill="007CBA"/>
          </w:tcPr>
          <w:p>
            <w:pPr>
              <w:spacing w:after="0"/>
              <w:rPr>
                <w:sz w:val="17"/>
                <w:szCs w:val="17"/>
                <w:color w:val="auto"/>
              </w:rPr>
            </w:pPr>
          </w:p>
        </w:tc>
        <w:tc>
          <w:tcPr>
            <w:tcW w:w="1160" w:type="dxa"/>
            <w:vAlign w:val="bottom"/>
            <w:tcBorders>
              <w:right w:val="single" w:sz="8" w:color="007CBA"/>
            </w:tcBorders>
            <w:shd w:val="clear" w:color="auto" w:fill="007CBA"/>
          </w:tcPr>
          <w:p>
            <w:pPr>
              <w:jc w:val="center"/>
              <w:ind w:right="199"/>
              <w:spacing w:after="0"/>
              <w:rPr>
                <w:sz w:val="20"/>
                <w:szCs w:val="20"/>
                <w:color w:val="auto"/>
              </w:rPr>
            </w:pPr>
            <w:r>
              <w:rPr>
                <w:rFonts w:ascii="Calibri" w:cs="Calibri" w:eastAsia="Calibri" w:hAnsi="Calibri"/>
                <w:sz w:val="16"/>
                <w:szCs w:val="16"/>
                <w:b w:val="1"/>
                <w:bCs w:val="1"/>
                <w:color w:val="FFFFFF"/>
              </w:rPr>
              <w:t>Markets</w:t>
            </w:r>
          </w:p>
        </w:tc>
        <w:tc>
          <w:tcPr>
            <w:tcW w:w="240" w:type="dxa"/>
            <w:vAlign w:val="bottom"/>
            <w:shd w:val="clear" w:color="auto" w:fill="007CBA"/>
          </w:tcPr>
          <w:p>
            <w:pPr>
              <w:spacing w:after="0"/>
              <w:rPr>
                <w:sz w:val="17"/>
                <w:szCs w:val="17"/>
                <w:color w:val="auto"/>
              </w:rPr>
            </w:pPr>
          </w:p>
        </w:tc>
        <w:tc>
          <w:tcPr>
            <w:tcW w:w="1220" w:type="dxa"/>
            <w:vAlign w:val="bottom"/>
            <w:gridSpan w:val="2"/>
            <w:shd w:val="clear" w:color="auto" w:fill="007CBA"/>
          </w:tcPr>
          <w:p>
            <w:pPr>
              <w:jc w:val="center"/>
              <w:ind w:right="400"/>
              <w:spacing w:after="0"/>
              <w:rPr>
                <w:sz w:val="20"/>
                <w:szCs w:val="20"/>
                <w:color w:val="auto"/>
              </w:rPr>
            </w:pPr>
            <w:r>
              <w:rPr>
                <w:rFonts w:ascii="Calibri" w:cs="Calibri" w:eastAsia="Calibri" w:hAnsi="Calibri"/>
                <w:sz w:val="16"/>
                <w:szCs w:val="16"/>
                <w:b w:val="1"/>
                <w:bCs w:val="1"/>
                <w:color w:val="FFFFFF"/>
              </w:rPr>
              <w:t>Signifcant</w:t>
            </w:r>
          </w:p>
        </w:tc>
        <w:tc>
          <w:tcPr>
            <w:tcW w:w="160" w:type="dxa"/>
            <w:vAlign w:val="bottom"/>
            <w:shd w:val="clear" w:color="auto" w:fill="007CBA"/>
          </w:tcPr>
          <w:p>
            <w:pPr>
              <w:spacing w:after="0"/>
              <w:rPr>
                <w:sz w:val="17"/>
                <w:szCs w:val="17"/>
                <w:color w:val="auto"/>
              </w:rPr>
            </w:pPr>
          </w:p>
        </w:tc>
        <w:tc>
          <w:tcPr>
            <w:tcW w:w="1180" w:type="dxa"/>
            <w:vAlign w:val="bottom"/>
            <w:gridSpan w:val="2"/>
            <w:shd w:val="clear" w:color="auto" w:fill="007CBA"/>
          </w:tcPr>
          <w:p>
            <w:pPr>
              <w:jc w:val="center"/>
              <w:ind w:right="400"/>
              <w:spacing w:after="0"/>
              <w:rPr>
                <w:sz w:val="20"/>
                <w:szCs w:val="20"/>
                <w:color w:val="auto"/>
              </w:rPr>
            </w:pPr>
            <w:r>
              <w:rPr>
                <w:rFonts w:ascii="Calibri" w:cs="Calibri" w:eastAsia="Calibri" w:hAnsi="Calibri"/>
                <w:sz w:val="16"/>
                <w:szCs w:val="16"/>
                <w:b w:val="1"/>
                <w:bCs w:val="1"/>
                <w:color w:val="FFFFFF"/>
              </w:rPr>
              <w:t>Signifcant</w:t>
            </w:r>
          </w:p>
        </w:tc>
        <w:tc>
          <w:tcPr>
            <w:tcW w:w="120" w:type="dxa"/>
            <w:vAlign w:val="bottom"/>
            <w:shd w:val="clear" w:color="auto" w:fill="007CBA"/>
          </w:tcPr>
          <w:p>
            <w:pPr>
              <w:spacing w:after="0"/>
              <w:rPr>
                <w:sz w:val="17"/>
                <w:szCs w:val="17"/>
                <w:color w:val="auto"/>
              </w:rPr>
            </w:pPr>
          </w:p>
        </w:tc>
        <w:tc>
          <w:tcPr>
            <w:tcW w:w="960" w:type="dxa"/>
            <w:vAlign w:val="bottom"/>
            <w:tcBorders>
              <w:right w:val="single" w:sz="8" w:color="007CBA"/>
            </w:tcBorders>
            <w:shd w:val="clear" w:color="auto" w:fill="007CBA"/>
          </w:tcPr>
          <w:p>
            <w:pPr>
              <w:spacing w:after="0"/>
              <w:rPr>
                <w:sz w:val="17"/>
                <w:szCs w:val="17"/>
                <w:color w:val="auto"/>
              </w:rPr>
            </w:pPr>
          </w:p>
        </w:tc>
        <w:tc>
          <w:tcPr>
            <w:tcW w:w="220" w:type="dxa"/>
            <w:vAlign w:val="bottom"/>
            <w:shd w:val="clear" w:color="auto" w:fill="007CBA"/>
          </w:tcPr>
          <w:p>
            <w:pPr>
              <w:spacing w:after="0"/>
              <w:rPr>
                <w:sz w:val="17"/>
                <w:szCs w:val="17"/>
                <w:color w:val="auto"/>
              </w:rPr>
            </w:pPr>
          </w:p>
        </w:tc>
        <w:tc>
          <w:tcPr>
            <w:tcW w:w="940" w:type="dxa"/>
            <w:vAlign w:val="bottom"/>
            <w:shd w:val="clear" w:color="auto" w:fill="007CBA"/>
          </w:tcPr>
          <w:p>
            <w:pPr>
              <w:spacing w:after="0"/>
              <w:rPr>
                <w:sz w:val="17"/>
                <w:szCs w:val="17"/>
                <w:color w:val="auto"/>
              </w:rPr>
            </w:pPr>
          </w:p>
        </w:tc>
      </w:tr>
      <w:tr>
        <w:trPr>
          <w:trHeight w:val="202"/>
        </w:trPr>
        <w:tc>
          <w:tcPr>
            <w:tcW w:w="4800" w:type="dxa"/>
            <w:vAlign w:val="bottom"/>
            <w:tcBorders>
              <w:right w:val="single" w:sz="8" w:color="007CBA"/>
            </w:tcBorders>
            <w:shd w:val="clear" w:color="auto" w:fill="007CBA"/>
          </w:tcPr>
          <w:p>
            <w:pPr>
              <w:spacing w:after="0"/>
              <w:rPr>
                <w:sz w:val="17"/>
                <w:szCs w:val="17"/>
                <w:color w:val="auto"/>
              </w:rPr>
            </w:pPr>
          </w:p>
        </w:tc>
        <w:tc>
          <w:tcPr>
            <w:tcW w:w="240" w:type="dxa"/>
            <w:vAlign w:val="bottom"/>
            <w:shd w:val="clear" w:color="auto" w:fill="007CBA"/>
          </w:tcPr>
          <w:p>
            <w:pPr>
              <w:spacing w:after="0"/>
              <w:rPr>
                <w:sz w:val="17"/>
                <w:szCs w:val="17"/>
                <w:color w:val="auto"/>
              </w:rPr>
            </w:pPr>
          </w:p>
        </w:tc>
        <w:tc>
          <w:tcPr>
            <w:tcW w:w="1160" w:type="dxa"/>
            <w:vAlign w:val="bottom"/>
            <w:tcBorders>
              <w:right w:val="single" w:sz="8" w:color="007CBA"/>
            </w:tcBorders>
            <w:shd w:val="clear" w:color="auto" w:fill="007CBA"/>
          </w:tcPr>
          <w:p>
            <w:pPr>
              <w:jc w:val="center"/>
              <w:ind w:right="199"/>
              <w:spacing w:after="0"/>
              <w:rPr>
                <w:sz w:val="20"/>
                <w:szCs w:val="20"/>
                <w:color w:val="auto"/>
              </w:rPr>
            </w:pPr>
            <w:r>
              <w:rPr>
                <w:rFonts w:ascii="Calibri" w:cs="Calibri" w:eastAsia="Calibri" w:hAnsi="Calibri"/>
                <w:sz w:val="16"/>
                <w:szCs w:val="16"/>
                <w:b w:val="1"/>
                <w:bCs w:val="1"/>
                <w:color w:val="FFFFFF"/>
              </w:rPr>
              <w:t>for Identcal</w:t>
            </w:r>
          </w:p>
        </w:tc>
        <w:tc>
          <w:tcPr>
            <w:tcW w:w="240" w:type="dxa"/>
            <w:vAlign w:val="bottom"/>
            <w:shd w:val="clear" w:color="auto" w:fill="007CBA"/>
          </w:tcPr>
          <w:p>
            <w:pPr>
              <w:spacing w:after="0"/>
              <w:rPr>
                <w:sz w:val="17"/>
                <w:szCs w:val="17"/>
                <w:color w:val="auto"/>
              </w:rPr>
            </w:pPr>
          </w:p>
        </w:tc>
        <w:tc>
          <w:tcPr>
            <w:tcW w:w="1220" w:type="dxa"/>
            <w:vAlign w:val="bottom"/>
            <w:gridSpan w:val="2"/>
            <w:shd w:val="clear" w:color="auto" w:fill="007CBA"/>
          </w:tcPr>
          <w:p>
            <w:pPr>
              <w:jc w:val="center"/>
              <w:ind w:right="380"/>
              <w:spacing w:after="0"/>
              <w:rPr>
                <w:sz w:val="20"/>
                <w:szCs w:val="20"/>
                <w:color w:val="auto"/>
              </w:rPr>
            </w:pPr>
            <w:r>
              <w:rPr>
                <w:rFonts w:ascii="Calibri" w:cs="Calibri" w:eastAsia="Calibri" w:hAnsi="Calibri"/>
                <w:sz w:val="16"/>
                <w:szCs w:val="16"/>
                <w:b w:val="1"/>
                <w:bCs w:val="1"/>
                <w:color w:val="FFFFFF"/>
              </w:rPr>
              <w:t>Observable</w:t>
            </w:r>
          </w:p>
        </w:tc>
        <w:tc>
          <w:tcPr>
            <w:tcW w:w="1340" w:type="dxa"/>
            <w:vAlign w:val="bottom"/>
            <w:gridSpan w:val="3"/>
            <w:shd w:val="clear" w:color="auto" w:fill="007CBA"/>
          </w:tcPr>
          <w:p>
            <w:pPr>
              <w:jc w:val="center"/>
              <w:ind w:right="240"/>
              <w:spacing w:after="0"/>
              <w:rPr>
                <w:sz w:val="20"/>
                <w:szCs w:val="20"/>
                <w:color w:val="auto"/>
              </w:rPr>
            </w:pPr>
            <w:r>
              <w:rPr>
                <w:rFonts w:ascii="Calibri" w:cs="Calibri" w:eastAsia="Calibri" w:hAnsi="Calibri"/>
                <w:sz w:val="16"/>
                <w:szCs w:val="16"/>
                <w:b w:val="1"/>
                <w:bCs w:val="1"/>
                <w:color w:val="FFFFFF"/>
              </w:rPr>
              <w:t>Unobservable</w:t>
            </w:r>
          </w:p>
        </w:tc>
        <w:tc>
          <w:tcPr>
            <w:tcW w:w="120" w:type="dxa"/>
            <w:vAlign w:val="bottom"/>
            <w:shd w:val="clear" w:color="auto" w:fill="007CBA"/>
          </w:tcPr>
          <w:p>
            <w:pPr>
              <w:spacing w:after="0"/>
              <w:rPr>
                <w:sz w:val="17"/>
                <w:szCs w:val="17"/>
                <w:color w:val="auto"/>
              </w:rPr>
            </w:pPr>
          </w:p>
        </w:tc>
        <w:tc>
          <w:tcPr>
            <w:tcW w:w="960" w:type="dxa"/>
            <w:vAlign w:val="bottom"/>
            <w:tcBorders>
              <w:right w:val="single" w:sz="8" w:color="007CBA"/>
            </w:tcBorders>
            <w:shd w:val="clear" w:color="auto" w:fill="007CBA"/>
          </w:tcPr>
          <w:p>
            <w:pPr>
              <w:spacing w:after="0"/>
              <w:rPr>
                <w:sz w:val="17"/>
                <w:szCs w:val="17"/>
                <w:color w:val="auto"/>
              </w:rPr>
            </w:pPr>
          </w:p>
        </w:tc>
        <w:tc>
          <w:tcPr>
            <w:tcW w:w="220" w:type="dxa"/>
            <w:vAlign w:val="bottom"/>
            <w:shd w:val="clear" w:color="auto" w:fill="007CBA"/>
          </w:tcPr>
          <w:p>
            <w:pPr>
              <w:spacing w:after="0"/>
              <w:rPr>
                <w:sz w:val="17"/>
                <w:szCs w:val="17"/>
                <w:color w:val="auto"/>
              </w:rPr>
            </w:pPr>
          </w:p>
        </w:tc>
        <w:tc>
          <w:tcPr>
            <w:tcW w:w="940" w:type="dxa"/>
            <w:vAlign w:val="bottom"/>
            <w:shd w:val="clear" w:color="auto" w:fill="007CBA"/>
          </w:tcPr>
          <w:p>
            <w:pPr>
              <w:spacing w:after="0"/>
              <w:rPr>
                <w:sz w:val="17"/>
                <w:szCs w:val="17"/>
                <w:color w:val="auto"/>
              </w:rPr>
            </w:pPr>
          </w:p>
        </w:tc>
      </w:tr>
      <w:tr>
        <w:trPr>
          <w:trHeight w:val="203"/>
        </w:trPr>
        <w:tc>
          <w:tcPr>
            <w:tcW w:w="4800" w:type="dxa"/>
            <w:vAlign w:val="bottom"/>
            <w:tcBorders>
              <w:right w:val="single" w:sz="8" w:color="007CBA"/>
            </w:tcBorders>
            <w:shd w:val="clear" w:color="auto" w:fill="007CBA"/>
          </w:tcPr>
          <w:p>
            <w:pPr>
              <w:spacing w:after="0"/>
              <w:rPr>
                <w:sz w:val="17"/>
                <w:szCs w:val="17"/>
                <w:color w:val="auto"/>
              </w:rPr>
            </w:pPr>
          </w:p>
        </w:tc>
        <w:tc>
          <w:tcPr>
            <w:tcW w:w="240" w:type="dxa"/>
            <w:vAlign w:val="bottom"/>
            <w:shd w:val="clear" w:color="auto" w:fill="007CBA"/>
          </w:tcPr>
          <w:p>
            <w:pPr>
              <w:spacing w:after="0"/>
              <w:rPr>
                <w:sz w:val="17"/>
                <w:szCs w:val="17"/>
                <w:color w:val="auto"/>
              </w:rPr>
            </w:pPr>
          </w:p>
        </w:tc>
        <w:tc>
          <w:tcPr>
            <w:tcW w:w="1160" w:type="dxa"/>
            <w:vAlign w:val="bottom"/>
            <w:tcBorders>
              <w:right w:val="single" w:sz="8" w:color="007CBA"/>
            </w:tcBorders>
            <w:shd w:val="clear" w:color="auto" w:fill="007CBA"/>
          </w:tcPr>
          <w:p>
            <w:pPr>
              <w:jc w:val="center"/>
              <w:ind w:right="199"/>
              <w:spacing w:after="0"/>
              <w:rPr>
                <w:sz w:val="20"/>
                <w:szCs w:val="20"/>
                <w:color w:val="auto"/>
              </w:rPr>
            </w:pPr>
            <w:r>
              <w:rPr>
                <w:rFonts w:ascii="Calibri" w:cs="Calibri" w:eastAsia="Calibri" w:hAnsi="Calibri"/>
                <w:sz w:val="16"/>
                <w:szCs w:val="16"/>
                <w:b w:val="1"/>
                <w:bCs w:val="1"/>
                <w:color w:val="FFFFFF"/>
              </w:rPr>
              <w:t>Assets</w:t>
            </w:r>
          </w:p>
        </w:tc>
        <w:tc>
          <w:tcPr>
            <w:tcW w:w="240" w:type="dxa"/>
            <w:vAlign w:val="bottom"/>
            <w:shd w:val="clear" w:color="auto" w:fill="007CBA"/>
          </w:tcPr>
          <w:p>
            <w:pPr>
              <w:spacing w:after="0"/>
              <w:rPr>
                <w:sz w:val="17"/>
                <w:szCs w:val="17"/>
                <w:color w:val="auto"/>
              </w:rPr>
            </w:pPr>
          </w:p>
        </w:tc>
        <w:tc>
          <w:tcPr>
            <w:tcW w:w="1220" w:type="dxa"/>
            <w:vAlign w:val="bottom"/>
            <w:gridSpan w:val="2"/>
            <w:shd w:val="clear" w:color="auto" w:fill="007CBA"/>
          </w:tcPr>
          <w:p>
            <w:pPr>
              <w:jc w:val="center"/>
              <w:ind w:right="400"/>
              <w:spacing w:after="0"/>
              <w:rPr>
                <w:sz w:val="20"/>
                <w:szCs w:val="20"/>
                <w:color w:val="auto"/>
              </w:rPr>
            </w:pPr>
            <w:r>
              <w:rPr>
                <w:rFonts w:ascii="Calibri" w:cs="Calibri" w:eastAsia="Calibri" w:hAnsi="Calibri"/>
                <w:sz w:val="16"/>
                <w:szCs w:val="16"/>
                <w:b w:val="1"/>
                <w:bCs w:val="1"/>
                <w:color w:val="FFFFFF"/>
                <w:w w:val="99"/>
              </w:rPr>
              <w:t>Inputs</w:t>
            </w:r>
          </w:p>
        </w:tc>
        <w:tc>
          <w:tcPr>
            <w:tcW w:w="160" w:type="dxa"/>
            <w:vAlign w:val="bottom"/>
            <w:shd w:val="clear" w:color="auto" w:fill="007CBA"/>
          </w:tcPr>
          <w:p>
            <w:pPr>
              <w:spacing w:after="0"/>
              <w:rPr>
                <w:sz w:val="17"/>
                <w:szCs w:val="17"/>
                <w:color w:val="auto"/>
              </w:rPr>
            </w:pPr>
          </w:p>
        </w:tc>
        <w:tc>
          <w:tcPr>
            <w:tcW w:w="1180" w:type="dxa"/>
            <w:vAlign w:val="bottom"/>
            <w:gridSpan w:val="2"/>
            <w:shd w:val="clear" w:color="auto" w:fill="007CBA"/>
          </w:tcPr>
          <w:p>
            <w:pPr>
              <w:jc w:val="center"/>
              <w:ind w:right="400"/>
              <w:spacing w:after="0"/>
              <w:rPr>
                <w:sz w:val="20"/>
                <w:szCs w:val="20"/>
                <w:color w:val="auto"/>
              </w:rPr>
            </w:pPr>
            <w:r>
              <w:rPr>
                <w:rFonts w:ascii="Calibri" w:cs="Calibri" w:eastAsia="Calibri" w:hAnsi="Calibri"/>
                <w:sz w:val="16"/>
                <w:szCs w:val="16"/>
                <w:b w:val="1"/>
                <w:bCs w:val="1"/>
                <w:color w:val="FFFFFF"/>
                <w:w w:val="99"/>
              </w:rPr>
              <w:t>Inputs</w:t>
            </w:r>
          </w:p>
        </w:tc>
        <w:tc>
          <w:tcPr>
            <w:tcW w:w="120" w:type="dxa"/>
            <w:vAlign w:val="bottom"/>
            <w:shd w:val="clear" w:color="auto" w:fill="007CBA"/>
          </w:tcPr>
          <w:p>
            <w:pPr>
              <w:spacing w:after="0"/>
              <w:rPr>
                <w:sz w:val="17"/>
                <w:szCs w:val="17"/>
                <w:color w:val="auto"/>
              </w:rPr>
            </w:pPr>
          </w:p>
        </w:tc>
        <w:tc>
          <w:tcPr>
            <w:tcW w:w="960" w:type="dxa"/>
            <w:vAlign w:val="bottom"/>
            <w:tcBorders>
              <w:right w:val="single" w:sz="8" w:color="007CBA"/>
            </w:tcBorders>
            <w:shd w:val="clear" w:color="auto" w:fill="007CBA"/>
          </w:tcPr>
          <w:p>
            <w:pPr>
              <w:jc w:val="right"/>
              <w:ind w:right="199"/>
              <w:spacing w:after="0"/>
              <w:rPr>
                <w:sz w:val="20"/>
                <w:szCs w:val="20"/>
                <w:color w:val="auto"/>
              </w:rPr>
            </w:pPr>
            <w:r>
              <w:rPr>
                <w:rFonts w:ascii="Calibri" w:cs="Calibri" w:eastAsia="Calibri" w:hAnsi="Calibri"/>
                <w:sz w:val="16"/>
                <w:szCs w:val="16"/>
                <w:b w:val="1"/>
                <w:bCs w:val="1"/>
                <w:color w:val="FFFFFF"/>
              </w:rPr>
              <w:t>Net Asset</w:t>
            </w:r>
          </w:p>
        </w:tc>
        <w:tc>
          <w:tcPr>
            <w:tcW w:w="220" w:type="dxa"/>
            <w:vAlign w:val="bottom"/>
            <w:shd w:val="clear" w:color="auto" w:fill="007CBA"/>
          </w:tcPr>
          <w:p>
            <w:pPr>
              <w:spacing w:after="0"/>
              <w:rPr>
                <w:sz w:val="17"/>
                <w:szCs w:val="17"/>
                <w:color w:val="auto"/>
              </w:rPr>
            </w:pPr>
          </w:p>
        </w:tc>
        <w:tc>
          <w:tcPr>
            <w:tcW w:w="940" w:type="dxa"/>
            <w:vAlign w:val="bottom"/>
            <w:shd w:val="clear" w:color="auto" w:fill="007CBA"/>
          </w:tcPr>
          <w:p>
            <w:pPr>
              <w:jc w:val="right"/>
              <w:ind w:right="219"/>
              <w:spacing w:after="0"/>
              <w:rPr>
                <w:sz w:val="20"/>
                <w:szCs w:val="20"/>
                <w:color w:val="auto"/>
              </w:rPr>
            </w:pPr>
            <w:r>
              <w:rPr>
                <w:rFonts w:ascii="Calibri" w:cs="Calibri" w:eastAsia="Calibri" w:hAnsi="Calibri"/>
                <w:sz w:val="16"/>
                <w:szCs w:val="16"/>
                <w:b w:val="1"/>
                <w:bCs w:val="1"/>
                <w:color w:val="FFFFFF"/>
                <w:w w:val="99"/>
              </w:rPr>
              <w:t>Total Fair</w:t>
            </w:r>
          </w:p>
        </w:tc>
      </w:tr>
      <w:tr>
        <w:trPr>
          <w:trHeight w:val="216"/>
        </w:trPr>
        <w:tc>
          <w:tcPr>
            <w:tcW w:w="480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6"/>
                <w:szCs w:val="16"/>
                <w:i w:val="1"/>
                <w:iCs w:val="1"/>
                <w:color w:val="FFFFFF"/>
              </w:rPr>
              <w:t>December 31</w:t>
            </w:r>
          </w:p>
        </w:tc>
        <w:tc>
          <w:tcPr>
            <w:tcW w:w="24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jc w:val="center"/>
              <w:ind w:right="159"/>
              <w:spacing w:after="0"/>
              <w:rPr>
                <w:sz w:val="20"/>
                <w:szCs w:val="20"/>
                <w:color w:val="auto"/>
              </w:rPr>
            </w:pPr>
            <w:r>
              <w:rPr>
                <w:rFonts w:ascii="Calibri" w:cs="Calibri" w:eastAsia="Calibri" w:hAnsi="Calibri"/>
                <w:sz w:val="16"/>
                <w:szCs w:val="16"/>
                <w:b w:val="1"/>
                <w:bCs w:val="1"/>
                <w:color w:val="FFFFFF"/>
                <w:w w:val="99"/>
              </w:rPr>
              <w:t>(Level 1)</w:t>
            </w:r>
          </w:p>
        </w:tc>
        <w:tc>
          <w:tcPr>
            <w:tcW w:w="240" w:type="dxa"/>
            <w:vAlign w:val="bottom"/>
            <w:shd w:val="clear" w:color="auto" w:fill="007CBA"/>
          </w:tcPr>
          <w:p>
            <w:pPr>
              <w:spacing w:after="0"/>
              <w:rPr>
                <w:sz w:val="18"/>
                <w:szCs w:val="18"/>
                <w:color w:val="auto"/>
              </w:rPr>
            </w:pPr>
          </w:p>
        </w:tc>
        <w:tc>
          <w:tcPr>
            <w:tcW w:w="1220" w:type="dxa"/>
            <w:vAlign w:val="bottom"/>
            <w:gridSpan w:val="2"/>
            <w:shd w:val="clear" w:color="auto" w:fill="007CBA"/>
          </w:tcPr>
          <w:p>
            <w:pPr>
              <w:jc w:val="center"/>
              <w:ind w:right="340"/>
              <w:spacing w:after="0"/>
              <w:rPr>
                <w:sz w:val="20"/>
                <w:szCs w:val="20"/>
                <w:color w:val="auto"/>
              </w:rPr>
            </w:pPr>
            <w:r>
              <w:rPr>
                <w:rFonts w:ascii="Calibri" w:cs="Calibri" w:eastAsia="Calibri" w:hAnsi="Calibri"/>
                <w:sz w:val="16"/>
                <w:szCs w:val="16"/>
                <w:b w:val="1"/>
                <w:bCs w:val="1"/>
                <w:color w:val="FFFFFF"/>
                <w:w w:val="99"/>
              </w:rPr>
              <w:t>(Level 2)</w:t>
            </w:r>
          </w:p>
        </w:tc>
        <w:tc>
          <w:tcPr>
            <w:tcW w:w="160" w:type="dxa"/>
            <w:vAlign w:val="bottom"/>
            <w:shd w:val="clear" w:color="auto" w:fill="007CBA"/>
          </w:tcPr>
          <w:p>
            <w:pPr>
              <w:spacing w:after="0"/>
              <w:rPr>
                <w:sz w:val="18"/>
                <w:szCs w:val="18"/>
                <w:color w:val="auto"/>
              </w:rPr>
            </w:pPr>
          </w:p>
        </w:tc>
        <w:tc>
          <w:tcPr>
            <w:tcW w:w="1180" w:type="dxa"/>
            <w:vAlign w:val="bottom"/>
            <w:gridSpan w:val="2"/>
            <w:shd w:val="clear" w:color="auto" w:fill="007CBA"/>
          </w:tcPr>
          <w:p>
            <w:pPr>
              <w:jc w:val="center"/>
              <w:ind w:right="360"/>
              <w:spacing w:after="0"/>
              <w:rPr>
                <w:sz w:val="20"/>
                <w:szCs w:val="20"/>
                <w:color w:val="auto"/>
              </w:rPr>
            </w:pPr>
            <w:r>
              <w:rPr>
                <w:rFonts w:ascii="Calibri" w:cs="Calibri" w:eastAsia="Calibri" w:hAnsi="Calibri"/>
                <w:sz w:val="16"/>
                <w:szCs w:val="16"/>
                <w:b w:val="1"/>
                <w:bCs w:val="1"/>
                <w:color w:val="FFFFFF"/>
              </w:rPr>
              <w:t>(Level 3)</w:t>
            </w:r>
          </w:p>
        </w:tc>
        <w:tc>
          <w:tcPr>
            <w:tcW w:w="120" w:type="dxa"/>
            <w:vAlign w:val="bottom"/>
            <w:shd w:val="clear" w:color="auto" w:fill="007CBA"/>
          </w:tcPr>
          <w:p>
            <w:pPr>
              <w:spacing w:after="0"/>
              <w:rPr>
                <w:sz w:val="18"/>
                <w:szCs w:val="18"/>
                <w:color w:val="auto"/>
              </w:rPr>
            </w:pPr>
          </w:p>
        </w:tc>
        <w:tc>
          <w:tcPr>
            <w:tcW w:w="960" w:type="dxa"/>
            <w:vAlign w:val="bottom"/>
            <w:tcBorders>
              <w:right w:val="single" w:sz="8" w:color="007CBA"/>
            </w:tcBorders>
            <w:shd w:val="clear" w:color="auto" w:fill="007CBA"/>
          </w:tcPr>
          <w:p>
            <w:pPr>
              <w:jc w:val="right"/>
              <w:ind w:right="339"/>
              <w:spacing w:after="0"/>
              <w:rPr>
                <w:sz w:val="20"/>
                <w:szCs w:val="20"/>
                <w:color w:val="auto"/>
              </w:rPr>
            </w:pPr>
            <w:r>
              <w:rPr>
                <w:rFonts w:ascii="Calibri" w:cs="Calibri" w:eastAsia="Calibri" w:hAnsi="Calibri"/>
                <w:sz w:val="16"/>
                <w:szCs w:val="16"/>
                <w:b w:val="1"/>
                <w:bCs w:val="1"/>
                <w:color w:val="FFFFFF"/>
              </w:rPr>
              <w:t>Value</w:t>
            </w:r>
          </w:p>
        </w:tc>
        <w:tc>
          <w:tcPr>
            <w:tcW w:w="220" w:type="dxa"/>
            <w:vAlign w:val="bottom"/>
            <w:shd w:val="clear" w:color="auto" w:fill="007CBA"/>
          </w:tcPr>
          <w:p>
            <w:pPr>
              <w:spacing w:after="0"/>
              <w:rPr>
                <w:sz w:val="18"/>
                <w:szCs w:val="18"/>
                <w:color w:val="auto"/>
              </w:rPr>
            </w:pPr>
          </w:p>
        </w:tc>
        <w:tc>
          <w:tcPr>
            <w:tcW w:w="940" w:type="dxa"/>
            <w:vAlign w:val="bottom"/>
            <w:shd w:val="clear" w:color="auto" w:fill="007CBA"/>
          </w:tcPr>
          <w:p>
            <w:pPr>
              <w:jc w:val="right"/>
              <w:ind w:right="319"/>
              <w:spacing w:after="0"/>
              <w:rPr>
                <w:sz w:val="20"/>
                <w:szCs w:val="20"/>
                <w:color w:val="auto"/>
              </w:rPr>
            </w:pPr>
            <w:r>
              <w:rPr>
                <w:rFonts w:ascii="Calibri" w:cs="Calibri" w:eastAsia="Calibri" w:hAnsi="Calibri"/>
                <w:sz w:val="16"/>
                <w:szCs w:val="16"/>
                <w:b w:val="1"/>
                <w:bCs w:val="1"/>
                <w:color w:val="FFFFFF"/>
              </w:rPr>
              <w:t>Value</w:t>
            </w:r>
          </w:p>
        </w:tc>
      </w:tr>
      <w:tr>
        <w:trPr>
          <w:trHeight w:val="250"/>
        </w:trPr>
        <w:tc>
          <w:tcPr>
            <w:tcW w:w="4800" w:type="dxa"/>
            <w:vAlign w:val="bottom"/>
            <w:tcBorders>
              <w:bottom w:val="single" w:sz="8" w:color="007CBA"/>
              <w:right w:val="single" w:sz="8" w:color="007CBA"/>
            </w:tcBorders>
            <w:shd w:val="clear" w:color="auto" w:fill="007CBA"/>
          </w:tcPr>
          <w:p>
            <w:pPr>
              <w:ind w:left="120"/>
              <w:spacing w:after="0"/>
              <w:rPr>
                <w:sz w:val="20"/>
                <w:szCs w:val="20"/>
                <w:color w:val="auto"/>
              </w:rPr>
            </w:pPr>
            <w:r>
              <w:rPr>
                <w:rFonts w:ascii="Calibri" w:cs="Calibri" w:eastAsia="Calibri" w:hAnsi="Calibri"/>
                <w:sz w:val="16"/>
                <w:szCs w:val="16"/>
                <w:color w:val="FFFFFF"/>
              </w:rPr>
              <w:t>(in millions)</w:t>
            </w:r>
          </w:p>
        </w:tc>
        <w:tc>
          <w:tcPr>
            <w:tcW w:w="240" w:type="dxa"/>
            <w:vAlign w:val="bottom"/>
            <w:tcBorders>
              <w:bottom w:val="single" w:sz="8" w:color="007CBA"/>
            </w:tcBorders>
            <w:shd w:val="clear" w:color="auto" w:fill="007CBA"/>
          </w:tcPr>
          <w:p>
            <w:pPr>
              <w:spacing w:after="0"/>
              <w:rPr>
                <w:sz w:val="21"/>
                <w:szCs w:val="21"/>
                <w:color w:val="auto"/>
              </w:rPr>
            </w:pPr>
          </w:p>
        </w:tc>
        <w:tc>
          <w:tcPr>
            <w:tcW w:w="1160" w:type="dxa"/>
            <w:vAlign w:val="bottom"/>
            <w:tcBorders>
              <w:bottom w:val="single" w:sz="8" w:color="007CBA"/>
              <w:right w:val="single" w:sz="8" w:color="007CBA"/>
            </w:tcBorders>
            <w:shd w:val="clear" w:color="auto" w:fill="007CBA"/>
          </w:tcPr>
          <w:p>
            <w:pPr>
              <w:spacing w:after="0"/>
              <w:rPr>
                <w:sz w:val="21"/>
                <w:szCs w:val="21"/>
                <w:color w:val="auto"/>
              </w:rPr>
            </w:pPr>
          </w:p>
        </w:tc>
        <w:tc>
          <w:tcPr>
            <w:tcW w:w="240" w:type="dxa"/>
            <w:vAlign w:val="bottom"/>
            <w:tcBorders>
              <w:bottom w:val="single" w:sz="8" w:color="007CBA"/>
            </w:tcBorders>
            <w:shd w:val="clear" w:color="auto" w:fill="007CBA"/>
          </w:tcPr>
          <w:p>
            <w:pPr>
              <w:spacing w:after="0"/>
              <w:rPr>
                <w:sz w:val="21"/>
                <w:szCs w:val="21"/>
                <w:color w:val="auto"/>
              </w:rPr>
            </w:pPr>
          </w:p>
        </w:tc>
        <w:tc>
          <w:tcPr>
            <w:tcW w:w="1120" w:type="dxa"/>
            <w:vAlign w:val="bottom"/>
            <w:tcBorders>
              <w:bottom w:val="single" w:sz="8" w:color="007CBA"/>
              <w:right w:val="single" w:sz="8" w:color="007CBA"/>
            </w:tcBorders>
            <w:shd w:val="clear" w:color="auto" w:fill="007CBA"/>
          </w:tcPr>
          <w:p>
            <w:pPr>
              <w:spacing w:after="0"/>
              <w:rPr>
                <w:sz w:val="21"/>
                <w:szCs w:val="21"/>
                <w:color w:val="auto"/>
              </w:rPr>
            </w:pPr>
          </w:p>
        </w:tc>
        <w:tc>
          <w:tcPr>
            <w:tcW w:w="100" w:type="dxa"/>
            <w:vAlign w:val="bottom"/>
            <w:tcBorders>
              <w:bottom w:val="single" w:sz="8" w:color="007CBA"/>
            </w:tcBorders>
            <w:shd w:val="clear" w:color="auto" w:fill="007CBA"/>
          </w:tcPr>
          <w:p>
            <w:pPr>
              <w:spacing w:after="0"/>
              <w:rPr>
                <w:sz w:val="21"/>
                <w:szCs w:val="21"/>
                <w:color w:val="auto"/>
              </w:rPr>
            </w:pPr>
          </w:p>
        </w:tc>
        <w:tc>
          <w:tcPr>
            <w:tcW w:w="160" w:type="dxa"/>
            <w:vAlign w:val="bottom"/>
            <w:tcBorders>
              <w:bottom w:val="single" w:sz="8" w:color="007CBA"/>
            </w:tcBorders>
            <w:shd w:val="clear" w:color="auto" w:fill="007CBA"/>
          </w:tcPr>
          <w:p>
            <w:pPr>
              <w:spacing w:after="0"/>
              <w:rPr>
                <w:sz w:val="21"/>
                <w:szCs w:val="21"/>
                <w:color w:val="auto"/>
              </w:rPr>
            </w:pPr>
          </w:p>
        </w:tc>
        <w:tc>
          <w:tcPr>
            <w:tcW w:w="1080" w:type="dxa"/>
            <w:vAlign w:val="bottom"/>
            <w:tcBorders>
              <w:bottom w:val="single" w:sz="8" w:color="007CBA"/>
              <w:right w:val="single" w:sz="8" w:color="007CBA"/>
            </w:tcBorders>
            <w:shd w:val="clear" w:color="auto" w:fill="007CBA"/>
          </w:tcPr>
          <w:p>
            <w:pPr>
              <w:ind w:left="40"/>
              <w:spacing w:after="0"/>
              <w:rPr>
                <w:sz w:val="20"/>
                <w:szCs w:val="20"/>
                <w:color w:val="auto"/>
              </w:rPr>
            </w:pPr>
            <w:r>
              <w:rPr>
                <w:rFonts w:ascii="Calibri" w:cs="Calibri" w:eastAsia="Calibri" w:hAnsi="Calibri"/>
                <w:sz w:val="16"/>
                <w:szCs w:val="16"/>
                <w:b w:val="1"/>
                <w:bCs w:val="1"/>
                <w:color w:val="FFFFFF"/>
              </w:rPr>
              <w:t>2022</w:t>
            </w:r>
          </w:p>
        </w:tc>
        <w:tc>
          <w:tcPr>
            <w:tcW w:w="100" w:type="dxa"/>
            <w:vAlign w:val="bottom"/>
            <w:tcBorders>
              <w:bottom w:val="single" w:sz="8" w:color="007CBA"/>
            </w:tcBorders>
            <w:shd w:val="clear" w:color="auto" w:fill="007CBA"/>
          </w:tcPr>
          <w:p>
            <w:pPr>
              <w:spacing w:after="0"/>
              <w:rPr>
                <w:sz w:val="21"/>
                <w:szCs w:val="21"/>
                <w:color w:val="auto"/>
              </w:rPr>
            </w:pPr>
          </w:p>
        </w:tc>
        <w:tc>
          <w:tcPr>
            <w:tcW w:w="120" w:type="dxa"/>
            <w:vAlign w:val="bottom"/>
            <w:tcBorders>
              <w:bottom w:val="single" w:sz="8" w:color="007CBA"/>
            </w:tcBorders>
            <w:shd w:val="clear" w:color="auto" w:fill="007CBA"/>
          </w:tcPr>
          <w:p>
            <w:pPr>
              <w:spacing w:after="0"/>
              <w:rPr>
                <w:sz w:val="21"/>
                <w:szCs w:val="21"/>
                <w:color w:val="auto"/>
              </w:rPr>
            </w:pPr>
          </w:p>
        </w:tc>
        <w:tc>
          <w:tcPr>
            <w:tcW w:w="960" w:type="dxa"/>
            <w:vAlign w:val="bottom"/>
            <w:tcBorders>
              <w:bottom w:val="single" w:sz="8" w:color="007CBA"/>
              <w:right w:val="single" w:sz="8" w:color="007CBA"/>
            </w:tcBorders>
            <w:shd w:val="clear" w:color="auto" w:fill="007CBA"/>
          </w:tcPr>
          <w:p>
            <w:pPr>
              <w:spacing w:after="0"/>
              <w:rPr>
                <w:sz w:val="21"/>
                <w:szCs w:val="21"/>
                <w:color w:val="auto"/>
              </w:rPr>
            </w:pPr>
          </w:p>
        </w:tc>
        <w:tc>
          <w:tcPr>
            <w:tcW w:w="220" w:type="dxa"/>
            <w:vAlign w:val="bottom"/>
            <w:tcBorders>
              <w:bottom w:val="single" w:sz="8" w:color="007CBA"/>
            </w:tcBorders>
            <w:shd w:val="clear" w:color="auto" w:fill="007CBA"/>
          </w:tcPr>
          <w:p>
            <w:pPr>
              <w:spacing w:after="0"/>
              <w:rPr>
                <w:sz w:val="21"/>
                <w:szCs w:val="21"/>
                <w:color w:val="auto"/>
              </w:rPr>
            </w:pPr>
          </w:p>
        </w:tc>
        <w:tc>
          <w:tcPr>
            <w:tcW w:w="940" w:type="dxa"/>
            <w:vAlign w:val="bottom"/>
            <w:tcBorders>
              <w:bottom w:val="single" w:sz="8" w:color="007CBA"/>
            </w:tcBorders>
            <w:shd w:val="clear" w:color="auto" w:fill="007CBA"/>
          </w:tcPr>
          <w:p>
            <w:pPr>
              <w:spacing w:after="0"/>
              <w:rPr>
                <w:sz w:val="21"/>
                <w:szCs w:val="21"/>
                <w:color w:val="auto"/>
              </w:rPr>
            </w:pPr>
          </w:p>
        </w:tc>
      </w:tr>
      <w:tr>
        <w:trPr>
          <w:trHeight w:val="230"/>
        </w:trPr>
        <w:tc>
          <w:tcPr>
            <w:tcW w:w="4800" w:type="dxa"/>
            <w:vAlign w:val="bottom"/>
            <w:tcBorders>
              <w:right w:val="single" w:sz="8" w:color="007CBA"/>
            </w:tcBorders>
            <w:shd w:val="clear" w:color="auto" w:fill="E5F1F8"/>
          </w:tcPr>
          <w:p>
            <w:pPr>
              <w:ind w:left="120"/>
              <w:spacing w:after="0" w:line="229" w:lineRule="exact"/>
              <w:rPr>
                <w:sz w:val="20"/>
                <w:szCs w:val="20"/>
                <w:color w:val="auto"/>
              </w:rPr>
            </w:pPr>
            <w:r>
              <w:rPr>
                <w:rFonts w:ascii="Calibri" w:cs="Calibri" w:eastAsia="Calibri" w:hAnsi="Calibri"/>
                <w:sz w:val="16"/>
                <w:szCs w:val="16"/>
                <w:color w:val="auto"/>
              </w:rPr>
              <w:t>Equity securites</w:t>
            </w:r>
            <w:r>
              <w:rPr>
                <w:rFonts w:ascii="Calibri" w:cs="Calibri" w:eastAsia="Calibri" w:hAnsi="Calibri"/>
                <w:sz w:val="21"/>
                <w:szCs w:val="21"/>
                <w:color w:val="auto"/>
                <w:vertAlign w:val="superscript"/>
              </w:rPr>
              <w:t>1</w:t>
            </w:r>
            <w:r>
              <w:rPr>
                <w:rFonts w:ascii="Calibri" w:cs="Calibri" w:eastAsia="Calibri" w:hAnsi="Calibri"/>
                <w:sz w:val="16"/>
                <w:szCs w:val="16"/>
                <w:color w:val="auto"/>
              </w:rPr>
              <w:t>:</w:t>
            </w:r>
          </w:p>
        </w:tc>
        <w:tc>
          <w:tcPr>
            <w:tcW w:w="240" w:type="dxa"/>
            <w:vAlign w:val="bottom"/>
            <w:shd w:val="clear" w:color="auto" w:fill="E5F1F8"/>
          </w:tcPr>
          <w:p>
            <w:pPr>
              <w:spacing w:after="0"/>
              <w:rPr>
                <w:sz w:val="19"/>
                <w:szCs w:val="19"/>
                <w:color w:val="auto"/>
              </w:rPr>
            </w:pPr>
          </w:p>
        </w:tc>
        <w:tc>
          <w:tcPr>
            <w:tcW w:w="1160" w:type="dxa"/>
            <w:vAlign w:val="bottom"/>
            <w:tcBorders>
              <w:right w:val="single" w:sz="8" w:color="007CBA"/>
            </w:tcBorders>
            <w:shd w:val="clear" w:color="auto" w:fill="E5F1F8"/>
          </w:tcPr>
          <w:p>
            <w:pPr>
              <w:spacing w:after="0"/>
              <w:rPr>
                <w:sz w:val="19"/>
                <w:szCs w:val="19"/>
                <w:color w:val="auto"/>
              </w:rPr>
            </w:pPr>
          </w:p>
        </w:tc>
        <w:tc>
          <w:tcPr>
            <w:tcW w:w="240" w:type="dxa"/>
            <w:vAlign w:val="bottom"/>
            <w:shd w:val="clear" w:color="auto" w:fill="E5F1F8"/>
          </w:tcPr>
          <w:p>
            <w:pPr>
              <w:spacing w:after="0"/>
              <w:rPr>
                <w:sz w:val="19"/>
                <w:szCs w:val="19"/>
                <w:color w:val="auto"/>
              </w:rPr>
            </w:pPr>
          </w:p>
        </w:tc>
        <w:tc>
          <w:tcPr>
            <w:tcW w:w="1120" w:type="dxa"/>
            <w:vAlign w:val="bottom"/>
            <w:tcBorders>
              <w:right w:val="single" w:sz="8" w:color="007CBA"/>
            </w:tcBorders>
            <w:shd w:val="clear" w:color="auto" w:fill="E5F1F8"/>
          </w:tcPr>
          <w:p>
            <w:pPr>
              <w:spacing w:after="0"/>
              <w:rPr>
                <w:sz w:val="19"/>
                <w:szCs w:val="19"/>
                <w:color w:val="auto"/>
              </w:rPr>
            </w:pPr>
          </w:p>
        </w:tc>
        <w:tc>
          <w:tcPr>
            <w:tcW w:w="100" w:type="dxa"/>
            <w:vAlign w:val="bottom"/>
            <w:shd w:val="clear" w:color="auto" w:fill="E5F1F8"/>
          </w:tcPr>
          <w:p>
            <w:pPr>
              <w:spacing w:after="0"/>
              <w:rPr>
                <w:sz w:val="19"/>
                <w:szCs w:val="19"/>
                <w:color w:val="auto"/>
              </w:rPr>
            </w:pPr>
          </w:p>
        </w:tc>
        <w:tc>
          <w:tcPr>
            <w:tcW w:w="160" w:type="dxa"/>
            <w:vAlign w:val="bottom"/>
            <w:shd w:val="clear" w:color="auto" w:fill="E5F1F8"/>
          </w:tcPr>
          <w:p>
            <w:pPr>
              <w:spacing w:after="0"/>
              <w:rPr>
                <w:sz w:val="19"/>
                <w:szCs w:val="19"/>
                <w:color w:val="auto"/>
              </w:rPr>
            </w:pPr>
          </w:p>
        </w:tc>
        <w:tc>
          <w:tcPr>
            <w:tcW w:w="1080" w:type="dxa"/>
            <w:vAlign w:val="bottom"/>
            <w:tcBorders>
              <w:right w:val="single" w:sz="8" w:color="007CBA"/>
            </w:tcBorders>
            <w:shd w:val="clear" w:color="auto" w:fill="E5F1F8"/>
          </w:tcPr>
          <w:p>
            <w:pPr>
              <w:spacing w:after="0"/>
              <w:rPr>
                <w:sz w:val="19"/>
                <w:szCs w:val="19"/>
                <w:color w:val="auto"/>
              </w:rPr>
            </w:pPr>
          </w:p>
        </w:tc>
        <w:tc>
          <w:tcPr>
            <w:tcW w:w="100" w:type="dxa"/>
            <w:vAlign w:val="bottom"/>
            <w:shd w:val="clear" w:color="auto" w:fill="E5F1F8"/>
          </w:tcPr>
          <w:p>
            <w:pPr>
              <w:spacing w:after="0"/>
              <w:rPr>
                <w:sz w:val="19"/>
                <w:szCs w:val="19"/>
                <w:color w:val="auto"/>
              </w:rPr>
            </w:pPr>
          </w:p>
        </w:tc>
        <w:tc>
          <w:tcPr>
            <w:tcW w:w="120" w:type="dxa"/>
            <w:vAlign w:val="bottom"/>
            <w:shd w:val="clear" w:color="auto" w:fill="E5F1F8"/>
          </w:tcPr>
          <w:p>
            <w:pPr>
              <w:spacing w:after="0"/>
              <w:rPr>
                <w:sz w:val="19"/>
                <w:szCs w:val="19"/>
                <w:color w:val="auto"/>
              </w:rPr>
            </w:pPr>
          </w:p>
        </w:tc>
        <w:tc>
          <w:tcPr>
            <w:tcW w:w="960" w:type="dxa"/>
            <w:vAlign w:val="bottom"/>
            <w:tcBorders>
              <w:right w:val="single" w:sz="8" w:color="007CBA"/>
            </w:tcBorders>
            <w:shd w:val="clear" w:color="auto" w:fill="E5F1F8"/>
          </w:tcPr>
          <w:p>
            <w:pPr>
              <w:spacing w:after="0"/>
              <w:rPr>
                <w:sz w:val="19"/>
                <w:szCs w:val="19"/>
                <w:color w:val="auto"/>
              </w:rPr>
            </w:pPr>
          </w:p>
        </w:tc>
        <w:tc>
          <w:tcPr>
            <w:tcW w:w="220" w:type="dxa"/>
            <w:vAlign w:val="bottom"/>
            <w:shd w:val="clear" w:color="auto" w:fill="E5F1F8"/>
          </w:tcPr>
          <w:p>
            <w:pPr>
              <w:spacing w:after="0"/>
              <w:rPr>
                <w:sz w:val="19"/>
                <w:szCs w:val="19"/>
                <w:color w:val="auto"/>
              </w:rPr>
            </w:pPr>
          </w:p>
        </w:tc>
        <w:tc>
          <w:tcPr>
            <w:tcW w:w="940" w:type="dxa"/>
            <w:vAlign w:val="bottom"/>
            <w:shd w:val="clear" w:color="auto" w:fill="E5F1F8"/>
          </w:tcPr>
          <w:p>
            <w:pPr>
              <w:spacing w:after="0"/>
              <w:rPr>
                <w:sz w:val="19"/>
                <w:szCs w:val="19"/>
                <w:color w:val="auto"/>
              </w:rPr>
            </w:pPr>
          </w:p>
        </w:tc>
      </w:tr>
      <w:tr>
        <w:trPr>
          <w:trHeight w:val="193"/>
        </w:trPr>
        <w:tc>
          <w:tcPr>
            <w:tcW w:w="4800" w:type="dxa"/>
            <w:vAlign w:val="bottom"/>
            <w:tcBorders>
              <w:right w:val="single" w:sz="8" w:color="007CBA"/>
            </w:tcBorders>
          </w:tcPr>
          <w:p>
            <w:pPr>
              <w:ind w:left="300"/>
              <w:spacing w:after="0" w:line="193" w:lineRule="exact"/>
              <w:rPr>
                <w:sz w:val="20"/>
                <w:szCs w:val="20"/>
                <w:color w:val="auto"/>
              </w:rPr>
            </w:pPr>
            <w:r>
              <w:rPr>
                <w:rFonts w:ascii="Calibri" w:cs="Calibri" w:eastAsia="Calibri" w:hAnsi="Calibri"/>
                <w:sz w:val="16"/>
                <w:szCs w:val="16"/>
                <w:color w:val="auto"/>
              </w:rPr>
              <w:t>Mid-sized to large cap</w:t>
            </w:r>
          </w:p>
        </w:tc>
        <w:tc>
          <w:tcPr>
            <w:tcW w:w="24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w:t>
            </w:r>
          </w:p>
        </w:tc>
        <w:tc>
          <w:tcPr>
            <w:tcW w:w="116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b w:val="1"/>
                <w:bCs w:val="1"/>
                <w:color w:val="auto"/>
              </w:rPr>
              <w:t>—</w:t>
            </w:r>
          </w:p>
        </w:tc>
        <w:tc>
          <w:tcPr>
            <w:tcW w:w="24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w:t>
            </w:r>
          </w:p>
        </w:tc>
        <w:tc>
          <w:tcPr>
            <w:tcW w:w="1120" w:type="dxa"/>
            <w:vAlign w:val="bottom"/>
            <w:tcBorders>
              <w:right w:val="single" w:sz="8" w:color="007CBA"/>
            </w:tcBorders>
          </w:tcPr>
          <w:p>
            <w:pPr>
              <w:ind w:left="840"/>
              <w:spacing w:after="0" w:line="193" w:lineRule="exact"/>
              <w:rPr>
                <w:sz w:val="20"/>
                <w:szCs w:val="20"/>
                <w:color w:val="auto"/>
              </w:rPr>
            </w:pPr>
            <w:r>
              <w:rPr>
                <w:rFonts w:ascii="Calibri" w:cs="Calibri" w:eastAsia="Calibri" w:hAnsi="Calibri"/>
                <w:sz w:val="16"/>
                <w:szCs w:val="16"/>
                <w:b w:val="1"/>
                <w:bCs w:val="1"/>
                <w:color w:val="auto"/>
              </w:rPr>
              <w:t>—</w:t>
            </w:r>
          </w:p>
        </w:tc>
        <w:tc>
          <w:tcPr>
            <w:tcW w:w="100" w:type="dxa"/>
            <w:vAlign w:val="bottom"/>
          </w:tcPr>
          <w:p>
            <w:pPr>
              <w:spacing w:after="0"/>
              <w:rPr>
                <w:sz w:val="16"/>
                <w:szCs w:val="16"/>
                <w:color w:val="auto"/>
              </w:rPr>
            </w:pPr>
          </w:p>
        </w:tc>
        <w:tc>
          <w:tcPr>
            <w:tcW w:w="16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w:t>
            </w:r>
          </w:p>
        </w:tc>
        <w:tc>
          <w:tcPr>
            <w:tcW w:w="1080" w:type="dxa"/>
            <w:vAlign w:val="bottom"/>
            <w:tcBorders>
              <w:right w:val="single" w:sz="8" w:color="007CBA"/>
            </w:tcBorders>
          </w:tcPr>
          <w:p>
            <w:pPr>
              <w:ind w:left="800"/>
              <w:spacing w:after="0" w:line="193" w:lineRule="exact"/>
              <w:rPr>
                <w:sz w:val="20"/>
                <w:szCs w:val="20"/>
                <w:color w:val="auto"/>
              </w:rPr>
            </w:pPr>
            <w:r>
              <w:rPr>
                <w:rFonts w:ascii="Calibri" w:cs="Calibri" w:eastAsia="Calibri" w:hAnsi="Calibri"/>
                <w:sz w:val="16"/>
                <w:szCs w:val="16"/>
                <w:b w:val="1"/>
                <w:bCs w:val="1"/>
                <w:color w:val="auto"/>
              </w:rPr>
              <w:t>—</w:t>
            </w:r>
          </w:p>
        </w:tc>
        <w:tc>
          <w:tcPr>
            <w:tcW w:w="100" w:type="dxa"/>
            <w:vAlign w:val="bottom"/>
          </w:tcPr>
          <w:p>
            <w:pPr>
              <w:spacing w:after="0"/>
              <w:rPr>
                <w:sz w:val="16"/>
                <w:szCs w:val="16"/>
                <w:color w:val="auto"/>
              </w:rPr>
            </w:pPr>
          </w:p>
        </w:tc>
        <w:tc>
          <w:tcPr>
            <w:tcW w:w="12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w w:val="97"/>
              </w:rPr>
              <w:t>$</w:t>
            </w:r>
          </w:p>
        </w:tc>
        <w:tc>
          <w:tcPr>
            <w:tcW w:w="96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b w:val="1"/>
                <w:bCs w:val="1"/>
                <w:color w:val="auto"/>
              </w:rPr>
              <w:t>291.6</w:t>
            </w:r>
          </w:p>
        </w:tc>
        <w:tc>
          <w:tcPr>
            <w:tcW w:w="22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w:t>
            </w:r>
          </w:p>
        </w:tc>
        <w:tc>
          <w:tcPr>
            <w:tcW w:w="940" w:type="dxa"/>
            <w:vAlign w:val="bottom"/>
          </w:tcPr>
          <w:p>
            <w:pPr>
              <w:jc w:val="right"/>
              <w:ind w:right="39"/>
              <w:spacing w:after="0" w:line="193" w:lineRule="exact"/>
              <w:rPr>
                <w:sz w:val="20"/>
                <w:szCs w:val="20"/>
                <w:color w:val="auto"/>
              </w:rPr>
            </w:pPr>
            <w:r>
              <w:rPr>
                <w:rFonts w:ascii="Calibri" w:cs="Calibri" w:eastAsia="Calibri" w:hAnsi="Calibri"/>
                <w:sz w:val="16"/>
                <w:szCs w:val="16"/>
                <w:b w:val="1"/>
                <w:bCs w:val="1"/>
                <w:color w:val="auto"/>
              </w:rPr>
              <w:t>291.6</w:t>
            </w:r>
          </w:p>
        </w:tc>
      </w:tr>
      <w:tr>
        <w:trPr>
          <w:trHeight w:val="36"/>
        </w:trPr>
        <w:tc>
          <w:tcPr>
            <w:tcW w:w="4800" w:type="dxa"/>
            <w:vAlign w:val="bottom"/>
            <w:tcBorders>
              <w:right w:val="single" w:sz="8" w:color="007CBA"/>
            </w:tcBorders>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Borders>
              <w:right w:val="single" w:sz="8" w:color="007CBA"/>
            </w:tcBorders>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Borders>
              <w:right w:val="single" w:sz="8" w:color="007CBA"/>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Borders>
              <w:right w:val="single" w:sz="8" w:color="007CBA"/>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Borders>
              <w:right w:val="single" w:sz="8" w:color="007CBA"/>
            </w:tcBorders>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09"/>
        </w:trPr>
        <w:tc>
          <w:tcPr>
            <w:tcW w:w="4800" w:type="dxa"/>
            <w:vAlign w:val="bottom"/>
            <w:tcBorders>
              <w:bottom w:val="single" w:sz="8" w:color="E5F1F8"/>
              <w:right w:val="single" w:sz="8" w:color="007CBA"/>
            </w:tcBorders>
            <w:shd w:val="clear" w:color="auto" w:fill="E5F1F8"/>
          </w:tcPr>
          <w:p>
            <w:pPr>
              <w:ind w:left="300"/>
              <w:spacing w:after="0" w:line="193" w:lineRule="exact"/>
              <w:rPr>
                <w:sz w:val="20"/>
                <w:szCs w:val="20"/>
                <w:color w:val="auto"/>
              </w:rPr>
            </w:pPr>
            <w:r>
              <w:rPr>
                <w:rFonts w:ascii="Calibri" w:cs="Calibri" w:eastAsia="Calibri" w:hAnsi="Calibri"/>
                <w:sz w:val="16"/>
                <w:szCs w:val="16"/>
                <w:color w:val="auto"/>
              </w:rPr>
              <w:t>Small cap, internatonal and emerging growth funds</w:t>
            </w:r>
          </w:p>
        </w:tc>
        <w:tc>
          <w:tcPr>
            <w:tcW w:w="240" w:type="dxa"/>
            <w:vAlign w:val="bottom"/>
            <w:tcBorders>
              <w:bottom w:val="single" w:sz="8" w:color="E5F1F8"/>
            </w:tcBorders>
            <w:shd w:val="clear" w:color="auto" w:fill="E5F1F8"/>
          </w:tcPr>
          <w:p>
            <w:pPr>
              <w:spacing w:after="0"/>
              <w:rPr>
                <w:sz w:val="18"/>
                <w:szCs w:val="18"/>
                <w:color w:val="auto"/>
              </w:rPr>
            </w:pPr>
          </w:p>
        </w:tc>
        <w:tc>
          <w:tcPr>
            <w:tcW w:w="1160" w:type="dxa"/>
            <w:vAlign w:val="bottom"/>
            <w:tcBorders>
              <w:bottom w:val="single" w:sz="8" w:color="E5F1F8"/>
              <w:right w:val="single" w:sz="8" w:color="007CBA"/>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b w:val="1"/>
                <w:bCs w:val="1"/>
                <w:color w:val="auto"/>
              </w:rPr>
              <w:t>—</w:t>
            </w:r>
          </w:p>
        </w:tc>
        <w:tc>
          <w:tcPr>
            <w:tcW w:w="240" w:type="dxa"/>
            <w:vAlign w:val="bottom"/>
            <w:tcBorders>
              <w:bottom w:val="single" w:sz="8" w:color="E5F1F8"/>
            </w:tcBorders>
            <w:shd w:val="clear" w:color="auto" w:fill="E5F1F8"/>
          </w:tcPr>
          <w:p>
            <w:pPr>
              <w:spacing w:after="0"/>
              <w:rPr>
                <w:sz w:val="18"/>
                <w:szCs w:val="18"/>
                <w:color w:val="auto"/>
              </w:rPr>
            </w:pPr>
          </w:p>
        </w:tc>
        <w:tc>
          <w:tcPr>
            <w:tcW w:w="1120" w:type="dxa"/>
            <w:vAlign w:val="bottom"/>
            <w:tcBorders>
              <w:bottom w:val="single" w:sz="8" w:color="E5F1F8"/>
              <w:right w:val="single" w:sz="8" w:color="007CBA"/>
            </w:tcBorders>
            <w:shd w:val="clear" w:color="auto" w:fill="E5F1F8"/>
          </w:tcPr>
          <w:p>
            <w:pPr>
              <w:ind w:left="840"/>
              <w:spacing w:after="0" w:line="193" w:lineRule="exact"/>
              <w:rPr>
                <w:sz w:val="20"/>
                <w:szCs w:val="20"/>
                <w:color w:val="auto"/>
              </w:rPr>
            </w:pPr>
            <w:r>
              <w:rPr>
                <w:rFonts w:ascii="Calibri" w:cs="Calibri" w:eastAsia="Calibri" w:hAnsi="Calibri"/>
                <w:sz w:val="16"/>
                <w:szCs w:val="16"/>
                <w:b w:val="1"/>
                <w:bCs w:val="1"/>
                <w:color w:val="auto"/>
              </w:rPr>
              <w:t>—</w:t>
            </w:r>
          </w:p>
        </w:tc>
        <w:tc>
          <w:tcPr>
            <w:tcW w:w="100" w:type="dxa"/>
            <w:vAlign w:val="bottom"/>
            <w:tcBorders>
              <w:bottom w:val="single" w:sz="8" w:color="E5F1F8"/>
            </w:tcBorders>
            <w:shd w:val="clear" w:color="auto" w:fill="E5F1F8"/>
          </w:tcPr>
          <w:p>
            <w:pPr>
              <w:spacing w:after="0"/>
              <w:rPr>
                <w:sz w:val="18"/>
                <w:szCs w:val="18"/>
                <w:color w:val="auto"/>
              </w:rPr>
            </w:pPr>
          </w:p>
        </w:tc>
        <w:tc>
          <w:tcPr>
            <w:tcW w:w="160" w:type="dxa"/>
            <w:vAlign w:val="bottom"/>
            <w:tcBorders>
              <w:bottom w:val="single" w:sz="8" w:color="E5F1F8"/>
            </w:tcBorders>
            <w:shd w:val="clear" w:color="auto" w:fill="E5F1F8"/>
          </w:tcPr>
          <w:p>
            <w:pPr>
              <w:spacing w:after="0"/>
              <w:rPr>
                <w:sz w:val="18"/>
                <w:szCs w:val="18"/>
                <w:color w:val="auto"/>
              </w:rPr>
            </w:pPr>
          </w:p>
        </w:tc>
        <w:tc>
          <w:tcPr>
            <w:tcW w:w="1080" w:type="dxa"/>
            <w:vAlign w:val="bottom"/>
            <w:tcBorders>
              <w:bottom w:val="single" w:sz="8" w:color="E5F1F8"/>
              <w:right w:val="single" w:sz="8" w:color="007CBA"/>
            </w:tcBorders>
            <w:shd w:val="clear" w:color="auto" w:fill="E5F1F8"/>
          </w:tcPr>
          <w:p>
            <w:pPr>
              <w:ind w:left="800"/>
              <w:spacing w:after="0" w:line="193" w:lineRule="exact"/>
              <w:rPr>
                <w:sz w:val="20"/>
                <w:szCs w:val="20"/>
                <w:color w:val="auto"/>
              </w:rPr>
            </w:pPr>
            <w:r>
              <w:rPr>
                <w:rFonts w:ascii="Calibri" w:cs="Calibri" w:eastAsia="Calibri" w:hAnsi="Calibri"/>
                <w:sz w:val="16"/>
                <w:szCs w:val="16"/>
                <w:b w:val="1"/>
                <w:bCs w:val="1"/>
                <w:color w:val="auto"/>
              </w:rPr>
              <w:t>—</w:t>
            </w:r>
          </w:p>
        </w:tc>
        <w:tc>
          <w:tcPr>
            <w:tcW w:w="100" w:type="dxa"/>
            <w:vAlign w:val="bottom"/>
            <w:tcBorders>
              <w:bottom w:val="single" w:sz="8" w:color="E5F1F8"/>
            </w:tcBorders>
            <w:shd w:val="clear" w:color="auto" w:fill="E5F1F8"/>
          </w:tcPr>
          <w:p>
            <w:pPr>
              <w:spacing w:after="0"/>
              <w:rPr>
                <w:sz w:val="18"/>
                <w:szCs w:val="18"/>
                <w:color w:val="auto"/>
              </w:rPr>
            </w:pPr>
          </w:p>
        </w:tc>
        <w:tc>
          <w:tcPr>
            <w:tcW w:w="120" w:type="dxa"/>
            <w:vAlign w:val="bottom"/>
            <w:tcBorders>
              <w:bottom w:val="single" w:sz="8" w:color="E5F1F8"/>
            </w:tcBorders>
            <w:shd w:val="clear" w:color="auto" w:fill="E5F1F8"/>
          </w:tcPr>
          <w:p>
            <w:pPr>
              <w:spacing w:after="0"/>
              <w:rPr>
                <w:sz w:val="18"/>
                <w:szCs w:val="18"/>
                <w:color w:val="auto"/>
              </w:rPr>
            </w:pPr>
          </w:p>
        </w:tc>
        <w:tc>
          <w:tcPr>
            <w:tcW w:w="960" w:type="dxa"/>
            <w:vAlign w:val="bottom"/>
            <w:tcBorders>
              <w:bottom w:val="single" w:sz="8" w:color="E5F1F8"/>
              <w:right w:val="single" w:sz="8" w:color="007CBA"/>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b w:val="1"/>
                <w:bCs w:val="1"/>
                <w:color w:val="auto"/>
              </w:rPr>
              <w:t>287.2</w:t>
            </w:r>
          </w:p>
        </w:tc>
        <w:tc>
          <w:tcPr>
            <w:tcW w:w="220" w:type="dxa"/>
            <w:vAlign w:val="bottom"/>
            <w:tcBorders>
              <w:bottom w:val="single" w:sz="8" w:color="E5F1F8"/>
            </w:tcBorders>
            <w:shd w:val="clear" w:color="auto" w:fill="E5F1F8"/>
          </w:tcPr>
          <w:p>
            <w:pPr>
              <w:spacing w:after="0"/>
              <w:rPr>
                <w:sz w:val="18"/>
                <w:szCs w:val="18"/>
                <w:color w:val="auto"/>
              </w:rPr>
            </w:pPr>
          </w:p>
        </w:tc>
        <w:tc>
          <w:tcPr>
            <w:tcW w:w="940" w:type="dxa"/>
            <w:vAlign w:val="bottom"/>
            <w:tcBorders>
              <w:bottom w:val="single" w:sz="8" w:color="E5F1F8"/>
            </w:tcBorders>
            <w:shd w:val="clear" w:color="auto" w:fill="E5F1F8"/>
          </w:tcPr>
          <w:p>
            <w:pPr>
              <w:jc w:val="right"/>
              <w:ind w:right="39"/>
              <w:spacing w:after="0" w:line="193" w:lineRule="exact"/>
              <w:rPr>
                <w:sz w:val="20"/>
                <w:szCs w:val="20"/>
                <w:color w:val="auto"/>
              </w:rPr>
            </w:pPr>
            <w:r>
              <w:rPr>
                <w:rFonts w:ascii="Calibri" w:cs="Calibri" w:eastAsia="Calibri" w:hAnsi="Calibri"/>
                <w:sz w:val="16"/>
                <w:szCs w:val="16"/>
                <w:b w:val="1"/>
                <w:bCs w:val="1"/>
                <w:color w:val="auto"/>
              </w:rPr>
              <w:t>287.2</w:t>
            </w:r>
          </w:p>
        </w:tc>
      </w:tr>
      <w:tr>
        <w:trPr>
          <w:trHeight w:val="230"/>
        </w:trPr>
        <w:tc>
          <w:tcPr>
            <w:tcW w:w="4800" w:type="dxa"/>
            <w:vAlign w:val="bottom"/>
            <w:tcBorders>
              <w:right w:val="single" w:sz="8" w:color="007CBA"/>
            </w:tcBorders>
          </w:tcPr>
          <w:p>
            <w:pPr>
              <w:ind w:left="120"/>
              <w:spacing w:after="0" w:line="229" w:lineRule="exact"/>
              <w:rPr>
                <w:sz w:val="20"/>
                <w:szCs w:val="20"/>
                <w:color w:val="auto"/>
              </w:rPr>
            </w:pPr>
            <w:r>
              <w:rPr>
                <w:rFonts w:ascii="Calibri" w:cs="Calibri" w:eastAsia="Calibri" w:hAnsi="Calibri"/>
                <w:sz w:val="16"/>
                <w:szCs w:val="16"/>
                <w:color w:val="auto"/>
              </w:rPr>
              <w:t>Debt securites</w:t>
            </w:r>
            <w:r>
              <w:rPr>
                <w:rFonts w:ascii="Calibri" w:cs="Calibri" w:eastAsia="Calibri" w:hAnsi="Calibri"/>
                <w:sz w:val="21"/>
                <w:szCs w:val="21"/>
                <w:color w:val="auto"/>
                <w:vertAlign w:val="superscript"/>
              </w:rPr>
              <w:t>1</w:t>
            </w:r>
            <w:r>
              <w:rPr>
                <w:rFonts w:ascii="Calibri" w:cs="Calibri" w:eastAsia="Calibri" w:hAnsi="Calibri"/>
                <w:sz w:val="16"/>
                <w:szCs w:val="16"/>
                <w:color w:val="auto"/>
              </w:rPr>
              <w:t>:</w:t>
            </w:r>
          </w:p>
        </w:tc>
        <w:tc>
          <w:tcPr>
            <w:tcW w:w="240" w:type="dxa"/>
            <w:vAlign w:val="bottom"/>
          </w:tcPr>
          <w:p>
            <w:pPr>
              <w:spacing w:after="0"/>
              <w:rPr>
                <w:sz w:val="19"/>
                <w:szCs w:val="19"/>
                <w:color w:val="auto"/>
              </w:rPr>
            </w:pPr>
          </w:p>
        </w:tc>
        <w:tc>
          <w:tcPr>
            <w:tcW w:w="1160" w:type="dxa"/>
            <w:vAlign w:val="bottom"/>
            <w:tcBorders>
              <w:right w:val="single" w:sz="8" w:color="007CBA"/>
            </w:tcBorders>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Borders>
              <w:right w:val="single" w:sz="8" w:color="007CBA"/>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Borders>
              <w:right w:val="single" w:sz="8" w:color="007CBA"/>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right w:val="single" w:sz="8" w:color="007CBA"/>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9"/>
        </w:trPr>
        <w:tc>
          <w:tcPr>
            <w:tcW w:w="4800" w:type="dxa"/>
            <w:vAlign w:val="bottom"/>
            <w:tcBorders>
              <w:bottom w:val="single" w:sz="8" w:color="E5F1F8"/>
              <w:right w:val="single" w:sz="8" w:color="007CBA"/>
            </w:tcBorders>
            <w:shd w:val="clear" w:color="auto" w:fill="E5F1F8"/>
          </w:tcPr>
          <w:p>
            <w:pPr>
              <w:ind w:left="300"/>
              <w:spacing w:after="0" w:line="193" w:lineRule="exact"/>
              <w:rPr>
                <w:sz w:val="20"/>
                <w:szCs w:val="20"/>
                <w:color w:val="auto"/>
              </w:rPr>
            </w:pPr>
            <w:r>
              <w:rPr>
                <w:rFonts w:ascii="Calibri" w:cs="Calibri" w:eastAsia="Calibri" w:hAnsi="Calibri"/>
                <w:sz w:val="16"/>
                <w:szCs w:val="16"/>
                <w:color w:val="auto"/>
              </w:rPr>
              <w:t>Core fxed income</w:t>
            </w:r>
          </w:p>
        </w:tc>
        <w:tc>
          <w:tcPr>
            <w:tcW w:w="240" w:type="dxa"/>
            <w:vAlign w:val="bottom"/>
            <w:tcBorders>
              <w:bottom w:val="single" w:sz="8" w:color="E5F1F8"/>
            </w:tcBorders>
            <w:shd w:val="clear" w:color="auto" w:fill="E5F1F8"/>
          </w:tcPr>
          <w:p>
            <w:pPr>
              <w:spacing w:after="0"/>
              <w:rPr>
                <w:sz w:val="18"/>
                <w:szCs w:val="18"/>
                <w:color w:val="auto"/>
              </w:rPr>
            </w:pPr>
          </w:p>
        </w:tc>
        <w:tc>
          <w:tcPr>
            <w:tcW w:w="1160" w:type="dxa"/>
            <w:vAlign w:val="bottom"/>
            <w:tcBorders>
              <w:bottom w:val="single" w:sz="8" w:color="E5F1F8"/>
              <w:right w:val="single" w:sz="8" w:color="007CBA"/>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b w:val="1"/>
                <w:bCs w:val="1"/>
                <w:color w:val="auto"/>
              </w:rPr>
              <w:t>—</w:t>
            </w:r>
          </w:p>
        </w:tc>
        <w:tc>
          <w:tcPr>
            <w:tcW w:w="240" w:type="dxa"/>
            <w:vAlign w:val="bottom"/>
            <w:tcBorders>
              <w:bottom w:val="single" w:sz="8" w:color="E5F1F8"/>
            </w:tcBorders>
            <w:shd w:val="clear" w:color="auto" w:fill="E5F1F8"/>
          </w:tcPr>
          <w:p>
            <w:pPr>
              <w:spacing w:after="0"/>
              <w:rPr>
                <w:sz w:val="18"/>
                <w:szCs w:val="18"/>
                <w:color w:val="auto"/>
              </w:rPr>
            </w:pPr>
          </w:p>
        </w:tc>
        <w:tc>
          <w:tcPr>
            <w:tcW w:w="1120" w:type="dxa"/>
            <w:vAlign w:val="bottom"/>
            <w:tcBorders>
              <w:bottom w:val="single" w:sz="8" w:color="E5F1F8"/>
              <w:right w:val="single" w:sz="8" w:color="007CBA"/>
            </w:tcBorders>
            <w:shd w:val="clear" w:color="auto" w:fill="E5F1F8"/>
          </w:tcPr>
          <w:p>
            <w:pPr>
              <w:ind w:left="840"/>
              <w:spacing w:after="0" w:line="193" w:lineRule="exact"/>
              <w:rPr>
                <w:sz w:val="20"/>
                <w:szCs w:val="20"/>
                <w:color w:val="auto"/>
              </w:rPr>
            </w:pPr>
            <w:r>
              <w:rPr>
                <w:rFonts w:ascii="Calibri" w:cs="Calibri" w:eastAsia="Calibri" w:hAnsi="Calibri"/>
                <w:sz w:val="16"/>
                <w:szCs w:val="16"/>
                <w:b w:val="1"/>
                <w:bCs w:val="1"/>
                <w:color w:val="auto"/>
              </w:rPr>
              <w:t>—</w:t>
            </w:r>
          </w:p>
        </w:tc>
        <w:tc>
          <w:tcPr>
            <w:tcW w:w="100" w:type="dxa"/>
            <w:vAlign w:val="bottom"/>
            <w:tcBorders>
              <w:bottom w:val="single" w:sz="8" w:color="E5F1F8"/>
            </w:tcBorders>
            <w:shd w:val="clear" w:color="auto" w:fill="E5F1F8"/>
          </w:tcPr>
          <w:p>
            <w:pPr>
              <w:spacing w:after="0"/>
              <w:rPr>
                <w:sz w:val="18"/>
                <w:szCs w:val="18"/>
                <w:color w:val="auto"/>
              </w:rPr>
            </w:pPr>
          </w:p>
        </w:tc>
        <w:tc>
          <w:tcPr>
            <w:tcW w:w="160" w:type="dxa"/>
            <w:vAlign w:val="bottom"/>
            <w:tcBorders>
              <w:bottom w:val="single" w:sz="8" w:color="E5F1F8"/>
            </w:tcBorders>
            <w:shd w:val="clear" w:color="auto" w:fill="E5F1F8"/>
          </w:tcPr>
          <w:p>
            <w:pPr>
              <w:spacing w:after="0"/>
              <w:rPr>
                <w:sz w:val="18"/>
                <w:szCs w:val="18"/>
                <w:color w:val="auto"/>
              </w:rPr>
            </w:pPr>
          </w:p>
        </w:tc>
        <w:tc>
          <w:tcPr>
            <w:tcW w:w="1080" w:type="dxa"/>
            <w:vAlign w:val="bottom"/>
            <w:tcBorders>
              <w:bottom w:val="single" w:sz="8" w:color="E5F1F8"/>
              <w:right w:val="single" w:sz="8" w:color="007CBA"/>
            </w:tcBorders>
            <w:shd w:val="clear" w:color="auto" w:fill="E5F1F8"/>
          </w:tcPr>
          <w:p>
            <w:pPr>
              <w:ind w:left="800"/>
              <w:spacing w:after="0" w:line="193" w:lineRule="exact"/>
              <w:rPr>
                <w:sz w:val="20"/>
                <w:szCs w:val="20"/>
                <w:color w:val="auto"/>
              </w:rPr>
            </w:pPr>
            <w:r>
              <w:rPr>
                <w:rFonts w:ascii="Calibri" w:cs="Calibri" w:eastAsia="Calibri" w:hAnsi="Calibri"/>
                <w:sz w:val="16"/>
                <w:szCs w:val="16"/>
                <w:b w:val="1"/>
                <w:bCs w:val="1"/>
                <w:color w:val="auto"/>
              </w:rPr>
              <w:t>—</w:t>
            </w:r>
          </w:p>
        </w:tc>
        <w:tc>
          <w:tcPr>
            <w:tcW w:w="100" w:type="dxa"/>
            <w:vAlign w:val="bottom"/>
            <w:tcBorders>
              <w:bottom w:val="single" w:sz="8" w:color="E5F1F8"/>
            </w:tcBorders>
            <w:shd w:val="clear" w:color="auto" w:fill="E5F1F8"/>
          </w:tcPr>
          <w:p>
            <w:pPr>
              <w:spacing w:after="0"/>
              <w:rPr>
                <w:sz w:val="18"/>
                <w:szCs w:val="18"/>
                <w:color w:val="auto"/>
              </w:rPr>
            </w:pPr>
          </w:p>
        </w:tc>
        <w:tc>
          <w:tcPr>
            <w:tcW w:w="120" w:type="dxa"/>
            <w:vAlign w:val="bottom"/>
            <w:tcBorders>
              <w:bottom w:val="single" w:sz="8" w:color="E5F1F8"/>
            </w:tcBorders>
            <w:shd w:val="clear" w:color="auto" w:fill="E5F1F8"/>
          </w:tcPr>
          <w:p>
            <w:pPr>
              <w:spacing w:after="0"/>
              <w:rPr>
                <w:sz w:val="18"/>
                <w:szCs w:val="18"/>
                <w:color w:val="auto"/>
              </w:rPr>
            </w:pPr>
          </w:p>
        </w:tc>
        <w:tc>
          <w:tcPr>
            <w:tcW w:w="960" w:type="dxa"/>
            <w:vAlign w:val="bottom"/>
            <w:tcBorders>
              <w:bottom w:val="single" w:sz="8" w:color="E5F1F8"/>
              <w:right w:val="single" w:sz="8" w:color="007CBA"/>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b w:val="1"/>
                <w:bCs w:val="1"/>
                <w:color w:val="auto"/>
              </w:rPr>
              <w:t>249.1</w:t>
            </w:r>
          </w:p>
        </w:tc>
        <w:tc>
          <w:tcPr>
            <w:tcW w:w="220" w:type="dxa"/>
            <w:vAlign w:val="bottom"/>
            <w:tcBorders>
              <w:bottom w:val="single" w:sz="8" w:color="E5F1F8"/>
            </w:tcBorders>
            <w:shd w:val="clear" w:color="auto" w:fill="E5F1F8"/>
          </w:tcPr>
          <w:p>
            <w:pPr>
              <w:spacing w:after="0"/>
              <w:rPr>
                <w:sz w:val="18"/>
                <w:szCs w:val="18"/>
                <w:color w:val="auto"/>
              </w:rPr>
            </w:pPr>
          </w:p>
        </w:tc>
        <w:tc>
          <w:tcPr>
            <w:tcW w:w="940" w:type="dxa"/>
            <w:vAlign w:val="bottom"/>
            <w:tcBorders>
              <w:bottom w:val="single" w:sz="8" w:color="E5F1F8"/>
            </w:tcBorders>
            <w:shd w:val="clear" w:color="auto" w:fill="E5F1F8"/>
          </w:tcPr>
          <w:p>
            <w:pPr>
              <w:jc w:val="right"/>
              <w:ind w:right="39"/>
              <w:spacing w:after="0" w:line="193" w:lineRule="exact"/>
              <w:rPr>
                <w:sz w:val="20"/>
                <w:szCs w:val="20"/>
                <w:color w:val="auto"/>
              </w:rPr>
            </w:pPr>
            <w:r>
              <w:rPr>
                <w:rFonts w:ascii="Calibri" w:cs="Calibri" w:eastAsia="Calibri" w:hAnsi="Calibri"/>
                <w:sz w:val="16"/>
                <w:szCs w:val="16"/>
                <w:b w:val="1"/>
                <w:bCs w:val="1"/>
                <w:color w:val="auto"/>
              </w:rPr>
              <w:t>249.1</w:t>
            </w:r>
          </w:p>
        </w:tc>
      </w:tr>
      <w:tr>
        <w:trPr>
          <w:trHeight w:val="193"/>
        </w:trPr>
        <w:tc>
          <w:tcPr>
            <w:tcW w:w="4800" w:type="dxa"/>
            <w:vAlign w:val="bottom"/>
            <w:tcBorders>
              <w:right w:val="single" w:sz="8" w:color="007CBA"/>
            </w:tcBorders>
          </w:tcPr>
          <w:p>
            <w:pPr>
              <w:ind w:left="120"/>
              <w:spacing w:after="0" w:line="193" w:lineRule="exact"/>
              <w:rPr>
                <w:sz w:val="20"/>
                <w:szCs w:val="20"/>
                <w:color w:val="auto"/>
              </w:rPr>
            </w:pPr>
            <w:r>
              <w:rPr>
                <w:rFonts w:ascii="Calibri" w:cs="Calibri" w:eastAsia="Calibri" w:hAnsi="Calibri"/>
                <w:sz w:val="16"/>
                <w:szCs w:val="16"/>
                <w:color w:val="auto"/>
              </w:rPr>
              <w:t>Real estate</w:t>
            </w:r>
          </w:p>
        </w:tc>
        <w:tc>
          <w:tcPr>
            <w:tcW w:w="240" w:type="dxa"/>
            <w:vAlign w:val="bottom"/>
          </w:tcPr>
          <w:p>
            <w:pPr>
              <w:spacing w:after="0"/>
              <w:rPr>
                <w:sz w:val="16"/>
                <w:szCs w:val="16"/>
                <w:color w:val="auto"/>
              </w:rPr>
            </w:pPr>
          </w:p>
        </w:tc>
        <w:tc>
          <w:tcPr>
            <w:tcW w:w="116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b w:val="1"/>
                <w:bCs w:val="1"/>
                <w:color w:val="auto"/>
              </w:rPr>
              <w:t>—</w:t>
            </w:r>
          </w:p>
        </w:tc>
        <w:tc>
          <w:tcPr>
            <w:tcW w:w="240" w:type="dxa"/>
            <w:vAlign w:val="bottom"/>
          </w:tcPr>
          <w:p>
            <w:pPr>
              <w:spacing w:after="0"/>
              <w:rPr>
                <w:sz w:val="16"/>
                <w:szCs w:val="16"/>
                <w:color w:val="auto"/>
              </w:rPr>
            </w:pPr>
          </w:p>
        </w:tc>
        <w:tc>
          <w:tcPr>
            <w:tcW w:w="1120" w:type="dxa"/>
            <w:vAlign w:val="bottom"/>
            <w:tcBorders>
              <w:right w:val="single" w:sz="8" w:color="007CBA"/>
            </w:tcBorders>
          </w:tcPr>
          <w:p>
            <w:pPr>
              <w:ind w:left="840"/>
              <w:spacing w:after="0" w:line="193" w:lineRule="exact"/>
              <w:rPr>
                <w:sz w:val="20"/>
                <w:szCs w:val="20"/>
                <w:color w:val="auto"/>
              </w:rPr>
            </w:pPr>
            <w:r>
              <w:rPr>
                <w:rFonts w:ascii="Calibri" w:cs="Calibri" w:eastAsia="Calibri" w:hAnsi="Calibri"/>
                <w:sz w:val="16"/>
                <w:szCs w:val="16"/>
                <w:b w:val="1"/>
                <w:bCs w:val="1"/>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Borders>
              <w:right w:val="single" w:sz="8" w:color="007CBA"/>
            </w:tcBorders>
          </w:tcPr>
          <w:p>
            <w:pPr>
              <w:ind w:left="800"/>
              <w:spacing w:after="0" w:line="193" w:lineRule="exact"/>
              <w:rPr>
                <w:sz w:val="20"/>
                <w:szCs w:val="20"/>
                <w:color w:val="auto"/>
              </w:rPr>
            </w:pPr>
            <w:r>
              <w:rPr>
                <w:rFonts w:ascii="Calibri" w:cs="Calibri" w:eastAsia="Calibri" w:hAnsi="Calibri"/>
                <w:sz w:val="16"/>
                <w:szCs w:val="16"/>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b w:val="1"/>
                <w:bCs w:val="1"/>
                <w:color w:val="auto"/>
              </w:rPr>
              <w:t>151.5</w:t>
            </w:r>
          </w:p>
        </w:tc>
        <w:tc>
          <w:tcPr>
            <w:tcW w:w="220" w:type="dxa"/>
            <w:vAlign w:val="bottom"/>
          </w:tcPr>
          <w:p>
            <w:pPr>
              <w:spacing w:after="0"/>
              <w:rPr>
                <w:sz w:val="16"/>
                <w:szCs w:val="16"/>
                <w:color w:val="auto"/>
              </w:rPr>
            </w:pPr>
          </w:p>
        </w:tc>
        <w:tc>
          <w:tcPr>
            <w:tcW w:w="940" w:type="dxa"/>
            <w:vAlign w:val="bottom"/>
          </w:tcPr>
          <w:p>
            <w:pPr>
              <w:jc w:val="right"/>
              <w:ind w:right="39"/>
              <w:spacing w:after="0" w:line="193" w:lineRule="exact"/>
              <w:rPr>
                <w:sz w:val="20"/>
                <w:szCs w:val="20"/>
                <w:color w:val="auto"/>
              </w:rPr>
            </w:pPr>
            <w:r>
              <w:rPr>
                <w:rFonts w:ascii="Calibri" w:cs="Calibri" w:eastAsia="Calibri" w:hAnsi="Calibri"/>
                <w:sz w:val="16"/>
                <w:szCs w:val="16"/>
                <w:b w:val="1"/>
                <w:bCs w:val="1"/>
                <w:color w:val="auto"/>
              </w:rPr>
              <w:t>151.5</w:t>
            </w:r>
          </w:p>
        </w:tc>
      </w:tr>
      <w:tr>
        <w:trPr>
          <w:trHeight w:val="36"/>
        </w:trPr>
        <w:tc>
          <w:tcPr>
            <w:tcW w:w="4800" w:type="dxa"/>
            <w:vAlign w:val="bottom"/>
            <w:tcBorders>
              <w:right w:val="single" w:sz="8" w:color="007CBA"/>
            </w:tcBorders>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Borders>
              <w:right w:val="single" w:sz="8" w:color="007CBA"/>
            </w:tcBorders>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Borders>
              <w:right w:val="single" w:sz="8" w:color="007CBA"/>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Borders>
              <w:right w:val="single" w:sz="8" w:color="007CBA"/>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Borders>
              <w:right w:val="single" w:sz="8" w:color="007CBA"/>
            </w:tcBorders>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10"/>
        </w:trPr>
        <w:tc>
          <w:tcPr>
            <w:tcW w:w="4800" w:type="dxa"/>
            <w:vAlign w:val="bottom"/>
            <w:tcBorders>
              <w:bottom w:val="single" w:sz="8" w:color="E5F1F8"/>
              <w:right w:val="single" w:sz="8" w:color="007CBA"/>
            </w:tcBorders>
            <w:shd w:val="clear" w:color="auto" w:fill="E5F1F8"/>
          </w:tcPr>
          <w:p>
            <w:pPr>
              <w:ind w:left="120"/>
              <w:spacing w:after="0" w:line="193" w:lineRule="exact"/>
              <w:rPr>
                <w:sz w:val="20"/>
                <w:szCs w:val="20"/>
                <w:color w:val="auto"/>
              </w:rPr>
            </w:pPr>
            <w:r>
              <w:rPr>
                <w:rFonts w:ascii="Calibri" w:cs="Calibri" w:eastAsia="Calibri" w:hAnsi="Calibri"/>
                <w:sz w:val="16"/>
                <w:szCs w:val="16"/>
                <w:color w:val="auto"/>
              </w:rPr>
              <w:t>Private infrastructure</w:t>
            </w:r>
          </w:p>
        </w:tc>
        <w:tc>
          <w:tcPr>
            <w:tcW w:w="240" w:type="dxa"/>
            <w:vAlign w:val="bottom"/>
            <w:tcBorders>
              <w:bottom w:val="single" w:sz="8" w:color="E5F1F8"/>
            </w:tcBorders>
            <w:shd w:val="clear" w:color="auto" w:fill="E5F1F8"/>
          </w:tcPr>
          <w:p>
            <w:pPr>
              <w:spacing w:after="0"/>
              <w:rPr>
                <w:sz w:val="18"/>
                <w:szCs w:val="18"/>
                <w:color w:val="auto"/>
              </w:rPr>
            </w:pPr>
          </w:p>
        </w:tc>
        <w:tc>
          <w:tcPr>
            <w:tcW w:w="1160" w:type="dxa"/>
            <w:vAlign w:val="bottom"/>
            <w:tcBorders>
              <w:bottom w:val="single" w:sz="8" w:color="E5F1F8"/>
              <w:right w:val="single" w:sz="8" w:color="007CBA"/>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b w:val="1"/>
                <w:bCs w:val="1"/>
                <w:color w:val="auto"/>
              </w:rPr>
              <w:t>—</w:t>
            </w:r>
          </w:p>
        </w:tc>
        <w:tc>
          <w:tcPr>
            <w:tcW w:w="240" w:type="dxa"/>
            <w:vAlign w:val="bottom"/>
            <w:tcBorders>
              <w:bottom w:val="single" w:sz="8" w:color="E5F1F8"/>
            </w:tcBorders>
            <w:shd w:val="clear" w:color="auto" w:fill="E5F1F8"/>
          </w:tcPr>
          <w:p>
            <w:pPr>
              <w:spacing w:after="0"/>
              <w:rPr>
                <w:sz w:val="18"/>
                <w:szCs w:val="18"/>
                <w:color w:val="auto"/>
              </w:rPr>
            </w:pPr>
          </w:p>
        </w:tc>
        <w:tc>
          <w:tcPr>
            <w:tcW w:w="1120" w:type="dxa"/>
            <w:vAlign w:val="bottom"/>
            <w:tcBorders>
              <w:bottom w:val="single" w:sz="8" w:color="E5F1F8"/>
              <w:right w:val="single" w:sz="8" w:color="007CBA"/>
            </w:tcBorders>
            <w:shd w:val="clear" w:color="auto" w:fill="E5F1F8"/>
          </w:tcPr>
          <w:p>
            <w:pPr>
              <w:ind w:left="840"/>
              <w:spacing w:after="0" w:line="193" w:lineRule="exact"/>
              <w:rPr>
                <w:sz w:val="20"/>
                <w:szCs w:val="20"/>
                <w:color w:val="auto"/>
              </w:rPr>
            </w:pPr>
            <w:r>
              <w:rPr>
                <w:rFonts w:ascii="Calibri" w:cs="Calibri" w:eastAsia="Calibri" w:hAnsi="Calibri"/>
                <w:sz w:val="16"/>
                <w:szCs w:val="16"/>
                <w:b w:val="1"/>
                <w:bCs w:val="1"/>
                <w:color w:val="auto"/>
              </w:rPr>
              <w:t>—</w:t>
            </w:r>
          </w:p>
        </w:tc>
        <w:tc>
          <w:tcPr>
            <w:tcW w:w="100" w:type="dxa"/>
            <w:vAlign w:val="bottom"/>
            <w:tcBorders>
              <w:bottom w:val="single" w:sz="8" w:color="E5F1F8"/>
            </w:tcBorders>
            <w:shd w:val="clear" w:color="auto" w:fill="E5F1F8"/>
          </w:tcPr>
          <w:p>
            <w:pPr>
              <w:spacing w:after="0"/>
              <w:rPr>
                <w:sz w:val="18"/>
                <w:szCs w:val="18"/>
                <w:color w:val="auto"/>
              </w:rPr>
            </w:pPr>
          </w:p>
        </w:tc>
        <w:tc>
          <w:tcPr>
            <w:tcW w:w="160" w:type="dxa"/>
            <w:vAlign w:val="bottom"/>
            <w:tcBorders>
              <w:bottom w:val="single" w:sz="8" w:color="E5F1F8"/>
            </w:tcBorders>
            <w:shd w:val="clear" w:color="auto" w:fill="E5F1F8"/>
          </w:tcPr>
          <w:p>
            <w:pPr>
              <w:spacing w:after="0"/>
              <w:rPr>
                <w:sz w:val="18"/>
                <w:szCs w:val="18"/>
                <w:color w:val="auto"/>
              </w:rPr>
            </w:pPr>
          </w:p>
        </w:tc>
        <w:tc>
          <w:tcPr>
            <w:tcW w:w="1080" w:type="dxa"/>
            <w:vAlign w:val="bottom"/>
            <w:tcBorders>
              <w:bottom w:val="single" w:sz="8" w:color="E5F1F8"/>
              <w:right w:val="single" w:sz="8" w:color="007CBA"/>
            </w:tcBorders>
            <w:shd w:val="clear" w:color="auto" w:fill="E5F1F8"/>
          </w:tcPr>
          <w:p>
            <w:pPr>
              <w:ind w:left="800"/>
              <w:spacing w:after="0" w:line="193" w:lineRule="exact"/>
              <w:rPr>
                <w:sz w:val="20"/>
                <w:szCs w:val="20"/>
                <w:color w:val="auto"/>
              </w:rPr>
            </w:pPr>
            <w:r>
              <w:rPr>
                <w:rFonts w:ascii="Calibri" w:cs="Calibri" w:eastAsia="Calibri" w:hAnsi="Calibri"/>
                <w:sz w:val="16"/>
                <w:szCs w:val="16"/>
                <w:b w:val="1"/>
                <w:bCs w:val="1"/>
                <w:color w:val="auto"/>
              </w:rPr>
              <w:t>—</w:t>
            </w:r>
          </w:p>
        </w:tc>
        <w:tc>
          <w:tcPr>
            <w:tcW w:w="100" w:type="dxa"/>
            <w:vAlign w:val="bottom"/>
            <w:tcBorders>
              <w:bottom w:val="single" w:sz="8" w:color="E5F1F8"/>
            </w:tcBorders>
            <w:shd w:val="clear" w:color="auto" w:fill="E5F1F8"/>
          </w:tcPr>
          <w:p>
            <w:pPr>
              <w:spacing w:after="0"/>
              <w:rPr>
                <w:sz w:val="18"/>
                <w:szCs w:val="18"/>
                <w:color w:val="auto"/>
              </w:rPr>
            </w:pPr>
          </w:p>
        </w:tc>
        <w:tc>
          <w:tcPr>
            <w:tcW w:w="120" w:type="dxa"/>
            <w:vAlign w:val="bottom"/>
            <w:tcBorders>
              <w:bottom w:val="single" w:sz="8" w:color="E5F1F8"/>
            </w:tcBorders>
            <w:shd w:val="clear" w:color="auto" w:fill="E5F1F8"/>
          </w:tcPr>
          <w:p>
            <w:pPr>
              <w:spacing w:after="0"/>
              <w:rPr>
                <w:sz w:val="18"/>
                <w:szCs w:val="18"/>
                <w:color w:val="auto"/>
              </w:rPr>
            </w:pPr>
          </w:p>
        </w:tc>
        <w:tc>
          <w:tcPr>
            <w:tcW w:w="960" w:type="dxa"/>
            <w:vAlign w:val="bottom"/>
            <w:tcBorders>
              <w:bottom w:val="single" w:sz="8" w:color="E5F1F8"/>
              <w:right w:val="single" w:sz="8" w:color="007CBA"/>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b w:val="1"/>
                <w:bCs w:val="1"/>
                <w:color w:val="auto"/>
              </w:rPr>
              <w:t>83.1</w:t>
            </w:r>
          </w:p>
        </w:tc>
        <w:tc>
          <w:tcPr>
            <w:tcW w:w="220" w:type="dxa"/>
            <w:vAlign w:val="bottom"/>
            <w:tcBorders>
              <w:bottom w:val="single" w:sz="8" w:color="E5F1F8"/>
            </w:tcBorders>
            <w:shd w:val="clear" w:color="auto" w:fill="E5F1F8"/>
          </w:tcPr>
          <w:p>
            <w:pPr>
              <w:spacing w:after="0"/>
              <w:rPr>
                <w:sz w:val="18"/>
                <w:szCs w:val="18"/>
                <w:color w:val="auto"/>
              </w:rPr>
            </w:pPr>
          </w:p>
        </w:tc>
        <w:tc>
          <w:tcPr>
            <w:tcW w:w="940" w:type="dxa"/>
            <w:vAlign w:val="bottom"/>
            <w:tcBorders>
              <w:bottom w:val="single" w:sz="8" w:color="E5F1F8"/>
            </w:tcBorders>
            <w:shd w:val="clear" w:color="auto" w:fill="E5F1F8"/>
          </w:tcPr>
          <w:p>
            <w:pPr>
              <w:jc w:val="right"/>
              <w:ind w:right="39"/>
              <w:spacing w:after="0" w:line="193" w:lineRule="exact"/>
              <w:rPr>
                <w:sz w:val="20"/>
                <w:szCs w:val="20"/>
                <w:color w:val="auto"/>
              </w:rPr>
            </w:pPr>
            <w:r>
              <w:rPr>
                <w:rFonts w:ascii="Calibri" w:cs="Calibri" w:eastAsia="Calibri" w:hAnsi="Calibri"/>
                <w:sz w:val="16"/>
                <w:szCs w:val="16"/>
                <w:b w:val="1"/>
                <w:bCs w:val="1"/>
                <w:color w:val="auto"/>
              </w:rPr>
              <w:t>83.1</w:t>
            </w:r>
          </w:p>
        </w:tc>
      </w:tr>
      <w:tr>
        <w:trPr>
          <w:trHeight w:val="193"/>
        </w:trPr>
        <w:tc>
          <w:tcPr>
            <w:tcW w:w="4800" w:type="dxa"/>
            <w:vAlign w:val="bottom"/>
          </w:tcPr>
          <w:p>
            <w:pPr>
              <w:ind w:left="120"/>
              <w:spacing w:after="0" w:line="193" w:lineRule="exact"/>
              <w:rPr>
                <w:sz w:val="20"/>
                <w:szCs w:val="20"/>
                <w:color w:val="auto"/>
              </w:rPr>
            </w:pPr>
            <w:r>
              <w:rPr>
                <w:rFonts w:ascii="Calibri" w:cs="Calibri" w:eastAsia="Calibri" w:hAnsi="Calibri"/>
                <w:sz w:val="16"/>
                <w:szCs w:val="16"/>
                <w:color w:val="auto"/>
              </w:rPr>
              <w:t>Cash equivalents</w:t>
            </w:r>
          </w:p>
        </w:tc>
        <w:tc>
          <w:tcPr>
            <w:tcW w:w="240" w:type="dxa"/>
            <w:vAlign w:val="bottom"/>
          </w:tcPr>
          <w:p>
            <w:pPr>
              <w:spacing w:after="0"/>
              <w:rPr>
                <w:sz w:val="16"/>
                <w:szCs w:val="16"/>
                <w:color w:val="auto"/>
              </w:rPr>
            </w:pPr>
          </w:p>
        </w:tc>
        <w:tc>
          <w:tcPr>
            <w:tcW w:w="1160" w:type="dxa"/>
            <w:vAlign w:val="bottom"/>
          </w:tcPr>
          <w:p>
            <w:pPr>
              <w:jc w:val="right"/>
              <w:ind w:right="59"/>
              <w:spacing w:after="0" w:line="193" w:lineRule="exact"/>
              <w:rPr>
                <w:sz w:val="20"/>
                <w:szCs w:val="20"/>
                <w:color w:val="auto"/>
              </w:rPr>
            </w:pPr>
            <w:r>
              <w:rPr>
                <w:rFonts w:ascii="Calibri" w:cs="Calibri" w:eastAsia="Calibri" w:hAnsi="Calibri"/>
                <w:sz w:val="16"/>
                <w:szCs w:val="16"/>
                <w:b w:val="1"/>
                <w:bCs w:val="1"/>
                <w:color w:val="auto"/>
              </w:rPr>
              <w:t>0.2</w:t>
            </w:r>
          </w:p>
        </w:tc>
        <w:tc>
          <w:tcPr>
            <w:tcW w:w="240" w:type="dxa"/>
            <w:vAlign w:val="bottom"/>
          </w:tcPr>
          <w:p>
            <w:pPr>
              <w:spacing w:after="0"/>
              <w:rPr>
                <w:sz w:val="16"/>
                <w:szCs w:val="16"/>
                <w:color w:val="auto"/>
              </w:rPr>
            </w:pPr>
          </w:p>
        </w:tc>
        <w:tc>
          <w:tcPr>
            <w:tcW w:w="1220" w:type="dxa"/>
            <w:vAlign w:val="bottom"/>
            <w:gridSpan w:val="2"/>
          </w:tcPr>
          <w:p>
            <w:pPr>
              <w:ind w:left="840"/>
              <w:spacing w:after="0" w:line="193" w:lineRule="exact"/>
              <w:rPr>
                <w:sz w:val="20"/>
                <w:szCs w:val="20"/>
                <w:color w:val="auto"/>
              </w:rPr>
            </w:pPr>
            <w:r>
              <w:rPr>
                <w:rFonts w:ascii="Calibri" w:cs="Calibri" w:eastAsia="Calibri" w:hAnsi="Calibri"/>
                <w:sz w:val="16"/>
                <w:szCs w:val="16"/>
                <w:b w:val="1"/>
                <w:bCs w:val="1"/>
                <w:color w:val="auto"/>
              </w:rPr>
              <w:t>—</w:t>
            </w:r>
          </w:p>
        </w:tc>
        <w:tc>
          <w:tcPr>
            <w:tcW w:w="160" w:type="dxa"/>
            <w:vAlign w:val="bottom"/>
          </w:tcPr>
          <w:p>
            <w:pPr>
              <w:spacing w:after="0"/>
              <w:rPr>
                <w:sz w:val="16"/>
                <w:szCs w:val="16"/>
                <w:color w:val="auto"/>
              </w:rPr>
            </w:pPr>
          </w:p>
        </w:tc>
        <w:tc>
          <w:tcPr>
            <w:tcW w:w="1180" w:type="dxa"/>
            <w:vAlign w:val="bottom"/>
            <w:gridSpan w:val="2"/>
          </w:tcPr>
          <w:p>
            <w:pPr>
              <w:ind w:left="800"/>
              <w:spacing w:after="0" w:line="193" w:lineRule="exact"/>
              <w:rPr>
                <w:sz w:val="20"/>
                <w:szCs w:val="20"/>
                <w:color w:val="auto"/>
              </w:rPr>
            </w:pPr>
            <w:r>
              <w:rPr>
                <w:rFonts w:ascii="Calibri" w:cs="Calibri" w:eastAsia="Calibri" w:hAnsi="Calibri"/>
                <w:sz w:val="16"/>
                <w:szCs w:val="16"/>
                <w:b w:val="1"/>
                <w:bCs w:val="1"/>
                <w:color w:val="auto"/>
              </w:rPr>
              <w:t>—</w:t>
            </w:r>
          </w:p>
        </w:tc>
        <w:tc>
          <w:tcPr>
            <w:tcW w:w="120" w:type="dxa"/>
            <w:vAlign w:val="bottom"/>
          </w:tcPr>
          <w:p>
            <w:pPr>
              <w:spacing w:after="0"/>
              <w:rPr>
                <w:sz w:val="16"/>
                <w:szCs w:val="16"/>
                <w:color w:val="auto"/>
              </w:rPr>
            </w:pPr>
          </w:p>
        </w:tc>
        <w:tc>
          <w:tcPr>
            <w:tcW w:w="960" w:type="dxa"/>
            <w:vAlign w:val="bottom"/>
          </w:tcPr>
          <w:p>
            <w:pPr>
              <w:jc w:val="right"/>
              <w:ind w:right="59"/>
              <w:spacing w:after="0" w:line="193" w:lineRule="exact"/>
              <w:rPr>
                <w:sz w:val="20"/>
                <w:szCs w:val="20"/>
                <w:color w:val="auto"/>
              </w:rPr>
            </w:pPr>
            <w:r>
              <w:rPr>
                <w:rFonts w:ascii="Calibri" w:cs="Calibri" w:eastAsia="Calibri" w:hAnsi="Calibri"/>
                <w:sz w:val="16"/>
                <w:szCs w:val="16"/>
                <w:b w:val="1"/>
                <w:bCs w:val="1"/>
                <w:color w:val="auto"/>
              </w:rPr>
              <w:t>4.4</w:t>
            </w:r>
          </w:p>
        </w:tc>
        <w:tc>
          <w:tcPr>
            <w:tcW w:w="220" w:type="dxa"/>
            <w:vAlign w:val="bottom"/>
          </w:tcPr>
          <w:p>
            <w:pPr>
              <w:spacing w:after="0"/>
              <w:rPr>
                <w:sz w:val="16"/>
                <w:szCs w:val="16"/>
                <w:color w:val="auto"/>
              </w:rPr>
            </w:pPr>
          </w:p>
        </w:tc>
        <w:tc>
          <w:tcPr>
            <w:tcW w:w="940" w:type="dxa"/>
            <w:vAlign w:val="bottom"/>
          </w:tcPr>
          <w:p>
            <w:pPr>
              <w:jc w:val="right"/>
              <w:ind w:right="39"/>
              <w:spacing w:after="0" w:line="193" w:lineRule="exact"/>
              <w:rPr>
                <w:sz w:val="20"/>
                <w:szCs w:val="20"/>
                <w:color w:val="auto"/>
              </w:rPr>
            </w:pPr>
            <w:r>
              <w:rPr>
                <w:rFonts w:ascii="Calibri" w:cs="Calibri" w:eastAsia="Calibri" w:hAnsi="Calibri"/>
                <w:sz w:val="16"/>
                <w:szCs w:val="16"/>
                <w:b w:val="1"/>
                <w:bCs w:val="1"/>
                <w:color w:val="auto"/>
              </w:rPr>
              <w:t>4.6</w:t>
            </w:r>
          </w:p>
        </w:tc>
      </w:tr>
      <w:tr>
        <w:trPr>
          <w:trHeight w:val="36"/>
        </w:trPr>
        <w:tc>
          <w:tcPr>
            <w:tcW w:w="48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68"/>
        </w:trPr>
        <w:tc>
          <w:tcPr>
            <w:tcW w:w="4800" w:type="dxa"/>
            <w:vAlign w:val="bottom"/>
            <w:tcBorders>
              <w:bottom w:val="single" w:sz="8" w:color="E5F1F8"/>
              <w:right w:val="single" w:sz="8" w:color="E5F1F8"/>
            </w:tcBorders>
            <w:shd w:val="clear" w:color="auto" w:fill="E5F1F8"/>
          </w:tcPr>
          <w:p>
            <w:pPr>
              <w:ind w:left="120"/>
              <w:spacing w:after="0" w:line="187" w:lineRule="exact"/>
              <w:rPr>
                <w:sz w:val="20"/>
                <w:szCs w:val="20"/>
                <w:color w:val="auto"/>
              </w:rPr>
            </w:pPr>
            <w:r>
              <w:rPr>
                <w:rFonts w:ascii="Calibri" w:cs="Calibri" w:eastAsia="Calibri" w:hAnsi="Calibri"/>
                <w:sz w:val="16"/>
                <w:szCs w:val="16"/>
                <w:color w:val="auto"/>
              </w:rPr>
              <w:t>Total</w:t>
            </w:r>
          </w:p>
        </w:tc>
        <w:tc>
          <w:tcPr>
            <w:tcW w:w="240" w:type="dxa"/>
            <w:vAlign w:val="bottom"/>
            <w:tcBorders>
              <w:bottom w:val="single" w:sz="8" w:color="E5F1F8"/>
            </w:tcBorders>
            <w:shd w:val="clear" w:color="auto" w:fill="E5F1F8"/>
          </w:tcPr>
          <w:p>
            <w:pPr>
              <w:jc w:val="right"/>
              <w:spacing w:after="0" w:line="187" w:lineRule="exact"/>
              <w:rPr>
                <w:sz w:val="20"/>
                <w:szCs w:val="20"/>
                <w:color w:val="auto"/>
              </w:rPr>
            </w:pPr>
            <w:r>
              <w:rPr>
                <w:rFonts w:ascii="Calibri" w:cs="Calibri" w:eastAsia="Calibri" w:hAnsi="Calibri"/>
                <w:sz w:val="16"/>
                <w:szCs w:val="16"/>
                <w:b w:val="1"/>
                <w:bCs w:val="1"/>
                <w:color w:val="auto"/>
              </w:rPr>
              <w:t>$</w:t>
            </w:r>
          </w:p>
        </w:tc>
        <w:tc>
          <w:tcPr>
            <w:tcW w:w="1160" w:type="dxa"/>
            <w:vAlign w:val="bottom"/>
            <w:tcBorders>
              <w:bottom w:val="single" w:sz="8" w:color="E5F1F8"/>
              <w:right w:val="single" w:sz="8" w:color="E5F1F8"/>
            </w:tcBorders>
            <w:shd w:val="clear" w:color="auto" w:fill="E5F1F8"/>
          </w:tcPr>
          <w:p>
            <w:pPr>
              <w:jc w:val="right"/>
              <w:ind w:right="59"/>
              <w:spacing w:after="0" w:line="187" w:lineRule="exact"/>
              <w:rPr>
                <w:sz w:val="20"/>
                <w:szCs w:val="20"/>
                <w:color w:val="auto"/>
              </w:rPr>
            </w:pPr>
            <w:r>
              <w:rPr>
                <w:rFonts w:ascii="Calibri" w:cs="Calibri" w:eastAsia="Calibri" w:hAnsi="Calibri"/>
                <w:sz w:val="16"/>
                <w:szCs w:val="16"/>
                <w:b w:val="1"/>
                <w:bCs w:val="1"/>
                <w:color w:val="auto"/>
              </w:rPr>
              <w:t>0.2</w:t>
            </w:r>
          </w:p>
        </w:tc>
        <w:tc>
          <w:tcPr>
            <w:tcW w:w="240" w:type="dxa"/>
            <w:vAlign w:val="bottom"/>
            <w:tcBorders>
              <w:bottom w:val="single" w:sz="8" w:color="E5F1F8"/>
            </w:tcBorders>
            <w:shd w:val="clear" w:color="auto" w:fill="E5F1F8"/>
          </w:tcPr>
          <w:p>
            <w:pPr>
              <w:jc w:val="right"/>
              <w:spacing w:after="0" w:line="187" w:lineRule="exact"/>
              <w:rPr>
                <w:sz w:val="20"/>
                <w:szCs w:val="20"/>
                <w:color w:val="auto"/>
              </w:rPr>
            </w:pPr>
            <w:r>
              <w:rPr>
                <w:rFonts w:ascii="Calibri" w:cs="Calibri" w:eastAsia="Calibri" w:hAnsi="Calibri"/>
                <w:sz w:val="16"/>
                <w:szCs w:val="16"/>
                <w:b w:val="1"/>
                <w:bCs w:val="1"/>
                <w:color w:val="auto"/>
              </w:rPr>
              <w:t>$</w:t>
            </w:r>
          </w:p>
        </w:tc>
        <w:tc>
          <w:tcPr>
            <w:tcW w:w="1120" w:type="dxa"/>
            <w:vAlign w:val="bottom"/>
            <w:tcBorders>
              <w:bottom w:val="single" w:sz="8" w:color="E5F1F8"/>
              <w:right w:val="single" w:sz="8" w:color="E5F1F8"/>
            </w:tcBorders>
            <w:shd w:val="clear" w:color="auto" w:fill="E5F1F8"/>
          </w:tcPr>
          <w:p>
            <w:pPr>
              <w:ind w:left="840"/>
              <w:spacing w:after="0" w:line="187" w:lineRule="exact"/>
              <w:rPr>
                <w:sz w:val="20"/>
                <w:szCs w:val="20"/>
                <w:color w:val="auto"/>
              </w:rPr>
            </w:pPr>
            <w:r>
              <w:rPr>
                <w:rFonts w:ascii="Calibri" w:cs="Calibri" w:eastAsia="Calibri" w:hAnsi="Calibri"/>
                <w:sz w:val="16"/>
                <w:szCs w:val="16"/>
                <w:b w:val="1"/>
                <w:bCs w:val="1"/>
                <w:color w:val="auto"/>
              </w:rPr>
              <w:t>—</w:t>
            </w:r>
          </w:p>
        </w:tc>
        <w:tc>
          <w:tcPr>
            <w:tcW w:w="100" w:type="dxa"/>
            <w:vAlign w:val="bottom"/>
            <w:tcBorders>
              <w:bottom w:val="single" w:sz="8" w:color="E5F1F8"/>
            </w:tcBorders>
            <w:shd w:val="clear" w:color="auto" w:fill="E5F1F8"/>
          </w:tcPr>
          <w:p>
            <w:pPr>
              <w:spacing w:after="0"/>
              <w:rPr>
                <w:sz w:val="22"/>
                <w:szCs w:val="22"/>
                <w:color w:val="auto"/>
              </w:rPr>
            </w:pPr>
          </w:p>
        </w:tc>
        <w:tc>
          <w:tcPr>
            <w:tcW w:w="160" w:type="dxa"/>
            <w:vAlign w:val="bottom"/>
            <w:tcBorders>
              <w:bottom w:val="single" w:sz="8" w:color="E5F1F8"/>
            </w:tcBorders>
            <w:shd w:val="clear" w:color="auto" w:fill="E5F1F8"/>
          </w:tcPr>
          <w:p>
            <w:pPr>
              <w:jc w:val="right"/>
              <w:spacing w:after="0" w:line="187" w:lineRule="exact"/>
              <w:rPr>
                <w:sz w:val="20"/>
                <w:szCs w:val="20"/>
                <w:color w:val="auto"/>
              </w:rPr>
            </w:pPr>
            <w:r>
              <w:rPr>
                <w:rFonts w:ascii="Calibri" w:cs="Calibri" w:eastAsia="Calibri" w:hAnsi="Calibri"/>
                <w:sz w:val="16"/>
                <w:szCs w:val="16"/>
                <w:b w:val="1"/>
                <w:bCs w:val="1"/>
                <w:color w:val="auto"/>
              </w:rPr>
              <w:t>$</w:t>
            </w:r>
          </w:p>
        </w:tc>
        <w:tc>
          <w:tcPr>
            <w:tcW w:w="1080" w:type="dxa"/>
            <w:vAlign w:val="bottom"/>
            <w:tcBorders>
              <w:bottom w:val="single" w:sz="8" w:color="E5F1F8"/>
              <w:right w:val="single" w:sz="8" w:color="E5F1F8"/>
            </w:tcBorders>
            <w:shd w:val="clear" w:color="auto" w:fill="E5F1F8"/>
          </w:tcPr>
          <w:p>
            <w:pPr>
              <w:ind w:left="800"/>
              <w:spacing w:after="0" w:line="187" w:lineRule="exact"/>
              <w:rPr>
                <w:sz w:val="20"/>
                <w:szCs w:val="20"/>
                <w:color w:val="auto"/>
              </w:rPr>
            </w:pPr>
            <w:r>
              <w:rPr>
                <w:rFonts w:ascii="Calibri" w:cs="Calibri" w:eastAsia="Calibri" w:hAnsi="Calibri"/>
                <w:sz w:val="16"/>
                <w:szCs w:val="16"/>
                <w:b w:val="1"/>
                <w:bCs w:val="1"/>
                <w:color w:val="auto"/>
              </w:rPr>
              <w:t>—</w:t>
            </w:r>
          </w:p>
        </w:tc>
        <w:tc>
          <w:tcPr>
            <w:tcW w:w="100" w:type="dxa"/>
            <w:vAlign w:val="bottom"/>
            <w:tcBorders>
              <w:bottom w:val="single" w:sz="8" w:color="E5F1F8"/>
            </w:tcBorders>
            <w:shd w:val="clear" w:color="auto" w:fill="E5F1F8"/>
          </w:tcPr>
          <w:p>
            <w:pPr>
              <w:spacing w:after="0"/>
              <w:rPr>
                <w:sz w:val="22"/>
                <w:szCs w:val="22"/>
                <w:color w:val="auto"/>
              </w:rPr>
            </w:pPr>
          </w:p>
        </w:tc>
        <w:tc>
          <w:tcPr>
            <w:tcW w:w="120" w:type="dxa"/>
            <w:vAlign w:val="bottom"/>
            <w:tcBorders>
              <w:bottom w:val="single" w:sz="8" w:color="E5F1F8"/>
            </w:tcBorders>
            <w:shd w:val="clear" w:color="auto" w:fill="E5F1F8"/>
          </w:tcPr>
          <w:p>
            <w:pPr>
              <w:jc w:val="right"/>
              <w:spacing w:after="0" w:line="187" w:lineRule="exact"/>
              <w:rPr>
                <w:sz w:val="20"/>
                <w:szCs w:val="20"/>
                <w:color w:val="auto"/>
              </w:rPr>
            </w:pPr>
            <w:r>
              <w:rPr>
                <w:rFonts w:ascii="Calibri" w:cs="Calibri" w:eastAsia="Calibri" w:hAnsi="Calibri"/>
                <w:sz w:val="16"/>
                <w:szCs w:val="16"/>
                <w:b w:val="1"/>
                <w:bCs w:val="1"/>
                <w:color w:val="auto"/>
                <w:w w:val="97"/>
              </w:rPr>
              <w:t>$</w:t>
            </w:r>
          </w:p>
        </w:tc>
        <w:tc>
          <w:tcPr>
            <w:tcW w:w="960" w:type="dxa"/>
            <w:vAlign w:val="bottom"/>
            <w:tcBorders>
              <w:bottom w:val="single" w:sz="8" w:color="E5F1F8"/>
              <w:right w:val="single" w:sz="8" w:color="E5F1F8"/>
            </w:tcBorders>
            <w:shd w:val="clear" w:color="auto" w:fill="E5F1F8"/>
          </w:tcPr>
          <w:p>
            <w:pPr>
              <w:jc w:val="right"/>
              <w:ind w:right="59"/>
              <w:spacing w:after="0" w:line="187" w:lineRule="exact"/>
              <w:rPr>
                <w:sz w:val="20"/>
                <w:szCs w:val="20"/>
                <w:color w:val="auto"/>
              </w:rPr>
            </w:pPr>
            <w:r>
              <w:rPr>
                <w:rFonts w:ascii="Calibri" w:cs="Calibri" w:eastAsia="Calibri" w:hAnsi="Calibri"/>
                <w:sz w:val="16"/>
                <w:szCs w:val="16"/>
                <w:b w:val="1"/>
                <w:bCs w:val="1"/>
                <w:color w:val="auto"/>
              </w:rPr>
              <w:t>1,066.9</w:t>
            </w:r>
          </w:p>
        </w:tc>
        <w:tc>
          <w:tcPr>
            <w:tcW w:w="220" w:type="dxa"/>
            <w:vAlign w:val="bottom"/>
            <w:tcBorders>
              <w:bottom w:val="single" w:sz="8" w:color="E5F1F8"/>
            </w:tcBorders>
            <w:shd w:val="clear" w:color="auto" w:fill="E5F1F8"/>
          </w:tcPr>
          <w:p>
            <w:pPr>
              <w:jc w:val="right"/>
              <w:spacing w:after="0" w:line="187" w:lineRule="exact"/>
              <w:rPr>
                <w:sz w:val="20"/>
                <w:szCs w:val="20"/>
                <w:color w:val="auto"/>
              </w:rPr>
            </w:pPr>
            <w:r>
              <w:rPr>
                <w:rFonts w:ascii="Calibri" w:cs="Calibri" w:eastAsia="Calibri" w:hAnsi="Calibri"/>
                <w:sz w:val="16"/>
                <w:szCs w:val="16"/>
                <w:b w:val="1"/>
                <w:bCs w:val="1"/>
                <w:color w:val="auto"/>
              </w:rPr>
              <w:t>$</w:t>
            </w:r>
          </w:p>
        </w:tc>
        <w:tc>
          <w:tcPr>
            <w:tcW w:w="940" w:type="dxa"/>
            <w:vAlign w:val="bottom"/>
            <w:tcBorders>
              <w:bottom w:val="single" w:sz="8" w:color="E5F1F8"/>
            </w:tcBorders>
            <w:shd w:val="clear" w:color="auto" w:fill="E5F1F8"/>
          </w:tcPr>
          <w:p>
            <w:pPr>
              <w:jc w:val="right"/>
              <w:ind w:right="39"/>
              <w:spacing w:after="0" w:line="187" w:lineRule="exact"/>
              <w:rPr>
                <w:sz w:val="20"/>
                <w:szCs w:val="20"/>
                <w:color w:val="auto"/>
              </w:rPr>
            </w:pPr>
            <w:r>
              <w:rPr>
                <w:rFonts w:ascii="Calibri" w:cs="Calibri" w:eastAsia="Calibri" w:hAnsi="Calibri"/>
                <w:sz w:val="16"/>
                <w:szCs w:val="16"/>
                <w:b w:val="1"/>
                <w:bCs w:val="1"/>
                <w:color w:val="auto"/>
              </w:rPr>
              <w:t>1,067.1</w:t>
            </w:r>
          </w:p>
        </w:tc>
      </w:tr>
      <w:tr>
        <w:trPr>
          <w:trHeight w:val="210"/>
        </w:trPr>
        <w:tc>
          <w:tcPr>
            <w:tcW w:w="48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r>
      <w:tr>
        <w:trPr>
          <w:trHeight w:val="209"/>
        </w:trPr>
        <w:tc>
          <w:tcPr>
            <w:tcW w:w="4800" w:type="dxa"/>
            <w:vAlign w:val="bottom"/>
            <w:tcBorders>
              <w:bottom w:val="single" w:sz="8" w:color="007CBA"/>
              <w:right w:val="single" w:sz="8" w:color="007CBA"/>
            </w:tcBorders>
            <w:shd w:val="clear" w:color="auto" w:fill="007CBA"/>
          </w:tcPr>
          <w:p>
            <w:pPr>
              <w:spacing w:after="0"/>
              <w:rPr>
                <w:sz w:val="18"/>
                <w:szCs w:val="18"/>
                <w:color w:val="auto"/>
              </w:rPr>
            </w:pPr>
          </w:p>
        </w:tc>
        <w:tc>
          <w:tcPr>
            <w:tcW w:w="240" w:type="dxa"/>
            <w:vAlign w:val="bottom"/>
            <w:tcBorders>
              <w:bottom w:val="single" w:sz="8" w:color="007CBA"/>
            </w:tcBorders>
            <w:shd w:val="clear" w:color="auto" w:fill="007CBA"/>
          </w:tcPr>
          <w:p>
            <w:pPr>
              <w:spacing w:after="0"/>
              <w:rPr>
                <w:sz w:val="18"/>
                <w:szCs w:val="18"/>
                <w:color w:val="auto"/>
              </w:rPr>
            </w:pPr>
          </w:p>
        </w:tc>
        <w:tc>
          <w:tcPr>
            <w:tcW w:w="1160" w:type="dxa"/>
            <w:vAlign w:val="bottom"/>
            <w:tcBorders>
              <w:bottom w:val="single" w:sz="8" w:color="007CBA"/>
              <w:right w:val="single" w:sz="8" w:color="007CBA"/>
            </w:tcBorders>
            <w:shd w:val="clear" w:color="auto" w:fill="007CBA"/>
          </w:tcPr>
          <w:p>
            <w:pPr>
              <w:spacing w:after="0"/>
              <w:rPr>
                <w:sz w:val="18"/>
                <w:szCs w:val="18"/>
                <w:color w:val="auto"/>
              </w:rPr>
            </w:pPr>
          </w:p>
        </w:tc>
        <w:tc>
          <w:tcPr>
            <w:tcW w:w="240" w:type="dxa"/>
            <w:vAlign w:val="bottom"/>
            <w:tcBorders>
              <w:bottom w:val="single" w:sz="8" w:color="007CBA"/>
            </w:tcBorders>
            <w:shd w:val="clear" w:color="auto" w:fill="007CBA"/>
          </w:tcPr>
          <w:p>
            <w:pPr>
              <w:spacing w:after="0"/>
              <w:rPr>
                <w:sz w:val="18"/>
                <w:szCs w:val="18"/>
                <w:color w:val="auto"/>
              </w:rPr>
            </w:pPr>
          </w:p>
        </w:tc>
        <w:tc>
          <w:tcPr>
            <w:tcW w:w="1120" w:type="dxa"/>
            <w:vAlign w:val="bottom"/>
            <w:tcBorders>
              <w:bottom w:val="single" w:sz="8" w:color="007CBA"/>
              <w:right w:val="single" w:sz="8" w:color="007CBA"/>
            </w:tcBorders>
            <w:shd w:val="clear" w:color="auto" w:fill="007CBA"/>
          </w:tcPr>
          <w:p>
            <w:pPr>
              <w:spacing w:after="0"/>
              <w:rPr>
                <w:sz w:val="18"/>
                <w:szCs w:val="18"/>
                <w:color w:val="auto"/>
              </w:rPr>
            </w:pPr>
          </w:p>
        </w:tc>
        <w:tc>
          <w:tcPr>
            <w:tcW w:w="100" w:type="dxa"/>
            <w:vAlign w:val="bottom"/>
            <w:tcBorders>
              <w:bottom w:val="single" w:sz="8" w:color="007CBA"/>
            </w:tcBorders>
            <w:shd w:val="clear" w:color="auto" w:fill="007CBA"/>
          </w:tcPr>
          <w:p>
            <w:pPr>
              <w:spacing w:after="0"/>
              <w:rPr>
                <w:sz w:val="18"/>
                <w:szCs w:val="18"/>
                <w:color w:val="auto"/>
              </w:rPr>
            </w:pPr>
          </w:p>
        </w:tc>
        <w:tc>
          <w:tcPr>
            <w:tcW w:w="160" w:type="dxa"/>
            <w:vAlign w:val="bottom"/>
            <w:tcBorders>
              <w:bottom w:val="single" w:sz="8" w:color="007CBA"/>
            </w:tcBorders>
            <w:shd w:val="clear" w:color="auto" w:fill="007CBA"/>
          </w:tcPr>
          <w:p>
            <w:pPr>
              <w:spacing w:after="0"/>
              <w:rPr>
                <w:sz w:val="18"/>
                <w:szCs w:val="18"/>
                <w:color w:val="auto"/>
              </w:rPr>
            </w:pPr>
          </w:p>
        </w:tc>
        <w:tc>
          <w:tcPr>
            <w:tcW w:w="1080" w:type="dxa"/>
            <w:vAlign w:val="bottom"/>
            <w:tcBorders>
              <w:bottom w:val="single" w:sz="8" w:color="007CBA"/>
              <w:right w:val="single" w:sz="8" w:color="007CBA"/>
            </w:tcBorders>
            <w:shd w:val="clear" w:color="auto" w:fill="007CBA"/>
          </w:tcPr>
          <w:p>
            <w:pPr>
              <w:ind w:left="40"/>
              <w:spacing w:after="0" w:line="193" w:lineRule="exact"/>
              <w:rPr>
                <w:sz w:val="20"/>
                <w:szCs w:val="20"/>
                <w:color w:val="auto"/>
              </w:rPr>
            </w:pPr>
            <w:r>
              <w:rPr>
                <w:rFonts w:ascii="Calibri" w:cs="Calibri" w:eastAsia="Calibri" w:hAnsi="Calibri"/>
                <w:sz w:val="16"/>
                <w:szCs w:val="16"/>
                <w:color w:val="FFFFFF"/>
              </w:rPr>
              <w:t>2021</w:t>
            </w:r>
          </w:p>
        </w:tc>
        <w:tc>
          <w:tcPr>
            <w:tcW w:w="100" w:type="dxa"/>
            <w:vAlign w:val="bottom"/>
            <w:tcBorders>
              <w:bottom w:val="single" w:sz="8" w:color="007CBA"/>
            </w:tcBorders>
            <w:shd w:val="clear" w:color="auto" w:fill="007CBA"/>
          </w:tcPr>
          <w:p>
            <w:pPr>
              <w:spacing w:after="0"/>
              <w:rPr>
                <w:sz w:val="18"/>
                <w:szCs w:val="18"/>
                <w:color w:val="auto"/>
              </w:rPr>
            </w:pPr>
          </w:p>
        </w:tc>
        <w:tc>
          <w:tcPr>
            <w:tcW w:w="120" w:type="dxa"/>
            <w:vAlign w:val="bottom"/>
            <w:tcBorders>
              <w:bottom w:val="single" w:sz="8" w:color="007CBA"/>
            </w:tcBorders>
            <w:shd w:val="clear" w:color="auto" w:fill="007CBA"/>
          </w:tcPr>
          <w:p>
            <w:pPr>
              <w:spacing w:after="0"/>
              <w:rPr>
                <w:sz w:val="18"/>
                <w:szCs w:val="18"/>
                <w:color w:val="auto"/>
              </w:rPr>
            </w:pPr>
          </w:p>
        </w:tc>
        <w:tc>
          <w:tcPr>
            <w:tcW w:w="960" w:type="dxa"/>
            <w:vAlign w:val="bottom"/>
            <w:tcBorders>
              <w:bottom w:val="single" w:sz="8" w:color="007CBA"/>
              <w:right w:val="single" w:sz="8" w:color="007CBA"/>
            </w:tcBorders>
            <w:shd w:val="clear" w:color="auto" w:fill="007CBA"/>
          </w:tcPr>
          <w:p>
            <w:pPr>
              <w:spacing w:after="0"/>
              <w:rPr>
                <w:sz w:val="18"/>
                <w:szCs w:val="18"/>
                <w:color w:val="auto"/>
              </w:rPr>
            </w:pPr>
          </w:p>
        </w:tc>
        <w:tc>
          <w:tcPr>
            <w:tcW w:w="220" w:type="dxa"/>
            <w:vAlign w:val="bottom"/>
            <w:tcBorders>
              <w:bottom w:val="single" w:sz="8" w:color="007CBA"/>
            </w:tcBorders>
            <w:shd w:val="clear" w:color="auto" w:fill="007CBA"/>
          </w:tcPr>
          <w:p>
            <w:pPr>
              <w:spacing w:after="0"/>
              <w:rPr>
                <w:sz w:val="18"/>
                <w:szCs w:val="18"/>
                <w:color w:val="auto"/>
              </w:rPr>
            </w:pPr>
          </w:p>
        </w:tc>
        <w:tc>
          <w:tcPr>
            <w:tcW w:w="940" w:type="dxa"/>
            <w:vAlign w:val="bottom"/>
            <w:tcBorders>
              <w:bottom w:val="single" w:sz="8" w:color="007CBA"/>
            </w:tcBorders>
            <w:shd w:val="clear" w:color="auto" w:fill="007CBA"/>
          </w:tcPr>
          <w:p>
            <w:pPr>
              <w:spacing w:after="0"/>
              <w:rPr>
                <w:sz w:val="18"/>
                <w:szCs w:val="18"/>
                <w:color w:val="auto"/>
              </w:rPr>
            </w:pPr>
          </w:p>
        </w:tc>
      </w:tr>
      <w:tr>
        <w:trPr>
          <w:trHeight w:val="230"/>
        </w:trPr>
        <w:tc>
          <w:tcPr>
            <w:tcW w:w="4800" w:type="dxa"/>
            <w:vAlign w:val="bottom"/>
            <w:tcBorders>
              <w:right w:val="single" w:sz="8" w:color="007CBA"/>
            </w:tcBorders>
          </w:tcPr>
          <w:p>
            <w:pPr>
              <w:ind w:left="120"/>
              <w:spacing w:after="0" w:line="229" w:lineRule="exact"/>
              <w:rPr>
                <w:sz w:val="20"/>
                <w:szCs w:val="20"/>
                <w:color w:val="auto"/>
              </w:rPr>
            </w:pPr>
            <w:r>
              <w:rPr>
                <w:rFonts w:ascii="Calibri" w:cs="Calibri" w:eastAsia="Calibri" w:hAnsi="Calibri"/>
                <w:sz w:val="16"/>
                <w:szCs w:val="16"/>
                <w:color w:val="auto"/>
              </w:rPr>
              <w:t>Equity securites</w:t>
            </w:r>
            <w:r>
              <w:rPr>
                <w:rFonts w:ascii="Calibri" w:cs="Calibri" w:eastAsia="Calibri" w:hAnsi="Calibri"/>
                <w:sz w:val="21"/>
                <w:szCs w:val="21"/>
                <w:color w:val="auto"/>
                <w:vertAlign w:val="superscript"/>
              </w:rPr>
              <w:t>1</w:t>
            </w:r>
            <w:r>
              <w:rPr>
                <w:rFonts w:ascii="Calibri" w:cs="Calibri" w:eastAsia="Calibri" w:hAnsi="Calibri"/>
                <w:sz w:val="16"/>
                <w:szCs w:val="16"/>
                <w:color w:val="auto"/>
              </w:rPr>
              <w:t>:</w:t>
            </w:r>
          </w:p>
        </w:tc>
        <w:tc>
          <w:tcPr>
            <w:tcW w:w="240" w:type="dxa"/>
            <w:vAlign w:val="bottom"/>
          </w:tcPr>
          <w:p>
            <w:pPr>
              <w:spacing w:after="0"/>
              <w:rPr>
                <w:sz w:val="19"/>
                <w:szCs w:val="19"/>
                <w:color w:val="auto"/>
              </w:rPr>
            </w:pPr>
          </w:p>
        </w:tc>
        <w:tc>
          <w:tcPr>
            <w:tcW w:w="1160" w:type="dxa"/>
            <w:vAlign w:val="bottom"/>
            <w:tcBorders>
              <w:right w:val="single" w:sz="8" w:color="007CBA"/>
            </w:tcBorders>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Borders>
              <w:right w:val="single" w:sz="8" w:color="007CBA"/>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Borders>
              <w:right w:val="single" w:sz="8" w:color="007CBA"/>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right w:val="single" w:sz="8" w:color="007CBA"/>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9"/>
        </w:trPr>
        <w:tc>
          <w:tcPr>
            <w:tcW w:w="4800" w:type="dxa"/>
            <w:vAlign w:val="bottom"/>
            <w:tcBorders>
              <w:bottom w:val="single" w:sz="8" w:color="E5F1F8"/>
              <w:right w:val="single" w:sz="8" w:color="007CBA"/>
            </w:tcBorders>
            <w:shd w:val="clear" w:color="auto" w:fill="E5F1F8"/>
          </w:tcPr>
          <w:p>
            <w:pPr>
              <w:ind w:left="300"/>
              <w:spacing w:after="0" w:line="193" w:lineRule="exact"/>
              <w:rPr>
                <w:sz w:val="20"/>
                <w:szCs w:val="20"/>
                <w:color w:val="auto"/>
              </w:rPr>
            </w:pPr>
            <w:r>
              <w:rPr>
                <w:rFonts w:ascii="Calibri" w:cs="Calibri" w:eastAsia="Calibri" w:hAnsi="Calibri"/>
                <w:sz w:val="16"/>
                <w:szCs w:val="16"/>
                <w:color w:val="auto"/>
              </w:rPr>
              <w:t>Mid-sized to large cap</w:t>
            </w:r>
          </w:p>
        </w:tc>
        <w:tc>
          <w:tcPr>
            <w:tcW w:w="240" w:type="dxa"/>
            <w:vAlign w:val="bottom"/>
            <w:tcBorders>
              <w:bottom w:val="single" w:sz="8" w:color="E5F1F8"/>
            </w:tcBorders>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w:t>
            </w:r>
          </w:p>
        </w:tc>
        <w:tc>
          <w:tcPr>
            <w:tcW w:w="1160" w:type="dxa"/>
            <w:vAlign w:val="bottom"/>
            <w:tcBorders>
              <w:bottom w:val="single" w:sz="8" w:color="E5F1F8"/>
              <w:right w:val="single" w:sz="8" w:color="007CBA"/>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240" w:type="dxa"/>
            <w:vAlign w:val="bottom"/>
            <w:tcBorders>
              <w:bottom w:val="single" w:sz="8" w:color="E5F1F8"/>
            </w:tcBorders>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w:t>
            </w:r>
          </w:p>
        </w:tc>
        <w:tc>
          <w:tcPr>
            <w:tcW w:w="1120" w:type="dxa"/>
            <w:vAlign w:val="bottom"/>
            <w:tcBorders>
              <w:bottom w:val="single" w:sz="8" w:color="E5F1F8"/>
              <w:right w:val="single" w:sz="8" w:color="007CBA"/>
            </w:tcBorders>
            <w:shd w:val="clear" w:color="auto" w:fill="E5F1F8"/>
          </w:tcPr>
          <w:p>
            <w:pPr>
              <w:ind w:left="84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Borders>
              <w:bottom w:val="single" w:sz="8" w:color="E5F1F8"/>
            </w:tcBorders>
            <w:shd w:val="clear" w:color="auto" w:fill="E5F1F8"/>
          </w:tcPr>
          <w:p>
            <w:pPr>
              <w:spacing w:after="0"/>
              <w:rPr>
                <w:sz w:val="18"/>
                <w:szCs w:val="18"/>
                <w:color w:val="auto"/>
              </w:rPr>
            </w:pPr>
          </w:p>
        </w:tc>
        <w:tc>
          <w:tcPr>
            <w:tcW w:w="160" w:type="dxa"/>
            <w:vAlign w:val="bottom"/>
            <w:tcBorders>
              <w:bottom w:val="single" w:sz="8" w:color="E5F1F8"/>
            </w:tcBorders>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w:t>
            </w:r>
          </w:p>
        </w:tc>
        <w:tc>
          <w:tcPr>
            <w:tcW w:w="1080" w:type="dxa"/>
            <w:vAlign w:val="bottom"/>
            <w:tcBorders>
              <w:bottom w:val="single" w:sz="8" w:color="E5F1F8"/>
              <w:right w:val="single" w:sz="8" w:color="007CBA"/>
            </w:tcBorders>
            <w:shd w:val="clear" w:color="auto" w:fill="E5F1F8"/>
          </w:tcPr>
          <w:p>
            <w:pPr>
              <w:ind w:left="80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Borders>
              <w:bottom w:val="single" w:sz="8" w:color="E5F1F8"/>
            </w:tcBorders>
            <w:shd w:val="clear" w:color="auto" w:fill="E5F1F8"/>
          </w:tcPr>
          <w:p>
            <w:pPr>
              <w:spacing w:after="0"/>
              <w:rPr>
                <w:sz w:val="18"/>
                <w:szCs w:val="18"/>
                <w:color w:val="auto"/>
              </w:rPr>
            </w:pPr>
          </w:p>
        </w:tc>
        <w:tc>
          <w:tcPr>
            <w:tcW w:w="120" w:type="dxa"/>
            <w:vAlign w:val="bottom"/>
            <w:tcBorders>
              <w:bottom w:val="single" w:sz="8" w:color="E5F1F8"/>
            </w:tcBorders>
            <w:shd w:val="clear" w:color="auto" w:fill="E5F1F8"/>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960" w:type="dxa"/>
            <w:vAlign w:val="bottom"/>
            <w:tcBorders>
              <w:bottom w:val="single" w:sz="8" w:color="E5F1F8"/>
              <w:right w:val="single" w:sz="8" w:color="007CBA"/>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color w:val="auto"/>
              </w:rPr>
              <w:t>351.6</w:t>
            </w:r>
          </w:p>
        </w:tc>
        <w:tc>
          <w:tcPr>
            <w:tcW w:w="220" w:type="dxa"/>
            <w:vAlign w:val="bottom"/>
            <w:tcBorders>
              <w:bottom w:val="single" w:sz="8" w:color="E5F1F8"/>
            </w:tcBorders>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w:t>
            </w:r>
          </w:p>
        </w:tc>
        <w:tc>
          <w:tcPr>
            <w:tcW w:w="940" w:type="dxa"/>
            <w:vAlign w:val="bottom"/>
            <w:tcBorders>
              <w:bottom w:val="single" w:sz="8" w:color="E5F1F8"/>
            </w:tcBorders>
            <w:shd w:val="clear" w:color="auto" w:fill="E5F1F8"/>
          </w:tcPr>
          <w:p>
            <w:pPr>
              <w:jc w:val="right"/>
              <w:ind w:right="39"/>
              <w:spacing w:after="0" w:line="193" w:lineRule="exact"/>
              <w:rPr>
                <w:sz w:val="20"/>
                <w:szCs w:val="20"/>
                <w:color w:val="auto"/>
              </w:rPr>
            </w:pPr>
            <w:r>
              <w:rPr>
                <w:rFonts w:ascii="Calibri" w:cs="Calibri" w:eastAsia="Calibri" w:hAnsi="Calibri"/>
                <w:sz w:val="16"/>
                <w:szCs w:val="16"/>
                <w:color w:val="auto"/>
              </w:rPr>
              <w:t>351.6</w:t>
            </w:r>
          </w:p>
        </w:tc>
      </w:tr>
      <w:tr>
        <w:trPr>
          <w:trHeight w:val="193"/>
        </w:trPr>
        <w:tc>
          <w:tcPr>
            <w:tcW w:w="4800" w:type="dxa"/>
            <w:vAlign w:val="bottom"/>
            <w:tcBorders>
              <w:right w:val="single" w:sz="8" w:color="007CBA"/>
            </w:tcBorders>
          </w:tcPr>
          <w:p>
            <w:pPr>
              <w:ind w:left="300"/>
              <w:spacing w:after="0" w:line="193" w:lineRule="exact"/>
              <w:rPr>
                <w:sz w:val="20"/>
                <w:szCs w:val="20"/>
                <w:color w:val="auto"/>
              </w:rPr>
            </w:pPr>
            <w:r>
              <w:rPr>
                <w:rFonts w:ascii="Calibri" w:cs="Calibri" w:eastAsia="Calibri" w:hAnsi="Calibri"/>
                <w:sz w:val="16"/>
                <w:szCs w:val="16"/>
                <w:color w:val="auto"/>
              </w:rPr>
              <w:t>Small cap, internatonal and emerging growth funds</w:t>
            </w:r>
          </w:p>
        </w:tc>
        <w:tc>
          <w:tcPr>
            <w:tcW w:w="240" w:type="dxa"/>
            <w:vAlign w:val="bottom"/>
          </w:tcPr>
          <w:p>
            <w:pPr>
              <w:spacing w:after="0"/>
              <w:rPr>
                <w:sz w:val="16"/>
                <w:szCs w:val="16"/>
                <w:color w:val="auto"/>
              </w:rPr>
            </w:pPr>
          </w:p>
        </w:tc>
        <w:tc>
          <w:tcPr>
            <w:tcW w:w="116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240" w:type="dxa"/>
            <w:vAlign w:val="bottom"/>
          </w:tcPr>
          <w:p>
            <w:pPr>
              <w:spacing w:after="0"/>
              <w:rPr>
                <w:sz w:val="16"/>
                <w:szCs w:val="16"/>
                <w:color w:val="auto"/>
              </w:rPr>
            </w:pPr>
          </w:p>
        </w:tc>
        <w:tc>
          <w:tcPr>
            <w:tcW w:w="1120" w:type="dxa"/>
            <w:vAlign w:val="bottom"/>
            <w:tcBorders>
              <w:right w:val="single" w:sz="8" w:color="007CBA"/>
            </w:tcBorders>
          </w:tcPr>
          <w:p>
            <w:pPr>
              <w:ind w:left="84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Borders>
              <w:right w:val="single" w:sz="8" w:color="007CBA"/>
            </w:tcBorders>
          </w:tcPr>
          <w:p>
            <w:pPr>
              <w:ind w:left="80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354.5</w:t>
            </w:r>
          </w:p>
        </w:tc>
        <w:tc>
          <w:tcPr>
            <w:tcW w:w="220" w:type="dxa"/>
            <w:vAlign w:val="bottom"/>
          </w:tcPr>
          <w:p>
            <w:pPr>
              <w:spacing w:after="0"/>
              <w:rPr>
                <w:sz w:val="16"/>
                <w:szCs w:val="16"/>
                <w:color w:val="auto"/>
              </w:rPr>
            </w:pPr>
          </w:p>
        </w:tc>
        <w:tc>
          <w:tcPr>
            <w:tcW w:w="94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354.5</w:t>
            </w:r>
          </w:p>
        </w:tc>
      </w:tr>
      <w:tr>
        <w:trPr>
          <w:trHeight w:val="36"/>
        </w:trPr>
        <w:tc>
          <w:tcPr>
            <w:tcW w:w="4800" w:type="dxa"/>
            <w:vAlign w:val="bottom"/>
            <w:tcBorders>
              <w:right w:val="single" w:sz="8" w:color="007CBA"/>
            </w:tcBorders>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Borders>
              <w:right w:val="single" w:sz="8" w:color="007CBA"/>
            </w:tcBorders>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Borders>
              <w:right w:val="single" w:sz="8" w:color="007CBA"/>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Borders>
              <w:right w:val="single" w:sz="8" w:color="007CBA"/>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Borders>
              <w:right w:val="single" w:sz="8" w:color="007CBA"/>
            </w:tcBorders>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30"/>
        </w:trPr>
        <w:tc>
          <w:tcPr>
            <w:tcW w:w="4800" w:type="dxa"/>
            <w:vAlign w:val="bottom"/>
            <w:tcBorders>
              <w:right w:val="single" w:sz="8" w:color="007CBA"/>
            </w:tcBorders>
            <w:shd w:val="clear" w:color="auto" w:fill="E5F1F8"/>
          </w:tcPr>
          <w:p>
            <w:pPr>
              <w:ind w:left="120"/>
              <w:spacing w:after="0" w:line="229" w:lineRule="exact"/>
              <w:rPr>
                <w:sz w:val="20"/>
                <w:szCs w:val="20"/>
                <w:color w:val="auto"/>
              </w:rPr>
            </w:pPr>
            <w:r>
              <w:rPr>
                <w:rFonts w:ascii="Calibri" w:cs="Calibri" w:eastAsia="Calibri" w:hAnsi="Calibri"/>
                <w:sz w:val="16"/>
                <w:szCs w:val="16"/>
                <w:color w:val="auto"/>
              </w:rPr>
              <w:t>Debt securites</w:t>
            </w:r>
            <w:r>
              <w:rPr>
                <w:rFonts w:ascii="Calibri" w:cs="Calibri" w:eastAsia="Calibri" w:hAnsi="Calibri"/>
                <w:sz w:val="21"/>
                <w:szCs w:val="21"/>
                <w:color w:val="auto"/>
                <w:vertAlign w:val="superscript"/>
              </w:rPr>
              <w:t>1</w:t>
            </w:r>
            <w:r>
              <w:rPr>
                <w:rFonts w:ascii="Calibri" w:cs="Calibri" w:eastAsia="Calibri" w:hAnsi="Calibri"/>
                <w:sz w:val="16"/>
                <w:szCs w:val="16"/>
                <w:color w:val="auto"/>
              </w:rPr>
              <w:t>:</w:t>
            </w:r>
          </w:p>
        </w:tc>
        <w:tc>
          <w:tcPr>
            <w:tcW w:w="240" w:type="dxa"/>
            <w:vAlign w:val="bottom"/>
            <w:shd w:val="clear" w:color="auto" w:fill="E5F1F8"/>
          </w:tcPr>
          <w:p>
            <w:pPr>
              <w:spacing w:after="0"/>
              <w:rPr>
                <w:sz w:val="19"/>
                <w:szCs w:val="19"/>
                <w:color w:val="auto"/>
              </w:rPr>
            </w:pPr>
          </w:p>
        </w:tc>
        <w:tc>
          <w:tcPr>
            <w:tcW w:w="1160" w:type="dxa"/>
            <w:vAlign w:val="bottom"/>
            <w:tcBorders>
              <w:right w:val="single" w:sz="8" w:color="007CBA"/>
            </w:tcBorders>
            <w:shd w:val="clear" w:color="auto" w:fill="E5F1F8"/>
          </w:tcPr>
          <w:p>
            <w:pPr>
              <w:spacing w:after="0"/>
              <w:rPr>
                <w:sz w:val="19"/>
                <w:szCs w:val="19"/>
                <w:color w:val="auto"/>
              </w:rPr>
            </w:pPr>
          </w:p>
        </w:tc>
        <w:tc>
          <w:tcPr>
            <w:tcW w:w="240" w:type="dxa"/>
            <w:vAlign w:val="bottom"/>
            <w:shd w:val="clear" w:color="auto" w:fill="E5F1F8"/>
          </w:tcPr>
          <w:p>
            <w:pPr>
              <w:spacing w:after="0"/>
              <w:rPr>
                <w:sz w:val="19"/>
                <w:szCs w:val="19"/>
                <w:color w:val="auto"/>
              </w:rPr>
            </w:pPr>
          </w:p>
        </w:tc>
        <w:tc>
          <w:tcPr>
            <w:tcW w:w="1120" w:type="dxa"/>
            <w:vAlign w:val="bottom"/>
            <w:tcBorders>
              <w:right w:val="single" w:sz="8" w:color="007CBA"/>
            </w:tcBorders>
            <w:shd w:val="clear" w:color="auto" w:fill="E5F1F8"/>
          </w:tcPr>
          <w:p>
            <w:pPr>
              <w:spacing w:after="0"/>
              <w:rPr>
                <w:sz w:val="19"/>
                <w:szCs w:val="19"/>
                <w:color w:val="auto"/>
              </w:rPr>
            </w:pPr>
          </w:p>
        </w:tc>
        <w:tc>
          <w:tcPr>
            <w:tcW w:w="100" w:type="dxa"/>
            <w:vAlign w:val="bottom"/>
            <w:shd w:val="clear" w:color="auto" w:fill="E5F1F8"/>
          </w:tcPr>
          <w:p>
            <w:pPr>
              <w:spacing w:after="0"/>
              <w:rPr>
                <w:sz w:val="19"/>
                <w:szCs w:val="19"/>
                <w:color w:val="auto"/>
              </w:rPr>
            </w:pPr>
          </w:p>
        </w:tc>
        <w:tc>
          <w:tcPr>
            <w:tcW w:w="160" w:type="dxa"/>
            <w:vAlign w:val="bottom"/>
            <w:shd w:val="clear" w:color="auto" w:fill="E5F1F8"/>
          </w:tcPr>
          <w:p>
            <w:pPr>
              <w:spacing w:after="0"/>
              <w:rPr>
                <w:sz w:val="19"/>
                <w:szCs w:val="19"/>
                <w:color w:val="auto"/>
              </w:rPr>
            </w:pPr>
          </w:p>
        </w:tc>
        <w:tc>
          <w:tcPr>
            <w:tcW w:w="1080" w:type="dxa"/>
            <w:vAlign w:val="bottom"/>
            <w:tcBorders>
              <w:right w:val="single" w:sz="8" w:color="007CBA"/>
            </w:tcBorders>
            <w:shd w:val="clear" w:color="auto" w:fill="E5F1F8"/>
          </w:tcPr>
          <w:p>
            <w:pPr>
              <w:spacing w:after="0"/>
              <w:rPr>
                <w:sz w:val="19"/>
                <w:szCs w:val="19"/>
                <w:color w:val="auto"/>
              </w:rPr>
            </w:pPr>
          </w:p>
        </w:tc>
        <w:tc>
          <w:tcPr>
            <w:tcW w:w="100" w:type="dxa"/>
            <w:vAlign w:val="bottom"/>
            <w:shd w:val="clear" w:color="auto" w:fill="E5F1F8"/>
          </w:tcPr>
          <w:p>
            <w:pPr>
              <w:spacing w:after="0"/>
              <w:rPr>
                <w:sz w:val="19"/>
                <w:szCs w:val="19"/>
                <w:color w:val="auto"/>
              </w:rPr>
            </w:pPr>
          </w:p>
        </w:tc>
        <w:tc>
          <w:tcPr>
            <w:tcW w:w="120" w:type="dxa"/>
            <w:vAlign w:val="bottom"/>
            <w:shd w:val="clear" w:color="auto" w:fill="E5F1F8"/>
          </w:tcPr>
          <w:p>
            <w:pPr>
              <w:spacing w:after="0"/>
              <w:rPr>
                <w:sz w:val="19"/>
                <w:szCs w:val="19"/>
                <w:color w:val="auto"/>
              </w:rPr>
            </w:pPr>
          </w:p>
        </w:tc>
        <w:tc>
          <w:tcPr>
            <w:tcW w:w="960" w:type="dxa"/>
            <w:vAlign w:val="bottom"/>
            <w:tcBorders>
              <w:right w:val="single" w:sz="8" w:color="007CBA"/>
            </w:tcBorders>
            <w:shd w:val="clear" w:color="auto" w:fill="E5F1F8"/>
          </w:tcPr>
          <w:p>
            <w:pPr>
              <w:spacing w:after="0"/>
              <w:rPr>
                <w:sz w:val="19"/>
                <w:szCs w:val="19"/>
                <w:color w:val="auto"/>
              </w:rPr>
            </w:pPr>
          </w:p>
        </w:tc>
        <w:tc>
          <w:tcPr>
            <w:tcW w:w="220" w:type="dxa"/>
            <w:vAlign w:val="bottom"/>
            <w:shd w:val="clear" w:color="auto" w:fill="E5F1F8"/>
          </w:tcPr>
          <w:p>
            <w:pPr>
              <w:spacing w:after="0"/>
              <w:rPr>
                <w:sz w:val="19"/>
                <w:szCs w:val="19"/>
                <w:color w:val="auto"/>
              </w:rPr>
            </w:pPr>
          </w:p>
        </w:tc>
        <w:tc>
          <w:tcPr>
            <w:tcW w:w="940" w:type="dxa"/>
            <w:vAlign w:val="bottom"/>
            <w:shd w:val="clear" w:color="auto" w:fill="E5F1F8"/>
          </w:tcPr>
          <w:p>
            <w:pPr>
              <w:spacing w:after="0"/>
              <w:rPr>
                <w:sz w:val="19"/>
                <w:szCs w:val="19"/>
                <w:color w:val="auto"/>
              </w:rPr>
            </w:pPr>
          </w:p>
        </w:tc>
      </w:tr>
      <w:tr>
        <w:trPr>
          <w:trHeight w:val="193"/>
        </w:trPr>
        <w:tc>
          <w:tcPr>
            <w:tcW w:w="4800" w:type="dxa"/>
            <w:vAlign w:val="bottom"/>
            <w:tcBorders>
              <w:right w:val="single" w:sz="8" w:color="007CBA"/>
            </w:tcBorders>
          </w:tcPr>
          <w:p>
            <w:pPr>
              <w:ind w:left="300"/>
              <w:spacing w:after="0" w:line="193" w:lineRule="exact"/>
              <w:rPr>
                <w:sz w:val="20"/>
                <w:szCs w:val="20"/>
                <w:color w:val="auto"/>
              </w:rPr>
            </w:pPr>
            <w:r>
              <w:rPr>
                <w:rFonts w:ascii="Calibri" w:cs="Calibri" w:eastAsia="Calibri" w:hAnsi="Calibri"/>
                <w:sz w:val="16"/>
                <w:szCs w:val="16"/>
                <w:color w:val="auto"/>
              </w:rPr>
              <w:t>Core fxed income</w:t>
            </w:r>
          </w:p>
        </w:tc>
        <w:tc>
          <w:tcPr>
            <w:tcW w:w="240" w:type="dxa"/>
            <w:vAlign w:val="bottom"/>
          </w:tcPr>
          <w:p>
            <w:pPr>
              <w:spacing w:after="0"/>
              <w:rPr>
                <w:sz w:val="16"/>
                <w:szCs w:val="16"/>
                <w:color w:val="auto"/>
              </w:rPr>
            </w:pPr>
          </w:p>
        </w:tc>
        <w:tc>
          <w:tcPr>
            <w:tcW w:w="116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240" w:type="dxa"/>
            <w:vAlign w:val="bottom"/>
          </w:tcPr>
          <w:p>
            <w:pPr>
              <w:spacing w:after="0"/>
              <w:rPr>
                <w:sz w:val="16"/>
                <w:szCs w:val="16"/>
                <w:color w:val="auto"/>
              </w:rPr>
            </w:pPr>
          </w:p>
        </w:tc>
        <w:tc>
          <w:tcPr>
            <w:tcW w:w="1120" w:type="dxa"/>
            <w:vAlign w:val="bottom"/>
            <w:tcBorders>
              <w:right w:val="single" w:sz="8" w:color="007CBA"/>
            </w:tcBorders>
          </w:tcPr>
          <w:p>
            <w:pPr>
              <w:ind w:left="84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Borders>
              <w:right w:val="single" w:sz="8" w:color="007CBA"/>
            </w:tcBorders>
          </w:tcPr>
          <w:p>
            <w:pPr>
              <w:ind w:left="80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319.3</w:t>
            </w:r>
          </w:p>
        </w:tc>
        <w:tc>
          <w:tcPr>
            <w:tcW w:w="220" w:type="dxa"/>
            <w:vAlign w:val="bottom"/>
          </w:tcPr>
          <w:p>
            <w:pPr>
              <w:spacing w:after="0"/>
              <w:rPr>
                <w:sz w:val="16"/>
                <w:szCs w:val="16"/>
                <w:color w:val="auto"/>
              </w:rPr>
            </w:pPr>
          </w:p>
        </w:tc>
        <w:tc>
          <w:tcPr>
            <w:tcW w:w="94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319.3</w:t>
            </w:r>
          </w:p>
        </w:tc>
      </w:tr>
      <w:tr>
        <w:trPr>
          <w:trHeight w:val="36"/>
        </w:trPr>
        <w:tc>
          <w:tcPr>
            <w:tcW w:w="4800" w:type="dxa"/>
            <w:vAlign w:val="bottom"/>
            <w:tcBorders>
              <w:right w:val="single" w:sz="8" w:color="007CBA"/>
            </w:tcBorders>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Borders>
              <w:right w:val="single" w:sz="8" w:color="007CBA"/>
            </w:tcBorders>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Borders>
              <w:right w:val="single" w:sz="8" w:color="007CBA"/>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Borders>
              <w:right w:val="single" w:sz="8" w:color="007CBA"/>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Borders>
              <w:right w:val="single" w:sz="8" w:color="007CBA"/>
            </w:tcBorders>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10"/>
        </w:trPr>
        <w:tc>
          <w:tcPr>
            <w:tcW w:w="4800" w:type="dxa"/>
            <w:vAlign w:val="bottom"/>
            <w:tcBorders>
              <w:bottom w:val="single" w:sz="8" w:color="E5F1F8"/>
              <w:right w:val="single" w:sz="8" w:color="007CBA"/>
            </w:tcBorders>
            <w:shd w:val="clear" w:color="auto" w:fill="E5F1F8"/>
          </w:tcPr>
          <w:p>
            <w:pPr>
              <w:ind w:left="120"/>
              <w:spacing w:after="0" w:line="193" w:lineRule="exact"/>
              <w:rPr>
                <w:sz w:val="20"/>
                <w:szCs w:val="20"/>
                <w:color w:val="auto"/>
              </w:rPr>
            </w:pPr>
            <w:r>
              <w:rPr>
                <w:rFonts w:ascii="Calibri" w:cs="Calibri" w:eastAsia="Calibri" w:hAnsi="Calibri"/>
                <w:sz w:val="16"/>
                <w:szCs w:val="16"/>
                <w:color w:val="auto"/>
              </w:rPr>
              <w:t>Real estate</w:t>
            </w:r>
          </w:p>
        </w:tc>
        <w:tc>
          <w:tcPr>
            <w:tcW w:w="240" w:type="dxa"/>
            <w:vAlign w:val="bottom"/>
            <w:tcBorders>
              <w:bottom w:val="single" w:sz="8" w:color="E5F1F8"/>
            </w:tcBorders>
            <w:shd w:val="clear" w:color="auto" w:fill="E5F1F8"/>
          </w:tcPr>
          <w:p>
            <w:pPr>
              <w:spacing w:after="0"/>
              <w:rPr>
                <w:sz w:val="18"/>
                <w:szCs w:val="18"/>
                <w:color w:val="auto"/>
              </w:rPr>
            </w:pPr>
          </w:p>
        </w:tc>
        <w:tc>
          <w:tcPr>
            <w:tcW w:w="1160" w:type="dxa"/>
            <w:vAlign w:val="bottom"/>
            <w:tcBorders>
              <w:bottom w:val="single" w:sz="8" w:color="E5F1F8"/>
              <w:right w:val="single" w:sz="8" w:color="007CBA"/>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240" w:type="dxa"/>
            <w:vAlign w:val="bottom"/>
            <w:tcBorders>
              <w:bottom w:val="single" w:sz="8" w:color="E5F1F8"/>
            </w:tcBorders>
            <w:shd w:val="clear" w:color="auto" w:fill="E5F1F8"/>
          </w:tcPr>
          <w:p>
            <w:pPr>
              <w:spacing w:after="0"/>
              <w:rPr>
                <w:sz w:val="18"/>
                <w:szCs w:val="18"/>
                <w:color w:val="auto"/>
              </w:rPr>
            </w:pPr>
          </w:p>
        </w:tc>
        <w:tc>
          <w:tcPr>
            <w:tcW w:w="1120" w:type="dxa"/>
            <w:vAlign w:val="bottom"/>
            <w:tcBorders>
              <w:bottom w:val="single" w:sz="8" w:color="E5F1F8"/>
              <w:right w:val="single" w:sz="8" w:color="007CBA"/>
            </w:tcBorders>
            <w:shd w:val="clear" w:color="auto" w:fill="E5F1F8"/>
          </w:tcPr>
          <w:p>
            <w:pPr>
              <w:ind w:left="84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Borders>
              <w:bottom w:val="single" w:sz="8" w:color="E5F1F8"/>
            </w:tcBorders>
            <w:shd w:val="clear" w:color="auto" w:fill="E5F1F8"/>
          </w:tcPr>
          <w:p>
            <w:pPr>
              <w:spacing w:after="0"/>
              <w:rPr>
                <w:sz w:val="18"/>
                <w:szCs w:val="18"/>
                <w:color w:val="auto"/>
              </w:rPr>
            </w:pPr>
          </w:p>
        </w:tc>
        <w:tc>
          <w:tcPr>
            <w:tcW w:w="160" w:type="dxa"/>
            <w:vAlign w:val="bottom"/>
            <w:tcBorders>
              <w:bottom w:val="single" w:sz="8" w:color="E5F1F8"/>
            </w:tcBorders>
            <w:shd w:val="clear" w:color="auto" w:fill="E5F1F8"/>
          </w:tcPr>
          <w:p>
            <w:pPr>
              <w:spacing w:after="0"/>
              <w:rPr>
                <w:sz w:val="18"/>
                <w:szCs w:val="18"/>
                <w:color w:val="auto"/>
              </w:rPr>
            </w:pPr>
          </w:p>
        </w:tc>
        <w:tc>
          <w:tcPr>
            <w:tcW w:w="1080" w:type="dxa"/>
            <w:vAlign w:val="bottom"/>
            <w:tcBorders>
              <w:bottom w:val="single" w:sz="8" w:color="E5F1F8"/>
              <w:right w:val="single" w:sz="8" w:color="007CBA"/>
            </w:tcBorders>
            <w:shd w:val="clear" w:color="auto" w:fill="E5F1F8"/>
          </w:tcPr>
          <w:p>
            <w:pPr>
              <w:ind w:left="80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Borders>
              <w:bottom w:val="single" w:sz="8" w:color="E5F1F8"/>
            </w:tcBorders>
            <w:shd w:val="clear" w:color="auto" w:fill="E5F1F8"/>
          </w:tcPr>
          <w:p>
            <w:pPr>
              <w:spacing w:after="0"/>
              <w:rPr>
                <w:sz w:val="18"/>
                <w:szCs w:val="18"/>
                <w:color w:val="auto"/>
              </w:rPr>
            </w:pPr>
          </w:p>
        </w:tc>
        <w:tc>
          <w:tcPr>
            <w:tcW w:w="120" w:type="dxa"/>
            <w:vAlign w:val="bottom"/>
            <w:tcBorders>
              <w:bottom w:val="single" w:sz="8" w:color="E5F1F8"/>
            </w:tcBorders>
            <w:shd w:val="clear" w:color="auto" w:fill="E5F1F8"/>
          </w:tcPr>
          <w:p>
            <w:pPr>
              <w:spacing w:after="0"/>
              <w:rPr>
                <w:sz w:val="18"/>
                <w:szCs w:val="18"/>
                <w:color w:val="auto"/>
              </w:rPr>
            </w:pPr>
          </w:p>
        </w:tc>
        <w:tc>
          <w:tcPr>
            <w:tcW w:w="960" w:type="dxa"/>
            <w:vAlign w:val="bottom"/>
            <w:tcBorders>
              <w:bottom w:val="single" w:sz="8" w:color="E5F1F8"/>
              <w:right w:val="single" w:sz="8" w:color="007CBA"/>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color w:val="auto"/>
              </w:rPr>
              <w:t>86.6</w:t>
            </w:r>
          </w:p>
        </w:tc>
        <w:tc>
          <w:tcPr>
            <w:tcW w:w="220" w:type="dxa"/>
            <w:vAlign w:val="bottom"/>
            <w:tcBorders>
              <w:bottom w:val="single" w:sz="8" w:color="E5F1F8"/>
            </w:tcBorders>
            <w:shd w:val="clear" w:color="auto" w:fill="E5F1F8"/>
          </w:tcPr>
          <w:p>
            <w:pPr>
              <w:spacing w:after="0"/>
              <w:rPr>
                <w:sz w:val="18"/>
                <w:szCs w:val="18"/>
                <w:color w:val="auto"/>
              </w:rPr>
            </w:pPr>
          </w:p>
        </w:tc>
        <w:tc>
          <w:tcPr>
            <w:tcW w:w="940" w:type="dxa"/>
            <w:vAlign w:val="bottom"/>
            <w:tcBorders>
              <w:bottom w:val="single" w:sz="8" w:color="E5F1F8"/>
            </w:tcBorders>
            <w:shd w:val="clear" w:color="auto" w:fill="E5F1F8"/>
          </w:tcPr>
          <w:p>
            <w:pPr>
              <w:jc w:val="right"/>
              <w:ind w:right="39"/>
              <w:spacing w:after="0" w:line="193" w:lineRule="exact"/>
              <w:rPr>
                <w:sz w:val="20"/>
                <w:szCs w:val="20"/>
                <w:color w:val="auto"/>
              </w:rPr>
            </w:pPr>
            <w:r>
              <w:rPr>
                <w:rFonts w:ascii="Calibri" w:cs="Calibri" w:eastAsia="Calibri" w:hAnsi="Calibri"/>
                <w:sz w:val="16"/>
                <w:szCs w:val="16"/>
                <w:color w:val="auto"/>
              </w:rPr>
              <w:t>86.6</w:t>
            </w:r>
          </w:p>
        </w:tc>
      </w:tr>
      <w:tr>
        <w:trPr>
          <w:trHeight w:val="193"/>
        </w:trPr>
        <w:tc>
          <w:tcPr>
            <w:tcW w:w="4800" w:type="dxa"/>
            <w:vAlign w:val="bottom"/>
            <w:tcBorders>
              <w:right w:val="single" w:sz="8" w:color="007CBA"/>
            </w:tcBorders>
          </w:tcPr>
          <w:p>
            <w:pPr>
              <w:ind w:left="120"/>
              <w:spacing w:after="0" w:line="193" w:lineRule="exact"/>
              <w:rPr>
                <w:sz w:val="20"/>
                <w:szCs w:val="20"/>
                <w:color w:val="auto"/>
              </w:rPr>
            </w:pPr>
            <w:r>
              <w:rPr>
                <w:rFonts w:ascii="Calibri" w:cs="Calibri" w:eastAsia="Calibri" w:hAnsi="Calibri"/>
                <w:sz w:val="16"/>
                <w:szCs w:val="16"/>
                <w:color w:val="auto"/>
              </w:rPr>
              <w:t>Private infrastructure</w:t>
            </w:r>
          </w:p>
        </w:tc>
        <w:tc>
          <w:tcPr>
            <w:tcW w:w="240" w:type="dxa"/>
            <w:vAlign w:val="bottom"/>
          </w:tcPr>
          <w:p>
            <w:pPr>
              <w:spacing w:after="0"/>
              <w:rPr>
                <w:sz w:val="16"/>
                <w:szCs w:val="16"/>
                <w:color w:val="auto"/>
              </w:rPr>
            </w:pPr>
          </w:p>
        </w:tc>
        <w:tc>
          <w:tcPr>
            <w:tcW w:w="116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240" w:type="dxa"/>
            <w:vAlign w:val="bottom"/>
          </w:tcPr>
          <w:p>
            <w:pPr>
              <w:spacing w:after="0"/>
              <w:rPr>
                <w:sz w:val="16"/>
                <w:szCs w:val="16"/>
                <w:color w:val="auto"/>
              </w:rPr>
            </w:pPr>
          </w:p>
        </w:tc>
        <w:tc>
          <w:tcPr>
            <w:tcW w:w="1120" w:type="dxa"/>
            <w:vAlign w:val="bottom"/>
            <w:tcBorders>
              <w:right w:val="single" w:sz="8" w:color="007CBA"/>
            </w:tcBorders>
          </w:tcPr>
          <w:p>
            <w:pPr>
              <w:ind w:left="84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Borders>
              <w:right w:val="single" w:sz="8" w:color="007CBA"/>
            </w:tcBorders>
          </w:tcPr>
          <w:p>
            <w:pPr>
              <w:ind w:left="80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78.5</w:t>
            </w:r>
          </w:p>
        </w:tc>
        <w:tc>
          <w:tcPr>
            <w:tcW w:w="220" w:type="dxa"/>
            <w:vAlign w:val="bottom"/>
          </w:tcPr>
          <w:p>
            <w:pPr>
              <w:spacing w:after="0"/>
              <w:rPr>
                <w:sz w:val="16"/>
                <w:szCs w:val="16"/>
                <w:color w:val="auto"/>
              </w:rPr>
            </w:pPr>
          </w:p>
        </w:tc>
        <w:tc>
          <w:tcPr>
            <w:tcW w:w="94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78.5</w:t>
            </w:r>
          </w:p>
        </w:tc>
      </w:tr>
      <w:tr>
        <w:trPr>
          <w:trHeight w:val="36"/>
        </w:trPr>
        <w:tc>
          <w:tcPr>
            <w:tcW w:w="4800" w:type="dxa"/>
            <w:vAlign w:val="bottom"/>
            <w:tcBorders>
              <w:right w:val="single" w:sz="8" w:color="007CBA"/>
            </w:tcBorders>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Borders>
              <w:right w:val="single" w:sz="8" w:color="007CBA"/>
            </w:tcBorders>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Borders>
              <w:right w:val="single" w:sz="8" w:color="007CBA"/>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Borders>
              <w:right w:val="single" w:sz="8" w:color="007CBA"/>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Borders>
              <w:right w:val="single" w:sz="8" w:color="007CBA"/>
            </w:tcBorders>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09"/>
        </w:trPr>
        <w:tc>
          <w:tcPr>
            <w:tcW w:w="4800" w:type="dxa"/>
            <w:vAlign w:val="bottom"/>
            <w:tcBorders>
              <w:bottom w:val="single" w:sz="8" w:color="E5F1F8"/>
              <w:right w:val="single" w:sz="8" w:color="007CBA"/>
            </w:tcBorders>
            <w:shd w:val="clear" w:color="auto" w:fill="E5F1F8"/>
          </w:tcPr>
          <w:p>
            <w:pPr>
              <w:ind w:left="120"/>
              <w:spacing w:after="0" w:line="193" w:lineRule="exact"/>
              <w:rPr>
                <w:sz w:val="20"/>
                <w:szCs w:val="20"/>
                <w:color w:val="auto"/>
              </w:rPr>
            </w:pPr>
            <w:r>
              <w:rPr>
                <w:rFonts w:ascii="Calibri" w:cs="Calibri" w:eastAsia="Calibri" w:hAnsi="Calibri"/>
                <w:sz w:val="16"/>
                <w:szCs w:val="16"/>
                <w:color w:val="auto"/>
              </w:rPr>
              <w:t>Hedge funds</w:t>
            </w:r>
          </w:p>
        </w:tc>
        <w:tc>
          <w:tcPr>
            <w:tcW w:w="240" w:type="dxa"/>
            <w:vAlign w:val="bottom"/>
            <w:tcBorders>
              <w:bottom w:val="single" w:sz="8" w:color="E5F1F8"/>
            </w:tcBorders>
            <w:shd w:val="clear" w:color="auto" w:fill="E5F1F8"/>
          </w:tcPr>
          <w:p>
            <w:pPr>
              <w:spacing w:after="0"/>
              <w:rPr>
                <w:sz w:val="18"/>
                <w:szCs w:val="18"/>
                <w:color w:val="auto"/>
              </w:rPr>
            </w:pPr>
          </w:p>
        </w:tc>
        <w:tc>
          <w:tcPr>
            <w:tcW w:w="1160" w:type="dxa"/>
            <w:vAlign w:val="bottom"/>
            <w:tcBorders>
              <w:bottom w:val="single" w:sz="8" w:color="E5F1F8"/>
              <w:right w:val="single" w:sz="8" w:color="007CBA"/>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240" w:type="dxa"/>
            <w:vAlign w:val="bottom"/>
            <w:tcBorders>
              <w:bottom w:val="single" w:sz="8" w:color="E5F1F8"/>
            </w:tcBorders>
            <w:shd w:val="clear" w:color="auto" w:fill="E5F1F8"/>
          </w:tcPr>
          <w:p>
            <w:pPr>
              <w:spacing w:after="0"/>
              <w:rPr>
                <w:sz w:val="18"/>
                <w:szCs w:val="18"/>
                <w:color w:val="auto"/>
              </w:rPr>
            </w:pPr>
          </w:p>
        </w:tc>
        <w:tc>
          <w:tcPr>
            <w:tcW w:w="1120" w:type="dxa"/>
            <w:vAlign w:val="bottom"/>
            <w:tcBorders>
              <w:bottom w:val="single" w:sz="8" w:color="E5F1F8"/>
              <w:right w:val="single" w:sz="8" w:color="007CBA"/>
            </w:tcBorders>
            <w:shd w:val="clear" w:color="auto" w:fill="E5F1F8"/>
          </w:tcPr>
          <w:p>
            <w:pPr>
              <w:ind w:left="84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Borders>
              <w:bottom w:val="single" w:sz="8" w:color="E5F1F8"/>
            </w:tcBorders>
            <w:shd w:val="clear" w:color="auto" w:fill="E5F1F8"/>
          </w:tcPr>
          <w:p>
            <w:pPr>
              <w:spacing w:after="0"/>
              <w:rPr>
                <w:sz w:val="18"/>
                <w:szCs w:val="18"/>
                <w:color w:val="auto"/>
              </w:rPr>
            </w:pPr>
          </w:p>
        </w:tc>
        <w:tc>
          <w:tcPr>
            <w:tcW w:w="160" w:type="dxa"/>
            <w:vAlign w:val="bottom"/>
            <w:tcBorders>
              <w:bottom w:val="single" w:sz="8" w:color="E5F1F8"/>
            </w:tcBorders>
            <w:shd w:val="clear" w:color="auto" w:fill="E5F1F8"/>
          </w:tcPr>
          <w:p>
            <w:pPr>
              <w:spacing w:after="0"/>
              <w:rPr>
                <w:sz w:val="18"/>
                <w:szCs w:val="18"/>
                <w:color w:val="auto"/>
              </w:rPr>
            </w:pPr>
          </w:p>
        </w:tc>
        <w:tc>
          <w:tcPr>
            <w:tcW w:w="1080" w:type="dxa"/>
            <w:vAlign w:val="bottom"/>
            <w:tcBorders>
              <w:bottom w:val="single" w:sz="8" w:color="E5F1F8"/>
              <w:right w:val="single" w:sz="8" w:color="007CBA"/>
            </w:tcBorders>
            <w:shd w:val="clear" w:color="auto" w:fill="E5F1F8"/>
          </w:tcPr>
          <w:p>
            <w:pPr>
              <w:ind w:left="80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Borders>
              <w:bottom w:val="single" w:sz="8" w:color="E5F1F8"/>
            </w:tcBorders>
            <w:shd w:val="clear" w:color="auto" w:fill="E5F1F8"/>
          </w:tcPr>
          <w:p>
            <w:pPr>
              <w:spacing w:after="0"/>
              <w:rPr>
                <w:sz w:val="18"/>
                <w:szCs w:val="18"/>
                <w:color w:val="auto"/>
              </w:rPr>
            </w:pPr>
          </w:p>
        </w:tc>
        <w:tc>
          <w:tcPr>
            <w:tcW w:w="120" w:type="dxa"/>
            <w:vAlign w:val="bottom"/>
            <w:tcBorders>
              <w:bottom w:val="single" w:sz="8" w:color="E5F1F8"/>
            </w:tcBorders>
            <w:shd w:val="clear" w:color="auto" w:fill="E5F1F8"/>
          </w:tcPr>
          <w:p>
            <w:pPr>
              <w:spacing w:after="0"/>
              <w:rPr>
                <w:sz w:val="18"/>
                <w:szCs w:val="18"/>
                <w:color w:val="auto"/>
              </w:rPr>
            </w:pPr>
          </w:p>
        </w:tc>
        <w:tc>
          <w:tcPr>
            <w:tcW w:w="960" w:type="dxa"/>
            <w:vAlign w:val="bottom"/>
            <w:tcBorders>
              <w:bottom w:val="single" w:sz="8" w:color="E5F1F8"/>
              <w:right w:val="single" w:sz="8" w:color="007CBA"/>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color w:val="auto"/>
              </w:rPr>
              <w:t>5.9</w:t>
            </w:r>
          </w:p>
        </w:tc>
        <w:tc>
          <w:tcPr>
            <w:tcW w:w="220" w:type="dxa"/>
            <w:vAlign w:val="bottom"/>
            <w:tcBorders>
              <w:bottom w:val="single" w:sz="8" w:color="E5F1F8"/>
            </w:tcBorders>
            <w:shd w:val="clear" w:color="auto" w:fill="E5F1F8"/>
          </w:tcPr>
          <w:p>
            <w:pPr>
              <w:spacing w:after="0"/>
              <w:rPr>
                <w:sz w:val="18"/>
                <w:szCs w:val="18"/>
                <w:color w:val="auto"/>
              </w:rPr>
            </w:pPr>
          </w:p>
        </w:tc>
        <w:tc>
          <w:tcPr>
            <w:tcW w:w="940" w:type="dxa"/>
            <w:vAlign w:val="bottom"/>
            <w:tcBorders>
              <w:bottom w:val="single" w:sz="8" w:color="E5F1F8"/>
            </w:tcBorders>
            <w:shd w:val="clear" w:color="auto" w:fill="E5F1F8"/>
          </w:tcPr>
          <w:p>
            <w:pPr>
              <w:jc w:val="right"/>
              <w:ind w:right="39"/>
              <w:spacing w:after="0" w:line="193" w:lineRule="exact"/>
              <w:rPr>
                <w:sz w:val="20"/>
                <w:szCs w:val="20"/>
                <w:color w:val="auto"/>
              </w:rPr>
            </w:pPr>
            <w:r>
              <w:rPr>
                <w:rFonts w:ascii="Calibri" w:cs="Calibri" w:eastAsia="Calibri" w:hAnsi="Calibri"/>
                <w:sz w:val="16"/>
                <w:szCs w:val="16"/>
                <w:color w:val="auto"/>
              </w:rPr>
              <w:t>5.9</w:t>
            </w:r>
          </w:p>
        </w:tc>
      </w:tr>
      <w:tr>
        <w:trPr>
          <w:trHeight w:val="194"/>
        </w:trPr>
        <w:tc>
          <w:tcPr>
            <w:tcW w:w="4800" w:type="dxa"/>
            <w:vAlign w:val="bottom"/>
          </w:tcPr>
          <w:p>
            <w:pPr>
              <w:ind w:left="120"/>
              <w:spacing w:after="0" w:line="193" w:lineRule="exact"/>
              <w:rPr>
                <w:sz w:val="20"/>
                <w:szCs w:val="20"/>
                <w:color w:val="auto"/>
              </w:rPr>
            </w:pPr>
            <w:r>
              <w:rPr>
                <w:rFonts w:ascii="Calibri" w:cs="Calibri" w:eastAsia="Calibri" w:hAnsi="Calibri"/>
                <w:sz w:val="16"/>
                <w:szCs w:val="16"/>
                <w:color w:val="auto"/>
              </w:rPr>
              <w:t>Cash equivalents</w:t>
            </w:r>
          </w:p>
        </w:tc>
        <w:tc>
          <w:tcPr>
            <w:tcW w:w="240" w:type="dxa"/>
            <w:vAlign w:val="bottom"/>
          </w:tcPr>
          <w:p>
            <w:pPr>
              <w:spacing w:after="0"/>
              <w:rPr>
                <w:sz w:val="16"/>
                <w:szCs w:val="16"/>
                <w:color w:val="auto"/>
              </w:rPr>
            </w:pPr>
          </w:p>
        </w:tc>
        <w:tc>
          <w:tcPr>
            <w:tcW w:w="116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3.9</w:t>
            </w:r>
          </w:p>
        </w:tc>
        <w:tc>
          <w:tcPr>
            <w:tcW w:w="240" w:type="dxa"/>
            <w:vAlign w:val="bottom"/>
          </w:tcPr>
          <w:p>
            <w:pPr>
              <w:spacing w:after="0"/>
              <w:rPr>
                <w:sz w:val="16"/>
                <w:szCs w:val="16"/>
                <w:color w:val="auto"/>
              </w:rPr>
            </w:pPr>
          </w:p>
        </w:tc>
        <w:tc>
          <w:tcPr>
            <w:tcW w:w="1220" w:type="dxa"/>
            <w:vAlign w:val="bottom"/>
            <w:gridSpan w:val="2"/>
          </w:tcPr>
          <w:p>
            <w:pPr>
              <w:ind w:left="840"/>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Pr>
          <w:p>
            <w:pPr>
              <w:spacing w:after="0"/>
              <w:rPr>
                <w:sz w:val="16"/>
                <w:szCs w:val="16"/>
                <w:color w:val="auto"/>
              </w:rPr>
            </w:pPr>
          </w:p>
        </w:tc>
        <w:tc>
          <w:tcPr>
            <w:tcW w:w="1180" w:type="dxa"/>
            <w:vAlign w:val="bottom"/>
            <w:gridSpan w:val="2"/>
          </w:tcPr>
          <w:p>
            <w:pPr>
              <w:ind w:left="800"/>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6"/>
                <w:szCs w:val="16"/>
                <w:color w:val="auto"/>
              </w:rPr>
            </w:pPr>
          </w:p>
        </w:tc>
        <w:tc>
          <w:tcPr>
            <w:tcW w:w="96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220" w:type="dxa"/>
            <w:vAlign w:val="bottom"/>
          </w:tcPr>
          <w:p>
            <w:pPr>
              <w:spacing w:after="0"/>
              <w:rPr>
                <w:sz w:val="16"/>
                <w:szCs w:val="16"/>
                <w:color w:val="auto"/>
              </w:rPr>
            </w:pPr>
          </w:p>
        </w:tc>
        <w:tc>
          <w:tcPr>
            <w:tcW w:w="94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3.9</w:t>
            </w:r>
          </w:p>
        </w:tc>
      </w:tr>
      <w:tr>
        <w:trPr>
          <w:trHeight w:val="36"/>
        </w:trPr>
        <w:tc>
          <w:tcPr>
            <w:tcW w:w="48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48"/>
        </w:trPr>
        <w:tc>
          <w:tcPr>
            <w:tcW w:w="4800" w:type="dxa"/>
            <w:vAlign w:val="bottom"/>
            <w:tcBorders>
              <w:bottom w:val="single" w:sz="8" w:color="E5F1F8"/>
              <w:right w:val="single" w:sz="8" w:color="E5F1F8"/>
            </w:tcBorders>
            <w:shd w:val="clear" w:color="auto" w:fill="E5F1F8"/>
          </w:tcPr>
          <w:p>
            <w:pPr>
              <w:ind w:left="120"/>
              <w:spacing w:after="0" w:line="187" w:lineRule="exact"/>
              <w:rPr>
                <w:sz w:val="20"/>
                <w:szCs w:val="20"/>
                <w:color w:val="auto"/>
              </w:rPr>
            </w:pPr>
            <w:r>
              <w:rPr>
                <w:rFonts w:ascii="Calibri" w:cs="Calibri" w:eastAsia="Calibri" w:hAnsi="Calibri"/>
                <w:sz w:val="16"/>
                <w:szCs w:val="16"/>
                <w:color w:val="auto"/>
              </w:rPr>
              <w:t>Total</w:t>
            </w:r>
          </w:p>
        </w:tc>
        <w:tc>
          <w:tcPr>
            <w:tcW w:w="240" w:type="dxa"/>
            <w:vAlign w:val="bottom"/>
            <w:tcBorders>
              <w:bottom w:val="single" w:sz="8" w:color="E5F1F8"/>
            </w:tcBorders>
            <w:shd w:val="clear" w:color="auto" w:fill="E5F1F8"/>
          </w:tcPr>
          <w:p>
            <w:pPr>
              <w:jc w:val="right"/>
              <w:spacing w:after="0" w:line="187" w:lineRule="exact"/>
              <w:rPr>
                <w:sz w:val="20"/>
                <w:szCs w:val="20"/>
                <w:color w:val="auto"/>
              </w:rPr>
            </w:pPr>
            <w:r>
              <w:rPr>
                <w:rFonts w:ascii="Calibri" w:cs="Calibri" w:eastAsia="Calibri" w:hAnsi="Calibri"/>
                <w:sz w:val="16"/>
                <w:szCs w:val="16"/>
                <w:color w:val="auto"/>
              </w:rPr>
              <w:t>$</w:t>
            </w:r>
          </w:p>
        </w:tc>
        <w:tc>
          <w:tcPr>
            <w:tcW w:w="1160" w:type="dxa"/>
            <w:vAlign w:val="bottom"/>
            <w:tcBorders>
              <w:bottom w:val="single" w:sz="8" w:color="E5F1F8"/>
              <w:right w:val="single" w:sz="8" w:color="E5F1F8"/>
            </w:tcBorders>
            <w:shd w:val="clear" w:color="auto" w:fill="E5F1F8"/>
          </w:tcPr>
          <w:p>
            <w:pPr>
              <w:jc w:val="right"/>
              <w:ind w:right="59"/>
              <w:spacing w:after="0" w:line="187" w:lineRule="exact"/>
              <w:rPr>
                <w:sz w:val="20"/>
                <w:szCs w:val="20"/>
                <w:color w:val="auto"/>
              </w:rPr>
            </w:pPr>
            <w:r>
              <w:rPr>
                <w:rFonts w:ascii="Calibri" w:cs="Calibri" w:eastAsia="Calibri" w:hAnsi="Calibri"/>
                <w:sz w:val="16"/>
                <w:szCs w:val="16"/>
                <w:color w:val="auto"/>
              </w:rPr>
              <w:t>3.9</w:t>
            </w:r>
          </w:p>
        </w:tc>
        <w:tc>
          <w:tcPr>
            <w:tcW w:w="240" w:type="dxa"/>
            <w:vAlign w:val="bottom"/>
            <w:tcBorders>
              <w:bottom w:val="single" w:sz="8" w:color="E5F1F8"/>
            </w:tcBorders>
            <w:shd w:val="clear" w:color="auto" w:fill="E5F1F8"/>
          </w:tcPr>
          <w:p>
            <w:pPr>
              <w:jc w:val="right"/>
              <w:spacing w:after="0" w:line="187" w:lineRule="exact"/>
              <w:rPr>
                <w:sz w:val="20"/>
                <w:szCs w:val="20"/>
                <w:color w:val="auto"/>
              </w:rPr>
            </w:pPr>
            <w:r>
              <w:rPr>
                <w:rFonts w:ascii="Calibri" w:cs="Calibri" w:eastAsia="Calibri" w:hAnsi="Calibri"/>
                <w:sz w:val="16"/>
                <w:szCs w:val="16"/>
                <w:color w:val="auto"/>
              </w:rPr>
              <w:t>$</w:t>
            </w:r>
          </w:p>
        </w:tc>
        <w:tc>
          <w:tcPr>
            <w:tcW w:w="1120" w:type="dxa"/>
            <w:vAlign w:val="bottom"/>
            <w:tcBorders>
              <w:bottom w:val="single" w:sz="8" w:color="E5F1F8"/>
              <w:right w:val="single" w:sz="8" w:color="E5F1F8"/>
            </w:tcBorders>
            <w:shd w:val="clear" w:color="auto" w:fill="E5F1F8"/>
          </w:tcPr>
          <w:p>
            <w:pPr>
              <w:ind w:left="840"/>
              <w:spacing w:after="0" w:line="187" w:lineRule="exact"/>
              <w:rPr>
                <w:sz w:val="20"/>
                <w:szCs w:val="20"/>
                <w:color w:val="auto"/>
              </w:rPr>
            </w:pPr>
            <w:r>
              <w:rPr>
                <w:rFonts w:ascii="Calibri" w:cs="Calibri" w:eastAsia="Calibri" w:hAnsi="Calibri"/>
                <w:sz w:val="16"/>
                <w:szCs w:val="16"/>
                <w:color w:val="auto"/>
              </w:rPr>
              <w:t>—</w:t>
            </w:r>
          </w:p>
        </w:tc>
        <w:tc>
          <w:tcPr>
            <w:tcW w:w="100" w:type="dxa"/>
            <w:vAlign w:val="bottom"/>
            <w:tcBorders>
              <w:bottom w:val="single" w:sz="8" w:color="E5F1F8"/>
            </w:tcBorders>
            <w:shd w:val="clear" w:color="auto" w:fill="E5F1F8"/>
          </w:tcPr>
          <w:p>
            <w:pPr>
              <w:spacing w:after="0"/>
              <w:rPr>
                <w:sz w:val="21"/>
                <w:szCs w:val="21"/>
                <w:color w:val="auto"/>
              </w:rPr>
            </w:pPr>
          </w:p>
        </w:tc>
        <w:tc>
          <w:tcPr>
            <w:tcW w:w="160" w:type="dxa"/>
            <w:vAlign w:val="bottom"/>
            <w:tcBorders>
              <w:bottom w:val="single" w:sz="8" w:color="E5F1F8"/>
            </w:tcBorders>
            <w:shd w:val="clear" w:color="auto" w:fill="E5F1F8"/>
          </w:tcPr>
          <w:p>
            <w:pPr>
              <w:jc w:val="right"/>
              <w:spacing w:after="0" w:line="187" w:lineRule="exact"/>
              <w:rPr>
                <w:sz w:val="20"/>
                <w:szCs w:val="20"/>
                <w:color w:val="auto"/>
              </w:rPr>
            </w:pPr>
            <w:r>
              <w:rPr>
                <w:rFonts w:ascii="Calibri" w:cs="Calibri" w:eastAsia="Calibri" w:hAnsi="Calibri"/>
                <w:sz w:val="16"/>
                <w:szCs w:val="16"/>
                <w:color w:val="auto"/>
              </w:rPr>
              <w:t>$</w:t>
            </w:r>
          </w:p>
        </w:tc>
        <w:tc>
          <w:tcPr>
            <w:tcW w:w="1080" w:type="dxa"/>
            <w:vAlign w:val="bottom"/>
            <w:tcBorders>
              <w:bottom w:val="single" w:sz="8" w:color="E5F1F8"/>
              <w:right w:val="single" w:sz="8" w:color="E5F1F8"/>
            </w:tcBorders>
            <w:shd w:val="clear" w:color="auto" w:fill="E5F1F8"/>
          </w:tcPr>
          <w:p>
            <w:pPr>
              <w:ind w:left="800"/>
              <w:spacing w:after="0" w:line="187" w:lineRule="exact"/>
              <w:rPr>
                <w:sz w:val="20"/>
                <w:szCs w:val="20"/>
                <w:color w:val="auto"/>
              </w:rPr>
            </w:pPr>
            <w:r>
              <w:rPr>
                <w:rFonts w:ascii="Calibri" w:cs="Calibri" w:eastAsia="Calibri" w:hAnsi="Calibri"/>
                <w:sz w:val="16"/>
                <w:szCs w:val="16"/>
                <w:color w:val="auto"/>
              </w:rPr>
              <w:t>—</w:t>
            </w:r>
          </w:p>
        </w:tc>
        <w:tc>
          <w:tcPr>
            <w:tcW w:w="100" w:type="dxa"/>
            <w:vAlign w:val="bottom"/>
            <w:tcBorders>
              <w:bottom w:val="single" w:sz="8" w:color="E5F1F8"/>
            </w:tcBorders>
            <w:shd w:val="clear" w:color="auto" w:fill="E5F1F8"/>
          </w:tcPr>
          <w:p>
            <w:pPr>
              <w:spacing w:after="0"/>
              <w:rPr>
                <w:sz w:val="21"/>
                <w:szCs w:val="21"/>
                <w:color w:val="auto"/>
              </w:rPr>
            </w:pPr>
          </w:p>
        </w:tc>
        <w:tc>
          <w:tcPr>
            <w:tcW w:w="120" w:type="dxa"/>
            <w:vAlign w:val="bottom"/>
            <w:tcBorders>
              <w:bottom w:val="single" w:sz="8" w:color="E5F1F8"/>
            </w:tcBorders>
            <w:shd w:val="clear" w:color="auto" w:fill="E5F1F8"/>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960" w:type="dxa"/>
            <w:vAlign w:val="bottom"/>
            <w:tcBorders>
              <w:bottom w:val="single" w:sz="8" w:color="E5F1F8"/>
              <w:right w:val="single" w:sz="8" w:color="E5F1F8"/>
            </w:tcBorders>
            <w:shd w:val="clear" w:color="auto" w:fill="E5F1F8"/>
          </w:tcPr>
          <w:p>
            <w:pPr>
              <w:jc w:val="right"/>
              <w:ind w:right="59"/>
              <w:spacing w:after="0" w:line="187" w:lineRule="exact"/>
              <w:rPr>
                <w:sz w:val="20"/>
                <w:szCs w:val="20"/>
                <w:color w:val="auto"/>
              </w:rPr>
            </w:pPr>
            <w:r>
              <w:rPr>
                <w:rFonts w:ascii="Calibri" w:cs="Calibri" w:eastAsia="Calibri" w:hAnsi="Calibri"/>
                <w:sz w:val="16"/>
                <w:szCs w:val="16"/>
                <w:color w:val="auto"/>
              </w:rPr>
              <w:t>1,196.4</w:t>
            </w:r>
          </w:p>
        </w:tc>
        <w:tc>
          <w:tcPr>
            <w:tcW w:w="220" w:type="dxa"/>
            <w:vAlign w:val="bottom"/>
            <w:tcBorders>
              <w:bottom w:val="single" w:sz="8" w:color="E5F1F8"/>
            </w:tcBorders>
            <w:shd w:val="clear" w:color="auto" w:fill="E5F1F8"/>
          </w:tcPr>
          <w:p>
            <w:pPr>
              <w:jc w:val="right"/>
              <w:spacing w:after="0" w:line="187" w:lineRule="exact"/>
              <w:rPr>
                <w:sz w:val="20"/>
                <w:szCs w:val="20"/>
                <w:color w:val="auto"/>
              </w:rPr>
            </w:pPr>
            <w:r>
              <w:rPr>
                <w:rFonts w:ascii="Calibri" w:cs="Calibri" w:eastAsia="Calibri" w:hAnsi="Calibri"/>
                <w:sz w:val="16"/>
                <w:szCs w:val="16"/>
                <w:color w:val="auto"/>
              </w:rPr>
              <w:t>$</w:t>
            </w:r>
          </w:p>
        </w:tc>
        <w:tc>
          <w:tcPr>
            <w:tcW w:w="940" w:type="dxa"/>
            <w:vAlign w:val="bottom"/>
            <w:tcBorders>
              <w:bottom w:val="single" w:sz="8" w:color="E5F1F8"/>
            </w:tcBorders>
            <w:shd w:val="clear" w:color="auto" w:fill="E5F1F8"/>
          </w:tcPr>
          <w:p>
            <w:pPr>
              <w:jc w:val="right"/>
              <w:ind w:right="39"/>
              <w:spacing w:after="0" w:line="187" w:lineRule="exact"/>
              <w:rPr>
                <w:sz w:val="20"/>
                <w:szCs w:val="20"/>
                <w:color w:val="auto"/>
              </w:rPr>
            </w:pPr>
            <w:r>
              <w:rPr>
                <w:rFonts w:ascii="Calibri" w:cs="Calibri" w:eastAsia="Calibri" w:hAnsi="Calibri"/>
                <w:sz w:val="16"/>
                <w:szCs w:val="16"/>
                <w:color w:val="auto"/>
              </w:rPr>
              <w:t>1,200.3</w:t>
            </w:r>
          </w:p>
        </w:tc>
      </w:tr>
      <w:tr>
        <w:trPr>
          <w:trHeight w:val="20"/>
        </w:trPr>
        <w:tc>
          <w:tcPr>
            <w:tcW w:w="48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-4079875</wp:posOffset>
            </wp:positionV>
            <wp:extent cx="266573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266573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-3282315</wp:posOffset>
            </wp:positionV>
            <wp:extent cx="401193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40119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-2120900</wp:posOffset>
            </wp:positionV>
            <wp:extent cx="7132320" cy="48450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7132320" cy="484505"/>
                    </a:xfrm>
                    <a:prstGeom prst="rect">
                      <a:avLst/>
                    </a:prstGeom>
                    <a:noFill/>
                  </pic:spPr>
                </pic:pic>
              </a:graphicData>
            </a:graphic>
          </wp:anchor>
        </w:drawing>
        <w:drawing>
          <wp:anchor simplePos="0" relativeHeight="251657728" behindDoc="1" locked="0" layoutInCell="0" allowOverlap="1">
            <wp:simplePos x="0" y="0"/>
            <wp:positionH relativeFrom="column">
              <wp:posOffset>3027045</wp:posOffset>
            </wp:positionH>
            <wp:positionV relativeFrom="paragraph">
              <wp:posOffset>-337820</wp:posOffset>
            </wp:positionV>
            <wp:extent cx="4110355" cy="3511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4110355" cy="351155"/>
                    </a:xfrm>
                    <a:prstGeom prst="rect">
                      <a:avLst/>
                    </a:prstGeom>
                    <a:noFill/>
                  </pic:spPr>
                </pic:pic>
              </a:graphicData>
            </a:graphic>
          </wp:anchor>
        </w:drawing>
      </w:r>
    </w:p>
    <w:p>
      <w:pPr>
        <w:spacing w:after="0" w:line="33" w:lineRule="exact"/>
        <w:rPr>
          <w:sz w:val="20"/>
          <w:szCs w:val="20"/>
          <w:color w:val="auto"/>
        </w:rPr>
      </w:pPr>
    </w:p>
    <w:p>
      <w:pPr>
        <w:ind w:left="800" w:right="20" w:hanging="401"/>
        <w:spacing w:after="0" w:line="205" w:lineRule="auto"/>
        <w:tabs>
          <w:tab w:leader="none" w:pos="800" w:val="left"/>
        </w:tabs>
        <w:numPr>
          <w:ilvl w:val="0"/>
          <w:numId w:val="33"/>
        </w:numPr>
        <w:rPr>
          <w:rFonts w:ascii="Calibri" w:cs="Calibri" w:eastAsia="Calibri" w:hAnsi="Calibri"/>
          <w:sz w:val="19"/>
          <w:szCs w:val="19"/>
          <w:color w:val="auto"/>
          <w:vertAlign w:val="superscript"/>
        </w:rPr>
      </w:pPr>
      <w:r>
        <w:rPr>
          <w:rFonts w:ascii="Calibri" w:cs="Calibri" w:eastAsia="Calibri" w:hAnsi="Calibri"/>
          <w:sz w:val="14"/>
          <w:szCs w:val="14"/>
          <w:color w:val="auto"/>
        </w:rPr>
        <w:t>These investments are common collectve investment trusts valued using the net asset value (NAV) unit price provided by the fund administrator. The NAV is based on the value of the underlying assets owned by the fund.</w:t>
      </w:r>
    </w:p>
    <w:p>
      <w:pPr>
        <w:spacing w:after="0" w:line="18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Real estate investments are stated at estmated fair value, which is the price that would be received to sell an asset or paid to transfer a liability in an orderly transacton between market partcipants at the measurement date. Real estate investments are valued at NAV based on the plan’s proportonate shares of the real estate funds’ fair value as recorded by the trustees/general partner of the funds. The funds are real estate investment trust based funds that ofer partcipaton in an actvely managed, primarily core portolio of equity real estate. The funds allocate gains, losses and expenses to investors based on the ownership percentage to determine the NAV. Private infrastructure assets represent investments in a fund that is stated at fair value. For fnancial assets in the fund that are actvely traded in organized fnancial markets, fair value is based on exchange-quoted market prices. For investments in a fund for which there is no quoted market price, fair value is determined by the trustees/general partner of the fund based on discounted expected future cash fows prepared by third-party professionals. The value of hedge funds is based on the values of the sub-fund investments. In determining the fair value of each sub-fund’s investment, the hedge funds’ board of trustees uses the values provided by the sub-funds and any other consideratons that may, in its judgment, increase or decrease such estmated value.</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2022 and 2021, the Company made combined pension plan and SERP contributons of $90.2 million and $82.8 million, respectvely. The Company currently estmates that it will contribute $36.5 million to its pension plans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6751320</wp:posOffset>
            </wp:positionH>
            <wp:positionV relativeFrom="paragraph">
              <wp:posOffset>92710</wp:posOffset>
            </wp:positionV>
            <wp:extent cx="325755" cy="1968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02" w:name="page103"/>
    <w:bookmarkEnd w:id="102"/>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The expected beneft payments to be paid from plan assets for each of the next fve years and the fve-year period thereafer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96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color w:val="FFFFFF"/>
              </w:rPr>
              <w:t>(in millions)</w:t>
            </w:r>
          </w:p>
        </w:tc>
        <w:tc>
          <w:tcPr>
            <w:tcW w:w="1060" w:type="dxa"/>
            <w:vAlign w:val="bottom"/>
            <w:shd w:val="clear" w:color="auto" w:fill="007CBA"/>
          </w:tcPr>
          <w:p>
            <w:pPr>
              <w:spacing w:after="0"/>
              <w:rPr>
                <w:sz w:val="21"/>
                <w:szCs w:val="21"/>
                <w:color w:val="auto"/>
              </w:rPr>
            </w:pPr>
          </w:p>
        </w:tc>
        <w:tc>
          <w:tcPr>
            <w:tcW w:w="1220" w:type="dxa"/>
            <w:vAlign w:val="bottom"/>
            <w:shd w:val="clear" w:color="auto" w:fill="007CBA"/>
          </w:tcPr>
          <w:p>
            <w:pPr>
              <w:spacing w:after="0"/>
              <w:rPr>
                <w:sz w:val="21"/>
                <w:szCs w:val="21"/>
                <w:color w:val="auto"/>
              </w:rPr>
            </w:pPr>
          </w:p>
        </w:tc>
      </w:tr>
      <w:tr>
        <w:trPr>
          <w:trHeight w:val="215"/>
        </w:trPr>
        <w:tc>
          <w:tcPr>
            <w:tcW w:w="89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2023</w:t>
            </w:r>
          </w:p>
        </w:tc>
        <w:tc>
          <w:tcPr>
            <w:tcW w:w="1060" w:type="dxa"/>
            <w:vAlign w:val="bottom"/>
          </w:tcPr>
          <w:p>
            <w:pPr>
              <w:jc w:val="right"/>
              <w:ind w:right="63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51.0</w:t>
            </w:r>
          </w:p>
        </w:tc>
      </w:tr>
      <w:tr>
        <w:trPr>
          <w:trHeight w:val="28"/>
        </w:trPr>
        <w:tc>
          <w:tcPr>
            <w:tcW w:w="8960" w:type="dxa"/>
            <w:vAlign w:val="bottom"/>
            <w:tcBorders>
              <w:right w:val="single" w:sz="8" w:color="007CBA"/>
            </w:tcBorders>
          </w:tcPr>
          <w:p>
            <w:pPr>
              <w:spacing w:after="0"/>
              <w:rPr>
                <w:sz w:val="2"/>
                <w:szCs w:val="2"/>
                <w:color w:val="auto"/>
              </w:rPr>
            </w:pPr>
          </w:p>
        </w:tc>
        <w:tc>
          <w:tcPr>
            <w:tcW w:w="10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896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2024</w:t>
            </w:r>
          </w:p>
        </w:tc>
        <w:tc>
          <w:tcPr>
            <w:tcW w:w="1060" w:type="dxa"/>
            <w:vAlign w:val="bottom"/>
            <w:tcBorders>
              <w:bottom w:val="single" w:sz="8" w:color="E5F1F8"/>
            </w:tcBorders>
            <w:shd w:val="clear" w:color="auto" w:fill="E5F1F8"/>
          </w:tcPr>
          <w:p>
            <w:pPr>
              <w:jc w:val="right"/>
              <w:ind w:right="63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52.9</w:t>
            </w:r>
          </w:p>
        </w:tc>
      </w:tr>
      <w:tr>
        <w:trPr>
          <w:trHeight w:val="215"/>
        </w:trPr>
        <w:tc>
          <w:tcPr>
            <w:tcW w:w="89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2025</w:t>
            </w:r>
          </w:p>
        </w:tc>
        <w:tc>
          <w:tcPr>
            <w:tcW w:w="1060" w:type="dxa"/>
            <w:vAlign w:val="bottom"/>
          </w:tcPr>
          <w:p>
            <w:pPr>
              <w:jc w:val="right"/>
              <w:ind w:right="63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53.5</w:t>
            </w:r>
          </w:p>
        </w:tc>
      </w:tr>
      <w:tr>
        <w:trPr>
          <w:trHeight w:val="28"/>
        </w:trPr>
        <w:tc>
          <w:tcPr>
            <w:tcW w:w="8960" w:type="dxa"/>
            <w:vAlign w:val="bottom"/>
            <w:tcBorders>
              <w:right w:val="single" w:sz="8" w:color="007CBA"/>
            </w:tcBorders>
          </w:tcPr>
          <w:p>
            <w:pPr>
              <w:spacing w:after="0"/>
              <w:rPr>
                <w:sz w:val="2"/>
                <w:szCs w:val="2"/>
                <w:color w:val="auto"/>
              </w:rPr>
            </w:pPr>
          </w:p>
        </w:tc>
        <w:tc>
          <w:tcPr>
            <w:tcW w:w="10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896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2026</w:t>
            </w:r>
          </w:p>
        </w:tc>
        <w:tc>
          <w:tcPr>
            <w:tcW w:w="1060" w:type="dxa"/>
            <w:vAlign w:val="bottom"/>
            <w:tcBorders>
              <w:bottom w:val="single" w:sz="8" w:color="E5F1F8"/>
            </w:tcBorders>
            <w:shd w:val="clear" w:color="auto" w:fill="E5F1F8"/>
          </w:tcPr>
          <w:p>
            <w:pPr>
              <w:jc w:val="right"/>
              <w:ind w:right="63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55.3</w:t>
            </w:r>
          </w:p>
        </w:tc>
      </w:tr>
      <w:tr>
        <w:trPr>
          <w:trHeight w:val="243"/>
        </w:trPr>
        <w:tc>
          <w:tcPr>
            <w:tcW w:w="89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2027</w:t>
            </w:r>
          </w:p>
        </w:tc>
        <w:tc>
          <w:tcPr>
            <w:tcW w:w="1060" w:type="dxa"/>
            <w:vAlign w:val="bottom"/>
          </w:tcPr>
          <w:p>
            <w:pPr>
              <w:jc w:val="right"/>
              <w:ind w:right="63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58.3</w:t>
            </w:r>
          </w:p>
        </w:tc>
      </w:tr>
      <w:tr>
        <w:trPr>
          <w:trHeight w:val="223"/>
        </w:trPr>
        <w:tc>
          <w:tcPr>
            <w:tcW w:w="896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Years 2028 -2032</w:t>
            </w:r>
          </w:p>
        </w:tc>
        <w:tc>
          <w:tcPr>
            <w:tcW w:w="1060" w:type="dxa"/>
            <w:vAlign w:val="bottom"/>
            <w:tcBorders>
              <w:bottom w:val="single" w:sz="8" w:color="E5F1F8"/>
            </w:tcBorders>
            <w:shd w:val="clear" w:color="auto" w:fill="E5F1F8"/>
          </w:tcPr>
          <w:p>
            <w:pPr>
              <w:jc w:val="right"/>
              <w:ind w:right="63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316.9</w:t>
            </w:r>
          </w:p>
        </w:tc>
      </w:tr>
      <w:tr>
        <w:trPr>
          <w:trHeight w:val="20"/>
        </w:trPr>
        <w:tc>
          <w:tcPr>
            <w:tcW w:w="8960" w:type="dxa"/>
            <w:vAlign w:val="bottom"/>
            <w:tcBorders>
              <w:right w:val="single" w:sz="8" w:color="auto"/>
            </w:tcBorders>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5658485</wp:posOffset>
            </wp:positionH>
            <wp:positionV relativeFrom="paragraph">
              <wp:posOffset>-175260</wp:posOffset>
            </wp:positionV>
            <wp:extent cx="33655" cy="18859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33655" cy="18859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4EAD8A"/>
        </w:rPr>
        <w:t>Postretrement Benefts</w:t>
      </w:r>
      <w:r>
        <w:rPr>
          <w:rFonts w:ascii="Calibri" w:cs="Calibri" w:eastAsia="Calibri" w:hAnsi="Calibri"/>
          <w:sz w:val="18"/>
          <w:szCs w:val="18"/>
          <w:i w:val="1"/>
          <w:iCs w:val="1"/>
          <w:color w:val="4EAD8A"/>
        </w:rPr>
        <w:t>.</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The net periodic beneft credit for postretrement plans includes the following components: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6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480" w:type="dxa"/>
            <w:vAlign w:val="bottom"/>
            <w:shd w:val="clear" w:color="auto" w:fill="007CBA"/>
          </w:tcPr>
          <w:p>
            <w:pPr>
              <w:spacing w:after="0"/>
              <w:rPr>
                <w:sz w:val="20"/>
                <w:szCs w:val="20"/>
                <w:color w:val="auto"/>
              </w:rPr>
            </w:pPr>
          </w:p>
        </w:tc>
        <w:tc>
          <w:tcPr>
            <w:tcW w:w="1160" w:type="dxa"/>
            <w:vAlign w:val="bottom"/>
            <w:tcBorders>
              <w:right w:val="single" w:sz="8" w:color="007CBA"/>
            </w:tcBorders>
            <w:shd w:val="clear" w:color="auto" w:fill="007CBA"/>
          </w:tcPr>
          <w:p>
            <w:pPr>
              <w:spacing w:after="0"/>
              <w:rPr>
                <w:sz w:val="20"/>
                <w:szCs w:val="20"/>
                <w:color w:val="auto"/>
              </w:rPr>
            </w:pPr>
          </w:p>
        </w:tc>
        <w:tc>
          <w:tcPr>
            <w:tcW w:w="480" w:type="dxa"/>
            <w:vAlign w:val="bottom"/>
            <w:shd w:val="clear" w:color="auto" w:fill="007CBA"/>
          </w:tcPr>
          <w:p>
            <w:pPr>
              <w:spacing w:after="0"/>
              <w:rPr>
                <w:sz w:val="20"/>
                <w:szCs w:val="20"/>
                <w:color w:val="auto"/>
              </w:rPr>
            </w:pPr>
          </w:p>
        </w:tc>
        <w:tc>
          <w:tcPr>
            <w:tcW w:w="1140" w:type="dxa"/>
            <w:vAlign w:val="bottom"/>
            <w:tcBorders>
              <w:right w:val="single" w:sz="8" w:color="007CBA"/>
            </w:tcBorders>
            <w:shd w:val="clear" w:color="auto" w:fill="007CBA"/>
          </w:tcPr>
          <w:p>
            <w:pPr>
              <w:spacing w:after="0"/>
              <w:rPr>
                <w:sz w:val="20"/>
                <w:szCs w:val="20"/>
                <w:color w:val="auto"/>
              </w:rPr>
            </w:pPr>
          </w:p>
        </w:tc>
        <w:tc>
          <w:tcPr>
            <w:tcW w:w="480" w:type="dxa"/>
            <w:vAlign w:val="bottom"/>
            <w:shd w:val="clear" w:color="auto" w:fill="007CBA"/>
          </w:tcPr>
          <w:p>
            <w:pPr>
              <w:spacing w:after="0"/>
              <w:rPr>
                <w:sz w:val="20"/>
                <w:szCs w:val="20"/>
                <w:color w:val="auto"/>
              </w:rPr>
            </w:pPr>
          </w:p>
        </w:tc>
        <w:tc>
          <w:tcPr>
            <w:tcW w:w="1140" w:type="dxa"/>
            <w:vAlign w:val="bottom"/>
            <w:shd w:val="clear" w:color="auto" w:fill="007CBA"/>
          </w:tcPr>
          <w:p>
            <w:pPr>
              <w:spacing w:after="0"/>
              <w:rPr>
                <w:sz w:val="20"/>
                <w:szCs w:val="20"/>
                <w:color w:val="auto"/>
              </w:rPr>
            </w:pPr>
          </w:p>
        </w:tc>
      </w:tr>
      <w:tr>
        <w:trPr>
          <w:trHeight w:val="231"/>
        </w:trPr>
        <w:tc>
          <w:tcPr>
            <w:tcW w:w="636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480" w:type="dxa"/>
            <w:vAlign w:val="bottom"/>
            <w:tcBorders>
              <w:bottom w:val="single" w:sz="8" w:color="007CBA"/>
            </w:tcBorders>
            <w:shd w:val="clear" w:color="auto" w:fill="007CBA"/>
          </w:tcPr>
          <w:p>
            <w:pPr>
              <w:spacing w:after="0"/>
              <w:rPr>
                <w:sz w:val="20"/>
                <w:szCs w:val="20"/>
                <w:color w:val="auto"/>
              </w:rPr>
            </w:pPr>
          </w:p>
        </w:tc>
        <w:tc>
          <w:tcPr>
            <w:tcW w:w="1160" w:type="dxa"/>
            <w:vAlign w:val="bottom"/>
            <w:tcBorders>
              <w:bottom w:val="single" w:sz="8" w:color="007CBA"/>
              <w:right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b w:val="1"/>
                <w:bCs w:val="1"/>
                <w:color w:val="FFFFFF"/>
              </w:rPr>
              <w:t>2022</w:t>
            </w:r>
          </w:p>
        </w:tc>
        <w:tc>
          <w:tcPr>
            <w:tcW w:w="48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right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color w:val="FFFFFF"/>
              </w:rPr>
              <w:t>2021</w:t>
            </w:r>
          </w:p>
        </w:tc>
        <w:tc>
          <w:tcPr>
            <w:tcW w:w="48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color w:val="FFFFFF"/>
              </w:rPr>
              <w:t>2020</w:t>
            </w:r>
          </w:p>
        </w:tc>
      </w:tr>
      <w:tr>
        <w:trPr>
          <w:trHeight w:val="223"/>
        </w:trPr>
        <w:tc>
          <w:tcPr>
            <w:tcW w:w="636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Interest cost</w:t>
            </w:r>
          </w:p>
        </w:tc>
        <w:tc>
          <w:tcPr>
            <w:tcW w:w="480" w:type="dxa"/>
            <w:vAlign w:val="bottom"/>
            <w:tcBorders>
              <w:bottom w:val="single" w:sz="8" w:color="E5F1F8"/>
            </w:tcBorders>
            <w:shd w:val="clear" w:color="auto" w:fill="E5F1F8"/>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0.4</w:t>
            </w:r>
          </w:p>
        </w:tc>
        <w:tc>
          <w:tcPr>
            <w:tcW w:w="480" w:type="dxa"/>
            <w:vAlign w:val="bottom"/>
            <w:tcBorders>
              <w:bottom w:val="single" w:sz="8" w:color="E5F1F8"/>
            </w:tcBorders>
            <w:shd w:val="clear" w:color="auto" w:fill="E5F1F8"/>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0.3</w:t>
            </w:r>
          </w:p>
        </w:tc>
        <w:tc>
          <w:tcPr>
            <w:tcW w:w="480" w:type="dxa"/>
            <w:vAlign w:val="bottom"/>
            <w:tcBorders>
              <w:bottom w:val="single" w:sz="8" w:color="E5F1F8"/>
            </w:tcBorders>
            <w:shd w:val="clear" w:color="auto" w:fill="E5F1F8"/>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0.4</w:t>
            </w:r>
          </w:p>
        </w:tc>
      </w:tr>
      <w:tr>
        <w:trPr>
          <w:trHeight w:val="215"/>
        </w:trPr>
        <w:tc>
          <w:tcPr>
            <w:tcW w:w="63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Amortzaton of:</w:t>
            </w:r>
          </w:p>
        </w:tc>
        <w:tc>
          <w:tcPr>
            <w:tcW w:w="480" w:type="dxa"/>
            <w:vAlign w:val="bottom"/>
          </w:tcPr>
          <w:p>
            <w:pPr>
              <w:spacing w:after="0"/>
              <w:rPr>
                <w:sz w:val="18"/>
                <w:szCs w:val="18"/>
                <w:color w:val="auto"/>
              </w:rPr>
            </w:pPr>
          </w:p>
        </w:tc>
        <w:tc>
          <w:tcPr>
            <w:tcW w:w="1160" w:type="dxa"/>
            <w:vAlign w:val="bottom"/>
            <w:tcBorders>
              <w:right w:val="single" w:sz="8" w:color="007CBA"/>
            </w:tcBorders>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Borders>
              <w:right w:val="single" w:sz="8" w:color="007CBA"/>
            </w:tcBorders>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8"/>
        </w:trPr>
        <w:tc>
          <w:tcPr>
            <w:tcW w:w="63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6360" w:type="dxa"/>
            <w:vAlign w:val="bottom"/>
            <w:tcBorders>
              <w:bottom w:val="single" w:sz="8" w:color="E5F1F8"/>
              <w:right w:val="single" w:sz="8" w:color="007CBA"/>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Prior service credit</w:t>
            </w:r>
          </w:p>
        </w:tc>
        <w:tc>
          <w:tcPr>
            <w:tcW w:w="48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(0.9 )</w:t>
            </w:r>
          </w:p>
        </w:tc>
        <w:tc>
          <w:tcPr>
            <w:tcW w:w="48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right w:val="single" w:sz="8" w:color="007CBA"/>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(0.8 )</w:t>
            </w:r>
          </w:p>
        </w:tc>
        <w:tc>
          <w:tcPr>
            <w:tcW w:w="48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(0.8 )</w:t>
            </w:r>
          </w:p>
        </w:tc>
      </w:tr>
      <w:tr>
        <w:trPr>
          <w:trHeight w:val="215"/>
        </w:trPr>
        <w:tc>
          <w:tcPr>
            <w:tcW w:w="6360" w:type="dxa"/>
            <w:vAlign w:val="bottom"/>
          </w:tcPr>
          <w:p>
            <w:pPr>
              <w:ind w:left="300"/>
              <w:spacing w:after="0" w:line="215" w:lineRule="exact"/>
              <w:rPr>
                <w:sz w:val="20"/>
                <w:szCs w:val="20"/>
                <w:color w:val="auto"/>
              </w:rPr>
            </w:pPr>
            <w:r>
              <w:rPr>
                <w:rFonts w:ascii="Calibri" w:cs="Calibri" w:eastAsia="Calibri" w:hAnsi="Calibri"/>
                <w:sz w:val="18"/>
                <w:szCs w:val="18"/>
                <w:color w:val="auto"/>
              </w:rPr>
              <w:t>Actuarial gain</w:t>
            </w:r>
          </w:p>
        </w:tc>
        <w:tc>
          <w:tcPr>
            <w:tcW w:w="48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(0.2 )</w:t>
            </w:r>
          </w:p>
        </w:tc>
        <w:tc>
          <w:tcPr>
            <w:tcW w:w="48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(0.1 )</w:t>
            </w:r>
          </w:p>
        </w:tc>
        <w:tc>
          <w:tcPr>
            <w:tcW w:w="48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(0.2 )</w:t>
            </w:r>
          </w:p>
        </w:tc>
      </w:tr>
      <w:tr>
        <w:trPr>
          <w:trHeight w:val="28"/>
        </w:trPr>
        <w:tc>
          <w:tcPr>
            <w:tcW w:w="6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2"/>
        </w:trPr>
        <w:tc>
          <w:tcPr>
            <w:tcW w:w="636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Total net periodic beneft credit</w:t>
            </w:r>
          </w:p>
        </w:tc>
        <w:tc>
          <w:tcPr>
            <w:tcW w:w="480" w:type="dxa"/>
            <w:vAlign w:val="bottom"/>
            <w:tcBorders>
              <w:bottom w:val="single" w:sz="8" w:color="E5F1F8"/>
            </w:tcBorders>
            <w:shd w:val="clear" w:color="auto" w:fill="E5F1F8"/>
          </w:tcPr>
          <w:p>
            <w:pPr>
              <w:jc w:val="right"/>
              <w:ind w:right="110"/>
              <w:spacing w:after="0" w:line="208"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bottom w:val="single" w:sz="8" w:color="E5F1F8"/>
              <w:right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b w:val="1"/>
                <w:bCs w:val="1"/>
                <w:color w:val="auto"/>
              </w:rPr>
              <w:t>(0.7 )</w:t>
            </w:r>
          </w:p>
        </w:tc>
        <w:tc>
          <w:tcPr>
            <w:tcW w:w="480" w:type="dxa"/>
            <w:vAlign w:val="bottom"/>
            <w:tcBorders>
              <w:bottom w:val="single" w:sz="8" w:color="E5F1F8"/>
            </w:tcBorders>
            <w:shd w:val="clear" w:color="auto" w:fill="E5F1F8"/>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E5F1F8"/>
              <w:right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color w:val="auto"/>
              </w:rPr>
              <w:t>(0.6 )</w:t>
            </w:r>
          </w:p>
        </w:tc>
        <w:tc>
          <w:tcPr>
            <w:tcW w:w="480" w:type="dxa"/>
            <w:vAlign w:val="bottom"/>
            <w:tcBorders>
              <w:bottom w:val="single" w:sz="8" w:color="E5F1F8"/>
            </w:tcBorders>
            <w:shd w:val="clear" w:color="auto" w:fill="E5F1F8"/>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color w:val="auto"/>
              </w:rPr>
              <w:t>(0.6 )</w:t>
            </w:r>
          </w:p>
        </w:tc>
      </w:tr>
      <w:tr>
        <w:trPr>
          <w:trHeight w:val="20"/>
        </w:trPr>
        <w:tc>
          <w:tcPr>
            <w:tcW w:w="63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4012565</wp:posOffset>
            </wp:positionH>
            <wp:positionV relativeFrom="paragraph">
              <wp:posOffset>-354965</wp:posOffset>
            </wp:positionV>
            <wp:extent cx="3124200" cy="3683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3124200" cy="368300"/>
                    </a:xfrm>
                    <a:prstGeom prst="rect">
                      <a:avLst/>
                    </a:prstGeom>
                    <a:noFill/>
                  </pic:spPr>
                </pic:pic>
              </a:graphicData>
            </a:graphic>
          </wp:anchor>
        </w:drawing>
      </w:r>
    </w:p>
    <w:p>
      <w:pPr>
        <w:spacing w:after="0" w:line="13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components of net periodic beneft credit, other than service cost, are included in the line item </w:t>
      </w:r>
      <w:r>
        <w:rPr>
          <w:rFonts w:ascii="Calibri" w:cs="Calibri" w:eastAsia="Calibri" w:hAnsi="Calibri"/>
          <w:sz w:val="18"/>
          <w:szCs w:val="18"/>
          <w:i w:val="1"/>
          <w:iCs w:val="1"/>
          <w:color w:val="auto"/>
        </w:rPr>
        <w:t>Other nonoperatng income, net,</w:t>
      </w:r>
      <w:r>
        <w:rPr>
          <w:rFonts w:ascii="Calibri" w:cs="Calibri" w:eastAsia="Calibri" w:hAnsi="Calibri"/>
          <w:sz w:val="18"/>
          <w:szCs w:val="18"/>
          <w:color w:val="auto"/>
        </w:rPr>
        <w:t xml:space="preserve"> in the consolidated statements of earnings.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60" w:type="dxa"/>
            <w:vAlign w:val="bottom"/>
            <w:gridSpan w:val="2"/>
          </w:tcPr>
          <w:p>
            <w:pPr>
              <w:spacing w:after="0"/>
              <w:rPr>
                <w:sz w:val="20"/>
                <w:szCs w:val="20"/>
                <w:color w:val="auto"/>
              </w:rPr>
            </w:pPr>
            <w:r>
              <w:rPr>
                <w:rFonts w:ascii="Calibri" w:cs="Calibri" w:eastAsia="Calibri" w:hAnsi="Calibri"/>
                <w:sz w:val="18"/>
                <w:szCs w:val="18"/>
                <w:color w:val="auto"/>
                <w:w w:val="98"/>
              </w:rPr>
              <w:t>The Company recognized the following amounts in consolidated comprehensive earnings:</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32"/>
        </w:trPr>
        <w:tc>
          <w:tcPr>
            <w:tcW w:w="6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15"/>
        </w:trPr>
        <w:tc>
          <w:tcPr>
            <w:tcW w:w="634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i w:val="1"/>
                <w:iCs w:val="1"/>
                <w:color w:val="FFFFFF"/>
              </w:rPr>
              <w:t>years ended December 31</w:t>
            </w:r>
          </w:p>
        </w:tc>
        <w:tc>
          <w:tcPr>
            <w:tcW w:w="120" w:type="dxa"/>
            <w:vAlign w:val="bottom"/>
            <w:shd w:val="clear" w:color="auto" w:fill="007CBA"/>
          </w:tcPr>
          <w:p>
            <w:pPr>
              <w:spacing w:after="0"/>
              <w:rPr>
                <w:sz w:val="18"/>
                <w:szCs w:val="18"/>
                <w:color w:val="auto"/>
              </w:rPr>
            </w:pPr>
          </w:p>
        </w:tc>
        <w:tc>
          <w:tcPr>
            <w:tcW w:w="38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80" w:type="dxa"/>
            <w:vAlign w:val="bottom"/>
            <w:shd w:val="clear" w:color="auto" w:fill="007CBA"/>
          </w:tcPr>
          <w:p>
            <w:pPr>
              <w:spacing w:after="0"/>
              <w:rPr>
                <w:sz w:val="18"/>
                <w:szCs w:val="18"/>
                <w:color w:val="auto"/>
              </w:rPr>
            </w:pPr>
          </w:p>
        </w:tc>
        <w:tc>
          <w:tcPr>
            <w:tcW w:w="1140" w:type="dxa"/>
            <w:vAlign w:val="bottom"/>
            <w:tcBorders>
              <w:right w:val="single" w:sz="8" w:color="007CBA"/>
            </w:tcBorders>
            <w:shd w:val="clear" w:color="auto" w:fill="007CBA"/>
          </w:tcPr>
          <w:p>
            <w:pPr>
              <w:spacing w:after="0"/>
              <w:rPr>
                <w:sz w:val="18"/>
                <w:szCs w:val="18"/>
                <w:color w:val="auto"/>
              </w:rPr>
            </w:pPr>
          </w:p>
        </w:tc>
        <w:tc>
          <w:tcPr>
            <w:tcW w:w="480" w:type="dxa"/>
            <w:vAlign w:val="bottom"/>
            <w:shd w:val="clear" w:color="auto" w:fill="007CBA"/>
          </w:tcPr>
          <w:p>
            <w:pPr>
              <w:spacing w:after="0"/>
              <w:rPr>
                <w:sz w:val="18"/>
                <w:szCs w:val="18"/>
                <w:color w:val="auto"/>
              </w:rPr>
            </w:pPr>
          </w:p>
        </w:tc>
        <w:tc>
          <w:tcPr>
            <w:tcW w:w="1140" w:type="dxa"/>
            <w:vAlign w:val="bottom"/>
            <w:shd w:val="clear" w:color="auto" w:fill="007CBA"/>
          </w:tcPr>
          <w:p>
            <w:pPr>
              <w:spacing w:after="0"/>
              <w:rPr>
                <w:sz w:val="18"/>
                <w:szCs w:val="18"/>
                <w:color w:val="auto"/>
              </w:rPr>
            </w:pPr>
          </w:p>
        </w:tc>
      </w:tr>
      <w:tr>
        <w:trPr>
          <w:trHeight w:val="251"/>
        </w:trPr>
        <w:tc>
          <w:tcPr>
            <w:tcW w:w="6340" w:type="dxa"/>
            <w:vAlign w:val="bottom"/>
            <w:tcBorders>
              <w:bottom w:val="single" w:sz="8" w:color="007CBA"/>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color w:val="FFFFFF"/>
              </w:rPr>
              <w:t>(in millions)</w:t>
            </w:r>
          </w:p>
        </w:tc>
        <w:tc>
          <w:tcPr>
            <w:tcW w:w="120" w:type="dxa"/>
            <w:vAlign w:val="bottom"/>
            <w:tcBorders>
              <w:bottom w:val="single" w:sz="8" w:color="007CBA"/>
            </w:tcBorders>
            <w:shd w:val="clear" w:color="auto" w:fill="007CBA"/>
          </w:tcPr>
          <w:p>
            <w:pPr>
              <w:spacing w:after="0"/>
              <w:rPr>
                <w:sz w:val="21"/>
                <w:szCs w:val="21"/>
                <w:color w:val="auto"/>
              </w:rPr>
            </w:pPr>
          </w:p>
        </w:tc>
        <w:tc>
          <w:tcPr>
            <w:tcW w:w="380" w:type="dxa"/>
            <w:vAlign w:val="bottom"/>
            <w:tcBorders>
              <w:bottom w:val="single" w:sz="8" w:color="007CBA"/>
            </w:tcBorders>
            <w:shd w:val="clear" w:color="auto" w:fill="007CBA"/>
          </w:tcPr>
          <w:p>
            <w:pPr>
              <w:spacing w:after="0"/>
              <w:rPr>
                <w:sz w:val="21"/>
                <w:szCs w:val="21"/>
                <w:color w:val="auto"/>
              </w:rPr>
            </w:pPr>
          </w:p>
        </w:tc>
        <w:tc>
          <w:tcPr>
            <w:tcW w:w="1160" w:type="dxa"/>
            <w:vAlign w:val="bottom"/>
            <w:tcBorders>
              <w:bottom w:val="single" w:sz="8" w:color="007CBA"/>
              <w:right w:val="single" w:sz="8" w:color="007CBA"/>
            </w:tcBorders>
            <w:shd w:val="clear" w:color="auto" w:fill="007CBA"/>
          </w:tcPr>
          <w:p>
            <w:pPr>
              <w:jc w:val="right"/>
              <w:ind w:right="510"/>
              <w:spacing w:after="0"/>
              <w:rPr>
                <w:sz w:val="20"/>
                <w:szCs w:val="20"/>
                <w:color w:val="auto"/>
              </w:rPr>
            </w:pPr>
            <w:r>
              <w:rPr>
                <w:rFonts w:ascii="Calibri" w:cs="Calibri" w:eastAsia="Calibri" w:hAnsi="Calibri"/>
                <w:sz w:val="18"/>
                <w:szCs w:val="18"/>
                <w:b w:val="1"/>
                <w:bCs w:val="1"/>
                <w:color w:val="FFFFFF"/>
              </w:rPr>
              <w:t>2022</w:t>
            </w:r>
          </w:p>
        </w:tc>
        <w:tc>
          <w:tcPr>
            <w:tcW w:w="480" w:type="dxa"/>
            <w:vAlign w:val="bottom"/>
            <w:tcBorders>
              <w:bottom w:val="single" w:sz="8" w:color="007CBA"/>
            </w:tcBorders>
            <w:shd w:val="clear" w:color="auto" w:fill="007CBA"/>
          </w:tcPr>
          <w:p>
            <w:pPr>
              <w:spacing w:after="0"/>
              <w:rPr>
                <w:sz w:val="21"/>
                <w:szCs w:val="21"/>
                <w:color w:val="auto"/>
              </w:rPr>
            </w:pPr>
          </w:p>
        </w:tc>
        <w:tc>
          <w:tcPr>
            <w:tcW w:w="1140" w:type="dxa"/>
            <w:vAlign w:val="bottom"/>
            <w:tcBorders>
              <w:bottom w:val="single" w:sz="8" w:color="007CBA"/>
              <w:right w:val="single" w:sz="8" w:color="007CBA"/>
            </w:tcBorders>
            <w:shd w:val="clear" w:color="auto" w:fill="007CBA"/>
          </w:tcPr>
          <w:p>
            <w:pPr>
              <w:jc w:val="right"/>
              <w:ind w:right="510"/>
              <w:spacing w:after="0"/>
              <w:rPr>
                <w:sz w:val="20"/>
                <w:szCs w:val="20"/>
                <w:color w:val="auto"/>
              </w:rPr>
            </w:pPr>
            <w:r>
              <w:rPr>
                <w:rFonts w:ascii="Calibri" w:cs="Calibri" w:eastAsia="Calibri" w:hAnsi="Calibri"/>
                <w:sz w:val="18"/>
                <w:szCs w:val="18"/>
                <w:color w:val="FFFFFF"/>
              </w:rPr>
              <w:t>2021</w:t>
            </w:r>
          </w:p>
        </w:tc>
        <w:tc>
          <w:tcPr>
            <w:tcW w:w="480" w:type="dxa"/>
            <w:vAlign w:val="bottom"/>
            <w:tcBorders>
              <w:bottom w:val="single" w:sz="8" w:color="007CBA"/>
            </w:tcBorders>
            <w:shd w:val="clear" w:color="auto" w:fill="007CBA"/>
          </w:tcPr>
          <w:p>
            <w:pPr>
              <w:spacing w:after="0"/>
              <w:rPr>
                <w:sz w:val="21"/>
                <w:szCs w:val="21"/>
                <w:color w:val="auto"/>
              </w:rPr>
            </w:pPr>
          </w:p>
        </w:tc>
        <w:tc>
          <w:tcPr>
            <w:tcW w:w="1140" w:type="dxa"/>
            <w:vAlign w:val="bottom"/>
            <w:tcBorders>
              <w:bottom w:val="single" w:sz="8" w:color="007CBA"/>
            </w:tcBorders>
            <w:shd w:val="clear" w:color="auto" w:fill="007CBA"/>
          </w:tcPr>
          <w:p>
            <w:pPr>
              <w:jc w:val="right"/>
              <w:ind w:right="510"/>
              <w:spacing w:after="0"/>
              <w:rPr>
                <w:sz w:val="20"/>
                <w:szCs w:val="20"/>
                <w:color w:val="auto"/>
              </w:rPr>
            </w:pPr>
            <w:r>
              <w:rPr>
                <w:rFonts w:ascii="Calibri" w:cs="Calibri" w:eastAsia="Calibri" w:hAnsi="Calibri"/>
                <w:sz w:val="18"/>
                <w:szCs w:val="18"/>
                <w:color w:val="FFFFFF"/>
              </w:rPr>
              <w:t>2020</w:t>
            </w:r>
          </w:p>
        </w:tc>
      </w:tr>
      <w:tr>
        <w:trPr>
          <w:trHeight w:val="215"/>
        </w:trPr>
        <w:tc>
          <w:tcPr>
            <w:tcW w:w="63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Actuarial (gain) loss</w:t>
            </w:r>
          </w:p>
        </w:tc>
        <w:tc>
          <w:tcPr>
            <w:tcW w:w="120" w:type="dxa"/>
            <w:vAlign w:val="bottom"/>
          </w:tcPr>
          <w:p>
            <w:pPr>
              <w:spacing w:after="0"/>
              <w:rPr>
                <w:sz w:val="18"/>
                <w:szCs w:val="18"/>
                <w:color w:val="auto"/>
              </w:rPr>
            </w:pPr>
          </w:p>
        </w:tc>
        <w:tc>
          <w:tcPr>
            <w:tcW w:w="380" w:type="dxa"/>
            <w:vAlign w:val="bottom"/>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b w:val="1"/>
                <w:bCs w:val="1"/>
                <w:color w:val="auto"/>
              </w:rPr>
              <w:t>(2.0 )</w:t>
            </w:r>
          </w:p>
        </w:tc>
        <w:tc>
          <w:tcPr>
            <w:tcW w:w="48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color w:val="auto"/>
              </w:rPr>
              <w:t>(0.6 )</w:t>
            </w:r>
          </w:p>
        </w:tc>
        <w:tc>
          <w:tcPr>
            <w:tcW w:w="48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0.5</w:t>
            </w:r>
          </w:p>
        </w:tc>
      </w:tr>
      <w:tr>
        <w:trPr>
          <w:trHeight w:val="28"/>
        </w:trPr>
        <w:tc>
          <w:tcPr>
            <w:tcW w:w="6340" w:type="dxa"/>
            <w:vAlign w:val="bottom"/>
            <w:tcBorders>
              <w:right w:val="single" w:sz="8" w:color="007CBA"/>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634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Amortzaton of:</w:t>
            </w:r>
          </w:p>
        </w:tc>
        <w:tc>
          <w:tcPr>
            <w:tcW w:w="120" w:type="dxa"/>
            <w:vAlign w:val="bottom"/>
            <w:tcBorders>
              <w:bottom w:val="single" w:sz="8" w:color="E5F1F8"/>
            </w:tcBorders>
            <w:shd w:val="clear" w:color="auto" w:fill="E5F1F8"/>
          </w:tcPr>
          <w:p>
            <w:pPr>
              <w:spacing w:after="0"/>
              <w:rPr>
                <w:sz w:val="19"/>
                <w:szCs w:val="19"/>
                <w:color w:val="auto"/>
              </w:rPr>
            </w:pPr>
          </w:p>
        </w:tc>
        <w:tc>
          <w:tcPr>
            <w:tcW w:w="38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spacing w:after="0"/>
              <w:rPr>
                <w:sz w:val="19"/>
                <w:szCs w:val="19"/>
                <w:color w:val="auto"/>
              </w:rPr>
            </w:pPr>
          </w:p>
        </w:tc>
        <w:tc>
          <w:tcPr>
            <w:tcW w:w="48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right w:val="single" w:sz="8" w:color="007CBA"/>
            </w:tcBorders>
            <w:shd w:val="clear" w:color="auto" w:fill="E5F1F8"/>
          </w:tcPr>
          <w:p>
            <w:pPr>
              <w:spacing w:after="0"/>
              <w:rPr>
                <w:sz w:val="19"/>
                <w:szCs w:val="19"/>
                <w:color w:val="auto"/>
              </w:rPr>
            </w:pPr>
          </w:p>
        </w:tc>
        <w:tc>
          <w:tcPr>
            <w:tcW w:w="48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tcBorders>
            <w:shd w:val="clear" w:color="auto" w:fill="E5F1F8"/>
          </w:tcPr>
          <w:p>
            <w:pPr>
              <w:spacing w:after="0"/>
              <w:rPr>
                <w:sz w:val="19"/>
                <w:szCs w:val="19"/>
                <w:color w:val="auto"/>
              </w:rPr>
            </w:pPr>
          </w:p>
        </w:tc>
      </w:tr>
      <w:tr>
        <w:trPr>
          <w:trHeight w:val="243"/>
        </w:trPr>
        <w:tc>
          <w:tcPr>
            <w:tcW w:w="6340" w:type="dxa"/>
            <w:vAlign w:val="bottom"/>
            <w:tcBorders>
              <w:right w:val="single" w:sz="8" w:color="007CBA"/>
            </w:tcBorders>
          </w:tcPr>
          <w:p>
            <w:pPr>
              <w:ind w:left="300"/>
              <w:spacing w:after="0" w:line="215" w:lineRule="exact"/>
              <w:rPr>
                <w:sz w:val="20"/>
                <w:szCs w:val="20"/>
                <w:color w:val="auto"/>
              </w:rPr>
            </w:pPr>
            <w:r>
              <w:rPr>
                <w:rFonts w:ascii="Calibri" w:cs="Calibri" w:eastAsia="Calibri" w:hAnsi="Calibri"/>
                <w:sz w:val="18"/>
                <w:szCs w:val="18"/>
                <w:color w:val="auto"/>
              </w:rPr>
              <w:t>Prior service credit</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0.9</w:t>
            </w:r>
          </w:p>
        </w:tc>
        <w:tc>
          <w:tcPr>
            <w:tcW w:w="480" w:type="dxa"/>
            <w:vAlign w:val="bottom"/>
          </w:tcPr>
          <w:p>
            <w:pPr>
              <w:spacing w:after="0"/>
              <w:rPr>
                <w:sz w:val="21"/>
                <w:szCs w:val="21"/>
                <w:color w:val="auto"/>
              </w:rPr>
            </w:pPr>
          </w:p>
        </w:tc>
        <w:tc>
          <w:tcPr>
            <w:tcW w:w="11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0.8</w:t>
            </w:r>
          </w:p>
        </w:tc>
        <w:tc>
          <w:tcPr>
            <w:tcW w:w="480" w:type="dxa"/>
            <w:vAlign w:val="bottom"/>
          </w:tcPr>
          <w:p>
            <w:pPr>
              <w:spacing w:after="0"/>
              <w:rPr>
                <w:sz w:val="21"/>
                <w:szCs w:val="21"/>
                <w:color w:val="auto"/>
              </w:rPr>
            </w:pP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0.8</w:t>
            </w:r>
          </w:p>
        </w:tc>
      </w:tr>
      <w:tr>
        <w:trPr>
          <w:trHeight w:val="248"/>
        </w:trPr>
        <w:tc>
          <w:tcPr>
            <w:tcW w:w="6340" w:type="dxa"/>
            <w:vAlign w:val="bottom"/>
            <w:tcBorders>
              <w:bottom w:val="single" w:sz="8" w:color="E5F1F8"/>
              <w:right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Actuarial gain</w:t>
            </w:r>
          </w:p>
        </w:tc>
        <w:tc>
          <w:tcPr>
            <w:tcW w:w="120" w:type="dxa"/>
            <w:vAlign w:val="bottom"/>
            <w:tcBorders>
              <w:bottom w:val="single" w:sz="8" w:color="E5F1F8"/>
            </w:tcBorders>
            <w:shd w:val="clear" w:color="auto" w:fill="E5F1F8"/>
          </w:tcPr>
          <w:p>
            <w:pPr>
              <w:spacing w:after="0"/>
              <w:rPr>
                <w:sz w:val="21"/>
                <w:szCs w:val="21"/>
                <w:color w:val="auto"/>
              </w:rPr>
            </w:pPr>
          </w:p>
        </w:tc>
        <w:tc>
          <w:tcPr>
            <w:tcW w:w="38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0.2</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0.1</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0.2</w:t>
            </w:r>
          </w:p>
        </w:tc>
      </w:tr>
      <w:tr>
        <w:trPr>
          <w:trHeight w:val="208"/>
        </w:trPr>
        <w:tc>
          <w:tcPr>
            <w:tcW w:w="634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(0.9 )</w:t>
            </w:r>
          </w:p>
        </w:tc>
        <w:tc>
          <w:tcPr>
            <w:tcW w:w="48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0.3</w:t>
            </w:r>
          </w:p>
        </w:tc>
        <w:tc>
          <w:tcPr>
            <w:tcW w:w="48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1.5</w:t>
            </w:r>
          </w:p>
        </w:tc>
      </w:tr>
      <w:tr>
        <w:trPr>
          <w:trHeight w:val="28"/>
        </w:trPr>
        <w:tc>
          <w:tcPr>
            <w:tcW w:w="6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3683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Calibri" w:cs="Calibri" w:eastAsia="Calibri" w:hAnsi="Calibri"/>
          <w:sz w:val="18"/>
          <w:szCs w:val="18"/>
          <w:color w:val="auto"/>
        </w:rPr>
        <w:t>Accumulated other comprehensive loss includes the following amounts that have not yet been recognized in net periodic beneft credit: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52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December 31</w:t>
            </w:r>
          </w:p>
        </w:tc>
        <w:tc>
          <w:tcPr>
            <w:tcW w:w="140" w:type="dxa"/>
            <w:vAlign w:val="bottom"/>
            <w:shd w:val="clear" w:color="auto" w:fill="007CBA"/>
          </w:tcPr>
          <w:p>
            <w:pPr>
              <w:spacing w:after="0"/>
              <w:rPr>
                <w:sz w:val="20"/>
                <w:szCs w:val="20"/>
                <w:color w:val="auto"/>
              </w:rPr>
            </w:pPr>
          </w:p>
        </w:tc>
        <w:tc>
          <w:tcPr>
            <w:tcW w:w="860" w:type="dxa"/>
            <w:vAlign w:val="bottom"/>
            <w:shd w:val="clear" w:color="auto" w:fill="007CBA"/>
          </w:tcPr>
          <w:p>
            <w:pPr>
              <w:spacing w:after="0"/>
              <w:rPr>
                <w:sz w:val="20"/>
                <w:szCs w:val="20"/>
                <w:color w:val="auto"/>
              </w:rPr>
            </w:pPr>
          </w:p>
        </w:tc>
        <w:tc>
          <w:tcPr>
            <w:tcW w:w="920" w:type="dxa"/>
            <w:vAlign w:val="bottom"/>
            <w:tcBorders>
              <w:right w:val="single" w:sz="8" w:color="007CBA"/>
            </w:tcBorders>
            <w:gridSpan w:val="2"/>
            <w:shd w:val="clear" w:color="auto" w:fill="007CBA"/>
          </w:tcPr>
          <w:p>
            <w:pPr>
              <w:jc w:val="right"/>
              <w:ind w:right="170"/>
              <w:spacing w:after="0"/>
              <w:rPr>
                <w:sz w:val="20"/>
                <w:szCs w:val="20"/>
                <w:color w:val="auto"/>
              </w:rPr>
            </w:pPr>
            <w:r>
              <w:rPr>
                <w:rFonts w:ascii="Calibri" w:cs="Calibri" w:eastAsia="Calibri" w:hAnsi="Calibri"/>
                <w:sz w:val="18"/>
                <w:szCs w:val="18"/>
                <w:b w:val="1"/>
                <w:bCs w:val="1"/>
                <w:color w:val="FFFFFF"/>
              </w:rPr>
              <w:t>2022</w:t>
            </w:r>
          </w:p>
        </w:tc>
        <w:tc>
          <w:tcPr>
            <w:tcW w:w="440" w:type="dxa"/>
            <w:vAlign w:val="bottom"/>
            <w:shd w:val="clear" w:color="auto" w:fill="007CBA"/>
          </w:tcPr>
          <w:p>
            <w:pPr>
              <w:spacing w:after="0"/>
              <w:rPr>
                <w:sz w:val="20"/>
                <w:szCs w:val="20"/>
                <w:color w:val="auto"/>
              </w:rPr>
            </w:pPr>
          </w:p>
        </w:tc>
        <w:tc>
          <w:tcPr>
            <w:tcW w:w="560" w:type="dxa"/>
            <w:vAlign w:val="bottom"/>
            <w:tcBorders>
              <w:right w:val="single" w:sz="8" w:color="007CBA"/>
            </w:tcBorders>
            <w:shd w:val="clear" w:color="auto" w:fill="007CBA"/>
          </w:tcPr>
          <w:p>
            <w:pPr>
              <w:spacing w:after="0"/>
              <w:rPr>
                <w:sz w:val="20"/>
                <w:szCs w:val="20"/>
                <w:color w:val="auto"/>
              </w:rPr>
            </w:pPr>
          </w:p>
        </w:tc>
        <w:tc>
          <w:tcPr>
            <w:tcW w:w="920" w:type="dxa"/>
            <w:vAlign w:val="bottom"/>
            <w:tcBorders>
              <w:right w:val="single" w:sz="8" w:color="007CBA"/>
            </w:tcBorders>
            <w:shd w:val="clear" w:color="auto" w:fill="007CBA"/>
          </w:tcPr>
          <w:p>
            <w:pPr>
              <w:spacing w:after="0"/>
              <w:rPr>
                <w:sz w:val="20"/>
                <w:szCs w:val="20"/>
                <w:color w:val="auto"/>
              </w:rPr>
            </w:pPr>
          </w:p>
        </w:tc>
        <w:tc>
          <w:tcPr>
            <w:tcW w:w="40" w:type="dxa"/>
            <w:vAlign w:val="bottom"/>
            <w:shd w:val="clear" w:color="auto" w:fill="007CBA"/>
          </w:tcPr>
          <w:p>
            <w:pPr>
              <w:spacing w:after="0"/>
              <w:rPr>
                <w:sz w:val="20"/>
                <w:szCs w:val="20"/>
                <w:color w:val="auto"/>
              </w:rPr>
            </w:pPr>
          </w:p>
        </w:tc>
        <w:tc>
          <w:tcPr>
            <w:tcW w:w="720" w:type="dxa"/>
            <w:vAlign w:val="bottom"/>
            <w:gridSpan w:val="2"/>
            <w:shd w:val="clear" w:color="auto" w:fill="007CBA"/>
          </w:tcPr>
          <w:p>
            <w:pPr>
              <w:jc w:val="right"/>
              <w:spacing w:after="0"/>
              <w:rPr>
                <w:sz w:val="20"/>
                <w:szCs w:val="20"/>
                <w:color w:val="auto"/>
              </w:rPr>
            </w:pPr>
            <w:r>
              <w:rPr>
                <w:rFonts w:ascii="Calibri" w:cs="Calibri" w:eastAsia="Calibri" w:hAnsi="Calibri"/>
                <w:sz w:val="18"/>
                <w:szCs w:val="18"/>
                <w:color w:val="FFFFFF"/>
              </w:rPr>
              <w:t>2021</w:t>
            </w:r>
          </w:p>
        </w:tc>
        <w:tc>
          <w:tcPr>
            <w:tcW w:w="1120" w:type="dxa"/>
            <w:vAlign w:val="bottom"/>
            <w:shd w:val="clear" w:color="auto" w:fill="007CBA"/>
          </w:tcPr>
          <w:p>
            <w:pPr>
              <w:spacing w:after="0"/>
              <w:rPr>
                <w:sz w:val="20"/>
                <w:szCs w:val="20"/>
                <w:color w:val="auto"/>
              </w:rPr>
            </w:pPr>
          </w:p>
        </w:tc>
      </w:tr>
      <w:tr>
        <w:trPr>
          <w:trHeight w:val="245"/>
        </w:trPr>
        <w:tc>
          <w:tcPr>
            <w:tcW w:w="5520" w:type="dxa"/>
            <w:vAlign w:val="bottom"/>
            <w:tcBorders>
              <w:bottom w:val="single" w:sz="8" w:color="007CBA"/>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color w:val="FFFFFF"/>
              </w:rPr>
              <w:t>(in millions)</w:t>
            </w:r>
          </w:p>
        </w:tc>
        <w:tc>
          <w:tcPr>
            <w:tcW w:w="140" w:type="dxa"/>
            <w:vAlign w:val="bottom"/>
            <w:tcBorders>
              <w:bottom w:val="single" w:sz="8" w:color="007CBA"/>
            </w:tcBorders>
            <w:shd w:val="clear" w:color="auto" w:fill="007CBA"/>
          </w:tcPr>
          <w:p>
            <w:pPr>
              <w:spacing w:after="0"/>
              <w:rPr>
                <w:sz w:val="21"/>
                <w:szCs w:val="21"/>
                <w:color w:val="auto"/>
              </w:rPr>
            </w:pPr>
          </w:p>
        </w:tc>
        <w:tc>
          <w:tcPr>
            <w:tcW w:w="860" w:type="dxa"/>
            <w:vAlign w:val="bottom"/>
            <w:tcBorders>
              <w:bottom w:val="single" w:sz="8" w:color="007CBA"/>
            </w:tcBorders>
            <w:shd w:val="clear" w:color="auto" w:fill="007CBA"/>
          </w:tcPr>
          <w:p>
            <w:pPr>
              <w:jc w:val="right"/>
              <w:spacing w:after="0"/>
              <w:rPr>
                <w:sz w:val="20"/>
                <w:szCs w:val="20"/>
                <w:color w:val="auto"/>
              </w:rPr>
            </w:pPr>
            <w:r>
              <w:rPr>
                <w:rFonts w:ascii="Calibri" w:cs="Calibri" w:eastAsia="Calibri" w:hAnsi="Calibri"/>
                <w:sz w:val="18"/>
                <w:szCs w:val="18"/>
                <w:b w:val="1"/>
                <w:bCs w:val="1"/>
                <w:color w:val="FFFFFF"/>
              </w:rPr>
              <w:t>Gross</w:t>
            </w:r>
          </w:p>
        </w:tc>
        <w:tc>
          <w:tcPr>
            <w:tcW w:w="460" w:type="dxa"/>
            <w:vAlign w:val="bottom"/>
            <w:tcBorders>
              <w:bottom w:val="single" w:sz="8" w:color="007CBA"/>
              <w:right w:val="single" w:sz="8" w:color="007CBA"/>
            </w:tcBorders>
            <w:shd w:val="clear" w:color="auto" w:fill="007CBA"/>
          </w:tcPr>
          <w:p>
            <w:pPr>
              <w:spacing w:after="0"/>
              <w:rPr>
                <w:sz w:val="21"/>
                <w:szCs w:val="21"/>
                <w:color w:val="auto"/>
              </w:rPr>
            </w:pPr>
          </w:p>
        </w:tc>
        <w:tc>
          <w:tcPr>
            <w:tcW w:w="1460" w:type="dxa"/>
            <w:vAlign w:val="bottom"/>
            <w:tcBorders>
              <w:bottom w:val="single" w:sz="8" w:color="007CBA"/>
              <w:right w:val="single" w:sz="8" w:color="007CBA"/>
            </w:tcBorders>
            <w:gridSpan w:val="3"/>
            <w:shd w:val="clear" w:color="auto" w:fill="007CBA"/>
          </w:tcPr>
          <w:p>
            <w:pPr>
              <w:jc w:val="center"/>
              <w:spacing w:after="0"/>
              <w:rPr>
                <w:sz w:val="20"/>
                <w:szCs w:val="20"/>
                <w:color w:val="auto"/>
              </w:rPr>
            </w:pPr>
            <w:r>
              <w:rPr>
                <w:rFonts w:ascii="Calibri" w:cs="Calibri" w:eastAsia="Calibri" w:hAnsi="Calibri"/>
                <w:sz w:val="18"/>
                <w:szCs w:val="18"/>
                <w:b w:val="1"/>
                <w:bCs w:val="1"/>
                <w:color w:val="FFFFFF"/>
                <w:w w:val="97"/>
              </w:rPr>
              <w:t>Net of tax</w:t>
            </w:r>
          </w:p>
        </w:tc>
        <w:tc>
          <w:tcPr>
            <w:tcW w:w="960" w:type="dxa"/>
            <w:vAlign w:val="bottom"/>
            <w:tcBorders>
              <w:bottom w:val="single" w:sz="8" w:color="007CBA"/>
            </w:tcBorders>
            <w:gridSpan w:val="2"/>
            <w:shd w:val="clear" w:color="auto" w:fill="007CBA"/>
          </w:tcPr>
          <w:p>
            <w:pPr>
              <w:ind w:left="520"/>
              <w:spacing w:after="0"/>
              <w:rPr>
                <w:sz w:val="20"/>
                <w:szCs w:val="20"/>
                <w:color w:val="auto"/>
              </w:rPr>
            </w:pPr>
            <w:r>
              <w:rPr>
                <w:rFonts w:ascii="Calibri" w:cs="Calibri" w:eastAsia="Calibri" w:hAnsi="Calibri"/>
                <w:sz w:val="18"/>
                <w:szCs w:val="18"/>
                <w:b w:val="1"/>
                <w:bCs w:val="1"/>
                <w:color w:val="FFFFFF"/>
              </w:rPr>
              <w:t>Gross</w:t>
            </w:r>
          </w:p>
        </w:tc>
        <w:tc>
          <w:tcPr>
            <w:tcW w:w="440" w:type="dxa"/>
            <w:vAlign w:val="bottom"/>
            <w:tcBorders>
              <w:bottom w:val="single" w:sz="8" w:color="007CBA"/>
              <w:right w:val="single" w:sz="8" w:color="007CBA"/>
            </w:tcBorders>
            <w:shd w:val="clear" w:color="auto" w:fill="007CBA"/>
          </w:tcPr>
          <w:p>
            <w:pPr>
              <w:spacing w:after="0"/>
              <w:rPr>
                <w:sz w:val="21"/>
                <w:szCs w:val="21"/>
                <w:color w:val="auto"/>
              </w:rPr>
            </w:pPr>
          </w:p>
        </w:tc>
        <w:tc>
          <w:tcPr>
            <w:tcW w:w="280" w:type="dxa"/>
            <w:vAlign w:val="bottom"/>
            <w:tcBorders>
              <w:bottom w:val="single" w:sz="8" w:color="007CBA"/>
            </w:tcBorders>
            <w:shd w:val="clear" w:color="auto" w:fill="007CBA"/>
          </w:tcPr>
          <w:p>
            <w:pPr>
              <w:spacing w:after="0"/>
              <w:rPr>
                <w:sz w:val="21"/>
                <w:szCs w:val="21"/>
                <w:color w:val="auto"/>
              </w:rPr>
            </w:pPr>
          </w:p>
        </w:tc>
        <w:tc>
          <w:tcPr>
            <w:tcW w:w="1120" w:type="dxa"/>
            <w:vAlign w:val="bottom"/>
            <w:tcBorders>
              <w:bottom w:val="single" w:sz="8" w:color="007CBA"/>
            </w:tcBorders>
            <w:shd w:val="clear" w:color="auto" w:fill="007CBA"/>
          </w:tcPr>
          <w:p>
            <w:pPr>
              <w:jc w:val="right"/>
              <w:ind w:right="230"/>
              <w:spacing w:after="0"/>
              <w:rPr>
                <w:sz w:val="20"/>
                <w:szCs w:val="20"/>
                <w:color w:val="auto"/>
              </w:rPr>
            </w:pPr>
            <w:r>
              <w:rPr>
                <w:rFonts w:ascii="Calibri" w:cs="Calibri" w:eastAsia="Calibri" w:hAnsi="Calibri"/>
                <w:sz w:val="18"/>
                <w:szCs w:val="18"/>
                <w:b w:val="1"/>
                <w:bCs w:val="1"/>
                <w:color w:val="FFFFFF"/>
              </w:rPr>
              <w:t>Net of tax</w:t>
            </w:r>
          </w:p>
        </w:tc>
      </w:tr>
      <w:tr>
        <w:trPr>
          <w:trHeight w:val="243"/>
        </w:trPr>
        <w:tc>
          <w:tcPr>
            <w:tcW w:w="552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Prior service credit</w:t>
            </w:r>
          </w:p>
        </w:tc>
        <w:tc>
          <w:tcPr>
            <w:tcW w:w="140" w:type="dxa"/>
            <w:vAlign w:val="bottom"/>
          </w:tcPr>
          <w:p>
            <w:pPr>
              <w:spacing w:after="0"/>
              <w:rPr>
                <w:sz w:val="21"/>
                <w:szCs w:val="21"/>
                <w:color w:val="auto"/>
              </w:rPr>
            </w:pPr>
          </w:p>
        </w:tc>
        <w:tc>
          <w:tcPr>
            <w:tcW w:w="860" w:type="dxa"/>
            <w:vAlign w:val="bottom"/>
          </w:tcPr>
          <w:p>
            <w:pPr>
              <w:jc w:val="right"/>
              <w:ind w:right="650"/>
              <w:spacing w:after="0" w:line="215" w:lineRule="exact"/>
              <w:rPr>
                <w:sz w:val="20"/>
                <w:szCs w:val="20"/>
                <w:color w:val="auto"/>
              </w:rPr>
            </w:pPr>
            <w:r>
              <w:rPr>
                <w:rFonts w:ascii="Calibri" w:cs="Calibri" w:eastAsia="Calibri" w:hAnsi="Calibri"/>
                <w:sz w:val="18"/>
                <w:szCs w:val="18"/>
                <w:b w:val="1"/>
                <w:bCs w:val="1"/>
                <w:color w:val="auto"/>
              </w:rPr>
              <w:t>$</w:t>
            </w:r>
          </w:p>
        </w:tc>
        <w:tc>
          <w:tcPr>
            <w:tcW w:w="46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b w:val="1"/>
                <w:bCs w:val="1"/>
                <w:color w:val="auto"/>
                <w:w w:val="98"/>
              </w:rPr>
              <w:t>(0.7 )</w:t>
            </w:r>
          </w:p>
        </w:tc>
        <w:tc>
          <w:tcPr>
            <w:tcW w:w="460" w:type="dxa"/>
            <w:vAlign w:val="bottom"/>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440" w:type="dxa"/>
            <w:vAlign w:val="bottom"/>
          </w:tcPr>
          <w:p>
            <w:pPr>
              <w:spacing w:after="0"/>
              <w:rPr>
                <w:sz w:val="21"/>
                <w:szCs w:val="21"/>
                <w:color w:val="auto"/>
              </w:rPr>
            </w:pPr>
          </w:p>
        </w:tc>
        <w:tc>
          <w:tcPr>
            <w:tcW w:w="56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b w:val="1"/>
                <w:bCs w:val="1"/>
                <w:color w:val="auto"/>
              </w:rPr>
              <w:t>(0.3 )</w:t>
            </w:r>
          </w:p>
        </w:tc>
        <w:tc>
          <w:tcPr>
            <w:tcW w:w="920" w:type="dxa"/>
            <w:vAlign w:val="bottom"/>
          </w:tcPr>
          <w:p>
            <w:pPr>
              <w:jc w:val="right"/>
              <w:ind w:right="590"/>
              <w:spacing w:after="0" w:line="215" w:lineRule="exact"/>
              <w:rPr>
                <w:sz w:val="20"/>
                <w:szCs w:val="20"/>
                <w:color w:val="auto"/>
              </w:rPr>
            </w:pPr>
            <w:r>
              <w:rPr>
                <w:rFonts w:ascii="Calibri" w:cs="Calibri" w:eastAsia="Calibri" w:hAnsi="Calibri"/>
                <w:sz w:val="18"/>
                <w:szCs w:val="18"/>
                <w:color w:val="auto"/>
              </w:rPr>
              <w:t>$</w:t>
            </w:r>
          </w:p>
        </w:tc>
        <w:tc>
          <w:tcPr>
            <w:tcW w:w="40" w:type="dxa"/>
            <w:vAlign w:val="bottom"/>
          </w:tcPr>
          <w:p>
            <w:pPr>
              <w:spacing w:after="0"/>
              <w:rPr>
                <w:sz w:val="21"/>
                <w:szCs w:val="21"/>
                <w:color w:val="auto"/>
              </w:rPr>
            </w:pPr>
          </w:p>
        </w:tc>
        <w:tc>
          <w:tcPr>
            <w:tcW w:w="440" w:type="dxa"/>
            <w:vAlign w:val="bottom"/>
            <w:tcBorders>
              <w:right w:val="single" w:sz="8" w:color="007CBA"/>
            </w:tcBorders>
          </w:tcPr>
          <w:p>
            <w:pPr>
              <w:jc w:val="center"/>
              <w:spacing w:after="0" w:line="215" w:lineRule="exact"/>
              <w:rPr>
                <w:sz w:val="20"/>
                <w:szCs w:val="20"/>
                <w:color w:val="auto"/>
              </w:rPr>
            </w:pPr>
            <w:r>
              <w:rPr>
                <w:rFonts w:ascii="Calibri" w:cs="Calibri" w:eastAsia="Calibri" w:hAnsi="Calibri"/>
                <w:sz w:val="18"/>
                <w:szCs w:val="18"/>
                <w:color w:val="auto"/>
                <w:w w:val="95"/>
              </w:rPr>
              <w:t>(1.5 )</w:t>
            </w:r>
          </w:p>
        </w:tc>
        <w:tc>
          <w:tcPr>
            <w:tcW w:w="2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(0.9 )</w:t>
            </w:r>
          </w:p>
        </w:tc>
      </w:tr>
      <w:tr>
        <w:trPr>
          <w:trHeight w:val="248"/>
        </w:trPr>
        <w:tc>
          <w:tcPr>
            <w:tcW w:w="552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Actuarial gain</w:t>
            </w:r>
          </w:p>
        </w:tc>
        <w:tc>
          <w:tcPr>
            <w:tcW w:w="140" w:type="dxa"/>
            <w:vAlign w:val="bottom"/>
            <w:tcBorders>
              <w:bottom w:val="single" w:sz="8" w:color="E5F1F8"/>
            </w:tcBorders>
            <w:shd w:val="clear" w:color="auto" w:fill="E5F1F8"/>
          </w:tcPr>
          <w:p>
            <w:pPr>
              <w:spacing w:after="0"/>
              <w:rPr>
                <w:sz w:val="21"/>
                <w:szCs w:val="21"/>
                <w:color w:val="auto"/>
              </w:rPr>
            </w:pPr>
          </w:p>
        </w:tc>
        <w:tc>
          <w:tcPr>
            <w:tcW w:w="860" w:type="dxa"/>
            <w:vAlign w:val="bottom"/>
            <w:tcBorders>
              <w:bottom w:val="single" w:sz="8" w:color="E5F1F8"/>
            </w:tcBorders>
            <w:shd w:val="clear" w:color="auto" w:fill="E5F1F8"/>
          </w:tcPr>
          <w:p>
            <w:pPr>
              <w:spacing w:after="0"/>
              <w:rPr>
                <w:sz w:val="21"/>
                <w:szCs w:val="21"/>
                <w:color w:val="auto"/>
              </w:rPr>
            </w:pPr>
          </w:p>
        </w:tc>
        <w:tc>
          <w:tcPr>
            <w:tcW w:w="46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w w:val="98"/>
              </w:rPr>
              <w:t>(4.1 )</w:t>
            </w:r>
          </w:p>
        </w:tc>
        <w:tc>
          <w:tcPr>
            <w:tcW w:w="460" w:type="dxa"/>
            <w:vAlign w:val="bottom"/>
            <w:tcBorders>
              <w:bottom w:val="single" w:sz="8" w:color="E5F1F8"/>
              <w:right w:val="single" w:sz="8" w:color="E5F1F8"/>
            </w:tcBorders>
            <w:shd w:val="clear" w:color="auto" w:fill="E5F1F8"/>
          </w:tcPr>
          <w:p>
            <w:pPr>
              <w:spacing w:after="0"/>
              <w:rPr>
                <w:sz w:val="21"/>
                <w:szCs w:val="21"/>
                <w:color w:val="auto"/>
              </w:rPr>
            </w:pPr>
          </w:p>
        </w:tc>
        <w:tc>
          <w:tcPr>
            <w:tcW w:w="440" w:type="dxa"/>
            <w:vAlign w:val="bottom"/>
            <w:tcBorders>
              <w:bottom w:val="single" w:sz="8" w:color="E5F1F8"/>
            </w:tcBorders>
            <w:shd w:val="clear" w:color="auto" w:fill="E5F1F8"/>
          </w:tcPr>
          <w:p>
            <w:pPr>
              <w:spacing w:after="0"/>
              <w:rPr>
                <w:sz w:val="21"/>
                <w:szCs w:val="21"/>
                <w:color w:val="auto"/>
              </w:rPr>
            </w:pPr>
          </w:p>
        </w:tc>
        <w:tc>
          <w:tcPr>
            <w:tcW w:w="56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(1.7 )</w:t>
            </w:r>
          </w:p>
        </w:tc>
        <w:tc>
          <w:tcPr>
            <w:tcW w:w="920" w:type="dxa"/>
            <w:vAlign w:val="bottom"/>
            <w:tcBorders>
              <w:bottom w:val="single" w:sz="8" w:color="E5F1F8"/>
              <w:right w:val="single" w:sz="8" w:color="E5F1F8"/>
            </w:tcBorders>
            <w:shd w:val="clear" w:color="auto" w:fill="E5F1F8"/>
          </w:tcPr>
          <w:p>
            <w:pPr>
              <w:spacing w:after="0"/>
              <w:rPr>
                <w:sz w:val="21"/>
                <w:szCs w:val="21"/>
                <w:color w:val="auto"/>
              </w:rPr>
            </w:pPr>
          </w:p>
        </w:tc>
        <w:tc>
          <w:tcPr>
            <w:tcW w:w="40" w:type="dxa"/>
            <w:vAlign w:val="bottom"/>
            <w:tcBorders>
              <w:bottom w:val="single" w:sz="8" w:color="E5F1F8"/>
            </w:tcBorders>
            <w:shd w:val="clear" w:color="auto" w:fill="E5F1F8"/>
          </w:tcPr>
          <w:p>
            <w:pPr>
              <w:spacing w:after="0"/>
              <w:rPr>
                <w:sz w:val="21"/>
                <w:szCs w:val="21"/>
                <w:color w:val="auto"/>
              </w:rPr>
            </w:pPr>
          </w:p>
        </w:tc>
        <w:tc>
          <w:tcPr>
            <w:tcW w:w="440" w:type="dxa"/>
            <w:vAlign w:val="bottom"/>
            <w:tcBorders>
              <w:bottom w:val="single" w:sz="8" w:color="E5F1F8"/>
              <w:right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5"/>
              </w:rPr>
              <w:t>(2.4 )</w:t>
            </w:r>
          </w:p>
        </w:tc>
        <w:tc>
          <w:tcPr>
            <w:tcW w:w="280" w:type="dxa"/>
            <w:vAlign w:val="bottom"/>
            <w:tcBorders>
              <w:bottom w:val="single" w:sz="8" w:color="E5F1F8"/>
            </w:tcBorders>
            <w:shd w:val="clear" w:color="auto" w:fill="E5F1F8"/>
          </w:tcPr>
          <w:p>
            <w:pPr>
              <w:spacing w:after="0"/>
              <w:rPr>
                <w:sz w:val="21"/>
                <w:szCs w:val="21"/>
                <w:color w:val="auto"/>
              </w:rPr>
            </w:pPr>
          </w:p>
        </w:tc>
        <w:tc>
          <w:tcPr>
            <w:tcW w:w="112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(1.4 )</w:t>
            </w:r>
          </w:p>
        </w:tc>
      </w:tr>
      <w:tr>
        <w:trPr>
          <w:trHeight w:val="208"/>
        </w:trPr>
        <w:tc>
          <w:tcPr>
            <w:tcW w:w="552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w:t>
            </w: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650"/>
              <w:spacing w:after="0" w:line="208" w:lineRule="exact"/>
              <w:rPr>
                <w:sz w:val="20"/>
                <w:szCs w:val="20"/>
                <w:color w:val="auto"/>
              </w:rPr>
            </w:pPr>
            <w:r>
              <w:rPr>
                <w:rFonts w:ascii="Calibri" w:cs="Calibri" w:eastAsia="Calibri" w:hAnsi="Calibri"/>
                <w:sz w:val="18"/>
                <w:szCs w:val="18"/>
                <w:b w:val="1"/>
                <w:bCs w:val="1"/>
                <w:color w:val="auto"/>
              </w:rPr>
              <w:t>$</w:t>
            </w:r>
          </w:p>
        </w:tc>
        <w:tc>
          <w:tcPr>
            <w:tcW w:w="4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w w:val="98"/>
              </w:rPr>
              <w:t>(4.8 )</w:t>
            </w:r>
          </w:p>
        </w:tc>
        <w:tc>
          <w:tcPr>
            <w:tcW w:w="46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b w:val="1"/>
                <w:bCs w:val="1"/>
                <w:color w:val="auto"/>
              </w:rPr>
              <w:t>$</w:t>
            </w:r>
          </w:p>
        </w:tc>
        <w:tc>
          <w:tcPr>
            <w:tcW w:w="4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(2.0 )</w:t>
            </w:r>
          </w:p>
        </w:tc>
        <w:tc>
          <w:tcPr>
            <w:tcW w:w="920" w:type="dxa"/>
            <w:vAlign w:val="bottom"/>
            <w:tcBorders>
              <w:top w:val="single" w:sz="8" w:color="auto"/>
            </w:tcBorders>
          </w:tcPr>
          <w:p>
            <w:pPr>
              <w:jc w:val="right"/>
              <w:ind w:right="590"/>
              <w:spacing w:after="0" w:line="208" w:lineRule="exact"/>
              <w:rPr>
                <w:sz w:val="20"/>
                <w:szCs w:val="20"/>
                <w:color w:val="auto"/>
              </w:rPr>
            </w:pPr>
            <w:r>
              <w:rPr>
                <w:rFonts w:ascii="Calibri" w:cs="Calibri" w:eastAsia="Calibri" w:hAnsi="Calibri"/>
                <w:sz w:val="18"/>
                <w:szCs w:val="18"/>
                <w:color w:val="auto"/>
              </w:rPr>
              <w:t>$</w:t>
            </w:r>
          </w:p>
        </w:tc>
        <w:tc>
          <w:tcPr>
            <w:tcW w:w="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center"/>
              <w:spacing w:after="0" w:line="208" w:lineRule="exact"/>
              <w:rPr>
                <w:sz w:val="20"/>
                <w:szCs w:val="20"/>
                <w:color w:val="auto"/>
              </w:rPr>
            </w:pPr>
            <w:r>
              <w:rPr>
                <w:rFonts w:ascii="Calibri" w:cs="Calibri" w:eastAsia="Calibri" w:hAnsi="Calibri"/>
                <w:sz w:val="18"/>
                <w:szCs w:val="18"/>
                <w:color w:val="auto"/>
                <w:w w:val="95"/>
              </w:rPr>
              <w:t>(3.9 )</w:t>
            </w:r>
          </w:p>
        </w:tc>
        <w:tc>
          <w:tcPr>
            <w:tcW w:w="2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w:t>
            </w:r>
          </w:p>
        </w:tc>
        <w:tc>
          <w:tcPr>
            <w:tcW w:w="11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(2.3 )</w:t>
            </w:r>
          </w:p>
        </w:tc>
      </w:tr>
      <w:tr>
        <w:trPr>
          <w:trHeight w:val="28"/>
        </w:trPr>
        <w:tc>
          <w:tcPr>
            <w:tcW w:w="56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66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62"/>
        </w:trPr>
        <w:tc>
          <w:tcPr>
            <w:tcW w:w="5660" w:type="dxa"/>
            <w:vAlign w:val="bottom"/>
            <w:gridSpan w:val="2"/>
          </w:tcPr>
          <w:p>
            <w:pPr>
              <w:spacing w:after="0"/>
              <w:rPr>
                <w:sz w:val="20"/>
                <w:szCs w:val="20"/>
                <w:color w:val="auto"/>
              </w:rPr>
            </w:pPr>
            <w:r>
              <w:rPr>
                <w:rFonts w:ascii="Calibri" w:cs="Calibri" w:eastAsia="Calibri" w:hAnsi="Calibri"/>
                <w:sz w:val="18"/>
                <w:szCs w:val="18"/>
                <w:color w:val="auto"/>
                <w:w w:val="99"/>
              </w:rPr>
              <w:t>The postretrement health care plans’ change in beneft obligaton is as follows:</w:t>
            </w: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31"/>
        </w:trPr>
        <w:tc>
          <w:tcPr>
            <w:tcW w:w="5660" w:type="dxa"/>
            <w:vAlign w:val="bottom"/>
            <w:gridSpan w:val="2"/>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215"/>
        </w:trPr>
        <w:tc>
          <w:tcPr>
            <w:tcW w:w="5660" w:type="dxa"/>
            <w:vAlign w:val="bottom"/>
            <w:gridSpan w:val="2"/>
            <w:shd w:val="clear" w:color="auto" w:fill="007CBA"/>
          </w:tcPr>
          <w:p>
            <w:pPr>
              <w:ind w:left="120"/>
              <w:spacing w:after="0" w:line="215" w:lineRule="exact"/>
              <w:rPr>
                <w:sz w:val="20"/>
                <w:szCs w:val="20"/>
                <w:color w:val="auto"/>
              </w:rPr>
            </w:pPr>
            <w:r>
              <w:rPr>
                <w:rFonts w:ascii="Calibri" w:cs="Calibri" w:eastAsia="Calibri" w:hAnsi="Calibri"/>
                <w:sz w:val="18"/>
                <w:szCs w:val="18"/>
                <w:i w:val="1"/>
                <w:iCs w:val="1"/>
                <w:color w:val="FFFFFF"/>
              </w:rPr>
              <w:t>years ended December 31</w:t>
            </w:r>
          </w:p>
        </w:tc>
        <w:tc>
          <w:tcPr>
            <w:tcW w:w="860" w:type="dxa"/>
            <w:vAlign w:val="bottom"/>
            <w:shd w:val="clear" w:color="auto" w:fill="007CBA"/>
          </w:tcPr>
          <w:p>
            <w:pPr>
              <w:spacing w:after="0"/>
              <w:rPr>
                <w:sz w:val="18"/>
                <w:szCs w:val="18"/>
                <w:color w:val="auto"/>
              </w:rPr>
            </w:pPr>
          </w:p>
        </w:tc>
        <w:tc>
          <w:tcPr>
            <w:tcW w:w="460" w:type="dxa"/>
            <w:vAlign w:val="bottom"/>
            <w:tcBorders>
              <w:right w:val="single" w:sz="8" w:color="007CBA"/>
            </w:tcBorders>
            <w:shd w:val="clear" w:color="auto" w:fill="007CBA"/>
          </w:tcPr>
          <w:p>
            <w:pPr>
              <w:spacing w:after="0"/>
              <w:rPr>
                <w:sz w:val="18"/>
                <w:szCs w:val="18"/>
                <w:color w:val="auto"/>
              </w:rPr>
            </w:pPr>
          </w:p>
        </w:tc>
        <w:tc>
          <w:tcPr>
            <w:tcW w:w="460" w:type="dxa"/>
            <w:vAlign w:val="bottom"/>
            <w:tcBorders>
              <w:right w:val="single" w:sz="8" w:color="007CBA"/>
            </w:tcBorders>
            <w:shd w:val="clear" w:color="auto" w:fill="007CBA"/>
          </w:tcPr>
          <w:p>
            <w:pPr>
              <w:spacing w:after="0"/>
              <w:rPr>
                <w:sz w:val="18"/>
                <w:szCs w:val="18"/>
                <w:color w:val="auto"/>
              </w:rPr>
            </w:pPr>
          </w:p>
        </w:tc>
        <w:tc>
          <w:tcPr>
            <w:tcW w:w="440" w:type="dxa"/>
            <w:vAlign w:val="bottom"/>
            <w:shd w:val="clear" w:color="auto" w:fill="007CBA"/>
          </w:tcPr>
          <w:p>
            <w:pPr>
              <w:spacing w:after="0"/>
              <w:rPr>
                <w:sz w:val="18"/>
                <w:szCs w:val="18"/>
                <w:color w:val="auto"/>
              </w:rPr>
            </w:pPr>
          </w:p>
        </w:tc>
        <w:tc>
          <w:tcPr>
            <w:tcW w:w="560" w:type="dxa"/>
            <w:vAlign w:val="bottom"/>
            <w:tcBorders>
              <w:right w:val="single" w:sz="8" w:color="007CBA"/>
            </w:tcBorders>
            <w:shd w:val="clear" w:color="auto" w:fill="007CBA"/>
          </w:tcPr>
          <w:p>
            <w:pPr>
              <w:spacing w:after="0"/>
              <w:rPr>
                <w:sz w:val="18"/>
                <w:szCs w:val="18"/>
                <w:color w:val="auto"/>
              </w:rPr>
            </w:pPr>
          </w:p>
        </w:tc>
        <w:tc>
          <w:tcPr>
            <w:tcW w:w="920" w:type="dxa"/>
            <w:vAlign w:val="bottom"/>
            <w:tcBorders>
              <w:right w:val="single" w:sz="8" w:color="007CBA"/>
            </w:tcBorders>
            <w:shd w:val="clear" w:color="auto" w:fill="007CBA"/>
          </w:tcPr>
          <w:p>
            <w:pPr>
              <w:spacing w:after="0"/>
              <w:rPr>
                <w:sz w:val="18"/>
                <w:szCs w:val="18"/>
                <w:color w:val="auto"/>
              </w:rPr>
            </w:pPr>
          </w:p>
        </w:tc>
        <w:tc>
          <w:tcPr>
            <w:tcW w:w="40" w:type="dxa"/>
            <w:vAlign w:val="bottom"/>
            <w:shd w:val="clear" w:color="auto" w:fill="007CBA"/>
          </w:tcPr>
          <w:p>
            <w:pPr>
              <w:spacing w:after="0"/>
              <w:rPr>
                <w:sz w:val="18"/>
                <w:szCs w:val="18"/>
                <w:color w:val="auto"/>
              </w:rPr>
            </w:pPr>
          </w:p>
        </w:tc>
        <w:tc>
          <w:tcPr>
            <w:tcW w:w="440" w:type="dxa"/>
            <w:vAlign w:val="bottom"/>
            <w:tcBorders>
              <w:right w:val="single" w:sz="8" w:color="007CBA"/>
            </w:tcBorders>
            <w:shd w:val="clear" w:color="auto" w:fill="007CBA"/>
          </w:tcPr>
          <w:p>
            <w:pPr>
              <w:spacing w:after="0"/>
              <w:rPr>
                <w:sz w:val="18"/>
                <w:szCs w:val="18"/>
                <w:color w:val="auto"/>
              </w:rPr>
            </w:pPr>
          </w:p>
        </w:tc>
        <w:tc>
          <w:tcPr>
            <w:tcW w:w="280" w:type="dxa"/>
            <w:vAlign w:val="bottom"/>
            <w:shd w:val="clear" w:color="auto" w:fill="007CBA"/>
          </w:tcPr>
          <w:p>
            <w:pPr>
              <w:spacing w:after="0"/>
              <w:rPr>
                <w:sz w:val="18"/>
                <w:szCs w:val="18"/>
                <w:color w:val="auto"/>
              </w:rPr>
            </w:pPr>
          </w:p>
        </w:tc>
        <w:tc>
          <w:tcPr>
            <w:tcW w:w="1120" w:type="dxa"/>
            <w:vAlign w:val="bottom"/>
            <w:shd w:val="clear" w:color="auto" w:fill="007CBA"/>
          </w:tcPr>
          <w:p>
            <w:pPr>
              <w:spacing w:after="0"/>
              <w:rPr>
                <w:sz w:val="18"/>
                <w:szCs w:val="18"/>
                <w:color w:val="auto"/>
              </w:rPr>
            </w:pPr>
          </w:p>
        </w:tc>
      </w:tr>
      <w:tr>
        <w:trPr>
          <w:trHeight w:val="251"/>
        </w:trPr>
        <w:tc>
          <w:tcPr>
            <w:tcW w:w="5660" w:type="dxa"/>
            <w:vAlign w:val="bottom"/>
            <w:tcBorders>
              <w:bottom w:val="single" w:sz="8" w:color="007CBA"/>
            </w:tcBorders>
            <w:gridSpan w:val="2"/>
            <w:shd w:val="clear" w:color="auto" w:fill="007CBA"/>
          </w:tcPr>
          <w:p>
            <w:pPr>
              <w:ind w:left="120"/>
              <w:spacing w:after="0"/>
              <w:rPr>
                <w:sz w:val="20"/>
                <w:szCs w:val="20"/>
                <w:color w:val="auto"/>
              </w:rPr>
            </w:pPr>
            <w:r>
              <w:rPr>
                <w:rFonts w:ascii="Calibri" w:cs="Calibri" w:eastAsia="Calibri" w:hAnsi="Calibri"/>
                <w:sz w:val="18"/>
                <w:szCs w:val="18"/>
                <w:color w:val="FFFFFF"/>
              </w:rPr>
              <w:t>(in millions)</w:t>
            </w:r>
          </w:p>
        </w:tc>
        <w:tc>
          <w:tcPr>
            <w:tcW w:w="860" w:type="dxa"/>
            <w:vAlign w:val="bottom"/>
            <w:tcBorders>
              <w:bottom w:val="single" w:sz="8" w:color="007CBA"/>
            </w:tcBorders>
            <w:shd w:val="clear" w:color="auto" w:fill="007CBA"/>
          </w:tcPr>
          <w:p>
            <w:pPr>
              <w:spacing w:after="0"/>
              <w:rPr>
                <w:sz w:val="21"/>
                <w:szCs w:val="21"/>
                <w:color w:val="auto"/>
              </w:rPr>
            </w:pPr>
          </w:p>
        </w:tc>
        <w:tc>
          <w:tcPr>
            <w:tcW w:w="460" w:type="dxa"/>
            <w:vAlign w:val="bottom"/>
            <w:tcBorders>
              <w:bottom w:val="single" w:sz="8" w:color="007CBA"/>
              <w:right w:val="single" w:sz="8" w:color="007CBA"/>
            </w:tcBorders>
            <w:shd w:val="clear" w:color="auto" w:fill="007CBA"/>
          </w:tcPr>
          <w:p>
            <w:pPr>
              <w:spacing w:after="0"/>
              <w:rPr>
                <w:sz w:val="21"/>
                <w:szCs w:val="21"/>
                <w:color w:val="auto"/>
              </w:rPr>
            </w:pPr>
          </w:p>
        </w:tc>
        <w:tc>
          <w:tcPr>
            <w:tcW w:w="460" w:type="dxa"/>
            <w:vAlign w:val="bottom"/>
            <w:tcBorders>
              <w:bottom w:val="single" w:sz="8" w:color="007CBA"/>
              <w:right w:val="single" w:sz="8" w:color="007CBA"/>
            </w:tcBorders>
            <w:shd w:val="clear" w:color="auto" w:fill="007CBA"/>
          </w:tcPr>
          <w:p>
            <w:pPr>
              <w:spacing w:after="0"/>
              <w:rPr>
                <w:sz w:val="21"/>
                <w:szCs w:val="21"/>
                <w:color w:val="auto"/>
              </w:rPr>
            </w:pPr>
          </w:p>
        </w:tc>
        <w:tc>
          <w:tcPr>
            <w:tcW w:w="440" w:type="dxa"/>
            <w:vAlign w:val="bottom"/>
            <w:tcBorders>
              <w:bottom w:val="single" w:sz="8" w:color="007CBA"/>
            </w:tcBorders>
            <w:shd w:val="clear" w:color="auto" w:fill="007CBA"/>
          </w:tcPr>
          <w:p>
            <w:pPr>
              <w:spacing w:after="0"/>
              <w:rPr>
                <w:sz w:val="21"/>
                <w:szCs w:val="21"/>
                <w:color w:val="auto"/>
              </w:rPr>
            </w:pPr>
          </w:p>
        </w:tc>
        <w:tc>
          <w:tcPr>
            <w:tcW w:w="1480" w:type="dxa"/>
            <w:vAlign w:val="bottom"/>
            <w:tcBorders>
              <w:bottom w:val="single" w:sz="8" w:color="007CBA"/>
              <w:right w:val="single" w:sz="8" w:color="007CBA"/>
            </w:tcBorders>
            <w:gridSpan w:val="2"/>
            <w:shd w:val="clear" w:color="auto" w:fill="007CBA"/>
          </w:tcPr>
          <w:p>
            <w:pPr>
              <w:jc w:val="right"/>
              <w:ind w:right="650"/>
              <w:spacing w:after="0"/>
              <w:rPr>
                <w:sz w:val="20"/>
                <w:szCs w:val="20"/>
                <w:color w:val="auto"/>
              </w:rPr>
            </w:pPr>
            <w:r>
              <w:rPr>
                <w:rFonts w:ascii="Calibri" w:cs="Calibri" w:eastAsia="Calibri" w:hAnsi="Calibri"/>
                <w:sz w:val="18"/>
                <w:szCs w:val="18"/>
                <w:b w:val="1"/>
                <w:bCs w:val="1"/>
                <w:color w:val="FFFFFF"/>
              </w:rPr>
              <w:t>2022</w:t>
            </w:r>
          </w:p>
        </w:tc>
        <w:tc>
          <w:tcPr>
            <w:tcW w:w="40" w:type="dxa"/>
            <w:vAlign w:val="bottom"/>
            <w:tcBorders>
              <w:bottom w:val="single" w:sz="8" w:color="007CBA"/>
            </w:tcBorders>
            <w:shd w:val="clear" w:color="auto" w:fill="007CBA"/>
          </w:tcPr>
          <w:p>
            <w:pPr>
              <w:spacing w:after="0"/>
              <w:rPr>
                <w:sz w:val="21"/>
                <w:szCs w:val="21"/>
                <w:color w:val="auto"/>
              </w:rPr>
            </w:pPr>
          </w:p>
        </w:tc>
        <w:tc>
          <w:tcPr>
            <w:tcW w:w="440" w:type="dxa"/>
            <w:vAlign w:val="bottom"/>
            <w:tcBorders>
              <w:bottom w:val="single" w:sz="8" w:color="007CBA"/>
              <w:right w:val="single" w:sz="8" w:color="007CBA"/>
            </w:tcBorders>
            <w:shd w:val="clear" w:color="auto" w:fill="007CBA"/>
          </w:tcPr>
          <w:p>
            <w:pPr>
              <w:spacing w:after="0"/>
              <w:rPr>
                <w:sz w:val="21"/>
                <w:szCs w:val="21"/>
                <w:color w:val="auto"/>
              </w:rPr>
            </w:pPr>
          </w:p>
        </w:tc>
        <w:tc>
          <w:tcPr>
            <w:tcW w:w="280" w:type="dxa"/>
            <w:vAlign w:val="bottom"/>
            <w:tcBorders>
              <w:bottom w:val="single" w:sz="8" w:color="007CBA"/>
            </w:tcBorders>
            <w:shd w:val="clear" w:color="auto" w:fill="007CBA"/>
          </w:tcPr>
          <w:p>
            <w:pPr>
              <w:spacing w:after="0"/>
              <w:rPr>
                <w:sz w:val="21"/>
                <w:szCs w:val="21"/>
                <w:color w:val="auto"/>
              </w:rPr>
            </w:pPr>
          </w:p>
        </w:tc>
        <w:tc>
          <w:tcPr>
            <w:tcW w:w="1120" w:type="dxa"/>
            <w:vAlign w:val="bottom"/>
            <w:tcBorders>
              <w:bottom w:val="single" w:sz="8" w:color="007CBA"/>
            </w:tcBorders>
            <w:shd w:val="clear" w:color="auto" w:fill="007CBA"/>
          </w:tcPr>
          <w:p>
            <w:pPr>
              <w:jc w:val="right"/>
              <w:ind w:right="630"/>
              <w:spacing w:after="0"/>
              <w:rPr>
                <w:sz w:val="20"/>
                <w:szCs w:val="20"/>
                <w:color w:val="auto"/>
              </w:rPr>
            </w:pPr>
            <w:r>
              <w:rPr>
                <w:rFonts w:ascii="Calibri" w:cs="Calibri" w:eastAsia="Calibri" w:hAnsi="Calibri"/>
                <w:sz w:val="18"/>
                <w:szCs w:val="18"/>
                <w:color w:val="FFFFFF"/>
              </w:rPr>
              <w:t>2021</w:t>
            </w:r>
          </w:p>
        </w:tc>
      </w:tr>
      <w:tr>
        <w:trPr>
          <w:trHeight w:val="223"/>
        </w:trPr>
        <w:tc>
          <w:tcPr>
            <w:tcW w:w="5660" w:type="dxa"/>
            <w:vAlign w:val="bottom"/>
            <w:tcBorders>
              <w:bottom w:val="single" w:sz="8" w:color="E5F1F8"/>
            </w:tcBorders>
            <w:gridSpan w:val="2"/>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Net beneft obligaton at beginning of year</w:t>
            </w:r>
          </w:p>
        </w:tc>
        <w:tc>
          <w:tcPr>
            <w:tcW w:w="860" w:type="dxa"/>
            <w:vAlign w:val="bottom"/>
            <w:tcBorders>
              <w:bottom w:val="single" w:sz="8" w:color="E5F1F8"/>
            </w:tcBorders>
            <w:shd w:val="clear" w:color="auto" w:fill="E5F1F8"/>
          </w:tcPr>
          <w:p>
            <w:pPr>
              <w:spacing w:after="0"/>
              <w:rPr>
                <w:sz w:val="19"/>
                <w:szCs w:val="19"/>
                <w:color w:val="auto"/>
              </w:rPr>
            </w:pPr>
          </w:p>
        </w:tc>
        <w:tc>
          <w:tcPr>
            <w:tcW w:w="460" w:type="dxa"/>
            <w:vAlign w:val="bottom"/>
            <w:tcBorders>
              <w:bottom w:val="single" w:sz="8" w:color="E5F1F8"/>
              <w:right w:val="single" w:sz="8" w:color="E5F1F8"/>
            </w:tcBorders>
            <w:shd w:val="clear" w:color="auto" w:fill="E5F1F8"/>
          </w:tcPr>
          <w:p>
            <w:pPr>
              <w:spacing w:after="0"/>
              <w:rPr>
                <w:sz w:val="19"/>
                <w:szCs w:val="19"/>
                <w:color w:val="auto"/>
              </w:rPr>
            </w:pPr>
          </w:p>
        </w:tc>
        <w:tc>
          <w:tcPr>
            <w:tcW w:w="460" w:type="dxa"/>
            <w:vAlign w:val="bottom"/>
            <w:tcBorders>
              <w:bottom w:val="single" w:sz="8" w:color="E5F1F8"/>
              <w:right w:val="single" w:sz="8" w:color="007CBA"/>
            </w:tcBorders>
            <w:shd w:val="clear" w:color="auto" w:fill="E5F1F8"/>
          </w:tcPr>
          <w:p>
            <w:pPr>
              <w:spacing w:after="0"/>
              <w:rPr>
                <w:sz w:val="19"/>
                <w:szCs w:val="19"/>
                <w:color w:val="auto"/>
              </w:rPr>
            </w:pPr>
          </w:p>
        </w:tc>
        <w:tc>
          <w:tcPr>
            <w:tcW w:w="440" w:type="dxa"/>
            <w:vAlign w:val="bottom"/>
            <w:tcBorders>
              <w:bottom w:val="single" w:sz="8" w:color="E5F1F8"/>
            </w:tcBorders>
            <w:shd w:val="clear" w:color="auto" w:fill="E5F1F8"/>
          </w:tcPr>
          <w:p>
            <w:pPr>
              <w:jc w:val="center"/>
              <w:ind w:left="10"/>
              <w:spacing w:after="0" w:line="215" w:lineRule="exact"/>
              <w:rPr>
                <w:sz w:val="20"/>
                <w:szCs w:val="20"/>
                <w:color w:val="auto"/>
              </w:rPr>
            </w:pPr>
            <w:r>
              <w:rPr>
                <w:rFonts w:ascii="Calibri" w:cs="Calibri" w:eastAsia="Calibri" w:hAnsi="Calibri"/>
                <w:sz w:val="18"/>
                <w:szCs w:val="18"/>
                <w:b w:val="1"/>
                <w:bCs w:val="1"/>
                <w:color w:val="auto"/>
              </w:rPr>
              <w:t>$</w:t>
            </w:r>
          </w:p>
        </w:tc>
        <w:tc>
          <w:tcPr>
            <w:tcW w:w="560" w:type="dxa"/>
            <w:vAlign w:val="bottom"/>
            <w:tcBorders>
              <w:bottom w:val="single" w:sz="8" w:color="E5F1F8"/>
              <w:right w:val="single" w:sz="8" w:color="E5F1F8"/>
            </w:tcBorders>
            <w:shd w:val="clear" w:color="auto" w:fill="E5F1F8"/>
          </w:tcPr>
          <w:p>
            <w:pPr>
              <w:spacing w:after="0"/>
              <w:rPr>
                <w:sz w:val="19"/>
                <w:szCs w:val="19"/>
                <w:color w:val="auto"/>
              </w:rPr>
            </w:pPr>
          </w:p>
        </w:tc>
        <w:tc>
          <w:tcPr>
            <w:tcW w:w="92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11.4</w:t>
            </w:r>
          </w:p>
        </w:tc>
        <w:tc>
          <w:tcPr>
            <w:tcW w:w="40" w:type="dxa"/>
            <w:vAlign w:val="bottom"/>
            <w:tcBorders>
              <w:bottom w:val="single" w:sz="8" w:color="E5F1F8"/>
            </w:tcBorders>
            <w:shd w:val="clear" w:color="auto" w:fill="E5F1F8"/>
          </w:tcPr>
          <w:p>
            <w:pPr>
              <w:spacing w:after="0"/>
              <w:rPr>
                <w:sz w:val="19"/>
                <w:szCs w:val="19"/>
                <w:color w:val="auto"/>
              </w:rPr>
            </w:pPr>
          </w:p>
        </w:tc>
        <w:tc>
          <w:tcPr>
            <w:tcW w:w="440" w:type="dxa"/>
            <w:vAlign w:val="bottom"/>
            <w:tcBorders>
              <w:bottom w:val="single" w:sz="8" w:color="E5F1F8"/>
              <w:right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w:t>
            </w:r>
          </w:p>
        </w:tc>
        <w:tc>
          <w:tcPr>
            <w:tcW w:w="280" w:type="dxa"/>
            <w:vAlign w:val="bottom"/>
            <w:tcBorders>
              <w:bottom w:val="single" w:sz="8" w:color="E5F1F8"/>
            </w:tcBorders>
            <w:shd w:val="clear" w:color="auto" w:fill="E5F1F8"/>
          </w:tcPr>
          <w:p>
            <w:pPr>
              <w:spacing w:after="0"/>
              <w:rPr>
                <w:sz w:val="19"/>
                <w:szCs w:val="19"/>
                <w:color w:val="auto"/>
              </w:rPr>
            </w:pPr>
          </w:p>
        </w:tc>
        <w:tc>
          <w:tcPr>
            <w:tcW w:w="11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12.6</w:t>
            </w:r>
          </w:p>
        </w:tc>
      </w:tr>
      <w:tr>
        <w:trPr>
          <w:trHeight w:val="215"/>
        </w:trPr>
        <w:tc>
          <w:tcPr>
            <w:tcW w:w="5660" w:type="dxa"/>
            <w:vAlign w:val="bottom"/>
            <w:gridSpan w:val="2"/>
          </w:tcPr>
          <w:p>
            <w:pPr>
              <w:ind w:left="120"/>
              <w:spacing w:after="0" w:line="215" w:lineRule="exact"/>
              <w:rPr>
                <w:sz w:val="20"/>
                <w:szCs w:val="20"/>
                <w:color w:val="auto"/>
              </w:rPr>
            </w:pPr>
            <w:r>
              <w:rPr>
                <w:rFonts w:ascii="Calibri" w:cs="Calibri" w:eastAsia="Calibri" w:hAnsi="Calibri"/>
                <w:sz w:val="18"/>
                <w:szCs w:val="18"/>
                <w:color w:val="auto"/>
              </w:rPr>
              <w:t>Interest cost</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Borders>
              <w:right w:val="single" w:sz="8" w:color="007CBA"/>
            </w:tcBorders>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0.4</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0.3</w:t>
            </w:r>
          </w:p>
        </w:tc>
      </w:tr>
      <w:tr>
        <w:trPr>
          <w:trHeight w:val="28"/>
        </w:trPr>
        <w:tc>
          <w:tcPr>
            <w:tcW w:w="566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Borders>
              <w:right w:val="single" w:sz="8" w:color="007CBA"/>
            </w:tcBorders>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Borders>
              <w:right w:val="single" w:sz="8" w:color="007CBA"/>
            </w:tcBorders>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5660" w:type="dxa"/>
            <w:vAlign w:val="bottom"/>
            <w:tcBorders>
              <w:bottom w:val="single" w:sz="8" w:color="E5F1F8"/>
            </w:tcBorders>
            <w:gridSpan w:val="2"/>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Partcipants’ contributons</w:t>
            </w:r>
          </w:p>
        </w:tc>
        <w:tc>
          <w:tcPr>
            <w:tcW w:w="860" w:type="dxa"/>
            <w:vAlign w:val="bottom"/>
            <w:tcBorders>
              <w:bottom w:val="single" w:sz="8" w:color="E5F1F8"/>
            </w:tcBorders>
            <w:shd w:val="clear" w:color="auto" w:fill="E5F1F8"/>
          </w:tcPr>
          <w:p>
            <w:pPr>
              <w:spacing w:after="0"/>
              <w:rPr>
                <w:sz w:val="19"/>
                <w:szCs w:val="19"/>
                <w:color w:val="auto"/>
              </w:rPr>
            </w:pPr>
          </w:p>
        </w:tc>
        <w:tc>
          <w:tcPr>
            <w:tcW w:w="460" w:type="dxa"/>
            <w:vAlign w:val="bottom"/>
            <w:tcBorders>
              <w:bottom w:val="single" w:sz="8" w:color="E5F1F8"/>
              <w:right w:val="single" w:sz="8" w:color="E5F1F8"/>
            </w:tcBorders>
            <w:shd w:val="clear" w:color="auto" w:fill="E5F1F8"/>
          </w:tcPr>
          <w:p>
            <w:pPr>
              <w:spacing w:after="0"/>
              <w:rPr>
                <w:sz w:val="19"/>
                <w:szCs w:val="19"/>
                <w:color w:val="auto"/>
              </w:rPr>
            </w:pPr>
          </w:p>
        </w:tc>
        <w:tc>
          <w:tcPr>
            <w:tcW w:w="460" w:type="dxa"/>
            <w:vAlign w:val="bottom"/>
            <w:tcBorders>
              <w:bottom w:val="single" w:sz="8" w:color="E5F1F8"/>
              <w:right w:val="single" w:sz="8" w:color="007CBA"/>
            </w:tcBorders>
            <w:shd w:val="clear" w:color="auto" w:fill="E5F1F8"/>
          </w:tcPr>
          <w:p>
            <w:pPr>
              <w:spacing w:after="0"/>
              <w:rPr>
                <w:sz w:val="19"/>
                <w:szCs w:val="19"/>
                <w:color w:val="auto"/>
              </w:rPr>
            </w:pPr>
          </w:p>
        </w:tc>
        <w:tc>
          <w:tcPr>
            <w:tcW w:w="440" w:type="dxa"/>
            <w:vAlign w:val="bottom"/>
            <w:tcBorders>
              <w:bottom w:val="single" w:sz="8" w:color="E5F1F8"/>
            </w:tcBorders>
            <w:shd w:val="clear" w:color="auto" w:fill="E5F1F8"/>
          </w:tcPr>
          <w:p>
            <w:pPr>
              <w:spacing w:after="0"/>
              <w:rPr>
                <w:sz w:val="19"/>
                <w:szCs w:val="19"/>
                <w:color w:val="auto"/>
              </w:rPr>
            </w:pPr>
          </w:p>
        </w:tc>
        <w:tc>
          <w:tcPr>
            <w:tcW w:w="560" w:type="dxa"/>
            <w:vAlign w:val="bottom"/>
            <w:tcBorders>
              <w:bottom w:val="single" w:sz="8" w:color="E5F1F8"/>
              <w:right w:val="single" w:sz="8" w:color="E5F1F8"/>
            </w:tcBorders>
            <w:shd w:val="clear" w:color="auto" w:fill="E5F1F8"/>
          </w:tcPr>
          <w:p>
            <w:pPr>
              <w:spacing w:after="0"/>
              <w:rPr>
                <w:sz w:val="19"/>
                <w:szCs w:val="19"/>
                <w:color w:val="auto"/>
              </w:rPr>
            </w:pPr>
          </w:p>
        </w:tc>
        <w:tc>
          <w:tcPr>
            <w:tcW w:w="92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0.6</w:t>
            </w:r>
          </w:p>
        </w:tc>
        <w:tc>
          <w:tcPr>
            <w:tcW w:w="40" w:type="dxa"/>
            <w:vAlign w:val="bottom"/>
            <w:tcBorders>
              <w:bottom w:val="single" w:sz="8" w:color="E5F1F8"/>
            </w:tcBorders>
            <w:shd w:val="clear" w:color="auto" w:fill="E5F1F8"/>
          </w:tcPr>
          <w:p>
            <w:pPr>
              <w:spacing w:after="0"/>
              <w:rPr>
                <w:sz w:val="19"/>
                <w:szCs w:val="19"/>
                <w:color w:val="auto"/>
              </w:rPr>
            </w:pPr>
          </w:p>
        </w:tc>
        <w:tc>
          <w:tcPr>
            <w:tcW w:w="440" w:type="dxa"/>
            <w:vAlign w:val="bottom"/>
            <w:tcBorders>
              <w:bottom w:val="single" w:sz="8" w:color="E5F1F8"/>
              <w:right w:val="single" w:sz="8" w:color="E5F1F8"/>
            </w:tcBorders>
            <w:shd w:val="clear" w:color="auto" w:fill="E5F1F8"/>
          </w:tcPr>
          <w:p>
            <w:pPr>
              <w:spacing w:after="0"/>
              <w:rPr>
                <w:sz w:val="19"/>
                <w:szCs w:val="19"/>
                <w:color w:val="auto"/>
              </w:rPr>
            </w:pPr>
          </w:p>
        </w:tc>
        <w:tc>
          <w:tcPr>
            <w:tcW w:w="280" w:type="dxa"/>
            <w:vAlign w:val="bottom"/>
            <w:tcBorders>
              <w:bottom w:val="single" w:sz="8" w:color="E5F1F8"/>
            </w:tcBorders>
            <w:shd w:val="clear" w:color="auto" w:fill="E5F1F8"/>
          </w:tcPr>
          <w:p>
            <w:pPr>
              <w:spacing w:after="0"/>
              <w:rPr>
                <w:sz w:val="19"/>
                <w:szCs w:val="19"/>
                <w:color w:val="auto"/>
              </w:rPr>
            </w:pPr>
          </w:p>
        </w:tc>
        <w:tc>
          <w:tcPr>
            <w:tcW w:w="11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0.6</w:t>
            </w:r>
          </w:p>
        </w:tc>
      </w:tr>
      <w:tr>
        <w:trPr>
          <w:trHeight w:val="243"/>
        </w:trPr>
        <w:tc>
          <w:tcPr>
            <w:tcW w:w="5660" w:type="dxa"/>
            <w:vAlign w:val="bottom"/>
            <w:gridSpan w:val="2"/>
          </w:tcPr>
          <w:p>
            <w:pPr>
              <w:ind w:left="120"/>
              <w:spacing w:after="0" w:line="215" w:lineRule="exact"/>
              <w:rPr>
                <w:sz w:val="20"/>
                <w:szCs w:val="20"/>
                <w:color w:val="auto"/>
              </w:rPr>
            </w:pPr>
            <w:r>
              <w:rPr>
                <w:rFonts w:ascii="Calibri" w:cs="Calibri" w:eastAsia="Calibri" w:hAnsi="Calibri"/>
                <w:sz w:val="18"/>
                <w:szCs w:val="18"/>
                <w:color w:val="auto"/>
              </w:rPr>
              <w:t>Actuarial gain</w:t>
            </w: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Borders>
              <w:right w:val="single" w:sz="8" w:color="007CBA"/>
            </w:tcBorders>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b w:val="1"/>
                <w:bCs w:val="1"/>
                <w:color w:val="auto"/>
              </w:rPr>
              <w:t>(1.9 )</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(0.6 )</w:t>
            </w:r>
          </w:p>
        </w:tc>
      </w:tr>
      <w:tr>
        <w:trPr>
          <w:trHeight w:val="248"/>
        </w:trPr>
        <w:tc>
          <w:tcPr>
            <w:tcW w:w="5660" w:type="dxa"/>
            <w:vAlign w:val="bottom"/>
            <w:tcBorders>
              <w:bottom w:val="single" w:sz="8" w:color="E5F1F8"/>
            </w:tcBorders>
            <w:gridSpan w:val="2"/>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Gross benefts paid</w:t>
            </w:r>
          </w:p>
        </w:tc>
        <w:tc>
          <w:tcPr>
            <w:tcW w:w="860" w:type="dxa"/>
            <w:vAlign w:val="bottom"/>
            <w:tcBorders>
              <w:bottom w:val="single" w:sz="8" w:color="E5F1F8"/>
            </w:tcBorders>
            <w:shd w:val="clear" w:color="auto" w:fill="E5F1F8"/>
          </w:tcPr>
          <w:p>
            <w:pPr>
              <w:spacing w:after="0"/>
              <w:rPr>
                <w:sz w:val="21"/>
                <w:szCs w:val="21"/>
                <w:color w:val="auto"/>
              </w:rPr>
            </w:pPr>
          </w:p>
        </w:tc>
        <w:tc>
          <w:tcPr>
            <w:tcW w:w="460" w:type="dxa"/>
            <w:vAlign w:val="bottom"/>
            <w:tcBorders>
              <w:bottom w:val="single" w:sz="8" w:color="E5F1F8"/>
              <w:right w:val="single" w:sz="8" w:color="E5F1F8"/>
            </w:tcBorders>
            <w:shd w:val="clear" w:color="auto" w:fill="E5F1F8"/>
          </w:tcPr>
          <w:p>
            <w:pPr>
              <w:spacing w:after="0"/>
              <w:rPr>
                <w:sz w:val="21"/>
                <w:szCs w:val="21"/>
                <w:color w:val="auto"/>
              </w:rPr>
            </w:pPr>
          </w:p>
        </w:tc>
        <w:tc>
          <w:tcPr>
            <w:tcW w:w="460" w:type="dxa"/>
            <w:vAlign w:val="bottom"/>
            <w:tcBorders>
              <w:bottom w:val="single" w:sz="8" w:color="E5F1F8"/>
              <w:right w:val="single" w:sz="8" w:color="E5F1F8"/>
            </w:tcBorders>
            <w:shd w:val="clear" w:color="auto" w:fill="E5F1F8"/>
          </w:tcPr>
          <w:p>
            <w:pPr>
              <w:spacing w:after="0"/>
              <w:rPr>
                <w:sz w:val="21"/>
                <w:szCs w:val="21"/>
                <w:color w:val="auto"/>
              </w:rPr>
            </w:pPr>
          </w:p>
        </w:tc>
        <w:tc>
          <w:tcPr>
            <w:tcW w:w="440" w:type="dxa"/>
            <w:vAlign w:val="bottom"/>
            <w:tcBorders>
              <w:bottom w:val="single" w:sz="8" w:color="E5F1F8"/>
            </w:tcBorders>
            <w:shd w:val="clear" w:color="auto" w:fill="E5F1F8"/>
          </w:tcPr>
          <w:p>
            <w:pPr>
              <w:spacing w:after="0"/>
              <w:rPr>
                <w:sz w:val="21"/>
                <w:szCs w:val="21"/>
                <w:color w:val="auto"/>
              </w:rPr>
            </w:pPr>
          </w:p>
        </w:tc>
        <w:tc>
          <w:tcPr>
            <w:tcW w:w="560" w:type="dxa"/>
            <w:vAlign w:val="bottom"/>
            <w:tcBorders>
              <w:bottom w:val="single" w:sz="8" w:color="E5F1F8"/>
              <w:right w:val="single" w:sz="8" w:color="E5F1F8"/>
            </w:tcBorders>
            <w:shd w:val="clear" w:color="auto" w:fill="E5F1F8"/>
          </w:tcPr>
          <w:p>
            <w:pPr>
              <w:spacing w:after="0"/>
              <w:rPr>
                <w:sz w:val="21"/>
                <w:szCs w:val="21"/>
                <w:color w:val="auto"/>
              </w:rPr>
            </w:pPr>
          </w:p>
        </w:tc>
        <w:tc>
          <w:tcPr>
            <w:tcW w:w="92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(1.6 )</w:t>
            </w:r>
          </w:p>
        </w:tc>
        <w:tc>
          <w:tcPr>
            <w:tcW w:w="40" w:type="dxa"/>
            <w:vAlign w:val="bottom"/>
            <w:tcBorders>
              <w:bottom w:val="single" w:sz="8" w:color="E5F1F8"/>
            </w:tcBorders>
            <w:shd w:val="clear" w:color="auto" w:fill="E5F1F8"/>
          </w:tcPr>
          <w:p>
            <w:pPr>
              <w:spacing w:after="0"/>
              <w:rPr>
                <w:sz w:val="21"/>
                <w:szCs w:val="21"/>
                <w:color w:val="auto"/>
              </w:rPr>
            </w:pPr>
          </w:p>
        </w:tc>
        <w:tc>
          <w:tcPr>
            <w:tcW w:w="440" w:type="dxa"/>
            <w:vAlign w:val="bottom"/>
            <w:tcBorders>
              <w:bottom w:val="single" w:sz="8" w:color="E5F1F8"/>
              <w:right w:val="single" w:sz="8" w:color="E5F1F8"/>
            </w:tcBorders>
            <w:shd w:val="clear" w:color="auto" w:fill="E5F1F8"/>
          </w:tcPr>
          <w:p>
            <w:pPr>
              <w:spacing w:after="0"/>
              <w:rPr>
                <w:sz w:val="21"/>
                <w:szCs w:val="21"/>
                <w:color w:val="auto"/>
              </w:rPr>
            </w:pPr>
          </w:p>
        </w:tc>
        <w:tc>
          <w:tcPr>
            <w:tcW w:w="280" w:type="dxa"/>
            <w:vAlign w:val="bottom"/>
            <w:tcBorders>
              <w:bottom w:val="single" w:sz="8" w:color="E5F1F8"/>
            </w:tcBorders>
            <w:shd w:val="clear" w:color="auto" w:fill="E5F1F8"/>
          </w:tcPr>
          <w:p>
            <w:pPr>
              <w:spacing w:after="0"/>
              <w:rPr>
                <w:sz w:val="21"/>
                <w:szCs w:val="21"/>
                <w:color w:val="auto"/>
              </w:rPr>
            </w:pPr>
          </w:p>
        </w:tc>
        <w:tc>
          <w:tcPr>
            <w:tcW w:w="112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(1.5 )</w:t>
            </w:r>
          </w:p>
        </w:tc>
      </w:tr>
      <w:tr>
        <w:trPr>
          <w:trHeight w:val="208"/>
        </w:trPr>
        <w:tc>
          <w:tcPr>
            <w:tcW w:w="5660" w:type="dxa"/>
            <w:vAlign w:val="bottom"/>
            <w:tcBorders>
              <w:top w:val="single" w:sz="8" w:color="auto"/>
            </w:tcBorders>
            <w:gridSpan w:val="2"/>
          </w:tcPr>
          <w:p>
            <w:pPr>
              <w:ind w:left="120"/>
              <w:spacing w:after="0" w:line="208" w:lineRule="exact"/>
              <w:rPr>
                <w:sz w:val="20"/>
                <w:szCs w:val="20"/>
                <w:color w:val="auto"/>
              </w:rPr>
            </w:pPr>
            <w:r>
              <w:rPr>
                <w:rFonts w:ascii="Calibri" w:cs="Calibri" w:eastAsia="Calibri" w:hAnsi="Calibri"/>
                <w:sz w:val="18"/>
                <w:szCs w:val="18"/>
                <w:color w:val="auto"/>
              </w:rPr>
              <w:t>Net beneft obligaton at end of year</w:t>
            </w:r>
          </w:p>
        </w:tc>
        <w:tc>
          <w:tcPr>
            <w:tcW w:w="8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center"/>
              <w:ind w:left="10"/>
              <w:spacing w:after="0" w:line="208" w:lineRule="exact"/>
              <w:rPr>
                <w:sz w:val="20"/>
                <w:szCs w:val="20"/>
                <w:color w:val="auto"/>
              </w:rPr>
            </w:pPr>
            <w:r>
              <w:rPr>
                <w:rFonts w:ascii="Calibri" w:cs="Calibri" w:eastAsia="Calibri" w:hAnsi="Calibri"/>
                <w:sz w:val="18"/>
                <w:szCs w:val="18"/>
                <w:b w:val="1"/>
                <w:bCs w:val="1"/>
                <w:color w:val="auto"/>
              </w:rPr>
              <w:t>$</w:t>
            </w:r>
          </w:p>
        </w:tc>
        <w:tc>
          <w:tcPr>
            <w:tcW w:w="5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8.9</w:t>
            </w:r>
          </w:p>
        </w:tc>
        <w:tc>
          <w:tcPr>
            <w:tcW w:w="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center"/>
              <w:spacing w:after="0" w:line="208" w:lineRule="exact"/>
              <w:rPr>
                <w:sz w:val="20"/>
                <w:szCs w:val="20"/>
                <w:color w:val="auto"/>
              </w:rPr>
            </w:pPr>
            <w:r>
              <w:rPr>
                <w:rFonts w:ascii="Calibri" w:cs="Calibri" w:eastAsia="Calibri" w:hAnsi="Calibri"/>
                <w:sz w:val="18"/>
                <w:szCs w:val="18"/>
                <w:color w:val="auto"/>
              </w:rPr>
              <w:t>$</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11.4</w:t>
            </w:r>
          </w:p>
        </w:tc>
      </w:tr>
      <w:tr>
        <w:trPr>
          <w:trHeight w:val="28"/>
        </w:trPr>
        <w:tc>
          <w:tcPr>
            <w:tcW w:w="5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-2253615</wp:posOffset>
            </wp:positionV>
            <wp:extent cx="353187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35318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-1949450</wp:posOffset>
            </wp:positionV>
            <wp:extent cx="7132320" cy="3683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7132320" cy="3683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3683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7132320" cy="36830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213995</wp:posOffset>
            </wp:positionV>
            <wp:extent cx="325755" cy="1968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1">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34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03" w:name="page104"/>
    <w:bookmarkEnd w:id="103"/>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postretrement health care plans’ change in plan assets, funded status and amounts recognized on the Company’s consolidated balance sheets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40" w:type="dxa"/>
            <w:vAlign w:val="bottom"/>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1600" w:type="dxa"/>
            <w:vAlign w:val="bottom"/>
            <w:tcBorders>
              <w:right w:val="single" w:sz="8" w:color="007CBA"/>
            </w:tcBorders>
            <w:shd w:val="clear" w:color="auto" w:fill="007CBA"/>
          </w:tcPr>
          <w:p>
            <w:pPr>
              <w:spacing w:after="0"/>
              <w:rPr>
                <w:sz w:val="20"/>
                <w:szCs w:val="20"/>
                <w:color w:val="auto"/>
              </w:rPr>
            </w:pPr>
          </w:p>
        </w:tc>
        <w:tc>
          <w:tcPr>
            <w:tcW w:w="680" w:type="dxa"/>
            <w:vAlign w:val="bottom"/>
            <w:shd w:val="clear" w:color="auto" w:fill="007CBA"/>
          </w:tcPr>
          <w:p>
            <w:pPr>
              <w:spacing w:after="0"/>
              <w:rPr>
                <w:sz w:val="20"/>
                <w:szCs w:val="20"/>
                <w:color w:val="auto"/>
              </w:rPr>
            </w:pPr>
          </w:p>
        </w:tc>
        <w:tc>
          <w:tcPr>
            <w:tcW w:w="1240" w:type="dxa"/>
            <w:vAlign w:val="bottom"/>
            <w:tcBorders>
              <w:right w:val="single" w:sz="8" w:color="007CBA"/>
            </w:tcBorders>
            <w:shd w:val="clear" w:color="auto" w:fill="007CBA"/>
          </w:tcPr>
          <w:p>
            <w:pPr>
              <w:spacing w:after="0"/>
              <w:rPr>
                <w:sz w:val="20"/>
                <w:szCs w:val="20"/>
                <w:color w:val="auto"/>
              </w:rPr>
            </w:pPr>
          </w:p>
        </w:tc>
        <w:tc>
          <w:tcPr>
            <w:tcW w:w="560" w:type="dxa"/>
            <w:vAlign w:val="bottom"/>
            <w:shd w:val="clear" w:color="auto" w:fill="007CBA"/>
          </w:tcPr>
          <w:p>
            <w:pPr>
              <w:spacing w:after="0"/>
              <w:rPr>
                <w:sz w:val="20"/>
                <w:szCs w:val="20"/>
                <w:color w:val="auto"/>
              </w:rPr>
            </w:pPr>
          </w:p>
        </w:tc>
        <w:tc>
          <w:tcPr>
            <w:tcW w:w="1320" w:type="dxa"/>
            <w:vAlign w:val="bottom"/>
            <w:shd w:val="clear" w:color="auto" w:fill="007CBA"/>
          </w:tcPr>
          <w:p>
            <w:pPr>
              <w:spacing w:after="0"/>
              <w:rPr>
                <w:sz w:val="20"/>
                <w:szCs w:val="20"/>
                <w:color w:val="auto"/>
              </w:rPr>
            </w:pPr>
          </w:p>
        </w:tc>
      </w:tr>
      <w:tr>
        <w:trPr>
          <w:trHeight w:val="231"/>
        </w:trPr>
        <w:tc>
          <w:tcPr>
            <w:tcW w:w="5840" w:type="dxa"/>
            <w:vAlign w:val="bottom"/>
            <w:tcBorders>
              <w:bottom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1600" w:type="dxa"/>
            <w:vAlign w:val="bottom"/>
            <w:tcBorders>
              <w:bottom w:val="single" w:sz="8" w:color="007CBA"/>
              <w:right w:val="single" w:sz="8" w:color="007CBA"/>
            </w:tcBorders>
            <w:shd w:val="clear" w:color="auto" w:fill="007CBA"/>
          </w:tcPr>
          <w:p>
            <w:pPr>
              <w:spacing w:after="0"/>
              <w:rPr>
                <w:sz w:val="20"/>
                <w:szCs w:val="20"/>
                <w:color w:val="auto"/>
              </w:rPr>
            </w:pPr>
          </w:p>
        </w:tc>
        <w:tc>
          <w:tcPr>
            <w:tcW w:w="680" w:type="dxa"/>
            <w:vAlign w:val="bottom"/>
            <w:tcBorders>
              <w:bottom w:val="single" w:sz="8" w:color="007CBA"/>
            </w:tcBorders>
            <w:shd w:val="clear" w:color="auto" w:fill="007CBA"/>
          </w:tcPr>
          <w:p>
            <w:pPr>
              <w:spacing w:after="0"/>
              <w:rPr>
                <w:sz w:val="20"/>
                <w:szCs w:val="20"/>
                <w:color w:val="auto"/>
              </w:rPr>
            </w:pPr>
          </w:p>
        </w:tc>
        <w:tc>
          <w:tcPr>
            <w:tcW w:w="1240" w:type="dxa"/>
            <w:vAlign w:val="bottom"/>
            <w:tcBorders>
              <w:bottom w:val="single" w:sz="8" w:color="007CBA"/>
              <w:right w:val="single" w:sz="8" w:color="007CBA"/>
            </w:tcBorders>
            <w:shd w:val="clear" w:color="auto" w:fill="007CBA"/>
          </w:tcPr>
          <w:p>
            <w:pPr>
              <w:jc w:val="right"/>
              <w:ind w:right="650"/>
              <w:spacing w:after="0" w:line="215" w:lineRule="exact"/>
              <w:rPr>
                <w:sz w:val="20"/>
                <w:szCs w:val="20"/>
                <w:color w:val="auto"/>
              </w:rPr>
            </w:pPr>
            <w:r>
              <w:rPr>
                <w:rFonts w:ascii="Calibri" w:cs="Calibri" w:eastAsia="Calibri" w:hAnsi="Calibri"/>
                <w:sz w:val="18"/>
                <w:szCs w:val="18"/>
                <w:b w:val="1"/>
                <w:bCs w:val="1"/>
                <w:color w:val="FFFFFF"/>
              </w:rPr>
              <w:t>2022</w:t>
            </w:r>
          </w:p>
        </w:tc>
        <w:tc>
          <w:tcPr>
            <w:tcW w:w="560" w:type="dxa"/>
            <w:vAlign w:val="bottom"/>
            <w:tcBorders>
              <w:bottom w:val="single" w:sz="8" w:color="007CBA"/>
            </w:tcBorders>
            <w:shd w:val="clear" w:color="auto" w:fill="007CBA"/>
          </w:tcPr>
          <w:p>
            <w:pPr>
              <w:spacing w:after="0"/>
              <w:rPr>
                <w:sz w:val="20"/>
                <w:szCs w:val="20"/>
                <w:color w:val="auto"/>
              </w:rPr>
            </w:pPr>
          </w:p>
        </w:tc>
        <w:tc>
          <w:tcPr>
            <w:tcW w:w="1320" w:type="dxa"/>
            <w:vAlign w:val="bottom"/>
            <w:tcBorders>
              <w:bottom w:val="single" w:sz="8" w:color="007CBA"/>
            </w:tcBorders>
            <w:shd w:val="clear" w:color="auto" w:fill="007CBA"/>
          </w:tcPr>
          <w:p>
            <w:pPr>
              <w:jc w:val="right"/>
              <w:ind w:right="630"/>
              <w:spacing w:after="0" w:line="215" w:lineRule="exact"/>
              <w:rPr>
                <w:sz w:val="20"/>
                <w:szCs w:val="20"/>
                <w:color w:val="auto"/>
              </w:rPr>
            </w:pPr>
            <w:r>
              <w:rPr>
                <w:rFonts w:ascii="Calibri" w:cs="Calibri" w:eastAsia="Calibri" w:hAnsi="Calibri"/>
                <w:sz w:val="18"/>
                <w:szCs w:val="18"/>
                <w:color w:val="FFFFFF"/>
              </w:rPr>
              <w:t>2021</w:t>
            </w:r>
          </w:p>
        </w:tc>
      </w:tr>
      <w:tr>
        <w:trPr>
          <w:trHeight w:val="215"/>
        </w:trPr>
        <w:tc>
          <w:tcPr>
            <w:tcW w:w="5840" w:type="dxa"/>
            <w:vAlign w:val="bottom"/>
          </w:tcPr>
          <w:p>
            <w:pPr>
              <w:ind w:left="120"/>
              <w:spacing w:after="0" w:line="215" w:lineRule="exact"/>
              <w:rPr>
                <w:sz w:val="20"/>
                <w:szCs w:val="20"/>
                <w:color w:val="auto"/>
              </w:rPr>
            </w:pPr>
            <w:r>
              <w:rPr>
                <w:rFonts w:ascii="Calibri" w:cs="Calibri" w:eastAsia="Calibri" w:hAnsi="Calibri"/>
                <w:sz w:val="18"/>
                <w:szCs w:val="18"/>
                <w:color w:val="auto"/>
              </w:rPr>
              <w:t>Fair value of plan assets at beginning of year</w:t>
            </w:r>
          </w:p>
        </w:tc>
        <w:tc>
          <w:tcPr>
            <w:tcW w:w="1600" w:type="dxa"/>
            <w:vAlign w:val="bottom"/>
            <w:tcBorders>
              <w:right w:val="single" w:sz="8" w:color="007CBA"/>
            </w:tcBorders>
          </w:tcPr>
          <w:p>
            <w:pPr>
              <w:spacing w:after="0"/>
              <w:rPr>
                <w:sz w:val="18"/>
                <w:szCs w:val="18"/>
                <w:color w:val="auto"/>
              </w:rPr>
            </w:pPr>
          </w:p>
        </w:tc>
        <w:tc>
          <w:tcPr>
            <w:tcW w:w="680" w:type="dxa"/>
            <w:vAlign w:val="bottom"/>
          </w:tcPr>
          <w:p>
            <w:pPr>
              <w:jc w:val="right"/>
              <w:ind w:right="270"/>
              <w:spacing w:after="0" w:line="215" w:lineRule="exact"/>
              <w:rPr>
                <w:sz w:val="20"/>
                <w:szCs w:val="20"/>
                <w:color w:val="auto"/>
              </w:rPr>
            </w:pPr>
            <w:r>
              <w:rPr>
                <w:rFonts w:ascii="Calibri" w:cs="Calibri" w:eastAsia="Calibri" w:hAnsi="Calibri"/>
                <w:sz w:val="18"/>
                <w:szCs w:val="18"/>
                <w:b w:val="1"/>
                <w:bCs w:val="1"/>
                <w:color w:val="auto"/>
              </w:rPr>
              <w:t>$</w:t>
            </w:r>
          </w:p>
        </w:tc>
        <w:tc>
          <w:tcPr>
            <w:tcW w:w="12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56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5840" w:type="dxa"/>
            <w:vAlign w:val="bottom"/>
          </w:tcPr>
          <w:p>
            <w:pPr>
              <w:spacing w:after="0"/>
              <w:rPr>
                <w:sz w:val="2"/>
                <w:szCs w:val="2"/>
                <w:color w:val="auto"/>
              </w:rPr>
            </w:pPr>
          </w:p>
        </w:tc>
        <w:tc>
          <w:tcPr>
            <w:tcW w:w="1600" w:type="dxa"/>
            <w:vAlign w:val="bottom"/>
            <w:tcBorders>
              <w:right w:val="single" w:sz="8" w:color="007CBA"/>
            </w:tcBorders>
          </w:tcPr>
          <w:p>
            <w:pPr>
              <w:spacing w:after="0"/>
              <w:rPr>
                <w:sz w:val="2"/>
                <w:szCs w:val="2"/>
                <w:color w:val="auto"/>
              </w:rPr>
            </w:pPr>
          </w:p>
        </w:tc>
        <w:tc>
          <w:tcPr>
            <w:tcW w:w="680" w:type="dxa"/>
            <w:vAlign w:val="bottom"/>
          </w:tcPr>
          <w:p>
            <w:pPr>
              <w:spacing w:after="0"/>
              <w:rPr>
                <w:sz w:val="2"/>
                <w:szCs w:val="2"/>
                <w:color w:val="auto"/>
              </w:rPr>
            </w:pPr>
          </w:p>
        </w:tc>
        <w:tc>
          <w:tcPr>
            <w:tcW w:w="124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3"/>
        </w:trPr>
        <w:tc>
          <w:tcPr>
            <w:tcW w:w="5840" w:type="dxa"/>
            <w:vAlign w:val="bottom"/>
            <w:tcBorders>
              <w:bottom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Employer contributons</w:t>
            </w:r>
          </w:p>
        </w:tc>
        <w:tc>
          <w:tcPr>
            <w:tcW w:w="1600" w:type="dxa"/>
            <w:vAlign w:val="bottom"/>
            <w:tcBorders>
              <w:bottom w:val="single" w:sz="8" w:color="E5F1F8"/>
              <w:right w:val="single" w:sz="8" w:color="007CBA"/>
            </w:tcBorders>
            <w:shd w:val="clear" w:color="auto" w:fill="E5F1F8"/>
          </w:tcPr>
          <w:p>
            <w:pPr>
              <w:spacing w:after="0"/>
              <w:rPr>
                <w:sz w:val="19"/>
                <w:szCs w:val="19"/>
                <w:color w:val="auto"/>
              </w:rPr>
            </w:pPr>
          </w:p>
        </w:tc>
        <w:tc>
          <w:tcPr>
            <w:tcW w:w="680" w:type="dxa"/>
            <w:vAlign w:val="bottom"/>
            <w:tcBorders>
              <w:bottom w:val="single" w:sz="8" w:color="E5F1F8"/>
            </w:tcBorders>
            <w:shd w:val="clear" w:color="auto" w:fill="E5F1F8"/>
          </w:tcPr>
          <w:p>
            <w:pPr>
              <w:spacing w:after="0"/>
              <w:rPr>
                <w:sz w:val="19"/>
                <w:szCs w:val="19"/>
                <w:color w:val="auto"/>
              </w:rPr>
            </w:pPr>
          </w:p>
        </w:tc>
        <w:tc>
          <w:tcPr>
            <w:tcW w:w="124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1.0</w:t>
            </w:r>
          </w:p>
        </w:tc>
        <w:tc>
          <w:tcPr>
            <w:tcW w:w="560" w:type="dxa"/>
            <w:vAlign w:val="bottom"/>
            <w:tcBorders>
              <w:bottom w:val="single" w:sz="8" w:color="E5F1F8"/>
            </w:tcBorders>
            <w:shd w:val="clear" w:color="auto" w:fill="E5F1F8"/>
          </w:tcPr>
          <w:p>
            <w:pPr>
              <w:spacing w:after="0"/>
              <w:rPr>
                <w:sz w:val="19"/>
                <w:szCs w:val="19"/>
                <w:color w:val="auto"/>
              </w:rPr>
            </w:pPr>
          </w:p>
        </w:tc>
        <w:tc>
          <w:tcPr>
            <w:tcW w:w="13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0.9</w:t>
            </w:r>
          </w:p>
        </w:tc>
      </w:tr>
      <w:tr>
        <w:trPr>
          <w:trHeight w:val="243"/>
        </w:trPr>
        <w:tc>
          <w:tcPr>
            <w:tcW w:w="5840" w:type="dxa"/>
            <w:vAlign w:val="bottom"/>
          </w:tcPr>
          <w:p>
            <w:pPr>
              <w:ind w:left="120"/>
              <w:spacing w:after="0" w:line="215" w:lineRule="exact"/>
              <w:rPr>
                <w:sz w:val="20"/>
                <w:szCs w:val="20"/>
                <w:color w:val="auto"/>
              </w:rPr>
            </w:pPr>
            <w:r>
              <w:rPr>
                <w:rFonts w:ascii="Calibri" w:cs="Calibri" w:eastAsia="Calibri" w:hAnsi="Calibri"/>
                <w:sz w:val="18"/>
                <w:szCs w:val="18"/>
                <w:color w:val="auto"/>
              </w:rPr>
              <w:t>Partcipants’ contributons</w:t>
            </w:r>
          </w:p>
        </w:tc>
        <w:tc>
          <w:tcPr>
            <w:tcW w:w="1600" w:type="dxa"/>
            <w:vAlign w:val="bottom"/>
            <w:tcBorders>
              <w:right w:val="single" w:sz="8" w:color="007CBA"/>
            </w:tcBorders>
          </w:tcPr>
          <w:p>
            <w:pPr>
              <w:spacing w:after="0"/>
              <w:rPr>
                <w:sz w:val="21"/>
                <w:szCs w:val="21"/>
                <w:color w:val="auto"/>
              </w:rPr>
            </w:pPr>
          </w:p>
        </w:tc>
        <w:tc>
          <w:tcPr>
            <w:tcW w:w="680" w:type="dxa"/>
            <w:vAlign w:val="bottom"/>
          </w:tcPr>
          <w:p>
            <w:pPr>
              <w:spacing w:after="0"/>
              <w:rPr>
                <w:sz w:val="21"/>
                <w:szCs w:val="21"/>
                <w:color w:val="auto"/>
              </w:rPr>
            </w:pPr>
          </w:p>
        </w:tc>
        <w:tc>
          <w:tcPr>
            <w:tcW w:w="12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0.6</w:t>
            </w:r>
          </w:p>
        </w:tc>
        <w:tc>
          <w:tcPr>
            <w:tcW w:w="560" w:type="dxa"/>
            <w:vAlign w:val="bottom"/>
          </w:tcPr>
          <w:p>
            <w:pPr>
              <w:spacing w:after="0"/>
              <w:rPr>
                <w:sz w:val="21"/>
                <w:szCs w:val="21"/>
                <w:color w:val="auto"/>
              </w:rPr>
            </w:pPr>
          </w:p>
        </w:tc>
        <w:tc>
          <w:tcPr>
            <w:tcW w:w="13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0.6</w:t>
            </w:r>
          </w:p>
        </w:tc>
      </w:tr>
      <w:tr>
        <w:trPr>
          <w:trHeight w:val="248"/>
        </w:trPr>
        <w:tc>
          <w:tcPr>
            <w:tcW w:w="5840" w:type="dxa"/>
            <w:vAlign w:val="bottom"/>
            <w:tcBorders>
              <w:bottom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Gross benefts paid</w:t>
            </w:r>
          </w:p>
        </w:tc>
        <w:tc>
          <w:tcPr>
            <w:tcW w:w="1600" w:type="dxa"/>
            <w:vAlign w:val="bottom"/>
            <w:tcBorders>
              <w:bottom w:val="single" w:sz="8" w:color="E5F1F8"/>
              <w:right w:val="single" w:sz="8" w:color="E5F1F8"/>
            </w:tcBorders>
            <w:shd w:val="clear" w:color="auto" w:fill="E5F1F8"/>
          </w:tcPr>
          <w:p>
            <w:pPr>
              <w:spacing w:after="0"/>
              <w:rPr>
                <w:sz w:val="21"/>
                <w:szCs w:val="21"/>
                <w:color w:val="auto"/>
              </w:rPr>
            </w:pPr>
          </w:p>
        </w:tc>
        <w:tc>
          <w:tcPr>
            <w:tcW w:w="680" w:type="dxa"/>
            <w:vAlign w:val="bottom"/>
            <w:tcBorders>
              <w:bottom w:val="single" w:sz="8" w:color="E5F1F8"/>
            </w:tcBorders>
            <w:shd w:val="clear" w:color="auto" w:fill="E5F1F8"/>
          </w:tcPr>
          <w:p>
            <w:pPr>
              <w:spacing w:after="0"/>
              <w:rPr>
                <w:sz w:val="21"/>
                <w:szCs w:val="21"/>
                <w:color w:val="auto"/>
              </w:rPr>
            </w:pPr>
          </w:p>
        </w:tc>
        <w:tc>
          <w:tcPr>
            <w:tcW w:w="124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(1.6 )</w:t>
            </w:r>
          </w:p>
        </w:tc>
        <w:tc>
          <w:tcPr>
            <w:tcW w:w="560" w:type="dxa"/>
            <w:vAlign w:val="bottom"/>
            <w:tcBorders>
              <w:bottom w:val="single" w:sz="8" w:color="E5F1F8"/>
            </w:tcBorders>
            <w:shd w:val="clear" w:color="auto" w:fill="E5F1F8"/>
          </w:tcPr>
          <w:p>
            <w:pPr>
              <w:spacing w:after="0"/>
              <w:rPr>
                <w:sz w:val="21"/>
                <w:szCs w:val="21"/>
                <w:color w:val="auto"/>
              </w:rPr>
            </w:pPr>
          </w:p>
        </w:tc>
        <w:tc>
          <w:tcPr>
            <w:tcW w:w="132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(1.5 )</w:t>
            </w:r>
          </w:p>
        </w:tc>
      </w:tr>
      <w:tr>
        <w:trPr>
          <w:trHeight w:val="208"/>
        </w:trPr>
        <w:tc>
          <w:tcPr>
            <w:tcW w:w="584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Fair value of plan assets at end of year</w:t>
            </w:r>
          </w:p>
        </w:tc>
        <w:tc>
          <w:tcPr>
            <w:tcW w:w="16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70"/>
              <w:spacing w:after="0" w:line="208" w:lineRule="exact"/>
              <w:rPr>
                <w:sz w:val="20"/>
                <w:szCs w:val="20"/>
                <w:color w:val="auto"/>
              </w:rPr>
            </w:pPr>
            <w:r>
              <w:rPr>
                <w:rFonts w:ascii="Calibri" w:cs="Calibri" w:eastAsia="Calibri" w:hAnsi="Calibri"/>
                <w:sz w:val="18"/>
                <w:szCs w:val="18"/>
                <w:b w:val="1"/>
                <w:bCs w:val="1"/>
                <w:color w:val="auto"/>
              </w:rPr>
              <w:t>$</w:t>
            </w:r>
          </w:p>
        </w:tc>
        <w:tc>
          <w:tcPr>
            <w:tcW w:w="12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w:t>
            </w:r>
          </w:p>
        </w:tc>
        <w:tc>
          <w:tcPr>
            <w:tcW w:w="560" w:type="dxa"/>
            <w:vAlign w:val="bottom"/>
            <w:tcBorders>
              <w:top w:val="single" w:sz="8" w:color="auto"/>
            </w:tcBorders>
          </w:tcPr>
          <w:p>
            <w:pPr>
              <w:jc w:val="right"/>
              <w:ind w:right="170"/>
              <w:spacing w:after="0" w:line="208" w:lineRule="exact"/>
              <w:rPr>
                <w:sz w:val="20"/>
                <w:szCs w:val="20"/>
                <w:color w:val="auto"/>
              </w:rPr>
            </w:pPr>
            <w:r>
              <w:rPr>
                <w:rFonts w:ascii="Calibri" w:cs="Calibri" w:eastAsia="Calibri" w:hAnsi="Calibri"/>
                <w:sz w:val="18"/>
                <w:szCs w:val="18"/>
                <w:color w:val="auto"/>
              </w:rPr>
              <w:t>$</w:t>
            </w:r>
          </w:p>
        </w:tc>
        <w:tc>
          <w:tcPr>
            <w:tcW w:w="132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w:t>
            </w:r>
          </w:p>
        </w:tc>
      </w:tr>
      <w:tr>
        <w:trPr>
          <w:trHeight w:val="28"/>
        </w:trPr>
        <w:tc>
          <w:tcPr>
            <w:tcW w:w="58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7"/>
        </w:trPr>
        <w:tc>
          <w:tcPr>
            <w:tcW w:w="58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5"/>
        </w:trPr>
        <w:tc>
          <w:tcPr>
            <w:tcW w:w="5840" w:type="dxa"/>
            <w:vAlign w:val="bottom"/>
            <w:shd w:val="clear" w:color="auto" w:fill="007CBA"/>
          </w:tcPr>
          <w:p>
            <w:pPr>
              <w:ind w:left="120"/>
              <w:spacing w:after="0" w:line="215" w:lineRule="exact"/>
              <w:rPr>
                <w:sz w:val="20"/>
                <w:szCs w:val="20"/>
                <w:color w:val="auto"/>
              </w:rPr>
            </w:pPr>
            <w:r>
              <w:rPr>
                <w:rFonts w:ascii="Calibri" w:cs="Calibri" w:eastAsia="Calibri" w:hAnsi="Calibri"/>
                <w:sz w:val="18"/>
                <w:szCs w:val="18"/>
                <w:i w:val="1"/>
                <w:iCs w:val="1"/>
                <w:color w:val="FFFFFF"/>
              </w:rPr>
              <w:t>December 31</w:t>
            </w:r>
          </w:p>
        </w:tc>
        <w:tc>
          <w:tcPr>
            <w:tcW w:w="1600" w:type="dxa"/>
            <w:vAlign w:val="bottom"/>
            <w:tcBorders>
              <w:right w:val="single" w:sz="8" w:color="007CBA"/>
            </w:tcBorders>
            <w:shd w:val="clear" w:color="auto" w:fill="007CBA"/>
          </w:tcPr>
          <w:p>
            <w:pPr>
              <w:spacing w:after="0"/>
              <w:rPr>
                <w:sz w:val="18"/>
                <w:szCs w:val="18"/>
                <w:color w:val="auto"/>
              </w:rPr>
            </w:pPr>
          </w:p>
        </w:tc>
        <w:tc>
          <w:tcPr>
            <w:tcW w:w="680" w:type="dxa"/>
            <w:vAlign w:val="bottom"/>
            <w:shd w:val="clear" w:color="auto" w:fill="007CBA"/>
          </w:tcPr>
          <w:p>
            <w:pPr>
              <w:spacing w:after="0"/>
              <w:rPr>
                <w:sz w:val="18"/>
                <w:szCs w:val="18"/>
                <w:color w:val="auto"/>
              </w:rPr>
            </w:pPr>
          </w:p>
        </w:tc>
        <w:tc>
          <w:tcPr>
            <w:tcW w:w="1240" w:type="dxa"/>
            <w:vAlign w:val="bottom"/>
            <w:tcBorders>
              <w:right w:val="single" w:sz="8" w:color="007CBA"/>
            </w:tcBorders>
            <w:shd w:val="clear" w:color="auto" w:fill="007CBA"/>
          </w:tcPr>
          <w:p>
            <w:pPr>
              <w:spacing w:after="0"/>
              <w:rPr>
                <w:sz w:val="18"/>
                <w:szCs w:val="18"/>
                <w:color w:val="auto"/>
              </w:rPr>
            </w:pPr>
          </w:p>
        </w:tc>
        <w:tc>
          <w:tcPr>
            <w:tcW w:w="560" w:type="dxa"/>
            <w:vAlign w:val="bottom"/>
            <w:shd w:val="clear" w:color="auto" w:fill="007CBA"/>
          </w:tcPr>
          <w:p>
            <w:pPr>
              <w:spacing w:after="0"/>
              <w:rPr>
                <w:sz w:val="18"/>
                <w:szCs w:val="18"/>
                <w:color w:val="auto"/>
              </w:rPr>
            </w:pPr>
          </w:p>
        </w:tc>
        <w:tc>
          <w:tcPr>
            <w:tcW w:w="1320" w:type="dxa"/>
            <w:vAlign w:val="bottom"/>
            <w:shd w:val="clear" w:color="auto" w:fill="007CBA"/>
          </w:tcPr>
          <w:p>
            <w:pPr>
              <w:spacing w:after="0"/>
              <w:rPr>
                <w:sz w:val="18"/>
                <w:szCs w:val="18"/>
                <w:color w:val="auto"/>
              </w:rPr>
            </w:pPr>
          </w:p>
        </w:tc>
      </w:tr>
      <w:tr>
        <w:trPr>
          <w:trHeight w:val="251"/>
        </w:trPr>
        <w:tc>
          <w:tcPr>
            <w:tcW w:w="5840" w:type="dxa"/>
            <w:vAlign w:val="bottom"/>
            <w:tcBorders>
              <w:bottom w:val="single" w:sz="8" w:color="007CBA"/>
            </w:tcBorders>
            <w:shd w:val="clear" w:color="auto" w:fill="007CBA"/>
          </w:tcPr>
          <w:p>
            <w:pPr>
              <w:ind w:left="120"/>
              <w:spacing w:after="0"/>
              <w:rPr>
                <w:sz w:val="20"/>
                <w:szCs w:val="20"/>
                <w:color w:val="auto"/>
              </w:rPr>
            </w:pPr>
            <w:r>
              <w:rPr>
                <w:rFonts w:ascii="Calibri" w:cs="Calibri" w:eastAsia="Calibri" w:hAnsi="Calibri"/>
                <w:sz w:val="18"/>
                <w:szCs w:val="18"/>
                <w:color w:val="FFFFFF"/>
              </w:rPr>
              <w:t>(in millions)</w:t>
            </w:r>
          </w:p>
        </w:tc>
        <w:tc>
          <w:tcPr>
            <w:tcW w:w="1600" w:type="dxa"/>
            <w:vAlign w:val="bottom"/>
            <w:tcBorders>
              <w:bottom w:val="single" w:sz="8" w:color="007CBA"/>
              <w:right w:val="single" w:sz="8" w:color="007CBA"/>
            </w:tcBorders>
            <w:shd w:val="clear" w:color="auto" w:fill="007CBA"/>
          </w:tcPr>
          <w:p>
            <w:pPr>
              <w:spacing w:after="0"/>
              <w:rPr>
                <w:sz w:val="21"/>
                <w:szCs w:val="21"/>
                <w:color w:val="auto"/>
              </w:rPr>
            </w:pPr>
          </w:p>
        </w:tc>
        <w:tc>
          <w:tcPr>
            <w:tcW w:w="680" w:type="dxa"/>
            <w:vAlign w:val="bottom"/>
            <w:tcBorders>
              <w:bottom w:val="single" w:sz="8" w:color="007CBA"/>
            </w:tcBorders>
            <w:shd w:val="clear" w:color="auto" w:fill="007CBA"/>
          </w:tcPr>
          <w:p>
            <w:pPr>
              <w:spacing w:after="0"/>
              <w:rPr>
                <w:sz w:val="21"/>
                <w:szCs w:val="21"/>
                <w:color w:val="auto"/>
              </w:rPr>
            </w:pPr>
          </w:p>
        </w:tc>
        <w:tc>
          <w:tcPr>
            <w:tcW w:w="1240" w:type="dxa"/>
            <w:vAlign w:val="bottom"/>
            <w:tcBorders>
              <w:bottom w:val="single" w:sz="8" w:color="007CBA"/>
              <w:right w:val="single" w:sz="8" w:color="007CBA"/>
            </w:tcBorders>
            <w:shd w:val="clear" w:color="auto" w:fill="007CBA"/>
          </w:tcPr>
          <w:p>
            <w:pPr>
              <w:jc w:val="right"/>
              <w:ind w:right="650"/>
              <w:spacing w:after="0"/>
              <w:rPr>
                <w:sz w:val="20"/>
                <w:szCs w:val="20"/>
                <w:color w:val="auto"/>
              </w:rPr>
            </w:pPr>
            <w:r>
              <w:rPr>
                <w:rFonts w:ascii="Calibri" w:cs="Calibri" w:eastAsia="Calibri" w:hAnsi="Calibri"/>
                <w:sz w:val="18"/>
                <w:szCs w:val="18"/>
                <w:b w:val="1"/>
                <w:bCs w:val="1"/>
                <w:color w:val="FFFFFF"/>
              </w:rPr>
              <w:t>2022</w:t>
            </w:r>
          </w:p>
        </w:tc>
        <w:tc>
          <w:tcPr>
            <w:tcW w:w="560" w:type="dxa"/>
            <w:vAlign w:val="bottom"/>
            <w:tcBorders>
              <w:bottom w:val="single" w:sz="8" w:color="007CBA"/>
            </w:tcBorders>
            <w:shd w:val="clear" w:color="auto" w:fill="007CBA"/>
          </w:tcPr>
          <w:p>
            <w:pPr>
              <w:spacing w:after="0"/>
              <w:rPr>
                <w:sz w:val="21"/>
                <w:szCs w:val="21"/>
                <w:color w:val="auto"/>
              </w:rPr>
            </w:pPr>
          </w:p>
        </w:tc>
        <w:tc>
          <w:tcPr>
            <w:tcW w:w="1320" w:type="dxa"/>
            <w:vAlign w:val="bottom"/>
            <w:tcBorders>
              <w:bottom w:val="single" w:sz="8" w:color="007CBA"/>
            </w:tcBorders>
            <w:shd w:val="clear" w:color="auto" w:fill="007CBA"/>
          </w:tcPr>
          <w:p>
            <w:pPr>
              <w:jc w:val="right"/>
              <w:ind w:right="630"/>
              <w:spacing w:after="0"/>
              <w:rPr>
                <w:sz w:val="20"/>
                <w:szCs w:val="20"/>
                <w:color w:val="auto"/>
              </w:rPr>
            </w:pPr>
            <w:r>
              <w:rPr>
                <w:rFonts w:ascii="Calibri" w:cs="Calibri" w:eastAsia="Calibri" w:hAnsi="Calibri"/>
                <w:sz w:val="18"/>
                <w:szCs w:val="18"/>
                <w:color w:val="FFFFFF"/>
              </w:rPr>
              <w:t>2021</w:t>
            </w:r>
          </w:p>
        </w:tc>
      </w:tr>
      <w:tr>
        <w:trPr>
          <w:trHeight w:val="243"/>
        </w:trPr>
        <w:tc>
          <w:tcPr>
            <w:tcW w:w="5840" w:type="dxa"/>
            <w:vAlign w:val="bottom"/>
          </w:tcPr>
          <w:p>
            <w:pPr>
              <w:ind w:left="120"/>
              <w:spacing w:after="0" w:line="215" w:lineRule="exact"/>
              <w:rPr>
                <w:sz w:val="20"/>
                <w:szCs w:val="20"/>
                <w:color w:val="auto"/>
              </w:rPr>
            </w:pPr>
            <w:r>
              <w:rPr>
                <w:rFonts w:ascii="Calibri" w:cs="Calibri" w:eastAsia="Calibri" w:hAnsi="Calibri"/>
                <w:sz w:val="18"/>
                <w:szCs w:val="18"/>
                <w:color w:val="auto"/>
              </w:rPr>
              <w:t>Funded status of the plan at end of year</w:t>
            </w:r>
          </w:p>
        </w:tc>
        <w:tc>
          <w:tcPr>
            <w:tcW w:w="1600" w:type="dxa"/>
            <w:vAlign w:val="bottom"/>
            <w:tcBorders>
              <w:right w:val="single" w:sz="8" w:color="007CBA"/>
            </w:tcBorders>
          </w:tcPr>
          <w:p>
            <w:pPr>
              <w:spacing w:after="0"/>
              <w:rPr>
                <w:sz w:val="21"/>
                <w:szCs w:val="21"/>
                <w:color w:val="auto"/>
              </w:rPr>
            </w:pPr>
          </w:p>
        </w:tc>
        <w:tc>
          <w:tcPr>
            <w:tcW w:w="680" w:type="dxa"/>
            <w:vAlign w:val="bottom"/>
          </w:tcPr>
          <w:p>
            <w:pPr>
              <w:jc w:val="right"/>
              <w:ind w:right="270"/>
              <w:spacing w:after="0" w:line="215" w:lineRule="exact"/>
              <w:rPr>
                <w:sz w:val="20"/>
                <w:szCs w:val="20"/>
                <w:color w:val="auto"/>
              </w:rPr>
            </w:pPr>
            <w:r>
              <w:rPr>
                <w:rFonts w:ascii="Calibri" w:cs="Calibri" w:eastAsia="Calibri" w:hAnsi="Calibri"/>
                <w:sz w:val="18"/>
                <w:szCs w:val="18"/>
                <w:b w:val="1"/>
                <w:bCs w:val="1"/>
                <w:color w:val="auto"/>
              </w:rPr>
              <w:t>$</w:t>
            </w:r>
          </w:p>
        </w:tc>
        <w:tc>
          <w:tcPr>
            <w:tcW w:w="124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b w:val="1"/>
                <w:bCs w:val="1"/>
                <w:color w:val="auto"/>
              </w:rPr>
              <w:t>(8.9 )</w:t>
            </w:r>
          </w:p>
        </w:tc>
        <w:tc>
          <w:tcPr>
            <w:tcW w:w="56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(11.4 )</w:t>
            </w:r>
          </w:p>
        </w:tc>
      </w:tr>
      <w:tr>
        <w:trPr>
          <w:trHeight w:val="248"/>
        </w:trPr>
        <w:tc>
          <w:tcPr>
            <w:tcW w:w="5840" w:type="dxa"/>
            <w:vAlign w:val="bottom"/>
            <w:tcBorders>
              <w:bottom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Accrued beneft cost</w:t>
            </w:r>
          </w:p>
        </w:tc>
        <w:tc>
          <w:tcPr>
            <w:tcW w:w="1600" w:type="dxa"/>
            <w:vAlign w:val="bottom"/>
            <w:tcBorders>
              <w:bottom w:val="single" w:sz="8" w:color="E5F1F8"/>
              <w:right w:val="single" w:sz="8" w:color="E5F1F8"/>
            </w:tcBorders>
            <w:shd w:val="clear" w:color="auto" w:fill="E5F1F8"/>
          </w:tcPr>
          <w:p>
            <w:pPr>
              <w:spacing w:after="0"/>
              <w:rPr>
                <w:sz w:val="21"/>
                <w:szCs w:val="21"/>
                <w:color w:val="auto"/>
              </w:rPr>
            </w:pPr>
          </w:p>
        </w:tc>
        <w:tc>
          <w:tcPr>
            <w:tcW w:w="68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b w:val="1"/>
                <w:bCs w:val="1"/>
                <w:color w:val="auto"/>
              </w:rPr>
              <w:t>$</w:t>
            </w:r>
          </w:p>
        </w:tc>
        <w:tc>
          <w:tcPr>
            <w:tcW w:w="124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(8.9 )</w:t>
            </w:r>
          </w:p>
        </w:tc>
        <w:tc>
          <w:tcPr>
            <w:tcW w:w="56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(11.4 )</w:t>
            </w:r>
          </w:p>
        </w:tc>
      </w:tr>
      <w:tr>
        <w:trPr>
          <w:trHeight w:val="210"/>
        </w:trPr>
        <w:tc>
          <w:tcPr>
            <w:tcW w:w="58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15"/>
        </w:trPr>
        <w:tc>
          <w:tcPr>
            <w:tcW w:w="5840" w:type="dxa"/>
            <w:vAlign w:val="bottom"/>
            <w:shd w:val="clear" w:color="auto" w:fill="007CBA"/>
          </w:tcPr>
          <w:p>
            <w:pPr>
              <w:ind w:left="120"/>
              <w:spacing w:after="0" w:line="215" w:lineRule="exact"/>
              <w:rPr>
                <w:sz w:val="20"/>
                <w:szCs w:val="20"/>
                <w:color w:val="auto"/>
              </w:rPr>
            </w:pPr>
            <w:r>
              <w:rPr>
                <w:rFonts w:ascii="Calibri" w:cs="Calibri" w:eastAsia="Calibri" w:hAnsi="Calibri"/>
                <w:sz w:val="18"/>
                <w:szCs w:val="18"/>
                <w:i w:val="1"/>
                <w:iCs w:val="1"/>
                <w:color w:val="FFFFFF"/>
              </w:rPr>
              <w:t>December 31</w:t>
            </w:r>
          </w:p>
        </w:tc>
        <w:tc>
          <w:tcPr>
            <w:tcW w:w="1600" w:type="dxa"/>
            <w:vAlign w:val="bottom"/>
            <w:tcBorders>
              <w:right w:val="single" w:sz="8" w:color="007CBA"/>
            </w:tcBorders>
            <w:shd w:val="clear" w:color="auto" w:fill="007CBA"/>
          </w:tcPr>
          <w:p>
            <w:pPr>
              <w:spacing w:after="0"/>
              <w:rPr>
                <w:sz w:val="18"/>
                <w:szCs w:val="18"/>
                <w:color w:val="auto"/>
              </w:rPr>
            </w:pPr>
          </w:p>
        </w:tc>
        <w:tc>
          <w:tcPr>
            <w:tcW w:w="680" w:type="dxa"/>
            <w:vAlign w:val="bottom"/>
            <w:shd w:val="clear" w:color="auto" w:fill="007CBA"/>
          </w:tcPr>
          <w:p>
            <w:pPr>
              <w:spacing w:after="0"/>
              <w:rPr>
                <w:sz w:val="18"/>
                <w:szCs w:val="18"/>
                <w:color w:val="auto"/>
              </w:rPr>
            </w:pPr>
          </w:p>
        </w:tc>
        <w:tc>
          <w:tcPr>
            <w:tcW w:w="1240" w:type="dxa"/>
            <w:vAlign w:val="bottom"/>
            <w:tcBorders>
              <w:right w:val="single" w:sz="8" w:color="007CBA"/>
            </w:tcBorders>
            <w:shd w:val="clear" w:color="auto" w:fill="007CBA"/>
          </w:tcPr>
          <w:p>
            <w:pPr>
              <w:spacing w:after="0"/>
              <w:rPr>
                <w:sz w:val="18"/>
                <w:szCs w:val="18"/>
                <w:color w:val="auto"/>
              </w:rPr>
            </w:pPr>
          </w:p>
        </w:tc>
        <w:tc>
          <w:tcPr>
            <w:tcW w:w="560" w:type="dxa"/>
            <w:vAlign w:val="bottom"/>
            <w:shd w:val="clear" w:color="auto" w:fill="007CBA"/>
          </w:tcPr>
          <w:p>
            <w:pPr>
              <w:spacing w:after="0"/>
              <w:rPr>
                <w:sz w:val="18"/>
                <w:szCs w:val="18"/>
                <w:color w:val="auto"/>
              </w:rPr>
            </w:pPr>
          </w:p>
        </w:tc>
        <w:tc>
          <w:tcPr>
            <w:tcW w:w="1320" w:type="dxa"/>
            <w:vAlign w:val="bottom"/>
            <w:shd w:val="clear" w:color="auto" w:fill="007CBA"/>
          </w:tcPr>
          <w:p>
            <w:pPr>
              <w:spacing w:after="0"/>
              <w:rPr>
                <w:sz w:val="18"/>
                <w:szCs w:val="18"/>
                <w:color w:val="auto"/>
              </w:rPr>
            </w:pPr>
          </w:p>
        </w:tc>
      </w:tr>
      <w:tr>
        <w:trPr>
          <w:trHeight w:val="251"/>
        </w:trPr>
        <w:tc>
          <w:tcPr>
            <w:tcW w:w="5840" w:type="dxa"/>
            <w:vAlign w:val="bottom"/>
            <w:tcBorders>
              <w:bottom w:val="single" w:sz="8" w:color="007CBA"/>
            </w:tcBorders>
            <w:shd w:val="clear" w:color="auto" w:fill="007CBA"/>
          </w:tcPr>
          <w:p>
            <w:pPr>
              <w:ind w:left="120"/>
              <w:spacing w:after="0"/>
              <w:rPr>
                <w:sz w:val="20"/>
                <w:szCs w:val="20"/>
                <w:color w:val="auto"/>
              </w:rPr>
            </w:pPr>
            <w:r>
              <w:rPr>
                <w:rFonts w:ascii="Calibri" w:cs="Calibri" w:eastAsia="Calibri" w:hAnsi="Calibri"/>
                <w:sz w:val="18"/>
                <w:szCs w:val="18"/>
                <w:color w:val="FFFFFF"/>
              </w:rPr>
              <w:t>(in millions)</w:t>
            </w:r>
          </w:p>
        </w:tc>
        <w:tc>
          <w:tcPr>
            <w:tcW w:w="1600" w:type="dxa"/>
            <w:vAlign w:val="bottom"/>
            <w:tcBorders>
              <w:bottom w:val="single" w:sz="8" w:color="007CBA"/>
              <w:right w:val="single" w:sz="8" w:color="007CBA"/>
            </w:tcBorders>
            <w:shd w:val="clear" w:color="auto" w:fill="007CBA"/>
          </w:tcPr>
          <w:p>
            <w:pPr>
              <w:spacing w:after="0"/>
              <w:rPr>
                <w:sz w:val="21"/>
                <w:szCs w:val="21"/>
                <w:color w:val="auto"/>
              </w:rPr>
            </w:pPr>
          </w:p>
        </w:tc>
        <w:tc>
          <w:tcPr>
            <w:tcW w:w="680" w:type="dxa"/>
            <w:vAlign w:val="bottom"/>
            <w:tcBorders>
              <w:bottom w:val="single" w:sz="8" w:color="007CBA"/>
            </w:tcBorders>
            <w:shd w:val="clear" w:color="auto" w:fill="007CBA"/>
          </w:tcPr>
          <w:p>
            <w:pPr>
              <w:spacing w:after="0"/>
              <w:rPr>
                <w:sz w:val="21"/>
                <w:szCs w:val="21"/>
                <w:color w:val="auto"/>
              </w:rPr>
            </w:pPr>
          </w:p>
        </w:tc>
        <w:tc>
          <w:tcPr>
            <w:tcW w:w="1240" w:type="dxa"/>
            <w:vAlign w:val="bottom"/>
            <w:tcBorders>
              <w:bottom w:val="single" w:sz="8" w:color="007CBA"/>
              <w:right w:val="single" w:sz="8" w:color="007CBA"/>
            </w:tcBorders>
            <w:shd w:val="clear" w:color="auto" w:fill="007CBA"/>
          </w:tcPr>
          <w:p>
            <w:pPr>
              <w:jc w:val="right"/>
              <w:ind w:right="650"/>
              <w:spacing w:after="0"/>
              <w:rPr>
                <w:sz w:val="20"/>
                <w:szCs w:val="20"/>
                <w:color w:val="auto"/>
              </w:rPr>
            </w:pPr>
            <w:r>
              <w:rPr>
                <w:rFonts w:ascii="Calibri" w:cs="Calibri" w:eastAsia="Calibri" w:hAnsi="Calibri"/>
                <w:sz w:val="18"/>
                <w:szCs w:val="18"/>
                <w:b w:val="1"/>
                <w:bCs w:val="1"/>
                <w:color w:val="FFFFFF"/>
              </w:rPr>
              <w:t>2022</w:t>
            </w:r>
          </w:p>
        </w:tc>
        <w:tc>
          <w:tcPr>
            <w:tcW w:w="560" w:type="dxa"/>
            <w:vAlign w:val="bottom"/>
            <w:tcBorders>
              <w:bottom w:val="single" w:sz="8" w:color="007CBA"/>
            </w:tcBorders>
            <w:shd w:val="clear" w:color="auto" w:fill="007CBA"/>
          </w:tcPr>
          <w:p>
            <w:pPr>
              <w:spacing w:after="0"/>
              <w:rPr>
                <w:sz w:val="21"/>
                <w:szCs w:val="21"/>
                <w:color w:val="auto"/>
              </w:rPr>
            </w:pPr>
          </w:p>
        </w:tc>
        <w:tc>
          <w:tcPr>
            <w:tcW w:w="1320" w:type="dxa"/>
            <w:vAlign w:val="bottom"/>
            <w:tcBorders>
              <w:bottom w:val="single" w:sz="8" w:color="007CBA"/>
            </w:tcBorders>
            <w:shd w:val="clear" w:color="auto" w:fill="007CBA"/>
          </w:tcPr>
          <w:p>
            <w:pPr>
              <w:jc w:val="right"/>
              <w:ind w:right="630"/>
              <w:spacing w:after="0"/>
              <w:rPr>
                <w:sz w:val="20"/>
                <w:szCs w:val="20"/>
                <w:color w:val="auto"/>
              </w:rPr>
            </w:pPr>
            <w:r>
              <w:rPr>
                <w:rFonts w:ascii="Calibri" w:cs="Calibri" w:eastAsia="Calibri" w:hAnsi="Calibri"/>
                <w:sz w:val="18"/>
                <w:szCs w:val="18"/>
                <w:color w:val="FFFFFF"/>
              </w:rPr>
              <w:t>2021</w:t>
            </w:r>
          </w:p>
        </w:tc>
      </w:tr>
      <w:tr>
        <w:trPr>
          <w:trHeight w:val="215"/>
        </w:trPr>
        <w:tc>
          <w:tcPr>
            <w:tcW w:w="5840" w:type="dxa"/>
            <w:vAlign w:val="bottom"/>
          </w:tcPr>
          <w:p>
            <w:pPr>
              <w:ind w:left="120"/>
              <w:spacing w:after="0" w:line="215" w:lineRule="exact"/>
              <w:rPr>
                <w:sz w:val="20"/>
                <w:szCs w:val="20"/>
                <w:color w:val="auto"/>
              </w:rPr>
            </w:pPr>
            <w:r>
              <w:rPr>
                <w:rFonts w:ascii="Calibri" w:cs="Calibri" w:eastAsia="Calibri" w:hAnsi="Calibri"/>
                <w:sz w:val="18"/>
                <w:szCs w:val="18"/>
                <w:color w:val="auto"/>
              </w:rPr>
              <w:t>Amounts recognized on consolidated balance sheets consist of:</w:t>
            </w:r>
          </w:p>
        </w:tc>
        <w:tc>
          <w:tcPr>
            <w:tcW w:w="1600" w:type="dxa"/>
            <w:vAlign w:val="bottom"/>
            <w:tcBorders>
              <w:right w:val="single" w:sz="8" w:color="007CBA"/>
            </w:tcBorders>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Borders>
              <w:right w:val="single" w:sz="8" w:color="007CBA"/>
            </w:tcBorders>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8"/>
        </w:trPr>
        <w:tc>
          <w:tcPr>
            <w:tcW w:w="5840" w:type="dxa"/>
            <w:vAlign w:val="bottom"/>
          </w:tcPr>
          <w:p>
            <w:pPr>
              <w:spacing w:after="0"/>
              <w:rPr>
                <w:sz w:val="2"/>
                <w:szCs w:val="2"/>
                <w:color w:val="auto"/>
              </w:rPr>
            </w:pPr>
          </w:p>
        </w:tc>
        <w:tc>
          <w:tcPr>
            <w:tcW w:w="1600" w:type="dxa"/>
            <w:vAlign w:val="bottom"/>
            <w:tcBorders>
              <w:right w:val="single" w:sz="8" w:color="007CBA"/>
            </w:tcBorders>
          </w:tcPr>
          <w:p>
            <w:pPr>
              <w:spacing w:after="0"/>
              <w:rPr>
                <w:sz w:val="2"/>
                <w:szCs w:val="2"/>
                <w:color w:val="auto"/>
              </w:rPr>
            </w:pPr>
          </w:p>
        </w:tc>
        <w:tc>
          <w:tcPr>
            <w:tcW w:w="680" w:type="dxa"/>
            <w:vAlign w:val="bottom"/>
          </w:tcPr>
          <w:p>
            <w:pPr>
              <w:spacing w:after="0"/>
              <w:rPr>
                <w:sz w:val="2"/>
                <w:szCs w:val="2"/>
                <w:color w:val="auto"/>
              </w:rPr>
            </w:pPr>
          </w:p>
        </w:tc>
        <w:tc>
          <w:tcPr>
            <w:tcW w:w="124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3"/>
        </w:trPr>
        <w:tc>
          <w:tcPr>
            <w:tcW w:w="5840" w:type="dxa"/>
            <w:vAlign w:val="bottom"/>
            <w:tcBorders>
              <w:bottom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Current liability</w:t>
            </w:r>
          </w:p>
        </w:tc>
        <w:tc>
          <w:tcPr>
            <w:tcW w:w="1600" w:type="dxa"/>
            <w:vAlign w:val="bottom"/>
            <w:tcBorders>
              <w:bottom w:val="single" w:sz="8" w:color="E5F1F8"/>
              <w:right w:val="single" w:sz="8" w:color="007CBA"/>
            </w:tcBorders>
            <w:shd w:val="clear" w:color="auto" w:fill="E5F1F8"/>
          </w:tcPr>
          <w:p>
            <w:pPr>
              <w:spacing w:after="0"/>
              <w:rPr>
                <w:sz w:val="19"/>
                <w:szCs w:val="19"/>
                <w:color w:val="auto"/>
              </w:rPr>
            </w:pPr>
          </w:p>
        </w:tc>
        <w:tc>
          <w:tcPr>
            <w:tcW w:w="68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b w:val="1"/>
                <w:bCs w:val="1"/>
                <w:color w:val="auto"/>
              </w:rPr>
              <w:t>$</w:t>
            </w:r>
          </w:p>
        </w:tc>
        <w:tc>
          <w:tcPr>
            <w:tcW w:w="1240" w:type="dxa"/>
            <w:vAlign w:val="bottom"/>
            <w:tcBorders>
              <w:bottom w:val="single" w:sz="8" w:color="E5F1F8"/>
              <w:right w:val="single" w:sz="8" w:color="007CBA"/>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(1.0 )</w:t>
            </w:r>
          </w:p>
        </w:tc>
        <w:tc>
          <w:tcPr>
            <w:tcW w:w="56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(1.2 )</w:t>
            </w:r>
          </w:p>
        </w:tc>
      </w:tr>
      <w:tr>
        <w:trPr>
          <w:trHeight w:val="215"/>
        </w:trPr>
        <w:tc>
          <w:tcPr>
            <w:tcW w:w="5840" w:type="dxa"/>
            <w:vAlign w:val="bottom"/>
          </w:tcPr>
          <w:p>
            <w:pPr>
              <w:ind w:left="120"/>
              <w:spacing w:after="0" w:line="215" w:lineRule="exact"/>
              <w:rPr>
                <w:sz w:val="20"/>
                <w:szCs w:val="20"/>
                <w:color w:val="auto"/>
              </w:rPr>
            </w:pPr>
            <w:r>
              <w:rPr>
                <w:rFonts w:ascii="Calibri" w:cs="Calibri" w:eastAsia="Calibri" w:hAnsi="Calibri"/>
                <w:sz w:val="18"/>
                <w:szCs w:val="18"/>
                <w:color w:val="auto"/>
              </w:rPr>
              <w:t>Noncurrent liability</w:t>
            </w:r>
          </w:p>
        </w:tc>
        <w:tc>
          <w:tcPr>
            <w:tcW w:w="1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(7.9 )</w:t>
            </w:r>
          </w:p>
        </w:tc>
        <w:tc>
          <w:tcPr>
            <w:tcW w:w="56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(10.2 )</w:t>
            </w:r>
          </w:p>
        </w:tc>
      </w:tr>
      <w:tr>
        <w:trPr>
          <w:trHeight w:val="28"/>
        </w:trPr>
        <w:tc>
          <w:tcPr>
            <w:tcW w:w="58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1"/>
        </w:trPr>
        <w:tc>
          <w:tcPr>
            <w:tcW w:w="5840" w:type="dxa"/>
            <w:vAlign w:val="bottom"/>
            <w:tcBorders>
              <w:bottom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Net amount recognized at end of year</w:t>
            </w:r>
          </w:p>
        </w:tc>
        <w:tc>
          <w:tcPr>
            <w:tcW w:w="1600" w:type="dxa"/>
            <w:vAlign w:val="bottom"/>
            <w:tcBorders>
              <w:bottom w:val="single" w:sz="8" w:color="E5F1F8"/>
              <w:right w:val="single" w:sz="8" w:color="E5F1F8"/>
            </w:tcBorders>
            <w:shd w:val="clear" w:color="auto" w:fill="E5F1F8"/>
          </w:tcPr>
          <w:p>
            <w:pPr>
              <w:spacing w:after="0"/>
              <w:rPr>
                <w:sz w:val="24"/>
                <w:szCs w:val="24"/>
                <w:color w:val="auto"/>
              </w:rPr>
            </w:pPr>
          </w:p>
        </w:tc>
        <w:tc>
          <w:tcPr>
            <w:tcW w:w="680" w:type="dxa"/>
            <w:vAlign w:val="bottom"/>
            <w:tcBorders>
              <w:bottom w:val="single" w:sz="8" w:color="E5F1F8"/>
            </w:tcBorders>
            <w:shd w:val="clear" w:color="auto" w:fill="E5F1F8"/>
          </w:tcPr>
          <w:p>
            <w:pPr>
              <w:jc w:val="right"/>
              <w:ind w:right="270"/>
              <w:spacing w:after="0" w:line="208" w:lineRule="exact"/>
              <w:rPr>
                <w:sz w:val="20"/>
                <w:szCs w:val="20"/>
                <w:color w:val="auto"/>
              </w:rPr>
            </w:pPr>
            <w:r>
              <w:rPr>
                <w:rFonts w:ascii="Calibri" w:cs="Calibri" w:eastAsia="Calibri" w:hAnsi="Calibri"/>
                <w:sz w:val="18"/>
                <w:szCs w:val="18"/>
                <w:b w:val="1"/>
                <w:bCs w:val="1"/>
                <w:color w:val="auto"/>
              </w:rPr>
              <w:t>$</w:t>
            </w:r>
          </w:p>
        </w:tc>
        <w:tc>
          <w:tcPr>
            <w:tcW w:w="1240" w:type="dxa"/>
            <w:vAlign w:val="bottom"/>
            <w:tcBorders>
              <w:bottom w:val="single" w:sz="8" w:color="E5F1F8"/>
              <w:right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b w:val="1"/>
                <w:bCs w:val="1"/>
                <w:color w:val="auto"/>
              </w:rPr>
              <w:t>(8.9 )</w:t>
            </w:r>
          </w:p>
        </w:tc>
        <w:tc>
          <w:tcPr>
            <w:tcW w:w="560" w:type="dxa"/>
            <w:vAlign w:val="bottom"/>
            <w:tcBorders>
              <w:bottom w:val="single" w:sz="8" w:color="E5F1F8"/>
            </w:tcBorders>
            <w:shd w:val="clear" w:color="auto" w:fill="E5F1F8"/>
          </w:tcPr>
          <w:p>
            <w:pPr>
              <w:jc w:val="right"/>
              <w:ind w:right="170"/>
              <w:spacing w:after="0" w:line="208" w:lineRule="exact"/>
              <w:rPr>
                <w:sz w:val="20"/>
                <w:szCs w:val="20"/>
                <w:color w:val="auto"/>
              </w:rPr>
            </w:pPr>
            <w:r>
              <w:rPr>
                <w:rFonts w:ascii="Calibri" w:cs="Calibri" w:eastAsia="Calibri" w:hAnsi="Calibri"/>
                <w:sz w:val="18"/>
                <w:szCs w:val="18"/>
                <w:color w:val="auto"/>
              </w:rPr>
              <w:t>$</w:t>
            </w:r>
          </w:p>
        </w:tc>
        <w:tc>
          <w:tcPr>
            <w:tcW w:w="1320" w:type="dxa"/>
            <w:vAlign w:val="bottom"/>
            <w:tcBorders>
              <w:bottom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color w:val="auto"/>
              </w:rPr>
              <w:t>(11.4 )</w:t>
            </w:r>
          </w:p>
        </w:tc>
      </w:tr>
      <w:tr>
        <w:trPr>
          <w:trHeight w:val="362"/>
        </w:trPr>
        <w:tc>
          <w:tcPr>
            <w:tcW w:w="8120" w:type="dxa"/>
            <w:vAlign w:val="bottom"/>
            <w:tcBorders>
              <w:top w:val="single" w:sz="8" w:color="auto"/>
            </w:tcBorders>
            <w:gridSpan w:val="3"/>
          </w:tcPr>
          <w:p>
            <w:pPr>
              <w:spacing w:after="0"/>
              <w:rPr>
                <w:sz w:val="20"/>
                <w:szCs w:val="20"/>
                <w:color w:val="auto"/>
              </w:rPr>
            </w:pPr>
            <w:r>
              <w:rPr>
                <w:rFonts w:ascii="Calibri" w:cs="Calibri" w:eastAsia="Calibri" w:hAnsi="Calibri"/>
                <w:sz w:val="18"/>
                <w:szCs w:val="18"/>
                <w:color w:val="auto"/>
              </w:rPr>
              <w:t>Weighted-average assumptons used to determine the postretrement beneft obligaton as of December 31 are:</w:t>
            </w:r>
          </w:p>
        </w:tc>
        <w:tc>
          <w:tcPr>
            <w:tcW w:w="12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132"/>
        </w:trPr>
        <w:tc>
          <w:tcPr>
            <w:tcW w:w="58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223"/>
        </w:trPr>
        <w:tc>
          <w:tcPr>
            <w:tcW w:w="5840" w:type="dxa"/>
            <w:vAlign w:val="bottom"/>
            <w:tcBorders>
              <w:bottom w:val="single" w:sz="8" w:color="007CBA"/>
            </w:tcBorders>
            <w:shd w:val="clear" w:color="auto" w:fill="007CBA"/>
          </w:tcPr>
          <w:p>
            <w:pPr>
              <w:spacing w:after="0"/>
              <w:rPr>
                <w:sz w:val="19"/>
                <w:szCs w:val="19"/>
                <w:color w:val="auto"/>
              </w:rPr>
            </w:pPr>
          </w:p>
        </w:tc>
        <w:tc>
          <w:tcPr>
            <w:tcW w:w="1600" w:type="dxa"/>
            <w:vAlign w:val="bottom"/>
            <w:tcBorders>
              <w:bottom w:val="single" w:sz="8" w:color="007CBA"/>
              <w:right w:val="single" w:sz="8" w:color="007CBA"/>
            </w:tcBorders>
            <w:shd w:val="clear" w:color="auto" w:fill="007CBA"/>
          </w:tcPr>
          <w:p>
            <w:pPr>
              <w:spacing w:after="0"/>
              <w:rPr>
                <w:sz w:val="19"/>
                <w:szCs w:val="19"/>
                <w:color w:val="auto"/>
              </w:rPr>
            </w:pPr>
          </w:p>
        </w:tc>
        <w:tc>
          <w:tcPr>
            <w:tcW w:w="680" w:type="dxa"/>
            <w:vAlign w:val="bottom"/>
            <w:tcBorders>
              <w:bottom w:val="single" w:sz="8" w:color="007CBA"/>
            </w:tcBorders>
            <w:shd w:val="clear" w:color="auto" w:fill="007CBA"/>
          </w:tcPr>
          <w:p>
            <w:pPr>
              <w:spacing w:after="0"/>
              <w:rPr>
                <w:sz w:val="19"/>
                <w:szCs w:val="19"/>
                <w:color w:val="auto"/>
              </w:rPr>
            </w:pPr>
          </w:p>
        </w:tc>
        <w:tc>
          <w:tcPr>
            <w:tcW w:w="1240" w:type="dxa"/>
            <w:vAlign w:val="bottom"/>
            <w:tcBorders>
              <w:bottom w:val="single" w:sz="8" w:color="007CBA"/>
              <w:right w:val="single" w:sz="8" w:color="007CBA"/>
            </w:tcBorders>
            <w:shd w:val="clear" w:color="auto" w:fill="007CBA"/>
          </w:tcPr>
          <w:p>
            <w:pPr>
              <w:jc w:val="right"/>
              <w:ind w:right="570"/>
              <w:spacing w:after="0" w:line="215" w:lineRule="exact"/>
              <w:rPr>
                <w:sz w:val="20"/>
                <w:szCs w:val="20"/>
                <w:color w:val="auto"/>
              </w:rPr>
            </w:pPr>
            <w:r>
              <w:rPr>
                <w:rFonts w:ascii="Calibri" w:cs="Calibri" w:eastAsia="Calibri" w:hAnsi="Calibri"/>
                <w:sz w:val="18"/>
                <w:szCs w:val="18"/>
                <w:b w:val="1"/>
                <w:bCs w:val="1"/>
                <w:color w:val="FFFFFF"/>
              </w:rPr>
              <w:t>2022</w:t>
            </w:r>
          </w:p>
        </w:tc>
        <w:tc>
          <w:tcPr>
            <w:tcW w:w="560" w:type="dxa"/>
            <w:vAlign w:val="bottom"/>
            <w:tcBorders>
              <w:bottom w:val="single" w:sz="8" w:color="007CBA"/>
            </w:tcBorders>
            <w:shd w:val="clear" w:color="auto" w:fill="007CBA"/>
          </w:tcPr>
          <w:p>
            <w:pPr>
              <w:spacing w:after="0"/>
              <w:rPr>
                <w:sz w:val="19"/>
                <w:szCs w:val="19"/>
                <w:color w:val="auto"/>
              </w:rPr>
            </w:pPr>
          </w:p>
        </w:tc>
        <w:tc>
          <w:tcPr>
            <w:tcW w:w="1320" w:type="dxa"/>
            <w:vAlign w:val="bottom"/>
            <w:tcBorders>
              <w:bottom w:val="single" w:sz="8" w:color="007CBA"/>
            </w:tcBorders>
            <w:shd w:val="clear" w:color="auto" w:fill="007CBA"/>
          </w:tcPr>
          <w:p>
            <w:pPr>
              <w:jc w:val="right"/>
              <w:ind w:right="570"/>
              <w:spacing w:after="0" w:line="215" w:lineRule="exact"/>
              <w:rPr>
                <w:sz w:val="20"/>
                <w:szCs w:val="20"/>
                <w:color w:val="auto"/>
              </w:rPr>
            </w:pPr>
            <w:r>
              <w:rPr>
                <w:rFonts w:ascii="Calibri" w:cs="Calibri" w:eastAsia="Calibri" w:hAnsi="Calibri"/>
                <w:sz w:val="18"/>
                <w:szCs w:val="18"/>
                <w:color w:val="FFFFFF"/>
              </w:rPr>
              <w:t>2021</w:t>
            </w:r>
          </w:p>
        </w:tc>
      </w:tr>
      <w:tr>
        <w:trPr>
          <w:trHeight w:val="215"/>
        </w:trPr>
        <w:tc>
          <w:tcPr>
            <w:tcW w:w="5840" w:type="dxa"/>
            <w:vAlign w:val="bottom"/>
          </w:tcPr>
          <w:p>
            <w:pPr>
              <w:ind w:left="120"/>
              <w:spacing w:after="0" w:line="215" w:lineRule="exact"/>
              <w:rPr>
                <w:sz w:val="20"/>
                <w:szCs w:val="20"/>
                <w:color w:val="auto"/>
              </w:rPr>
            </w:pPr>
            <w:r>
              <w:rPr>
                <w:rFonts w:ascii="Calibri" w:cs="Calibri" w:eastAsia="Calibri" w:hAnsi="Calibri"/>
                <w:sz w:val="18"/>
                <w:szCs w:val="18"/>
                <w:color w:val="auto"/>
              </w:rPr>
              <w:t>Discount rate</w:t>
            </w:r>
          </w:p>
        </w:tc>
        <w:tc>
          <w:tcPr>
            <w:tcW w:w="1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jc w:val="right"/>
              <w:ind w:right="530"/>
              <w:spacing w:after="0" w:line="215" w:lineRule="exact"/>
              <w:rPr>
                <w:sz w:val="20"/>
                <w:szCs w:val="20"/>
                <w:color w:val="auto"/>
              </w:rPr>
            </w:pPr>
            <w:r>
              <w:rPr>
                <w:rFonts w:ascii="Calibri" w:cs="Calibri" w:eastAsia="Calibri" w:hAnsi="Calibri"/>
                <w:sz w:val="18"/>
                <w:szCs w:val="18"/>
                <w:b w:val="1"/>
                <w:bCs w:val="1"/>
                <w:color w:val="auto"/>
              </w:rPr>
              <w:t>6.02%</w:t>
            </w:r>
          </w:p>
        </w:tc>
        <w:tc>
          <w:tcPr>
            <w:tcW w:w="560" w:type="dxa"/>
            <w:vAlign w:val="bottom"/>
          </w:tcPr>
          <w:p>
            <w:pPr>
              <w:spacing w:after="0"/>
              <w:rPr>
                <w:sz w:val="18"/>
                <w:szCs w:val="18"/>
                <w:color w:val="auto"/>
              </w:rPr>
            </w:pPr>
          </w:p>
        </w:tc>
        <w:tc>
          <w:tcPr>
            <w:tcW w:w="1320" w:type="dxa"/>
            <w:vAlign w:val="bottom"/>
          </w:tcPr>
          <w:p>
            <w:pPr>
              <w:jc w:val="right"/>
              <w:ind w:right="530"/>
              <w:spacing w:after="0" w:line="215" w:lineRule="exact"/>
              <w:rPr>
                <w:sz w:val="20"/>
                <w:szCs w:val="20"/>
                <w:color w:val="auto"/>
              </w:rPr>
            </w:pPr>
            <w:r>
              <w:rPr>
                <w:rFonts w:ascii="Calibri" w:cs="Calibri" w:eastAsia="Calibri" w:hAnsi="Calibri"/>
                <w:sz w:val="18"/>
                <w:szCs w:val="18"/>
                <w:color w:val="auto"/>
              </w:rPr>
              <w:t>3.02%</w:t>
            </w:r>
          </w:p>
        </w:tc>
      </w:tr>
      <w:tr>
        <w:trPr>
          <w:trHeight w:val="28"/>
        </w:trPr>
        <w:tc>
          <w:tcPr>
            <w:tcW w:w="9360" w:type="dxa"/>
            <w:vAlign w:val="bottom"/>
            <w:tcBorders>
              <w:bottom w:val="single" w:sz="8" w:color="auto"/>
            </w:tcBorders>
            <w:gridSpan w:val="4"/>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362"/>
        </w:trPr>
        <w:tc>
          <w:tcPr>
            <w:tcW w:w="9360" w:type="dxa"/>
            <w:vAlign w:val="bottom"/>
            <w:gridSpan w:val="4"/>
          </w:tcPr>
          <w:p>
            <w:pPr>
              <w:spacing w:after="0"/>
              <w:rPr>
                <w:sz w:val="20"/>
                <w:szCs w:val="20"/>
                <w:color w:val="auto"/>
              </w:rPr>
            </w:pPr>
            <w:r>
              <w:rPr>
                <w:rFonts w:ascii="Calibri" w:cs="Calibri" w:eastAsia="Calibri" w:hAnsi="Calibri"/>
                <w:sz w:val="18"/>
                <w:szCs w:val="18"/>
                <w:color w:val="auto"/>
              </w:rPr>
              <w:t>Weighted-average assumptons used to determine net postretrement beneft credit for the years ended December 31 are:</w:t>
            </w: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32"/>
        </w:trPr>
        <w:tc>
          <w:tcPr>
            <w:tcW w:w="5840" w:type="dxa"/>
            <w:vAlign w:val="bottom"/>
          </w:tcPr>
          <w:p>
            <w:pPr>
              <w:spacing w:after="0"/>
              <w:rPr>
                <w:sz w:val="11"/>
                <w:szCs w:val="11"/>
                <w:color w:val="auto"/>
              </w:rPr>
            </w:pPr>
          </w:p>
        </w:tc>
        <w:tc>
          <w:tcPr>
            <w:tcW w:w="2280" w:type="dxa"/>
            <w:vAlign w:val="bottom"/>
            <w:gridSpan w:val="2"/>
          </w:tcPr>
          <w:p>
            <w:pPr>
              <w:spacing w:after="0"/>
              <w:rPr>
                <w:sz w:val="11"/>
                <w:szCs w:val="11"/>
                <w:color w:val="auto"/>
              </w:rPr>
            </w:pPr>
          </w:p>
        </w:tc>
        <w:tc>
          <w:tcPr>
            <w:tcW w:w="1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223"/>
        </w:trPr>
        <w:tc>
          <w:tcPr>
            <w:tcW w:w="5840" w:type="dxa"/>
            <w:vAlign w:val="bottom"/>
            <w:tcBorders>
              <w:bottom w:val="single" w:sz="8" w:color="007CBA"/>
            </w:tcBorders>
            <w:shd w:val="clear" w:color="auto" w:fill="007CBA"/>
          </w:tcPr>
          <w:p>
            <w:pPr>
              <w:spacing w:after="0"/>
              <w:rPr>
                <w:sz w:val="19"/>
                <w:szCs w:val="19"/>
                <w:color w:val="auto"/>
              </w:rPr>
            </w:pPr>
          </w:p>
        </w:tc>
        <w:tc>
          <w:tcPr>
            <w:tcW w:w="2280" w:type="dxa"/>
            <w:vAlign w:val="bottom"/>
            <w:tcBorders>
              <w:bottom w:val="single" w:sz="8" w:color="007CBA"/>
            </w:tcBorders>
            <w:gridSpan w:val="2"/>
            <w:shd w:val="clear" w:color="auto" w:fill="007CBA"/>
          </w:tcPr>
          <w:p>
            <w:pPr>
              <w:jc w:val="right"/>
              <w:ind w:right="550"/>
              <w:spacing w:after="0" w:line="215" w:lineRule="exact"/>
              <w:rPr>
                <w:sz w:val="20"/>
                <w:szCs w:val="20"/>
                <w:color w:val="auto"/>
              </w:rPr>
            </w:pPr>
            <w:r>
              <w:rPr>
                <w:rFonts w:ascii="Calibri" w:cs="Calibri" w:eastAsia="Calibri" w:hAnsi="Calibri"/>
                <w:sz w:val="18"/>
                <w:szCs w:val="18"/>
                <w:b w:val="1"/>
                <w:bCs w:val="1"/>
                <w:color w:val="FFFFFF"/>
              </w:rPr>
              <w:t>2022</w:t>
            </w:r>
          </w:p>
        </w:tc>
        <w:tc>
          <w:tcPr>
            <w:tcW w:w="1240" w:type="dxa"/>
            <w:vAlign w:val="bottom"/>
            <w:tcBorders>
              <w:bottom w:val="single" w:sz="8" w:color="007CBA"/>
              <w:right w:val="single" w:sz="8" w:color="007CBA"/>
            </w:tcBorders>
            <w:shd w:val="clear" w:color="auto" w:fill="007CBA"/>
          </w:tcPr>
          <w:p>
            <w:pPr>
              <w:jc w:val="right"/>
              <w:ind w:right="170"/>
              <w:spacing w:after="0" w:line="215" w:lineRule="exact"/>
              <w:rPr>
                <w:sz w:val="20"/>
                <w:szCs w:val="20"/>
                <w:color w:val="auto"/>
              </w:rPr>
            </w:pPr>
            <w:r>
              <w:rPr>
                <w:rFonts w:ascii="Calibri" w:cs="Calibri" w:eastAsia="Calibri" w:hAnsi="Calibri"/>
                <w:sz w:val="18"/>
                <w:szCs w:val="18"/>
                <w:color w:val="FFFFFF"/>
              </w:rPr>
              <w:t>2021</w:t>
            </w:r>
          </w:p>
        </w:tc>
        <w:tc>
          <w:tcPr>
            <w:tcW w:w="560" w:type="dxa"/>
            <w:vAlign w:val="bottom"/>
            <w:tcBorders>
              <w:bottom w:val="single" w:sz="8" w:color="007CBA"/>
            </w:tcBorders>
            <w:shd w:val="clear" w:color="auto" w:fill="007CBA"/>
          </w:tcPr>
          <w:p>
            <w:pPr>
              <w:spacing w:after="0"/>
              <w:rPr>
                <w:sz w:val="19"/>
                <w:szCs w:val="19"/>
                <w:color w:val="auto"/>
              </w:rPr>
            </w:pPr>
          </w:p>
        </w:tc>
        <w:tc>
          <w:tcPr>
            <w:tcW w:w="1320" w:type="dxa"/>
            <w:vAlign w:val="bottom"/>
            <w:tcBorders>
              <w:bottom w:val="single" w:sz="8" w:color="007CBA"/>
            </w:tcBorders>
            <w:shd w:val="clear" w:color="auto" w:fill="007CBA"/>
          </w:tcPr>
          <w:p>
            <w:pPr>
              <w:jc w:val="right"/>
              <w:ind w:right="450"/>
              <w:spacing w:after="0" w:line="215" w:lineRule="exact"/>
              <w:rPr>
                <w:sz w:val="20"/>
                <w:szCs w:val="20"/>
                <w:color w:val="auto"/>
              </w:rPr>
            </w:pPr>
            <w:r>
              <w:rPr>
                <w:rFonts w:ascii="Calibri" w:cs="Calibri" w:eastAsia="Calibri" w:hAnsi="Calibri"/>
                <w:sz w:val="18"/>
                <w:szCs w:val="18"/>
                <w:color w:val="FFFFFF"/>
              </w:rPr>
              <w:t>2020</w:t>
            </w:r>
          </w:p>
        </w:tc>
      </w:tr>
      <w:tr>
        <w:trPr>
          <w:trHeight w:val="215"/>
        </w:trPr>
        <w:tc>
          <w:tcPr>
            <w:tcW w:w="5840" w:type="dxa"/>
            <w:vAlign w:val="bottom"/>
          </w:tcPr>
          <w:p>
            <w:pPr>
              <w:ind w:left="120"/>
              <w:spacing w:after="0" w:line="215" w:lineRule="exact"/>
              <w:rPr>
                <w:sz w:val="20"/>
                <w:szCs w:val="20"/>
                <w:color w:val="auto"/>
              </w:rPr>
            </w:pPr>
            <w:r>
              <w:rPr>
                <w:rFonts w:ascii="Calibri" w:cs="Calibri" w:eastAsia="Calibri" w:hAnsi="Calibri"/>
                <w:sz w:val="18"/>
                <w:szCs w:val="18"/>
                <w:color w:val="auto"/>
              </w:rPr>
              <w:t>Discount rate</w:t>
            </w:r>
          </w:p>
        </w:tc>
        <w:tc>
          <w:tcPr>
            <w:tcW w:w="2280" w:type="dxa"/>
            <w:vAlign w:val="bottom"/>
            <w:gridSpan w:val="2"/>
          </w:tcPr>
          <w:p>
            <w:pPr>
              <w:jc w:val="right"/>
              <w:ind w:right="510"/>
              <w:spacing w:after="0" w:line="215" w:lineRule="exact"/>
              <w:rPr>
                <w:sz w:val="20"/>
                <w:szCs w:val="20"/>
                <w:color w:val="auto"/>
              </w:rPr>
            </w:pPr>
            <w:r>
              <w:rPr>
                <w:rFonts w:ascii="Calibri" w:cs="Calibri" w:eastAsia="Calibri" w:hAnsi="Calibri"/>
                <w:sz w:val="18"/>
                <w:szCs w:val="18"/>
                <w:b w:val="1"/>
                <w:bCs w:val="1"/>
                <w:color w:val="auto"/>
              </w:rPr>
              <w:t>3.02%</w:t>
            </w:r>
          </w:p>
        </w:tc>
        <w:tc>
          <w:tcPr>
            <w:tcW w:w="124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2.48%</w:t>
            </w:r>
          </w:p>
        </w:tc>
        <w:tc>
          <w:tcPr>
            <w:tcW w:w="560" w:type="dxa"/>
            <w:vAlign w:val="bottom"/>
          </w:tcPr>
          <w:p>
            <w:pPr>
              <w:spacing w:after="0"/>
              <w:rPr>
                <w:sz w:val="18"/>
                <w:szCs w:val="18"/>
                <w:color w:val="auto"/>
              </w:rPr>
            </w:pPr>
          </w:p>
        </w:tc>
        <w:tc>
          <w:tcPr>
            <w:tcW w:w="1320" w:type="dxa"/>
            <w:vAlign w:val="bottom"/>
          </w:tcPr>
          <w:p>
            <w:pPr>
              <w:jc w:val="right"/>
              <w:ind w:right="410"/>
              <w:spacing w:after="0" w:line="215" w:lineRule="exact"/>
              <w:rPr>
                <w:sz w:val="20"/>
                <w:szCs w:val="20"/>
                <w:color w:val="auto"/>
              </w:rPr>
            </w:pPr>
            <w:r>
              <w:rPr>
                <w:rFonts w:ascii="Calibri" w:cs="Calibri" w:eastAsia="Calibri" w:hAnsi="Calibri"/>
                <w:sz w:val="18"/>
                <w:szCs w:val="18"/>
                <w:color w:val="auto"/>
              </w:rPr>
              <w:t>3.29%</w:t>
            </w:r>
          </w:p>
        </w:tc>
      </w:tr>
      <w:tr>
        <w:trPr>
          <w:trHeight w:val="28"/>
        </w:trPr>
        <w:tc>
          <w:tcPr>
            <w:tcW w:w="58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-3492500</wp:posOffset>
            </wp:positionV>
            <wp:extent cx="7132320" cy="3683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3">
                      <a:extLst>
                        <a:ext uri="{28A0092B-C50C-407E-A947-70E740481C1C}"/>
                      </a:extLst>
                    </a:blip>
                    <a:srcRect/>
                    <a:stretch>
                      <a:fillRect/>
                    </a:stretch>
                  </pic:blipFill>
                  <pic:spPr bwMode="auto">
                    <a:xfrm>
                      <a:off x="0" y="0"/>
                      <a:ext cx="7132320" cy="368300"/>
                    </a:xfrm>
                    <a:prstGeom prst="rect">
                      <a:avLst/>
                    </a:prstGeom>
                    <a:noFill/>
                  </pic:spPr>
                </pic:pic>
              </a:graphicData>
            </a:graphic>
          </wp:anchor>
        </w:drawing>
        <w:drawing>
          <wp:anchor simplePos="0" relativeHeight="251657728" behindDoc="1" locked="0" layoutInCell="0" allowOverlap="1">
            <wp:simplePos x="0" y="0"/>
            <wp:positionH relativeFrom="column">
              <wp:posOffset>4698365</wp:posOffset>
            </wp:positionH>
            <wp:positionV relativeFrom="paragraph">
              <wp:posOffset>-2549525</wp:posOffset>
            </wp:positionV>
            <wp:extent cx="34290" cy="18859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4">
                      <a:extLst>
                        <a:ext uri="{28A0092B-C50C-407E-A947-70E740481C1C}"/>
                      </a:extLst>
                    </a:blip>
                    <a:srcRect/>
                    <a:stretch>
                      <a:fillRect/>
                    </a:stretch>
                  </pic:blipFill>
                  <pic:spPr bwMode="auto">
                    <a:xfrm>
                      <a:off x="0" y="0"/>
                      <a:ext cx="34290" cy="18859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-2549525</wp:posOffset>
            </wp:positionV>
            <wp:extent cx="33655" cy="18859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5">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4698365</wp:posOffset>
            </wp:positionH>
            <wp:positionV relativeFrom="paragraph">
              <wp:posOffset>-1631950</wp:posOffset>
            </wp:positionV>
            <wp:extent cx="2438400" cy="3683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6">
                      <a:extLst>
                        <a:ext uri="{28A0092B-C50C-407E-A947-70E740481C1C}"/>
                      </a:extLst>
                    </a:blip>
                    <a:srcRect/>
                    <a:stretch>
                      <a:fillRect/>
                    </a:stretch>
                  </pic:blipFill>
                  <pic:spPr bwMode="auto">
                    <a:xfrm>
                      <a:off x="0" y="0"/>
                      <a:ext cx="2438400" cy="36830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-808990</wp:posOffset>
            </wp:positionV>
            <wp:extent cx="2421255" cy="18859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7">
                      <a:extLst>
                        <a:ext uri="{28A0092B-C50C-407E-A947-70E740481C1C}"/>
                      </a:extLst>
                    </a:blip>
                    <a:srcRect/>
                    <a:stretch>
                      <a:fillRect/>
                    </a:stretch>
                  </pic:blipFill>
                  <pic:spPr bwMode="auto">
                    <a:xfrm>
                      <a:off x="0" y="0"/>
                      <a:ext cx="2421255" cy="188595"/>
                    </a:xfrm>
                    <a:prstGeom prst="rect">
                      <a:avLst/>
                    </a:prstGeom>
                    <a:noFill/>
                  </pic:spPr>
                </pic:pic>
              </a:graphicData>
            </a:graphic>
          </wp:anchor>
        </w:drawing>
        <w:drawing>
          <wp:anchor simplePos="0" relativeHeight="251657728" behindDoc="1" locked="0" layoutInCell="0" allowOverlap="1">
            <wp:simplePos x="0" y="0"/>
            <wp:positionH relativeFrom="column">
              <wp:posOffset>4038600</wp:posOffset>
            </wp:positionH>
            <wp:positionV relativeFrom="paragraph">
              <wp:posOffset>-174625</wp:posOffset>
            </wp:positionV>
            <wp:extent cx="3098800" cy="18796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8">
                      <a:extLst>
                        <a:ext uri="{28A0092B-C50C-407E-A947-70E740481C1C}"/>
                      </a:extLst>
                    </a:blip>
                    <a:srcRect/>
                    <a:stretch>
                      <a:fillRect/>
                    </a:stretch>
                  </pic:blipFill>
                  <pic:spPr bwMode="auto">
                    <a:xfrm>
                      <a:off x="0" y="0"/>
                      <a:ext cx="3098800" cy="187960"/>
                    </a:xfrm>
                    <a:prstGeom prst="rect">
                      <a:avLst/>
                    </a:prstGeom>
                    <a:noFill/>
                  </pic:spPr>
                </pic:pic>
              </a:graphicData>
            </a:graphic>
          </wp:anchor>
        </w:drawing>
      </w:r>
    </w:p>
    <w:p>
      <w:pPr>
        <w:spacing w:after="0" w:line="13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2022 and 2021, the Company estmated the remaining lives of partcipants in the postretrement beneft plans using the Pri-2012 Base tables. The no-collar table was used for salaried partcipants and the blue-collar table was used for hourly partcipants; both tables were adjusted to refect the experience of the Company’s partcipants. The Company used the MP-2020 mortality improvement scale for the years 2022 and 2021.</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Assumed health care cost trend rates at December 31 are: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460" w:type="dxa"/>
            <w:vAlign w:val="bottom"/>
            <w:tcBorders>
              <w:right w:val="single" w:sz="8" w:color="007CBA"/>
            </w:tcBorders>
            <w:shd w:val="clear" w:color="auto" w:fill="007CBA"/>
          </w:tcPr>
          <w:p>
            <w:pPr>
              <w:spacing w:after="0"/>
              <w:rPr>
                <w:sz w:val="21"/>
                <w:szCs w:val="21"/>
                <w:color w:val="auto"/>
              </w:rPr>
            </w:pPr>
          </w:p>
        </w:tc>
        <w:tc>
          <w:tcPr>
            <w:tcW w:w="1900" w:type="dxa"/>
            <w:vAlign w:val="bottom"/>
            <w:tcBorders>
              <w:right w:val="single" w:sz="8" w:color="007CBA"/>
            </w:tcBorders>
            <w:shd w:val="clear" w:color="auto" w:fill="007CBA"/>
          </w:tcPr>
          <w:p>
            <w:pPr>
              <w:jc w:val="center"/>
              <w:ind w:left="130"/>
              <w:spacing w:after="0"/>
              <w:rPr>
                <w:sz w:val="20"/>
                <w:szCs w:val="20"/>
                <w:color w:val="auto"/>
              </w:rPr>
            </w:pPr>
            <w:r>
              <w:rPr>
                <w:rFonts w:ascii="Calibri" w:cs="Calibri" w:eastAsia="Calibri" w:hAnsi="Calibri"/>
                <w:sz w:val="18"/>
                <w:szCs w:val="18"/>
                <w:b w:val="1"/>
                <w:bCs w:val="1"/>
                <w:color w:val="FFFFFF"/>
                <w:w w:val="98"/>
              </w:rPr>
              <w:t>2022</w:t>
            </w:r>
          </w:p>
        </w:tc>
        <w:tc>
          <w:tcPr>
            <w:tcW w:w="1880" w:type="dxa"/>
            <w:vAlign w:val="bottom"/>
            <w:shd w:val="clear" w:color="auto" w:fill="007CBA"/>
          </w:tcPr>
          <w:p>
            <w:pPr>
              <w:jc w:val="center"/>
              <w:ind w:left="110"/>
              <w:spacing w:after="0"/>
              <w:rPr>
                <w:sz w:val="20"/>
                <w:szCs w:val="20"/>
                <w:color w:val="auto"/>
              </w:rPr>
            </w:pPr>
            <w:r>
              <w:rPr>
                <w:rFonts w:ascii="Calibri" w:cs="Calibri" w:eastAsia="Calibri" w:hAnsi="Calibri"/>
                <w:sz w:val="18"/>
                <w:szCs w:val="18"/>
                <w:color w:val="FFFFFF"/>
                <w:w w:val="98"/>
              </w:rPr>
              <w:t>2021</w:t>
            </w:r>
          </w:p>
        </w:tc>
      </w:tr>
      <w:tr>
        <w:trPr>
          <w:trHeight w:val="215"/>
        </w:trPr>
        <w:tc>
          <w:tcPr>
            <w:tcW w:w="74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Health care cost trend rate assumed for next year</w:t>
            </w:r>
          </w:p>
        </w:tc>
        <w:tc>
          <w:tcPr>
            <w:tcW w:w="1900" w:type="dxa"/>
            <w:vAlign w:val="bottom"/>
            <w:tcBorders>
              <w:right w:val="single" w:sz="8" w:color="007CBA"/>
            </w:tcBorders>
          </w:tcPr>
          <w:p>
            <w:pPr>
              <w:jc w:val="center"/>
              <w:ind w:left="130"/>
              <w:spacing w:after="0" w:line="215" w:lineRule="exact"/>
              <w:rPr>
                <w:sz w:val="20"/>
                <w:szCs w:val="20"/>
                <w:color w:val="auto"/>
              </w:rPr>
            </w:pPr>
            <w:r>
              <w:rPr>
                <w:rFonts w:ascii="Calibri" w:cs="Calibri" w:eastAsia="Calibri" w:hAnsi="Calibri"/>
                <w:sz w:val="18"/>
                <w:szCs w:val="18"/>
                <w:b w:val="1"/>
                <w:bCs w:val="1"/>
                <w:color w:val="auto"/>
                <w:w w:val="97"/>
              </w:rPr>
              <w:t>6.75%</w:t>
            </w:r>
          </w:p>
        </w:tc>
        <w:tc>
          <w:tcPr>
            <w:tcW w:w="1880" w:type="dxa"/>
            <w:vAlign w:val="bottom"/>
          </w:tcPr>
          <w:p>
            <w:pPr>
              <w:jc w:val="center"/>
              <w:ind w:left="110"/>
              <w:spacing w:after="0" w:line="215" w:lineRule="exact"/>
              <w:rPr>
                <w:sz w:val="20"/>
                <w:szCs w:val="20"/>
                <w:color w:val="auto"/>
              </w:rPr>
            </w:pPr>
            <w:r>
              <w:rPr>
                <w:rFonts w:ascii="Calibri" w:cs="Calibri" w:eastAsia="Calibri" w:hAnsi="Calibri"/>
                <w:sz w:val="18"/>
                <w:szCs w:val="18"/>
                <w:color w:val="auto"/>
                <w:w w:val="98"/>
              </w:rPr>
              <w:t>6.25%</w:t>
            </w:r>
          </w:p>
        </w:tc>
      </w:tr>
      <w:tr>
        <w:trPr>
          <w:trHeight w:val="28"/>
        </w:trPr>
        <w:tc>
          <w:tcPr>
            <w:tcW w:w="7460" w:type="dxa"/>
            <w:vAlign w:val="bottom"/>
            <w:tcBorders>
              <w:right w:val="single" w:sz="8" w:color="007CBA"/>
            </w:tcBorders>
          </w:tcPr>
          <w:p>
            <w:pPr>
              <w:spacing w:after="0"/>
              <w:rPr>
                <w:sz w:val="2"/>
                <w:szCs w:val="2"/>
                <w:color w:val="auto"/>
              </w:rPr>
            </w:pPr>
          </w:p>
        </w:tc>
        <w:tc>
          <w:tcPr>
            <w:tcW w:w="1900" w:type="dxa"/>
            <w:vAlign w:val="bottom"/>
            <w:tcBorders>
              <w:right w:val="single" w:sz="8" w:color="007CBA"/>
            </w:tcBorders>
          </w:tcPr>
          <w:p>
            <w:pPr>
              <w:spacing w:after="0"/>
              <w:rPr>
                <w:sz w:val="2"/>
                <w:szCs w:val="2"/>
                <w:color w:val="auto"/>
              </w:rPr>
            </w:pPr>
          </w:p>
        </w:tc>
        <w:tc>
          <w:tcPr>
            <w:tcW w:w="1880" w:type="dxa"/>
            <w:vAlign w:val="bottom"/>
          </w:tcPr>
          <w:p>
            <w:pPr>
              <w:spacing w:after="0"/>
              <w:rPr>
                <w:sz w:val="2"/>
                <w:szCs w:val="2"/>
                <w:color w:val="auto"/>
              </w:rPr>
            </w:pPr>
          </w:p>
        </w:tc>
      </w:tr>
      <w:tr>
        <w:trPr>
          <w:trHeight w:val="223"/>
        </w:trPr>
        <w:tc>
          <w:tcPr>
            <w:tcW w:w="746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Rate to which the cost trend rate gradually declines</w:t>
            </w:r>
          </w:p>
        </w:tc>
        <w:tc>
          <w:tcPr>
            <w:tcW w:w="1900" w:type="dxa"/>
            <w:vAlign w:val="bottom"/>
            <w:tcBorders>
              <w:bottom w:val="single" w:sz="8" w:color="E5F1F8"/>
              <w:right w:val="single" w:sz="8" w:color="007CBA"/>
            </w:tcBorders>
            <w:shd w:val="clear" w:color="auto" w:fill="E5F1F8"/>
          </w:tcPr>
          <w:p>
            <w:pPr>
              <w:jc w:val="center"/>
              <w:ind w:left="130"/>
              <w:spacing w:after="0" w:line="215" w:lineRule="exact"/>
              <w:rPr>
                <w:sz w:val="20"/>
                <w:szCs w:val="20"/>
                <w:color w:val="auto"/>
              </w:rPr>
            </w:pPr>
            <w:r>
              <w:rPr>
                <w:rFonts w:ascii="Calibri" w:cs="Calibri" w:eastAsia="Calibri" w:hAnsi="Calibri"/>
                <w:sz w:val="18"/>
                <w:szCs w:val="18"/>
                <w:b w:val="1"/>
                <w:bCs w:val="1"/>
                <w:color w:val="auto"/>
                <w:w w:val="97"/>
              </w:rPr>
              <w:t>4.75%</w:t>
            </w:r>
          </w:p>
        </w:tc>
        <w:tc>
          <w:tcPr>
            <w:tcW w:w="1880" w:type="dxa"/>
            <w:vAlign w:val="bottom"/>
            <w:tcBorders>
              <w:bottom w:val="single" w:sz="8" w:color="E5F1F8"/>
            </w:tcBorders>
            <w:shd w:val="clear" w:color="auto" w:fill="E5F1F8"/>
          </w:tcPr>
          <w:p>
            <w:pPr>
              <w:jc w:val="center"/>
              <w:ind w:left="110"/>
              <w:spacing w:after="0" w:line="215" w:lineRule="exact"/>
              <w:rPr>
                <w:sz w:val="20"/>
                <w:szCs w:val="20"/>
                <w:color w:val="auto"/>
              </w:rPr>
            </w:pPr>
            <w:r>
              <w:rPr>
                <w:rFonts w:ascii="Calibri" w:cs="Calibri" w:eastAsia="Calibri" w:hAnsi="Calibri"/>
                <w:sz w:val="18"/>
                <w:szCs w:val="18"/>
                <w:color w:val="auto"/>
                <w:w w:val="98"/>
              </w:rPr>
              <w:t>4.75%</w:t>
            </w:r>
          </w:p>
        </w:tc>
      </w:tr>
      <w:tr>
        <w:trPr>
          <w:trHeight w:val="215"/>
        </w:trPr>
        <w:tc>
          <w:tcPr>
            <w:tcW w:w="7460" w:type="dxa"/>
            <w:vAlign w:val="bottom"/>
          </w:tcPr>
          <w:p>
            <w:pPr>
              <w:ind w:left="120"/>
              <w:spacing w:after="0" w:line="215" w:lineRule="exact"/>
              <w:rPr>
                <w:sz w:val="20"/>
                <w:szCs w:val="20"/>
                <w:color w:val="auto"/>
              </w:rPr>
            </w:pPr>
            <w:r>
              <w:rPr>
                <w:rFonts w:ascii="Calibri" w:cs="Calibri" w:eastAsia="Calibri" w:hAnsi="Calibri"/>
                <w:sz w:val="18"/>
                <w:szCs w:val="18"/>
                <w:color w:val="auto"/>
              </w:rPr>
              <w:t>Year the rate reaches the ultmate rate</w:t>
            </w:r>
          </w:p>
        </w:tc>
        <w:tc>
          <w:tcPr>
            <w:tcW w:w="1900" w:type="dxa"/>
            <w:vAlign w:val="bottom"/>
          </w:tcPr>
          <w:p>
            <w:pPr>
              <w:jc w:val="center"/>
              <w:ind w:left="130"/>
              <w:spacing w:after="0" w:line="215" w:lineRule="exact"/>
              <w:rPr>
                <w:sz w:val="20"/>
                <w:szCs w:val="20"/>
                <w:color w:val="auto"/>
              </w:rPr>
            </w:pPr>
            <w:r>
              <w:rPr>
                <w:rFonts w:ascii="Calibri" w:cs="Calibri" w:eastAsia="Calibri" w:hAnsi="Calibri"/>
                <w:sz w:val="18"/>
                <w:szCs w:val="18"/>
                <w:b w:val="1"/>
                <w:bCs w:val="1"/>
                <w:color w:val="auto"/>
                <w:w w:val="98"/>
              </w:rPr>
              <w:t>2031</w:t>
            </w:r>
          </w:p>
        </w:tc>
        <w:tc>
          <w:tcPr>
            <w:tcW w:w="1880" w:type="dxa"/>
            <w:vAlign w:val="bottom"/>
          </w:tcPr>
          <w:p>
            <w:pPr>
              <w:jc w:val="center"/>
              <w:ind w:left="110"/>
              <w:spacing w:after="0" w:line="215" w:lineRule="exact"/>
              <w:rPr>
                <w:sz w:val="20"/>
                <w:szCs w:val="20"/>
                <w:color w:val="auto"/>
              </w:rPr>
            </w:pPr>
            <w:r>
              <w:rPr>
                <w:rFonts w:ascii="Calibri" w:cs="Calibri" w:eastAsia="Calibri" w:hAnsi="Calibri"/>
                <w:sz w:val="18"/>
                <w:szCs w:val="18"/>
                <w:color w:val="auto"/>
                <w:w w:val="98"/>
              </w:rPr>
              <w:t>2028</w:t>
            </w:r>
          </w:p>
        </w:tc>
      </w:tr>
      <w:tr>
        <w:trPr>
          <w:trHeight w:val="28"/>
        </w:trPr>
        <w:tc>
          <w:tcPr>
            <w:tcW w:w="74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4715510</wp:posOffset>
            </wp:positionH>
            <wp:positionV relativeFrom="paragraph">
              <wp:posOffset>-174625</wp:posOffset>
            </wp:positionV>
            <wp:extent cx="2421255" cy="18796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9">
                      <a:extLst>
                        <a:ext uri="{28A0092B-C50C-407E-A947-70E740481C1C}"/>
                      </a:extLst>
                    </a:blip>
                    <a:srcRect/>
                    <a:stretch>
                      <a:fillRect/>
                    </a:stretch>
                  </pic:blipFill>
                  <pic:spPr bwMode="auto">
                    <a:xfrm>
                      <a:off x="0" y="0"/>
                      <a:ext cx="2421255" cy="18796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Company estmates that it will contribute $1.0 million to its postretrement health care plans in 2023.</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total expected beneft payments to be paid by the Company, net of partcipant contributons, for each of the next fve years and the fve-year period thereafer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96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color w:val="FFFFFF"/>
              </w:rPr>
              <w:t>(in millions)</w:t>
            </w:r>
          </w:p>
        </w:tc>
        <w:tc>
          <w:tcPr>
            <w:tcW w:w="1140" w:type="dxa"/>
            <w:vAlign w:val="bottom"/>
            <w:shd w:val="clear" w:color="auto" w:fill="007CBA"/>
          </w:tcPr>
          <w:p>
            <w:pPr>
              <w:spacing w:after="0"/>
              <w:rPr>
                <w:sz w:val="21"/>
                <w:szCs w:val="21"/>
                <w:color w:val="auto"/>
              </w:rPr>
            </w:pPr>
          </w:p>
        </w:tc>
        <w:tc>
          <w:tcPr>
            <w:tcW w:w="1140" w:type="dxa"/>
            <w:vAlign w:val="bottom"/>
            <w:shd w:val="clear" w:color="auto" w:fill="007CBA"/>
          </w:tcPr>
          <w:p>
            <w:pPr>
              <w:spacing w:after="0"/>
              <w:rPr>
                <w:sz w:val="21"/>
                <w:szCs w:val="21"/>
                <w:color w:val="auto"/>
              </w:rPr>
            </w:pPr>
          </w:p>
        </w:tc>
      </w:tr>
      <w:tr>
        <w:trPr>
          <w:trHeight w:val="215"/>
        </w:trPr>
        <w:tc>
          <w:tcPr>
            <w:tcW w:w="89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2023</w:t>
            </w:r>
          </w:p>
        </w:tc>
        <w:tc>
          <w:tcPr>
            <w:tcW w:w="1140" w:type="dxa"/>
            <w:vAlign w:val="bottom"/>
          </w:tcPr>
          <w:p>
            <w:pPr>
              <w:jc w:val="right"/>
              <w:ind w:right="71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1.0</w:t>
            </w:r>
          </w:p>
        </w:tc>
      </w:tr>
      <w:tr>
        <w:trPr>
          <w:trHeight w:val="28"/>
        </w:trPr>
        <w:tc>
          <w:tcPr>
            <w:tcW w:w="8960" w:type="dxa"/>
            <w:vAlign w:val="bottom"/>
            <w:tcBorders>
              <w:right w:val="single" w:sz="8" w:color="007CBA"/>
            </w:tcBorders>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96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2024</w:t>
            </w:r>
          </w:p>
        </w:tc>
        <w:tc>
          <w:tcPr>
            <w:tcW w:w="1140" w:type="dxa"/>
            <w:vAlign w:val="bottom"/>
            <w:tcBorders>
              <w:bottom w:val="single" w:sz="8" w:color="E5F1F8"/>
            </w:tcBorders>
            <w:shd w:val="clear" w:color="auto" w:fill="E5F1F8"/>
          </w:tcPr>
          <w:p>
            <w:pPr>
              <w:jc w:val="right"/>
              <w:ind w:right="71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1.3</w:t>
            </w:r>
          </w:p>
        </w:tc>
      </w:tr>
      <w:tr>
        <w:trPr>
          <w:trHeight w:val="215"/>
        </w:trPr>
        <w:tc>
          <w:tcPr>
            <w:tcW w:w="89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2025</w:t>
            </w:r>
          </w:p>
        </w:tc>
        <w:tc>
          <w:tcPr>
            <w:tcW w:w="1140" w:type="dxa"/>
            <w:vAlign w:val="bottom"/>
          </w:tcPr>
          <w:p>
            <w:pPr>
              <w:jc w:val="right"/>
              <w:ind w:right="71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1.2</w:t>
            </w:r>
          </w:p>
        </w:tc>
      </w:tr>
      <w:tr>
        <w:trPr>
          <w:trHeight w:val="28"/>
        </w:trPr>
        <w:tc>
          <w:tcPr>
            <w:tcW w:w="8960" w:type="dxa"/>
            <w:vAlign w:val="bottom"/>
            <w:tcBorders>
              <w:right w:val="single" w:sz="8" w:color="007CBA"/>
            </w:tcBorders>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96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2026</w:t>
            </w:r>
          </w:p>
        </w:tc>
        <w:tc>
          <w:tcPr>
            <w:tcW w:w="1140" w:type="dxa"/>
            <w:vAlign w:val="bottom"/>
            <w:tcBorders>
              <w:bottom w:val="single" w:sz="8" w:color="E5F1F8"/>
            </w:tcBorders>
            <w:shd w:val="clear" w:color="auto" w:fill="E5F1F8"/>
          </w:tcPr>
          <w:p>
            <w:pPr>
              <w:jc w:val="right"/>
              <w:ind w:right="71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1.1</w:t>
            </w:r>
          </w:p>
        </w:tc>
      </w:tr>
      <w:tr>
        <w:trPr>
          <w:trHeight w:val="243"/>
        </w:trPr>
        <w:tc>
          <w:tcPr>
            <w:tcW w:w="89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2027</w:t>
            </w:r>
          </w:p>
        </w:tc>
        <w:tc>
          <w:tcPr>
            <w:tcW w:w="1140" w:type="dxa"/>
            <w:vAlign w:val="bottom"/>
          </w:tcPr>
          <w:p>
            <w:pPr>
              <w:jc w:val="right"/>
              <w:ind w:right="71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1.0</w:t>
            </w:r>
          </w:p>
        </w:tc>
      </w:tr>
      <w:tr>
        <w:trPr>
          <w:trHeight w:val="223"/>
        </w:trPr>
        <w:tc>
          <w:tcPr>
            <w:tcW w:w="896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Years 2028 -2032</w:t>
            </w:r>
          </w:p>
        </w:tc>
        <w:tc>
          <w:tcPr>
            <w:tcW w:w="1140" w:type="dxa"/>
            <w:vAlign w:val="bottom"/>
            <w:tcBorders>
              <w:bottom w:val="single" w:sz="8" w:color="E5F1F8"/>
            </w:tcBorders>
            <w:shd w:val="clear" w:color="auto" w:fill="E5F1F8"/>
          </w:tcPr>
          <w:p>
            <w:pPr>
              <w:jc w:val="right"/>
              <w:ind w:right="71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3.9</w:t>
            </w:r>
          </w:p>
        </w:tc>
      </w:tr>
      <w:tr>
        <w:trPr>
          <w:trHeight w:val="20"/>
        </w:trPr>
        <w:tc>
          <w:tcPr>
            <w:tcW w:w="8960" w:type="dxa"/>
            <w:vAlign w:val="bottom"/>
            <w:tcBorders>
              <w:right w:val="single" w:sz="8" w:color="auto"/>
            </w:tcBorders>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5658485</wp:posOffset>
            </wp:positionH>
            <wp:positionV relativeFrom="paragraph">
              <wp:posOffset>-174625</wp:posOffset>
            </wp:positionV>
            <wp:extent cx="33655" cy="18796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0">
                      <a:extLst>
                        <a:ext uri="{28A0092B-C50C-407E-A947-70E740481C1C}"/>
                      </a:extLst>
                    </a:blip>
                    <a:srcRect/>
                    <a:stretch>
                      <a:fillRect/>
                    </a:stretch>
                  </pic:blipFill>
                  <pic:spPr bwMode="auto">
                    <a:xfrm>
                      <a:off x="0" y="0"/>
                      <a:ext cx="33655" cy="18796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213995</wp:posOffset>
            </wp:positionV>
            <wp:extent cx="325755" cy="19685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1">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34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04" w:name="page105"/>
    <w:bookmarkEnd w:id="104"/>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Defned Contributon Plan</w:t>
      </w:r>
      <w:r>
        <w:rPr>
          <w:rFonts w:ascii="Calibri" w:cs="Calibri" w:eastAsia="Calibri" w:hAnsi="Calibri"/>
          <w:sz w:val="18"/>
          <w:szCs w:val="18"/>
          <w:i w:val="1"/>
          <w:iCs w:val="1"/>
          <w:color w:val="4EAD8A"/>
        </w:rPr>
        <w:t>.</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The Company maintains a defned contributon plan that covers substantally all employees. This plan, qualifed under Secton</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401(a) of the Internal Revenue Code, is a retrement savings and investment plan for the Company’s salaried and hourly employees</w:t>
      </w:r>
      <w:r>
        <w:rPr>
          <w:rFonts w:ascii="Calibri" w:cs="Calibri" w:eastAsia="Calibri" w:hAnsi="Calibri"/>
          <w:sz w:val="18"/>
          <w:szCs w:val="18"/>
          <w:b w:val="1"/>
          <w:bCs w:val="1"/>
          <w:i w:val="1"/>
          <w:iCs w:val="1"/>
          <w:color w:val="000000"/>
        </w:rPr>
        <w:t>.</w:t>
      </w:r>
      <w:r>
        <w:rPr>
          <w:rFonts w:ascii="Calibri" w:cs="Calibri" w:eastAsia="Calibri" w:hAnsi="Calibri"/>
          <w:sz w:val="18"/>
          <w:szCs w:val="18"/>
          <w:color w:val="000000"/>
        </w:rPr>
        <w:t xml:space="preserve"> Under certain provisions of the plan, the Company matches employees’ eligible contributons at established rates. The Company’s matching obligatons were $23.1 million in 2022, $20.5 million in 2021 and $17.9 million in 2020.</w:t>
      </w:r>
    </w:p>
    <w:p>
      <w:pPr>
        <w:spacing w:after="0" w:line="21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L: Stock-Based Compensaton</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May 19, 2016, the Company’s shareholders approved the Martn Marieta Amended and Restated Stock-Based Award Plan. The Martn Marieta Materials, Inc. Stock-Based Award Plan, as amended from tme to tme, along with the Amended Omnibus Securites Award Plan, originally approved in 1994 (collectvely, the Plans), are stll efectve for awards made prior to 2017. The Company has been authorized by the Board of Directors to repurchase shares of the Company’s common stock for issuance under the stock-based award plans (see Note 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grants restricted stock awards under the Plans to a group of executve ofcers, key personnel and nonemployee members of the Board of Directors. The vestng of certain restricted stock awards is based on certain performance criteria over a specifed period of tme. The number of shares may be increased to the maximum or reduced to the minimum threshold based on the results of those criteria. In additon, certain awards are granted to individuals to encourage retenton and motvate key employees. These awards generally vest if the employee is contnuously employed over a specifed period of tme and require no payment from the employee. Awards granted to nonemployee members of the Board of Directors vest immediately.</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fair value of stock-based award grants is expensed over the vestng period. Awards to employees eligible for retrement prior to the award becoming fully vested are expensed over the period through the date that the employee frst becomes eligible to retre and is no longer required to provide service to earn the award. Awards granted to nonemployee members of the Board of Directors are expensed immediately.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Additonally, an incentve compensaton stock plan has been adopted under the Plans whereby certain partcipants may elect to use up to 50% of their annual incentve compensaton to acquire units representng shares of the Company’s common stock at a 20% discount to the market value on the date of the incentve compensaton award. Partcipants receive unrestricted shares of common stock in an amount equal to their respectve units generally at the end of a 34-month period of additonal employment from the date of award or at retrement beginning at age 62. All rights of ownership of the common stock convey to the partcipants upon the issuance of their respectve shares at the end of the ownership-vestng period.</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informaton for restricted stock awards and incentve compensaton stock awards for 2022:</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480" w:type="dxa"/>
            <w:vAlign w:val="bottom"/>
            <w:tcBorders>
              <w:right w:val="single" w:sz="8" w:color="007CBA"/>
            </w:tcBorders>
            <w:shd w:val="clear" w:color="auto" w:fill="007CBA"/>
          </w:tcPr>
          <w:p>
            <w:pPr>
              <w:spacing w:after="0"/>
              <w:rPr>
                <w:sz w:val="17"/>
                <w:szCs w:val="17"/>
                <w:color w:val="auto"/>
              </w:rPr>
            </w:pPr>
          </w:p>
        </w:tc>
        <w:tc>
          <w:tcPr>
            <w:tcW w:w="2980" w:type="dxa"/>
            <w:vAlign w:val="bottom"/>
            <w:tcBorders>
              <w:right w:val="single" w:sz="8" w:color="007CBA"/>
            </w:tcBorders>
            <w:gridSpan w:val="4"/>
            <w:shd w:val="clear" w:color="auto" w:fill="007CBA"/>
          </w:tcPr>
          <w:p>
            <w:pPr>
              <w:jc w:val="right"/>
              <w:ind w:right="839"/>
              <w:spacing w:after="0"/>
              <w:rPr>
                <w:sz w:val="20"/>
                <w:szCs w:val="20"/>
                <w:color w:val="auto"/>
              </w:rPr>
            </w:pPr>
            <w:r>
              <w:rPr>
                <w:rFonts w:ascii="Calibri" w:cs="Calibri" w:eastAsia="Calibri" w:hAnsi="Calibri"/>
                <w:sz w:val="16"/>
                <w:szCs w:val="16"/>
                <w:b w:val="1"/>
                <w:bCs w:val="1"/>
                <w:color w:val="FFFFFF"/>
              </w:rPr>
              <w:t>Restricted Stock -</w:t>
            </w:r>
          </w:p>
        </w:tc>
        <w:tc>
          <w:tcPr>
            <w:tcW w:w="140" w:type="dxa"/>
            <w:vAlign w:val="bottom"/>
            <w:shd w:val="clear" w:color="auto" w:fill="007CBA"/>
          </w:tcPr>
          <w:p>
            <w:pPr>
              <w:spacing w:after="0"/>
              <w:rPr>
                <w:sz w:val="17"/>
                <w:szCs w:val="17"/>
                <w:color w:val="auto"/>
              </w:rPr>
            </w:pPr>
          </w:p>
        </w:tc>
        <w:tc>
          <w:tcPr>
            <w:tcW w:w="2780" w:type="dxa"/>
            <w:vAlign w:val="bottom"/>
            <w:tcBorders>
              <w:right w:val="single" w:sz="8" w:color="007CBA"/>
            </w:tcBorders>
            <w:gridSpan w:val="4"/>
            <w:shd w:val="clear" w:color="auto" w:fill="007CBA"/>
          </w:tcPr>
          <w:p>
            <w:pPr>
              <w:jc w:val="right"/>
              <w:ind w:right="799"/>
              <w:spacing w:after="0"/>
              <w:rPr>
                <w:sz w:val="20"/>
                <w:szCs w:val="20"/>
                <w:color w:val="auto"/>
              </w:rPr>
            </w:pPr>
            <w:r>
              <w:rPr>
                <w:rFonts w:ascii="Calibri" w:cs="Calibri" w:eastAsia="Calibri" w:hAnsi="Calibri"/>
                <w:sz w:val="16"/>
                <w:szCs w:val="16"/>
                <w:b w:val="1"/>
                <w:bCs w:val="1"/>
                <w:color w:val="FFFFFF"/>
              </w:rPr>
              <w:t>Restricted Stock -</w:t>
            </w:r>
          </w:p>
        </w:tc>
        <w:tc>
          <w:tcPr>
            <w:tcW w:w="100" w:type="dxa"/>
            <w:vAlign w:val="bottom"/>
            <w:shd w:val="clear" w:color="auto" w:fill="007CBA"/>
          </w:tcPr>
          <w:p>
            <w:pPr>
              <w:spacing w:after="0"/>
              <w:rPr>
                <w:sz w:val="17"/>
                <w:szCs w:val="17"/>
                <w:color w:val="auto"/>
              </w:rPr>
            </w:pPr>
          </w:p>
        </w:tc>
        <w:tc>
          <w:tcPr>
            <w:tcW w:w="1280" w:type="dxa"/>
            <w:vAlign w:val="bottom"/>
            <w:shd w:val="clear" w:color="auto" w:fill="007CBA"/>
          </w:tcPr>
          <w:p>
            <w:pPr>
              <w:spacing w:after="0"/>
              <w:rPr>
                <w:sz w:val="17"/>
                <w:szCs w:val="17"/>
                <w:color w:val="auto"/>
              </w:rPr>
            </w:pPr>
          </w:p>
        </w:tc>
        <w:tc>
          <w:tcPr>
            <w:tcW w:w="180" w:type="dxa"/>
            <w:vAlign w:val="bottom"/>
            <w:shd w:val="clear" w:color="auto" w:fill="007CBA"/>
          </w:tcPr>
          <w:p>
            <w:pPr>
              <w:spacing w:after="0"/>
              <w:rPr>
                <w:sz w:val="17"/>
                <w:szCs w:val="17"/>
                <w:color w:val="auto"/>
              </w:rPr>
            </w:pPr>
          </w:p>
        </w:tc>
        <w:tc>
          <w:tcPr>
            <w:tcW w:w="140" w:type="dxa"/>
            <w:vAlign w:val="bottom"/>
            <w:shd w:val="clear" w:color="auto" w:fill="007CBA"/>
          </w:tcPr>
          <w:p>
            <w:pPr>
              <w:spacing w:after="0"/>
              <w:rPr>
                <w:sz w:val="17"/>
                <w:szCs w:val="17"/>
                <w:color w:val="auto"/>
              </w:rPr>
            </w:pPr>
          </w:p>
        </w:tc>
        <w:tc>
          <w:tcPr>
            <w:tcW w:w="1160" w:type="dxa"/>
            <w:vAlign w:val="bottom"/>
            <w:shd w:val="clear" w:color="auto" w:fill="007CBA"/>
          </w:tcPr>
          <w:p>
            <w:pPr>
              <w:spacing w:after="0"/>
              <w:rPr>
                <w:sz w:val="17"/>
                <w:szCs w:val="17"/>
                <w:color w:val="auto"/>
              </w:rPr>
            </w:pPr>
          </w:p>
        </w:tc>
      </w:tr>
      <w:tr>
        <w:trPr>
          <w:trHeight w:val="193"/>
        </w:trPr>
        <w:tc>
          <w:tcPr>
            <w:tcW w:w="2480" w:type="dxa"/>
            <w:vAlign w:val="bottom"/>
            <w:tcBorders>
              <w:right w:val="single" w:sz="8" w:color="007CBA"/>
            </w:tcBorders>
            <w:shd w:val="clear" w:color="auto" w:fill="007CBA"/>
          </w:tcPr>
          <w:p>
            <w:pPr>
              <w:spacing w:after="0"/>
              <w:rPr>
                <w:sz w:val="16"/>
                <w:szCs w:val="16"/>
                <w:color w:val="auto"/>
              </w:rPr>
            </w:pPr>
          </w:p>
        </w:tc>
        <w:tc>
          <w:tcPr>
            <w:tcW w:w="2980" w:type="dxa"/>
            <w:vAlign w:val="bottom"/>
            <w:tcBorders>
              <w:right w:val="single" w:sz="8" w:color="007CBA"/>
            </w:tcBorders>
            <w:gridSpan w:val="4"/>
            <w:shd w:val="clear" w:color="auto" w:fill="007CBA"/>
          </w:tcPr>
          <w:p>
            <w:pPr>
              <w:jc w:val="right"/>
              <w:ind w:right="939"/>
              <w:spacing w:after="0" w:line="193" w:lineRule="exact"/>
              <w:rPr>
                <w:sz w:val="20"/>
                <w:szCs w:val="20"/>
                <w:color w:val="auto"/>
              </w:rPr>
            </w:pPr>
            <w:r>
              <w:rPr>
                <w:rFonts w:ascii="Calibri" w:cs="Calibri" w:eastAsia="Calibri" w:hAnsi="Calibri"/>
                <w:sz w:val="16"/>
                <w:szCs w:val="16"/>
                <w:b w:val="1"/>
                <w:bCs w:val="1"/>
                <w:color w:val="FFFFFF"/>
              </w:rPr>
              <w:t>Service Based</w:t>
            </w:r>
          </w:p>
        </w:tc>
        <w:tc>
          <w:tcPr>
            <w:tcW w:w="140" w:type="dxa"/>
            <w:vAlign w:val="bottom"/>
            <w:shd w:val="clear" w:color="auto" w:fill="007CBA"/>
          </w:tcPr>
          <w:p>
            <w:pPr>
              <w:spacing w:after="0"/>
              <w:rPr>
                <w:sz w:val="16"/>
                <w:szCs w:val="16"/>
                <w:color w:val="auto"/>
              </w:rPr>
            </w:pPr>
          </w:p>
        </w:tc>
        <w:tc>
          <w:tcPr>
            <w:tcW w:w="2780" w:type="dxa"/>
            <w:vAlign w:val="bottom"/>
            <w:tcBorders>
              <w:right w:val="single" w:sz="8" w:color="007CBA"/>
            </w:tcBorders>
            <w:gridSpan w:val="4"/>
            <w:shd w:val="clear" w:color="auto" w:fill="007CBA"/>
          </w:tcPr>
          <w:p>
            <w:pPr>
              <w:jc w:val="right"/>
              <w:ind w:right="719"/>
              <w:spacing w:after="0" w:line="193" w:lineRule="exact"/>
              <w:rPr>
                <w:sz w:val="20"/>
                <w:szCs w:val="20"/>
                <w:color w:val="auto"/>
              </w:rPr>
            </w:pPr>
            <w:r>
              <w:rPr>
                <w:rFonts w:ascii="Calibri" w:cs="Calibri" w:eastAsia="Calibri" w:hAnsi="Calibri"/>
                <w:sz w:val="16"/>
                <w:szCs w:val="16"/>
                <w:b w:val="1"/>
                <w:bCs w:val="1"/>
                <w:color w:val="FFFFFF"/>
              </w:rPr>
              <w:t>Performance Based</w:t>
            </w:r>
          </w:p>
        </w:tc>
        <w:tc>
          <w:tcPr>
            <w:tcW w:w="100" w:type="dxa"/>
            <w:vAlign w:val="bottom"/>
            <w:shd w:val="clear" w:color="auto" w:fill="007CBA"/>
          </w:tcPr>
          <w:p>
            <w:pPr>
              <w:spacing w:after="0"/>
              <w:rPr>
                <w:sz w:val="16"/>
                <w:szCs w:val="16"/>
                <w:color w:val="auto"/>
              </w:rPr>
            </w:pPr>
          </w:p>
        </w:tc>
        <w:tc>
          <w:tcPr>
            <w:tcW w:w="2760" w:type="dxa"/>
            <w:vAlign w:val="bottom"/>
            <w:gridSpan w:val="4"/>
            <w:shd w:val="clear" w:color="auto" w:fill="007CBA"/>
          </w:tcPr>
          <w:p>
            <w:pPr>
              <w:jc w:val="right"/>
              <w:ind w:right="339"/>
              <w:spacing w:after="0" w:line="193" w:lineRule="exact"/>
              <w:rPr>
                <w:sz w:val="20"/>
                <w:szCs w:val="20"/>
                <w:color w:val="auto"/>
              </w:rPr>
            </w:pPr>
            <w:r>
              <w:rPr>
                <w:rFonts w:ascii="Calibri" w:cs="Calibri" w:eastAsia="Calibri" w:hAnsi="Calibri"/>
                <w:sz w:val="16"/>
                <w:szCs w:val="16"/>
                <w:b w:val="1"/>
                <w:bCs w:val="1"/>
                <w:color w:val="FFFFFF"/>
              </w:rPr>
              <w:t>Incentve Compensaton Stock</w:t>
            </w:r>
          </w:p>
        </w:tc>
      </w:tr>
      <w:tr>
        <w:trPr>
          <w:trHeight w:val="243"/>
        </w:trPr>
        <w:tc>
          <w:tcPr>
            <w:tcW w:w="2480" w:type="dxa"/>
            <w:vAlign w:val="bottom"/>
            <w:tcBorders>
              <w:right w:val="single" w:sz="8" w:color="007CBA"/>
            </w:tcBorders>
            <w:shd w:val="clear" w:color="auto" w:fill="007CBA"/>
          </w:tcPr>
          <w:p>
            <w:pPr>
              <w:spacing w:after="0"/>
              <w:rPr>
                <w:sz w:val="21"/>
                <w:szCs w:val="21"/>
                <w:color w:val="auto"/>
              </w:rPr>
            </w:pPr>
          </w:p>
        </w:tc>
        <w:tc>
          <w:tcPr>
            <w:tcW w:w="1460" w:type="dxa"/>
            <w:vAlign w:val="bottom"/>
            <w:shd w:val="clear" w:color="auto" w:fill="007CBA"/>
          </w:tcPr>
          <w:p>
            <w:pPr>
              <w:spacing w:after="0"/>
              <w:rPr>
                <w:sz w:val="21"/>
                <w:szCs w:val="21"/>
                <w:color w:val="auto"/>
              </w:rPr>
            </w:pPr>
          </w:p>
        </w:tc>
        <w:tc>
          <w:tcPr>
            <w:tcW w:w="180" w:type="dxa"/>
            <w:vAlign w:val="bottom"/>
            <w:shd w:val="clear" w:color="auto" w:fill="007CBA"/>
          </w:tcPr>
          <w:p>
            <w:pPr>
              <w:spacing w:after="0"/>
              <w:rPr>
                <w:sz w:val="21"/>
                <w:szCs w:val="21"/>
                <w:color w:val="auto"/>
              </w:rPr>
            </w:pPr>
          </w:p>
        </w:tc>
        <w:tc>
          <w:tcPr>
            <w:tcW w:w="160" w:type="dxa"/>
            <w:vAlign w:val="bottom"/>
            <w:shd w:val="clear" w:color="auto" w:fill="007CBA"/>
          </w:tcPr>
          <w:p>
            <w:pPr>
              <w:spacing w:after="0"/>
              <w:rPr>
                <w:sz w:val="21"/>
                <w:szCs w:val="21"/>
                <w:color w:val="auto"/>
              </w:rPr>
            </w:pPr>
          </w:p>
        </w:tc>
        <w:tc>
          <w:tcPr>
            <w:tcW w:w="1180" w:type="dxa"/>
            <w:vAlign w:val="bottom"/>
            <w:tcBorders>
              <w:right w:val="single" w:sz="8" w:color="007CBA"/>
            </w:tcBorders>
            <w:shd w:val="clear" w:color="auto" w:fill="007CBA"/>
          </w:tcPr>
          <w:p>
            <w:pPr>
              <w:jc w:val="center"/>
              <w:ind w:right="199"/>
              <w:spacing w:after="0"/>
              <w:rPr>
                <w:sz w:val="20"/>
                <w:szCs w:val="20"/>
                <w:color w:val="auto"/>
              </w:rPr>
            </w:pPr>
            <w:r>
              <w:rPr>
                <w:rFonts w:ascii="Calibri" w:cs="Calibri" w:eastAsia="Calibri" w:hAnsi="Calibri"/>
                <w:sz w:val="16"/>
                <w:szCs w:val="16"/>
                <w:b w:val="1"/>
                <w:bCs w:val="1"/>
                <w:color w:val="FFFFFF"/>
              </w:rPr>
              <w:t>Weighted-</w:t>
            </w:r>
          </w:p>
        </w:tc>
        <w:tc>
          <w:tcPr>
            <w:tcW w:w="140" w:type="dxa"/>
            <w:vAlign w:val="bottom"/>
            <w:shd w:val="clear" w:color="auto" w:fill="007CBA"/>
          </w:tcPr>
          <w:p>
            <w:pPr>
              <w:spacing w:after="0"/>
              <w:rPr>
                <w:sz w:val="21"/>
                <w:szCs w:val="21"/>
                <w:color w:val="auto"/>
              </w:rPr>
            </w:pPr>
          </w:p>
        </w:tc>
        <w:tc>
          <w:tcPr>
            <w:tcW w:w="1300" w:type="dxa"/>
            <w:vAlign w:val="bottom"/>
            <w:shd w:val="clear" w:color="auto" w:fill="007CBA"/>
          </w:tcPr>
          <w:p>
            <w:pPr>
              <w:spacing w:after="0"/>
              <w:rPr>
                <w:sz w:val="21"/>
                <w:szCs w:val="21"/>
                <w:color w:val="auto"/>
              </w:rPr>
            </w:pPr>
          </w:p>
        </w:tc>
        <w:tc>
          <w:tcPr>
            <w:tcW w:w="160" w:type="dxa"/>
            <w:vAlign w:val="bottom"/>
            <w:shd w:val="clear" w:color="auto" w:fill="007CBA"/>
          </w:tcPr>
          <w:p>
            <w:pPr>
              <w:spacing w:after="0"/>
              <w:rPr>
                <w:sz w:val="21"/>
                <w:szCs w:val="21"/>
                <w:color w:val="auto"/>
              </w:rPr>
            </w:pPr>
          </w:p>
        </w:tc>
        <w:tc>
          <w:tcPr>
            <w:tcW w:w="140" w:type="dxa"/>
            <w:vAlign w:val="bottom"/>
            <w:shd w:val="clear" w:color="auto" w:fill="007CBA"/>
          </w:tcPr>
          <w:p>
            <w:pPr>
              <w:spacing w:after="0"/>
              <w:rPr>
                <w:sz w:val="21"/>
                <w:szCs w:val="21"/>
                <w:color w:val="auto"/>
              </w:rPr>
            </w:pPr>
          </w:p>
        </w:tc>
        <w:tc>
          <w:tcPr>
            <w:tcW w:w="1180" w:type="dxa"/>
            <w:vAlign w:val="bottom"/>
            <w:tcBorders>
              <w:right w:val="single" w:sz="8" w:color="007CBA"/>
            </w:tcBorders>
            <w:shd w:val="clear" w:color="auto" w:fill="007CBA"/>
          </w:tcPr>
          <w:p>
            <w:pPr>
              <w:jc w:val="center"/>
              <w:ind w:right="199"/>
              <w:spacing w:after="0"/>
              <w:rPr>
                <w:sz w:val="20"/>
                <w:szCs w:val="20"/>
                <w:color w:val="auto"/>
              </w:rPr>
            </w:pPr>
            <w:r>
              <w:rPr>
                <w:rFonts w:ascii="Calibri" w:cs="Calibri" w:eastAsia="Calibri" w:hAnsi="Calibri"/>
                <w:sz w:val="16"/>
                <w:szCs w:val="16"/>
                <w:b w:val="1"/>
                <w:bCs w:val="1"/>
                <w:color w:val="FFFFFF"/>
              </w:rPr>
              <w:t>Weighted-</w:t>
            </w:r>
          </w:p>
        </w:tc>
        <w:tc>
          <w:tcPr>
            <w:tcW w:w="100" w:type="dxa"/>
            <w:vAlign w:val="bottom"/>
            <w:shd w:val="clear" w:color="auto" w:fill="007CBA"/>
          </w:tcPr>
          <w:p>
            <w:pPr>
              <w:spacing w:after="0"/>
              <w:rPr>
                <w:sz w:val="21"/>
                <w:szCs w:val="21"/>
                <w:color w:val="auto"/>
              </w:rPr>
            </w:pPr>
          </w:p>
        </w:tc>
        <w:tc>
          <w:tcPr>
            <w:tcW w:w="1280" w:type="dxa"/>
            <w:vAlign w:val="bottom"/>
            <w:shd w:val="clear" w:color="auto" w:fill="007CBA"/>
          </w:tcPr>
          <w:p>
            <w:pPr>
              <w:spacing w:after="0"/>
              <w:rPr>
                <w:sz w:val="21"/>
                <w:szCs w:val="21"/>
                <w:color w:val="auto"/>
              </w:rPr>
            </w:pPr>
          </w:p>
        </w:tc>
        <w:tc>
          <w:tcPr>
            <w:tcW w:w="180" w:type="dxa"/>
            <w:vAlign w:val="bottom"/>
            <w:shd w:val="clear" w:color="auto" w:fill="007CBA"/>
          </w:tcPr>
          <w:p>
            <w:pPr>
              <w:spacing w:after="0"/>
              <w:rPr>
                <w:sz w:val="21"/>
                <w:szCs w:val="21"/>
                <w:color w:val="auto"/>
              </w:rPr>
            </w:pPr>
          </w:p>
        </w:tc>
        <w:tc>
          <w:tcPr>
            <w:tcW w:w="140" w:type="dxa"/>
            <w:vAlign w:val="bottom"/>
            <w:shd w:val="clear" w:color="auto" w:fill="007CBA"/>
          </w:tcPr>
          <w:p>
            <w:pPr>
              <w:spacing w:after="0"/>
              <w:rPr>
                <w:sz w:val="21"/>
                <w:szCs w:val="21"/>
                <w:color w:val="auto"/>
              </w:rPr>
            </w:pPr>
          </w:p>
        </w:tc>
        <w:tc>
          <w:tcPr>
            <w:tcW w:w="1160" w:type="dxa"/>
            <w:vAlign w:val="bottom"/>
            <w:shd w:val="clear" w:color="auto" w:fill="007CBA"/>
          </w:tcPr>
          <w:p>
            <w:pPr>
              <w:jc w:val="center"/>
              <w:ind w:right="179"/>
              <w:spacing w:after="0"/>
              <w:rPr>
                <w:sz w:val="20"/>
                <w:szCs w:val="20"/>
                <w:color w:val="auto"/>
              </w:rPr>
            </w:pPr>
            <w:r>
              <w:rPr>
                <w:rFonts w:ascii="Calibri" w:cs="Calibri" w:eastAsia="Calibri" w:hAnsi="Calibri"/>
                <w:sz w:val="16"/>
                <w:szCs w:val="16"/>
                <w:b w:val="1"/>
                <w:bCs w:val="1"/>
                <w:color w:val="FFFFFF"/>
              </w:rPr>
              <w:t>Weighted-</w:t>
            </w:r>
          </w:p>
        </w:tc>
      </w:tr>
      <w:tr>
        <w:trPr>
          <w:trHeight w:val="203"/>
        </w:trPr>
        <w:tc>
          <w:tcPr>
            <w:tcW w:w="2480" w:type="dxa"/>
            <w:vAlign w:val="bottom"/>
            <w:tcBorders>
              <w:right w:val="single" w:sz="8" w:color="007CBA"/>
            </w:tcBorders>
            <w:shd w:val="clear" w:color="auto" w:fill="007CBA"/>
          </w:tcPr>
          <w:p>
            <w:pPr>
              <w:spacing w:after="0"/>
              <w:rPr>
                <w:sz w:val="17"/>
                <w:szCs w:val="17"/>
                <w:color w:val="auto"/>
              </w:rPr>
            </w:pPr>
          </w:p>
        </w:tc>
        <w:tc>
          <w:tcPr>
            <w:tcW w:w="1460" w:type="dxa"/>
            <w:vAlign w:val="bottom"/>
            <w:shd w:val="clear" w:color="auto" w:fill="007CBA"/>
          </w:tcPr>
          <w:p>
            <w:pPr>
              <w:spacing w:after="0"/>
              <w:rPr>
                <w:sz w:val="17"/>
                <w:szCs w:val="17"/>
                <w:color w:val="auto"/>
              </w:rPr>
            </w:pPr>
          </w:p>
        </w:tc>
        <w:tc>
          <w:tcPr>
            <w:tcW w:w="180" w:type="dxa"/>
            <w:vAlign w:val="bottom"/>
            <w:shd w:val="clear" w:color="auto" w:fill="007CBA"/>
          </w:tcPr>
          <w:p>
            <w:pPr>
              <w:spacing w:after="0"/>
              <w:rPr>
                <w:sz w:val="17"/>
                <w:szCs w:val="17"/>
                <w:color w:val="auto"/>
              </w:rPr>
            </w:pPr>
          </w:p>
        </w:tc>
        <w:tc>
          <w:tcPr>
            <w:tcW w:w="160" w:type="dxa"/>
            <w:vAlign w:val="bottom"/>
            <w:shd w:val="clear" w:color="auto" w:fill="007CBA"/>
          </w:tcPr>
          <w:p>
            <w:pPr>
              <w:spacing w:after="0"/>
              <w:rPr>
                <w:sz w:val="17"/>
                <w:szCs w:val="17"/>
                <w:color w:val="auto"/>
              </w:rPr>
            </w:pPr>
          </w:p>
        </w:tc>
        <w:tc>
          <w:tcPr>
            <w:tcW w:w="1180" w:type="dxa"/>
            <w:vAlign w:val="bottom"/>
            <w:tcBorders>
              <w:right w:val="single" w:sz="8" w:color="007CBA"/>
            </w:tcBorders>
            <w:shd w:val="clear" w:color="auto" w:fill="007CBA"/>
          </w:tcPr>
          <w:p>
            <w:pPr>
              <w:jc w:val="center"/>
              <w:ind w:right="239"/>
              <w:spacing w:after="0"/>
              <w:rPr>
                <w:sz w:val="20"/>
                <w:szCs w:val="20"/>
                <w:color w:val="auto"/>
              </w:rPr>
            </w:pPr>
            <w:r>
              <w:rPr>
                <w:rFonts w:ascii="Calibri" w:cs="Calibri" w:eastAsia="Calibri" w:hAnsi="Calibri"/>
                <w:sz w:val="16"/>
                <w:szCs w:val="16"/>
                <w:b w:val="1"/>
                <w:bCs w:val="1"/>
                <w:color w:val="FFFFFF"/>
                <w:w w:val="98"/>
              </w:rPr>
              <w:t>Average</w:t>
            </w:r>
          </w:p>
        </w:tc>
        <w:tc>
          <w:tcPr>
            <w:tcW w:w="140" w:type="dxa"/>
            <w:vAlign w:val="bottom"/>
            <w:shd w:val="clear" w:color="auto" w:fill="007CBA"/>
          </w:tcPr>
          <w:p>
            <w:pPr>
              <w:spacing w:after="0"/>
              <w:rPr>
                <w:sz w:val="17"/>
                <w:szCs w:val="17"/>
                <w:color w:val="auto"/>
              </w:rPr>
            </w:pPr>
          </w:p>
        </w:tc>
        <w:tc>
          <w:tcPr>
            <w:tcW w:w="1300" w:type="dxa"/>
            <w:vAlign w:val="bottom"/>
            <w:shd w:val="clear" w:color="auto" w:fill="007CBA"/>
          </w:tcPr>
          <w:p>
            <w:pPr>
              <w:spacing w:after="0"/>
              <w:rPr>
                <w:sz w:val="17"/>
                <w:szCs w:val="17"/>
                <w:color w:val="auto"/>
              </w:rPr>
            </w:pPr>
          </w:p>
        </w:tc>
        <w:tc>
          <w:tcPr>
            <w:tcW w:w="160" w:type="dxa"/>
            <w:vAlign w:val="bottom"/>
            <w:shd w:val="clear" w:color="auto" w:fill="007CBA"/>
          </w:tcPr>
          <w:p>
            <w:pPr>
              <w:spacing w:after="0"/>
              <w:rPr>
                <w:sz w:val="17"/>
                <w:szCs w:val="17"/>
                <w:color w:val="auto"/>
              </w:rPr>
            </w:pPr>
          </w:p>
        </w:tc>
        <w:tc>
          <w:tcPr>
            <w:tcW w:w="140" w:type="dxa"/>
            <w:vAlign w:val="bottom"/>
            <w:shd w:val="clear" w:color="auto" w:fill="007CBA"/>
          </w:tcPr>
          <w:p>
            <w:pPr>
              <w:spacing w:after="0"/>
              <w:rPr>
                <w:sz w:val="17"/>
                <w:szCs w:val="17"/>
                <w:color w:val="auto"/>
              </w:rPr>
            </w:pPr>
          </w:p>
        </w:tc>
        <w:tc>
          <w:tcPr>
            <w:tcW w:w="1180" w:type="dxa"/>
            <w:vAlign w:val="bottom"/>
            <w:tcBorders>
              <w:right w:val="single" w:sz="8" w:color="007CBA"/>
            </w:tcBorders>
            <w:shd w:val="clear" w:color="auto" w:fill="007CBA"/>
          </w:tcPr>
          <w:p>
            <w:pPr>
              <w:jc w:val="center"/>
              <w:ind w:right="239"/>
              <w:spacing w:after="0"/>
              <w:rPr>
                <w:sz w:val="20"/>
                <w:szCs w:val="20"/>
                <w:color w:val="auto"/>
              </w:rPr>
            </w:pPr>
            <w:r>
              <w:rPr>
                <w:rFonts w:ascii="Calibri" w:cs="Calibri" w:eastAsia="Calibri" w:hAnsi="Calibri"/>
                <w:sz w:val="16"/>
                <w:szCs w:val="16"/>
                <w:b w:val="1"/>
                <w:bCs w:val="1"/>
                <w:color w:val="FFFFFF"/>
                <w:w w:val="98"/>
              </w:rPr>
              <w:t>Average</w:t>
            </w:r>
          </w:p>
        </w:tc>
        <w:tc>
          <w:tcPr>
            <w:tcW w:w="100" w:type="dxa"/>
            <w:vAlign w:val="bottom"/>
            <w:shd w:val="clear" w:color="auto" w:fill="007CBA"/>
          </w:tcPr>
          <w:p>
            <w:pPr>
              <w:spacing w:after="0"/>
              <w:rPr>
                <w:sz w:val="17"/>
                <w:szCs w:val="17"/>
                <w:color w:val="auto"/>
              </w:rPr>
            </w:pPr>
          </w:p>
        </w:tc>
        <w:tc>
          <w:tcPr>
            <w:tcW w:w="1280" w:type="dxa"/>
            <w:vAlign w:val="bottom"/>
            <w:shd w:val="clear" w:color="auto" w:fill="007CBA"/>
          </w:tcPr>
          <w:p>
            <w:pPr>
              <w:spacing w:after="0"/>
              <w:rPr>
                <w:sz w:val="17"/>
                <w:szCs w:val="17"/>
                <w:color w:val="auto"/>
              </w:rPr>
            </w:pPr>
          </w:p>
        </w:tc>
        <w:tc>
          <w:tcPr>
            <w:tcW w:w="180" w:type="dxa"/>
            <w:vAlign w:val="bottom"/>
            <w:shd w:val="clear" w:color="auto" w:fill="007CBA"/>
          </w:tcPr>
          <w:p>
            <w:pPr>
              <w:spacing w:after="0"/>
              <w:rPr>
                <w:sz w:val="17"/>
                <w:szCs w:val="17"/>
                <w:color w:val="auto"/>
              </w:rPr>
            </w:pPr>
          </w:p>
        </w:tc>
        <w:tc>
          <w:tcPr>
            <w:tcW w:w="140" w:type="dxa"/>
            <w:vAlign w:val="bottom"/>
            <w:shd w:val="clear" w:color="auto" w:fill="007CBA"/>
          </w:tcPr>
          <w:p>
            <w:pPr>
              <w:spacing w:after="0"/>
              <w:rPr>
                <w:sz w:val="17"/>
                <w:szCs w:val="17"/>
                <w:color w:val="auto"/>
              </w:rPr>
            </w:pPr>
          </w:p>
        </w:tc>
        <w:tc>
          <w:tcPr>
            <w:tcW w:w="1160" w:type="dxa"/>
            <w:vAlign w:val="bottom"/>
            <w:shd w:val="clear" w:color="auto" w:fill="007CBA"/>
          </w:tcPr>
          <w:p>
            <w:pPr>
              <w:jc w:val="center"/>
              <w:ind w:right="219"/>
              <w:spacing w:after="0"/>
              <w:rPr>
                <w:sz w:val="20"/>
                <w:szCs w:val="20"/>
                <w:color w:val="auto"/>
              </w:rPr>
            </w:pPr>
            <w:r>
              <w:rPr>
                <w:rFonts w:ascii="Calibri" w:cs="Calibri" w:eastAsia="Calibri" w:hAnsi="Calibri"/>
                <w:sz w:val="16"/>
                <w:szCs w:val="16"/>
                <w:b w:val="1"/>
                <w:bCs w:val="1"/>
                <w:color w:val="FFFFFF"/>
                <w:w w:val="98"/>
              </w:rPr>
              <w:t>Average</w:t>
            </w:r>
          </w:p>
        </w:tc>
      </w:tr>
      <w:tr>
        <w:trPr>
          <w:trHeight w:val="203"/>
        </w:trPr>
        <w:tc>
          <w:tcPr>
            <w:tcW w:w="2480" w:type="dxa"/>
            <w:vAlign w:val="bottom"/>
            <w:tcBorders>
              <w:right w:val="single" w:sz="8" w:color="007CBA"/>
            </w:tcBorders>
            <w:shd w:val="clear" w:color="auto" w:fill="007CBA"/>
          </w:tcPr>
          <w:p>
            <w:pPr>
              <w:spacing w:after="0"/>
              <w:rPr>
                <w:sz w:val="17"/>
                <w:szCs w:val="17"/>
                <w:color w:val="auto"/>
              </w:rPr>
            </w:pPr>
          </w:p>
        </w:tc>
        <w:tc>
          <w:tcPr>
            <w:tcW w:w="1460" w:type="dxa"/>
            <w:vAlign w:val="bottom"/>
            <w:shd w:val="clear" w:color="auto" w:fill="007CBA"/>
          </w:tcPr>
          <w:p>
            <w:pPr>
              <w:jc w:val="right"/>
              <w:ind w:right="299"/>
              <w:spacing w:after="0"/>
              <w:rPr>
                <w:sz w:val="20"/>
                <w:szCs w:val="20"/>
                <w:color w:val="auto"/>
              </w:rPr>
            </w:pPr>
            <w:r>
              <w:rPr>
                <w:rFonts w:ascii="Calibri" w:cs="Calibri" w:eastAsia="Calibri" w:hAnsi="Calibri"/>
                <w:sz w:val="16"/>
                <w:szCs w:val="16"/>
                <w:b w:val="1"/>
                <w:bCs w:val="1"/>
                <w:color w:val="FFFFFF"/>
              </w:rPr>
              <w:t>Number of</w:t>
            </w:r>
          </w:p>
        </w:tc>
        <w:tc>
          <w:tcPr>
            <w:tcW w:w="180" w:type="dxa"/>
            <w:vAlign w:val="bottom"/>
            <w:shd w:val="clear" w:color="auto" w:fill="007CBA"/>
          </w:tcPr>
          <w:p>
            <w:pPr>
              <w:spacing w:after="0"/>
              <w:rPr>
                <w:sz w:val="17"/>
                <w:szCs w:val="17"/>
                <w:color w:val="auto"/>
              </w:rPr>
            </w:pPr>
          </w:p>
        </w:tc>
        <w:tc>
          <w:tcPr>
            <w:tcW w:w="160" w:type="dxa"/>
            <w:vAlign w:val="bottom"/>
            <w:shd w:val="clear" w:color="auto" w:fill="007CBA"/>
          </w:tcPr>
          <w:p>
            <w:pPr>
              <w:spacing w:after="0"/>
              <w:rPr>
                <w:sz w:val="17"/>
                <w:szCs w:val="17"/>
                <w:color w:val="auto"/>
              </w:rPr>
            </w:pPr>
          </w:p>
        </w:tc>
        <w:tc>
          <w:tcPr>
            <w:tcW w:w="1180" w:type="dxa"/>
            <w:vAlign w:val="bottom"/>
            <w:tcBorders>
              <w:right w:val="single" w:sz="8" w:color="007CBA"/>
            </w:tcBorders>
            <w:shd w:val="clear" w:color="auto" w:fill="007CBA"/>
          </w:tcPr>
          <w:p>
            <w:pPr>
              <w:jc w:val="center"/>
              <w:ind w:right="239"/>
              <w:spacing w:after="0"/>
              <w:rPr>
                <w:sz w:val="20"/>
                <w:szCs w:val="20"/>
                <w:color w:val="auto"/>
              </w:rPr>
            </w:pPr>
            <w:r>
              <w:rPr>
                <w:rFonts w:ascii="Calibri" w:cs="Calibri" w:eastAsia="Calibri" w:hAnsi="Calibri"/>
                <w:sz w:val="16"/>
                <w:szCs w:val="16"/>
                <w:b w:val="1"/>
                <w:bCs w:val="1"/>
                <w:color w:val="FFFFFF"/>
                <w:w w:val="99"/>
              </w:rPr>
              <w:t>Grant-Date</w:t>
            </w:r>
          </w:p>
        </w:tc>
        <w:tc>
          <w:tcPr>
            <w:tcW w:w="140" w:type="dxa"/>
            <w:vAlign w:val="bottom"/>
            <w:shd w:val="clear" w:color="auto" w:fill="007CBA"/>
          </w:tcPr>
          <w:p>
            <w:pPr>
              <w:spacing w:after="0"/>
              <w:rPr>
                <w:sz w:val="17"/>
                <w:szCs w:val="17"/>
                <w:color w:val="auto"/>
              </w:rPr>
            </w:pPr>
          </w:p>
        </w:tc>
        <w:tc>
          <w:tcPr>
            <w:tcW w:w="1300" w:type="dxa"/>
            <w:vAlign w:val="bottom"/>
            <w:shd w:val="clear" w:color="auto" w:fill="007CBA"/>
          </w:tcPr>
          <w:p>
            <w:pPr>
              <w:jc w:val="right"/>
              <w:ind w:right="279"/>
              <w:spacing w:after="0"/>
              <w:rPr>
                <w:sz w:val="20"/>
                <w:szCs w:val="20"/>
                <w:color w:val="auto"/>
              </w:rPr>
            </w:pPr>
            <w:r>
              <w:rPr>
                <w:rFonts w:ascii="Calibri" w:cs="Calibri" w:eastAsia="Calibri" w:hAnsi="Calibri"/>
                <w:sz w:val="16"/>
                <w:szCs w:val="16"/>
                <w:b w:val="1"/>
                <w:bCs w:val="1"/>
                <w:color w:val="FFFFFF"/>
              </w:rPr>
              <w:t>Number of</w:t>
            </w:r>
          </w:p>
        </w:tc>
        <w:tc>
          <w:tcPr>
            <w:tcW w:w="160" w:type="dxa"/>
            <w:vAlign w:val="bottom"/>
            <w:shd w:val="clear" w:color="auto" w:fill="007CBA"/>
          </w:tcPr>
          <w:p>
            <w:pPr>
              <w:spacing w:after="0"/>
              <w:rPr>
                <w:sz w:val="17"/>
                <w:szCs w:val="17"/>
                <w:color w:val="auto"/>
              </w:rPr>
            </w:pPr>
          </w:p>
        </w:tc>
        <w:tc>
          <w:tcPr>
            <w:tcW w:w="140" w:type="dxa"/>
            <w:vAlign w:val="bottom"/>
            <w:shd w:val="clear" w:color="auto" w:fill="007CBA"/>
          </w:tcPr>
          <w:p>
            <w:pPr>
              <w:spacing w:after="0"/>
              <w:rPr>
                <w:sz w:val="17"/>
                <w:szCs w:val="17"/>
                <w:color w:val="auto"/>
              </w:rPr>
            </w:pPr>
          </w:p>
        </w:tc>
        <w:tc>
          <w:tcPr>
            <w:tcW w:w="1180" w:type="dxa"/>
            <w:vAlign w:val="bottom"/>
            <w:tcBorders>
              <w:right w:val="single" w:sz="8" w:color="007CBA"/>
            </w:tcBorders>
            <w:shd w:val="clear" w:color="auto" w:fill="007CBA"/>
          </w:tcPr>
          <w:p>
            <w:pPr>
              <w:jc w:val="center"/>
              <w:ind w:right="239"/>
              <w:spacing w:after="0"/>
              <w:rPr>
                <w:sz w:val="20"/>
                <w:szCs w:val="20"/>
                <w:color w:val="auto"/>
              </w:rPr>
            </w:pPr>
            <w:r>
              <w:rPr>
                <w:rFonts w:ascii="Calibri" w:cs="Calibri" w:eastAsia="Calibri" w:hAnsi="Calibri"/>
                <w:sz w:val="16"/>
                <w:szCs w:val="16"/>
                <w:b w:val="1"/>
                <w:bCs w:val="1"/>
                <w:color w:val="FFFFFF"/>
                <w:w w:val="99"/>
              </w:rPr>
              <w:t>Grant-Date</w:t>
            </w:r>
          </w:p>
        </w:tc>
        <w:tc>
          <w:tcPr>
            <w:tcW w:w="100" w:type="dxa"/>
            <w:vAlign w:val="bottom"/>
            <w:shd w:val="clear" w:color="auto" w:fill="007CBA"/>
          </w:tcPr>
          <w:p>
            <w:pPr>
              <w:spacing w:after="0"/>
              <w:rPr>
                <w:sz w:val="17"/>
                <w:szCs w:val="17"/>
                <w:color w:val="auto"/>
              </w:rPr>
            </w:pPr>
          </w:p>
        </w:tc>
        <w:tc>
          <w:tcPr>
            <w:tcW w:w="1280" w:type="dxa"/>
            <w:vAlign w:val="bottom"/>
            <w:shd w:val="clear" w:color="auto" w:fill="007CBA"/>
          </w:tcPr>
          <w:p>
            <w:pPr>
              <w:jc w:val="right"/>
              <w:ind w:right="259"/>
              <w:spacing w:after="0"/>
              <w:rPr>
                <w:sz w:val="20"/>
                <w:szCs w:val="20"/>
                <w:color w:val="auto"/>
              </w:rPr>
            </w:pPr>
            <w:r>
              <w:rPr>
                <w:rFonts w:ascii="Calibri" w:cs="Calibri" w:eastAsia="Calibri" w:hAnsi="Calibri"/>
                <w:sz w:val="16"/>
                <w:szCs w:val="16"/>
                <w:b w:val="1"/>
                <w:bCs w:val="1"/>
                <w:color w:val="FFFFFF"/>
              </w:rPr>
              <w:t>Number of</w:t>
            </w:r>
          </w:p>
        </w:tc>
        <w:tc>
          <w:tcPr>
            <w:tcW w:w="180" w:type="dxa"/>
            <w:vAlign w:val="bottom"/>
            <w:shd w:val="clear" w:color="auto" w:fill="007CBA"/>
          </w:tcPr>
          <w:p>
            <w:pPr>
              <w:spacing w:after="0"/>
              <w:rPr>
                <w:sz w:val="17"/>
                <w:szCs w:val="17"/>
                <w:color w:val="auto"/>
              </w:rPr>
            </w:pPr>
          </w:p>
        </w:tc>
        <w:tc>
          <w:tcPr>
            <w:tcW w:w="140" w:type="dxa"/>
            <w:vAlign w:val="bottom"/>
            <w:shd w:val="clear" w:color="auto" w:fill="007CBA"/>
          </w:tcPr>
          <w:p>
            <w:pPr>
              <w:spacing w:after="0"/>
              <w:rPr>
                <w:sz w:val="17"/>
                <w:szCs w:val="17"/>
                <w:color w:val="auto"/>
              </w:rPr>
            </w:pPr>
          </w:p>
        </w:tc>
        <w:tc>
          <w:tcPr>
            <w:tcW w:w="1160" w:type="dxa"/>
            <w:vAlign w:val="bottom"/>
            <w:shd w:val="clear" w:color="auto" w:fill="007CBA"/>
          </w:tcPr>
          <w:p>
            <w:pPr>
              <w:jc w:val="center"/>
              <w:ind w:right="219"/>
              <w:spacing w:after="0"/>
              <w:rPr>
                <w:sz w:val="20"/>
                <w:szCs w:val="20"/>
                <w:color w:val="auto"/>
              </w:rPr>
            </w:pPr>
            <w:r>
              <w:rPr>
                <w:rFonts w:ascii="Calibri" w:cs="Calibri" w:eastAsia="Calibri" w:hAnsi="Calibri"/>
                <w:sz w:val="16"/>
                <w:szCs w:val="16"/>
                <w:b w:val="1"/>
                <w:bCs w:val="1"/>
                <w:color w:val="FFFFFF"/>
                <w:w w:val="99"/>
              </w:rPr>
              <w:t>Grant-Date</w:t>
            </w:r>
          </w:p>
        </w:tc>
      </w:tr>
      <w:tr>
        <w:trPr>
          <w:trHeight w:val="224"/>
        </w:trPr>
        <w:tc>
          <w:tcPr>
            <w:tcW w:w="2480" w:type="dxa"/>
            <w:vAlign w:val="bottom"/>
            <w:tcBorders>
              <w:bottom w:val="single" w:sz="8" w:color="007CBA"/>
              <w:right w:val="single" w:sz="8" w:color="007CBA"/>
            </w:tcBorders>
            <w:shd w:val="clear" w:color="auto" w:fill="007CBA"/>
          </w:tcPr>
          <w:p>
            <w:pPr>
              <w:spacing w:after="0"/>
              <w:rPr>
                <w:sz w:val="19"/>
                <w:szCs w:val="19"/>
                <w:color w:val="auto"/>
              </w:rPr>
            </w:pPr>
          </w:p>
        </w:tc>
        <w:tc>
          <w:tcPr>
            <w:tcW w:w="1460" w:type="dxa"/>
            <w:vAlign w:val="bottom"/>
            <w:tcBorders>
              <w:bottom w:val="single" w:sz="8" w:color="007CBA"/>
            </w:tcBorders>
            <w:shd w:val="clear" w:color="auto" w:fill="007CBA"/>
          </w:tcPr>
          <w:p>
            <w:pPr>
              <w:jc w:val="right"/>
              <w:ind w:right="399"/>
              <w:spacing w:after="0"/>
              <w:rPr>
                <w:sz w:val="20"/>
                <w:szCs w:val="20"/>
                <w:color w:val="auto"/>
              </w:rPr>
            </w:pPr>
            <w:r>
              <w:rPr>
                <w:rFonts w:ascii="Calibri" w:cs="Calibri" w:eastAsia="Calibri" w:hAnsi="Calibri"/>
                <w:sz w:val="16"/>
                <w:szCs w:val="16"/>
                <w:b w:val="1"/>
                <w:bCs w:val="1"/>
                <w:color w:val="FFFFFF"/>
              </w:rPr>
              <w:t>Awards</w:t>
            </w:r>
          </w:p>
        </w:tc>
        <w:tc>
          <w:tcPr>
            <w:tcW w:w="180" w:type="dxa"/>
            <w:vAlign w:val="bottom"/>
            <w:tcBorders>
              <w:bottom w:val="single" w:sz="8" w:color="007CBA"/>
            </w:tcBorders>
            <w:shd w:val="clear" w:color="auto" w:fill="007CBA"/>
          </w:tcPr>
          <w:p>
            <w:pPr>
              <w:spacing w:after="0"/>
              <w:rPr>
                <w:sz w:val="19"/>
                <w:szCs w:val="19"/>
                <w:color w:val="auto"/>
              </w:rPr>
            </w:pPr>
          </w:p>
        </w:tc>
        <w:tc>
          <w:tcPr>
            <w:tcW w:w="160" w:type="dxa"/>
            <w:vAlign w:val="bottom"/>
            <w:tcBorders>
              <w:bottom w:val="single" w:sz="8" w:color="007CBA"/>
            </w:tcBorders>
            <w:shd w:val="clear" w:color="auto" w:fill="007CBA"/>
          </w:tcPr>
          <w:p>
            <w:pPr>
              <w:spacing w:after="0"/>
              <w:rPr>
                <w:sz w:val="19"/>
                <w:szCs w:val="19"/>
                <w:color w:val="auto"/>
              </w:rPr>
            </w:pPr>
          </w:p>
        </w:tc>
        <w:tc>
          <w:tcPr>
            <w:tcW w:w="1180" w:type="dxa"/>
            <w:vAlign w:val="bottom"/>
            <w:tcBorders>
              <w:bottom w:val="single" w:sz="8" w:color="007CBA"/>
              <w:right w:val="single" w:sz="8" w:color="007CBA"/>
            </w:tcBorders>
            <w:shd w:val="clear" w:color="auto" w:fill="007CBA"/>
          </w:tcPr>
          <w:p>
            <w:pPr>
              <w:jc w:val="center"/>
              <w:ind w:right="199"/>
              <w:spacing w:after="0"/>
              <w:rPr>
                <w:sz w:val="20"/>
                <w:szCs w:val="20"/>
                <w:color w:val="auto"/>
              </w:rPr>
            </w:pPr>
            <w:r>
              <w:rPr>
                <w:rFonts w:ascii="Calibri" w:cs="Calibri" w:eastAsia="Calibri" w:hAnsi="Calibri"/>
                <w:sz w:val="16"/>
                <w:szCs w:val="16"/>
                <w:b w:val="1"/>
                <w:bCs w:val="1"/>
                <w:color w:val="FFFFFF"/>
                <w:w w:val="99"/>
              </w:rPr>
              <w:t>Fair Value</w:t>
            </w:r>
          </w:p>
        </w:tc>
        <w:tc>
          <w:tcPr>
            <w:tcW w:w="140" w:type="dxa"/>
            <w:vAlign w:val="bottom"/>
            <w:tcBorders>
              <w:bottom w:val="single" w:sz="8" w:color="007CBA"/>
            </w:tcBorders>
            <w:shd w:val="clear" w:color="auto" w:fill="007CBA"/>
          </w:tcPr>
          <w:p>
            <w:pPr>
              <w:spacing w:after="0"/>
              <w:rPr>
                <w:sz w:val="19"/>
                <w:szCs w:val="19"/>
                <w:color w:val="auto"/>
              </w:rPr>
            </w:pPr>
          </w:p>
        </w:tc>
        <w:tc>
          <w:tcPr>
            <w:tcW w:w="1300" w:type="dxa"/>
            <w:vAlign w:val="bottom"/>
            <w:tcBorders>
              <w:bottom w:val="single" w:sz="8" w:color="007CBA"/>
            </w:tcBorders>
            <w:shd w:val="clear" w:color="auto" w:fill="007CBA"/>
          </w:tcPr>
          <w:p>
            <w:pPr>
              <w:jc w:val="right"/>
              <w:ind w:right="379"/>
              <w:spacing w:after="0"/>
              <w:rPr>
                <w:sz w:val="20"/>
                <w:szCs w:val="20"/>
                <w:color w:val="auto"/>
              </w:rPr>
            </w:pPr>
            <w:r>
              <w:rPr>
                <w:rFonts w:ascii="Calibri" w:cs="Calibri" w:eastAsia="Calibri" w:hAnsi="Calibri"/>
                <w:sz w:val="16"/>
                <w:szCs w:val="16"/>
                <w:b w:val="1"/>
                <w:bCs w:val="1"/>
                <w:color w:val="FFFFFF"/>
              </w:rPr>
              <w:t>Awards</w:t>
            </w:r>
          </w:p>
        </w:tc>
        <w:tc>
          <w:tcPr>
            <w:tcW w:w="160" w:type="dxa"/>
            <w:vAlign w:val="bottom"/>
            <w:tcBorders>
              <w:bottom w:val="single" w:sz="8" w:color="007CBA"/>
            </w:tcBorders>
            <w:shd w:val="clear" w:color="auto" w:fill="007CBA"/>
          </w:tcPr>
          <w:p>
            <w:pPr>
              <w:spacing w:after="0"/>
              <w:rPr>
                <w:sz w:val="19"/>
                <w:szCs w:val="19"/>
                <w:color w:val="auto"/>
              </w:rPr>
            </w:pPr>
          </w:p>
        </w:tc>
        <w:tc>
          <w:tcPr>
            <w:tcW w:w="140" w:type="dxa"/>
            <w:vAlign w:val="bottom"/>
            <w:tcBorders>
              <w:bottom w:val="single" w:sz="8" w:color="007CBA"/>
            </w:tcBorders>
            <w:shd w:val="clear" w:color="auto" w:fill="007CBA"/>
          </w:tcPr>
          <w:p>
            <w:pPr>
              <w:spacing w:after="0"/>
              <w:rPr>
                <w:sz w:val="19"/>
                <w:szCs w:val="19"/>
                <w:color w:val="auto"/>
              </w:rPr>
            </w:pPr>
          </w:p>
        </w:tc>
        <w:tc>
          <w:tcPr>
            <w:tcW w:w="1180" w:type="dxa"/>
            <w:vAlign w:val="bottom"/>
            <w:tcBorders>
              <w:bottom w:val="single" w:sz="8" w:color="007CBA"/>
              <w:right w:val="single" w:sz="8" w:color="007CBA"/>
            </w:tcBorders>
            <w:shd w:val="clear" w:color="auto" w:fill="007CBA"/>
          </w:tcPr>
          <w:p>
            <w:pPr>
              <w:jc w:val="center"/>
              <w:ind w:right="199"/>
              <w:spacing w:after="0"/>
              <w:rPr>
                <w:sz w:val="20"/>
                <w:szCs w:val="20"/>
                <w:color w:val="auto"/>
              </w:rPr>
            </w:pPr>
            <w:r>
              <w:rPr>
                <w:rFonts w:ascii="Calibri" w:cs="Calibri" w:eastAsia="Calibri" w:hAnsi="Calibri"/>
                <w:sz w:val="16"/>
                <w:szCs w:val="16"/>
                <w:b w:val="1"/>
                <w:bCs w:val="1"/>
                <w:color w:val="FFFFFF"/>
                <w:w w:val="99"/>
              </w:rPr>
              <w:t>Fair Value</w:t>
            </w:r>
          </w:p>
        </w:tc>
        <w:tc>
          <w:tcPr>
            <w:tcW w:w="100" w:type="dxa"/>
            <w:vAlign w:val="bottom"/>
            <w:tcBorders>
              <w:bottom w:val="single" w:sz="8" w:color="007CBA"/>
            </w:tcBorders>
            <w:shd w:val="clear" w:color="auto" w:fill="007CBA"/>
          </w:tcPr>
          <w:p>
            <w:pPr>
              <w:spacing w:after="0"/>
              <w:rPr>
                <w:sz w:val="19"/>
                <w:szCs w:val="19"/>
                <w:color w:val="auto"/>
              </w:rPr>
            </w:pPr>
          </w:p>
        </w:tc>
        <w:tc>
          <w:tcPr>
            <w:tcW w:w="1280" w:type="dxa"/>
            <w:vAlign w:val="bottom"/>
            <w:tcBorders>
              <w:bottom w:val="single" w:sz="8" w:color="007CBA"/>
            </w:tcBorders>
            <w:shd w:val="clear" w:color="auto" w:fill="007CBA"/>
          </w:tcPr>
          <w:p>
            <w:pPr>
              <w:jc w:val="right"/>
              <w:ind w:right="359"/>
              <w:spacing w:after="0"/>
              <w:rPr>
                <w:sz w:val="20"/>
                <w:szCs w:val="20"/>
                <w:color w:val="auto"/>
              </w:rPr>
            </w:pPr>
            <w:r>
              <w:rPr>
                <w:rFonts w:ascii="Calibri" w:cs="Calibri" w:eastAsia="Calibri" w:hAnsi="Calibri"/>
                <w:sz w:val="16"/>
                <w:szCs w:val="16"/>
                <w:b w:val="1"/>
                <w:bCs w:val="1"/>
                <w:color w:val="FFFFFF"/>
              </w:rPr>
              <w:t>Awards</w:t>
            </w:r>
          </w:p>
        </w:tc>
        <w:tc>
          <w:tcPr>
            <w:tcW w:w="180" w:type="dxa"/>
            <w:vAlign w:val="bottom"/>
            <w:tcBorders>
              <w:bottom w:val="single" w:sz="8" w:color="007CBA"/>
            </w:tcBorders>
            <w:shd w:val="clear" w:color="auto" w:fill="007CBA"/>
          </w:tcPr>
          <w:p>
            <w:pPr>
              <w:spacing w:after="0"/>
              <w:rPr>
                <w:sz w:val="19"/>
                <w:szCs w:val="19"/>
                <w:color w:val="auto"/>
              </w:rPr>
            </w:pPr>
          </w:p>
        </w:tc>
        <w:tc>
          <w:tcPr>
            <w:tcW w:w="140" w:type="dxa"/>
            <w:vAlign w:val="bottom"/>
            <w:tcBorders>
              <w:bottom w:val="single" w:sz="8" w:color="007CBA"/>
            </w:tcBorders>
            <w:shd w:val="clear" w:color="auto" w:fill="007CBA"/>
          </w:tcPr>
          <w:p>
            <w:pPr>
              <w:spacing w:after="0"/>
              <w:rPr>
                <w:sz w:val="19"/>
                <w:szCs w:val="19"/>
                <w:color w:val="auto"/>
              </w:rPr>
            </w:pPr>
          </w:p>
        </w:tc>
        <w:tc>
          <w:tcPr>
            <w:tcW w:w="1160" w:type="dxa"/>
            <w:vAlign w:val="bottom"/>
            <w:tcBorders>
              <w:bottom w:val="single" w:sz="8" w:color="007CBA"/>
            </w:tcBorders>
            <w:shd w:val="clear" w:color="auto" w:fill="007CBA"/>
          </w:tcPr>
          <w:p>
            <w:pPr>
              <w:jc w:val="center"/>
              <w:ind w:right="179"/>
              <w:spacing w:after="0"/>
              <w:rPr>
                <w:sz w:val="20"/>
                <w:szCs w:val="20"/>
                <w:color w:val="auto"/>
              </w:rPr>
            </w:pPr>
            <w:r>
              <w:rPr>
                <w:rFonts w:ascii="Calibri" w:cs="Calibri" w:eastAsia="Calibri" w:hAnsi="Calibri"/>
                <w:sz w:val="16"/>
                <w:szCs w:val="16"/>
                <w:b w:val="1"/>
                <w:bCs w:val="1"/>
                <w:color w:val="FFFFFF"/>
                <w:w w:val="99"/>
              </w:rPr>
              <w:t>Fair Value</w:t>
            </w:r>
          </w:p>
        </w:tc>
      </w:tr>
      <w:tr>
        <w:trPr>
          <w:trHeight w:val="193"/>
        </w:trPr>
        <w:tc>
          <w:tcPr>
            <w:tcW w:w="2480" w:type="dxa"/>
            <w:vAlign w:val="bottom"/>
            <w:tcBorders>
              <w:right w:val="single" w:sz="8" w:color="007CBA"/>
            </w:tcBorders>
          </w:tcPr>
          <w:p>
            <w:pPr>
              <w:ind w:left="120"/>
              <w:spacing w:after="0" w:line="193" w:lineRule="exact"/>
              <w:rPr>
                <w:sz w:val="20"/>
                <w:szCs w:val="20"/>
                <w:color w:val="auto"/>
              </w:rPr>
            </w:pPr>
            <w:r>
              <w:rPr>
                <w:rFonts w:ascii="Calibri" w:cs="Calibri" w:eastAsia="Calibri" w:hAnsi="Calibri"/>
                <w:sz w:val="16"/>
                <w:szCs w:val="16"/>
                <w:color w:val="auto"/>
              </w:rPr>
              <w:t>January 1, 2022</w:t>
            </w:r>
          </w:p>
        </w:tc>
        <w:tc>
          <w:tcPr>
            <w:tcW w:w="146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216,075</w:t>
            </w:r>
          </w:p>
        </w:tc>
        <w:tc>
          <w:tcPr>
            <w:tcW w:w="340" w:type="dxa"/>
            <w:vAlign w:val="bottom"/>
            <w:gridSpan w:val="2"/>
          </w:tcPr>
          <w:p>
            <w:pPr>
              <w:jc w:val="right"/>
              <w:ind w:right="80"/>
              <w:spacing w:after="0" w:line="193" w:lineRule="exact"/>
              <w:rPr>
                <w:sz w:val="20"/>
                <w:szCs w:val="20"/>
                <w:color w:val="auto"/>
              </w:rPr>
            </w:pPr>
            <w:r>
              <w:rPr>
                <w:rFonts w:ascii="Calibri" w:cs="Calibri" w:eastAsia="Calibri" w:hAnsi="Calibri"/>
                <w:sz w:val="16"/>
                <w:szCs w:val="16"/>
                <w:color w:val="auto"/>
              </w:rPr>
              <w:t>$</w:t>
            </w:r>
          </w:p>
        </w:tc>
        <w:tc>
          <w:tcPr>
            <w:tcW w:w="118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237.80</w:t>
            </w:r>
          </w:p>
        </w:tc>
        <w:tc>
          <w:tcPr>
            <w:tcW w:w="1440" w:type="dxa"/>
            <w:vAlign w:val="bottom"/>
            <w:gridSpan w:val="2"/>
          </w:tcPr>
          <w:p>
            <w:pPr>
              <w:jc w:val="right"/>
              <w:ind w:right="39"/>
              <w:spacing w:after="0" w:line="193" w:lineRule="exact"/>
              <w:rPr>
                <w:sz w:val="20"/>
                <w:szCs w:val="20"/>
                <w:color w:val="auto"/>
              </w:rPr>
            </w:pPr>
            <w:r>
              <w:rPr>
                <w:rFonts w:ascii="Calibri" w:cs="Calibri" w:eastAsia="Calibri" w:hAnsi="Calibri"/>
                <w:sz w:val="16"/>
                <w:szCs w:val="16"/>
                <w:color w:val="auto"/>
              </w:rPr>
              <w:t>118,323</w:t>
            </w:r>
          </w:p>
        </w:tc>
        <w:tc>
          <w:tcPr>
            <w:tcW w:w="300" w:type="dxa"/>
            <w:vAlign w:val="bottom"/>
            <w:gridSpan w:val="2"/>
          </w:tcPr>
          <w:p>
            <w:pPr>
              <w:jc w:val="right"/>
              <w:ind w:right="40"/>
              <w:spacing w:after="0" w:line="193" w:lineRule="exact"/>
              <w:rPr>
                <w:sz w:val="20"/>
                <w:szCs w:val="20"/>
                <w:color w:val="auto"/>
              </w:rPr>
            </w:pPr>
            <w:r>
              <w:rPr>
                <w:rFonts w:ascii="Calibri" w:cs="Calibri" w:eastAsia="Calibri" w:hAnsi="Calibri"/>
                <w:sz w:val="16"/>
                <w:szCs w:val="16"/>
                <w:color w:val="auto"/>
              </w:rPr>
              <w:t>$</w:t>
            </w:r>
          </w:p>
        </w:tc>
        <w:tc>
          <w:tcPr>
            <w:tcW w:w="118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266.76</w:t>
            </w:r>
          </w:p>
        </w:tc>
        <w:tc>
          <w:tcPr>
            <w:tcW w:w="1380" w:type="dxa"/>
            <w:vAlign w:val="bottom"/>
            <w:gridSpan w:val="2"/>
          </w:tcPr>
          <w:p>
            <w:pPr>
              <w:jc w:val="right"/>
              <w:ind w:right="39"/>
              <w:spacing w:after="0" w:line="193" w:lineRule="exact"/>
              <w:rPr>
                <w:sz w:val="20"/>
                <w:szCs w:val="20"/>
                <w:color w:val="auto"/>
              </w:rPr>
            </w:pPr>
            <w:r>
              <w:rPr>
                <w:rFonts w:ascii="Calibri" w:cs="Calibri" w:eastAsia="Calibri" w:hAnsi="Calibri"/>
                <w:sz w:val="16"/>
                <w:szCs w:val="16"/>
                <w:color w:val="auto"/>
              </w:rPr>
              <w:t>37,858</w:t>
            </w:r>
          </w:p>
        </w:tc>
        <w:tc>
          <w:tcPr>
            <w:tcW w:w="320" w:type="dxa"/>
            <w:vAlign w:val="bottom"/>
            <w:gridSpan w:val="2"/>
          </w:tcPr>
          <w:p>
            <w:pPr>
              <w:jc w:val="right"/>
              <w:ind w:right="60"/>
              <w:spacing w:after="0" w:line="193" w:lineRule="exact"/>
              <w:rPr>
                <w:sz w:val="20"/>
                <w:szCs w:val="20"/>
                <w:color w:val="auto"/>
              </w:rPr>
            </w:pPr>
            <w:r>
              <w:rPr>
                <w:rFonts w:ascii="Calibri" w:cs="Calibri" w:eastAsia="Calibri" w:hAnsi="Calibri"/>
                <w:sz w:val="16"/>
                <w:szCs w:val="16"/>
                <w:color w:val="auto"/>
              </w:rPr>
              <w:t>$</w:t>
            </w:r>
          </w:p>
        </w:tc>
        <w:tc>
          <w:tcPr>
            <w:tcW w:w="116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288.68</w:t>
            </w:r>
          </w:p>
        </w:tc>
      </w:tr>
      <w:tr>
        <w:trPr>
          <w:trHeight w:val="36"/>
        </w:trPr>
        <w:tc>
          <w:tcPr>
            <w:tcW w:w="2480" w:type="dxa"/>
            <w:vAlign w:val="bottom"/>
            <w:tcBorders>
              <w:right w:val="single" w:sz="8" w:color="007CBA"/>
            </w:tcBorders>
          </w:tcPr>
          <w:p>
            <w:pPr>
              <w:spacing w:after="0"/>
              <w:rPr>
                <w:sz w:val="3"/>
                <w:szCs w:val="3"/>
                <w:color w:val="auto"/>
              </w:rPr>
            </w:pPr>
          </w:p>
        </w:tc>
        <w:tc>
          <w:tcPr>
            <w:tcW w:w="1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Borders>
              <w:right w:val="single" w:sz="8" w:color="007CBA"/>
            </w:tcBorders>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Borders>
              <w:right w:val="single" w:sz="8" w:color="007CBA"/>
            </w:tcBorders>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10"/>
        </w:trPr>
        <w:tc>
          <w:tcPr>
            <w:tcW w:w="2480" w:type="dxa"/>
            <w:vAlign w:val="bottom"/>
            <w:tcBorders>
              <w:bottom w:val="single" w:sz="8" w:color="E5F1F8"/>
              <w:right w:val="single" w:sz="8" w:color="007CBA"/>
            </w:tcBorders>
            <w:shd w:val="clear" w:color="auto" w:fill="E5F1F8"/>
          </w:tcPr>
          <w:p>
            <w:pPr>
              <w:ind w:left="120"/>
              <w:spacing w:after="0" w:line="193" w:lineRule="exact"/>
              <w:rPr>
                <w:sz w:val="20"/>
                <w:szCs w:val="20"/>
                <w:color w:val="auto"/>
              </w:rPr>
            </w:pPr>
            <w:r>
              <w:rPr>
                <w:rFonts w:ascii="Calibri" w:cs="Calibri" w:eastAsia="Calibri" w:hAnsi="Calibri"/>
                <w:sz w:val="16"/>
                <w:szCs w:val="16"/>
                <w:color w:val="auto"/>
              </w:rPr>
              <w:t>Awarded</w:t>
            </w:r>
          </w:p>
        </w:tc>
        <w:tc>
          <w:tcPr>
            <w:tcW w:w="1460" w:type="dxa"/>
            <w:vAlign w:val="bottom"/>
            <w:tcBorders>
              <w:bottom w:val="single" w:sz="8" w:color="E5F1F8"/>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color w:val="auto"/>
              </w:rPr>
              <w:t>65,213</w:t>
            </w:r>
          </w:p>
        </w:tc>
        <w:tc>
          <w:tcPr>
            <w:tcW w:w="340" w:type="dxa"/>
            <w:vAlign w:val="bottom"/>
            <w:tcBorders>
              <w:bottom w:val="single" w:sz="8" w:color="E5F1F8"/>
            </w:tcBorders>
            <w:gridSpan w:val="2"/>
            <w:shd w:val="clear" w:color="auto" w:fill="E5F1F8"/>
          </w:tcPr>
          <w:p>
            <w:pPr>
              <w:jc w:val="right"/>
              <w:ind w:right="80"/>
              <w:spacing w:after="0" w:line="193" w:lineRule="exact"/>
              <w:rPr>
                <w:sz w:val="20"/>
                <w:szCs w:val="20"/>
                <w:color w:val="auto"/>
              </w:rPr>
            </w:pPr>
            <w:r>
              <w:rPr>
                <w:rFonts w:ascii="Calibri" w:cs="Calibri" w:eastAsia="Calibri" w:hAnsi="Calibri"/>
                <w:sz w:val="16"/>
                <w:szCs w:val="16"/>
                <w:color w:val="auto"/>
              </w:rPr>
              <w:t>$</w:t>
            </w:r>
          </w:p>
        </w:tc>
        <w:tc>
          <w:tcPr>
            <w:tcW w:w="1180" w:type="dxa"/>
            <w:vAlign w:val="bottom"/>
            <w:tcBorders>
              <w:bottom w:val="single" w:sz="8" w:color="E5F1F8"/>
              <w:right w:val="single" w:sz="8" w:color="007CBA"/>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color w:val="auto"/>
              </w:rPr>
              <w:t>362.77</w:t>
            </w:r>
          </w:p>
        </w:tc>
        <w:tc>
          <w:tcPr>
            <w:tcW w:w="1440" w:type="dxa"/>
            <w:vAlign w:val="bottom"/>
            <w:tcBorders>
              <w:bottom w:val="single" w:sz="8" w:color="E5F1F8"/>
            </w:tcBorders>
            <w:gridSpan w:val="2"/>
            <w:shd w:val="clear" w:color="auto" w:fill="E5F1F8"/>
          </w:tcPr>
          <w:p>
            <w:pPr>
              <w:jc w:val="right"/>
              <w:ind w:right="39"/>
              <w:spacing w:after="0" w:line="193" w:lineRule="exact"/>
              <w:rPr>
                <w:sz w:val="20"/>
                <w:szCs w:val="20"/>
                <w:color w:val="auto"/>
              </w:rPr>
            </w:pPr>
            <w:r>
              <w:rPr>
                <w:rFonts w:ascii="Calibri" w:cs="Calibri" w:eastAsia="Calibri" w:hAnsi="Calibri"/>
                <w:sz w:val="16"/>
                <w:szCs w:val="16"/>
                <w:color w:val="auto"/>
              </w:rPr>
              <w:t>33,148</w:t>
            </w:r>
          </w:p>
        </w:tc>
        <w:tc>
          <w:tcPr>
            <w:tcW w:w="300" w:type="dxa"/>
            <w:vAlign w:val="bottom"/>
            <w:tcBorders>
              <w:bottom w:val="single" w:sz="8" w:color="E5F1F8"/>
            </w:tcBorders>
            <w:gridSpan w:val="2"/>
            <w:shd w:val="clear" w:color="auto" w:fill="E5F1F8"/>
          </w:tcPr>
          <w:p>
            <w:pPr>
              <w:jc w:val="right"/>
              <w:ind w:right="40"/>
              <w:spacing w:after="0" w:line="193" w:lineRule="exact"/>
              <w:rPr>
                <w:sz w:val="20"/>
                <w:szCs w:val="20"/>
                <w:color w:val="auto"/>
              </w:rPr>
            </w:pPr>
            <w:r>
              <w:rPr>
                <w:rFonts w:ascii="Calibri" w:cs="Calibri" w:eastAsia="Calibri" w:hAnsi="Calibri"/>
                <w:sz w:val="16"/>
                <w:szCs w:val="16"/>
                <w:color w:val="auto"/>
              </w:rPr>
              <w:t>$</w:t>
            </w:r>
          </w:p>
        </w:tc>
        <w:tc>
          <w:tcPr>
            <w:tcW w:w="1180" w:type="dxa"/>
            <w:vAlign w:val="bottom"/>
            <w:tcBorders>
              <w:bottom w:val="single" w:sz="8" w:color="E5F1F8"/>
              <w:right w:val="single" w:sz="8" w:color="007CBA"/>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color w:val="auto"/>
              </w:rPr>
              <w:t>406.99</w:t>
            </w:r>
          </w:p>
        </w:tc>
        <w:tc>
          <w:tcPr>
            <w:tcW w:w="1380" w:type="dxa"/>
            <w:vAlign w:val="bottom"/>
            <w:tcBorders>
              <w:bottom w:val="single" w:sz="8" w:color="E5F1F8"/>
            </w:tcBorders>
            <w:gridSpan w:val="2"/>
            <w:shd w:val="clear" w:color="auto" w:fill="E5F1F8"/>
          </w:tcPr>
          <w:p>
            <w:pPr>
              <w:jc w:val="right"/>
              <w:ind w:right="39"/>
              <w:spacing w:after="0" w:line="193" w:lineRule="exact"/>
              <w:rPr>
                <w:sz w:val="20"/>
                <w:szCs w:val="20"/>
                <w:color w:val="auto"/>
              </w:rPr>
            </w:pPr>
            <w:r>
              <w:rPr>
                <w:rFonts w:ascii="Calibri" w:cs="Calibri" w:eastAsia="Calibri" w:hAnsi="Calibri"/>
                <w:sz w:val="16"/>
                <w:szCs w:val="16"/>
                <w:color w:val="auto"/>
              </w:rPr>
              <w:t>13,813</w:t>
            </w:r>
          </w:p>
        </w:tc>
        <w:tc>
          <w:tcPr>
            <w:tcW w:w="320" w:type="dxa"/>
            <w:vAlign w:val="bottom"/>
            <w:tcBorders>
              <w:bottom w:val="single" w:sz="8" w:color="E5F1F8"/>
            </w:tcBorders>
            <w:gridSpan w:val="2"/>
            <w:shd w:val="clear" w:color="auto" w:fill="E5F1F8"/>
          </w:tcPr>
          <w:p>
            <w:pPr>
              <w:jc w:val="right"/>
              <w:ind w:right="60"/>
              <w:spacing w:after="0" w:line="193" w:lineRule="exact"/>
              <w:rPr>
                <w:sz w:val="20"/>
                <w:szCs w:val="20"/>
                <w:color w:val="auto"/>
              </w:rPr>
            </w:pPr>
            <w:r>
              <w:rPr>
                <w:rFonts w:ascii="Calibri" w:cs="Calibri" w:eastAsia="Calibri" w:hAnsi="Calibri"/>
                <w:sz w:val="16"/>
                <w:szCs w:val="16"/>
                <w:color w:val="auto"/>
              </w:rPr>
              <w:t>$</w:t>
            </w:r>
          </w:p>
        </w:tc>
        <w:tc>
          <w:tcPr>
            <w:tcW w:w="1160" w:type="dxa"/>
            <w:vAlign w:val="bottom"/>
            <w:tcBorders>
              <w:bottom w:val="single" w:sz="8" w:color="E5F1F8"/>
            </w:tcBorders>
            <w:shd w:val="clear" w:color="auto" w:fill="E5F1F8"/>
          </w:tcPr>
          <w:p>
            <w:pPr>
              <w:jc w:val="right"/>
              <w:ind w:right="39"/>
              <w:spacing w:after="0" w:line="193" w:lineRule="exact"/>
              <w:rPr>
                <w:sz w:val="20"/>
                <w:szCs w:val="20"/>
                <w:color w:val="auto"/>
              </w:rPr>
            </w:pPr>
            <w:r>
              <w:rPr>
                <w:rFonts w:ascii="Calibri" w:cs="Calibri" w:eastAsia="Calibri" w:hAnsi="Calibri"/>
                <w:sz w:val="16"/>
                <w:szCs w:val="16"/>
                <w:color w:val="auto"/>
              </w:rPr>
              <w:t>369.05</w:t>
            </w:r>
          </w:p>
        </w:tc>
      </w:tr>
      <w:tr>
        <w:trPr>
          <w:trHeight w:val="194"/>
        </w:trPr>
        <w:tc>
          <w:tcPr>
            <w:tcW w:w="2480" w:type="dxa"/>
            <w:vAlign w:val="bottom"/>
            <w:tcBorders>
              <w:right w:val="single" w:sz="8" w:color="007CBA"/>
            </w:tcBorders>
          </w:tcPr>
          <w:p>
            <w:pPr>
              <w:ind w:left="120"/>
              <w:spacing w:after="0" w:line="193" w:lineRule="exact"/>
              <w:rPr>
                <w:sz w:val="20"/>
                <w:szCs w:val="20"/>
                <w:color w:val="auto"/>
              </w:rPr>
            </w:pPr>
            <w:r>
              <w:rPr>
                <w:rFonts w:ascii="Calibri" w:cs="Calibri" w:eastAsia="Calibri" w:hAnsi="Calibri"/>
                <w:sz w:val="16"/>
                <w:szCs w:val="16"/>
                <w:color w:val="auto"/>
              </w:rPr>
              <w:t>Distributed</w:t>
            </w:r>
          </w:p>
        </w:tc>
        <w:tc>
          <w:tcPr>
            <w:tcW w:w="1460" w:type="dxa"/>
            <w:vAlign w:val="bottom"/>
          </w:tcPr>
          <w:p>
            <w:pPr>
              <w:jc w:val="right"/>
              <w:spacing w:after="0" w:line="193" w:lineRule="exact"/>
              <w:rPr>
                <w:sz w:val="20"/>
                <w:szCs w:val="20"/>
                <w:color w:val="auto"/>
              </w:rPr>
            </w:pPr>
            <w:r>
              <w:rPr>
                <w:rFonts w:ascii="Calibri" w:cs="Calibri" w:eastAsia="Calibri" w:hAnsi="Calibri"/>
                <w:sz w:val="16"/>
                <w:szCs w:val="16"/>
                <w:color w:val="auto"/>
              </w:rPr>
              <w:t>(62,892 )</w:t>
            </w:r>
          </w:p>
        </w:tc>
        <w:tc>
          <w:tcPr>
            <w:tcW w:w="340" w:type="dxa"/>
            <w:vAlign w:val="bottom"/>
            <w:gridSpan w:val="2"/>
          </w:tcPr>
          <w:p>
            <w:pPr>
              <w:jc w:val="right"/>
              <w:ind w:right="80"/>
              <w:spacing w:after="0" w:line="193" w:lineRule="exact"/>
              <w:rPr>
                <w:sz w:val="20"/>
                <w:szCs w:val="20"/>
                <w:color w:val="auto"/>
              </w:rPr>
            </w:pPr>
            <w:r>
              <w:rPr>
                <w:rFonts w:ascii="Calibri" w:cs="Calibri" w:eastAsia="Calibri" w:hAnsi="Calibri"/>
                <w:sz w:val="16"/>
                <w:szCs w:val="16"/>
                <w:color w:val="auto"/>
              </w:rPr>
              <w:t>$</w:t>
            </w:r>
          </w:p>
        </w:tc>
        <w:tc>
          <w:tcPr>
            <w:tcW w:w="118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243.08</w:t>
            </w:r>
          </w:p>
        </w:tc>
        <w:tc>
          <w:tcPr>
            <w:tcW w:w="144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(111,070 )</w:t>
            </w:r>
          </w:p>
        </w:tc>
        <w:tc>
          <w:tcPr>
            <w:tcW w:w="300" w:type="dxa"/>
            <w:vAlign w:val="bottom"/>
            <w:gridSpan w:val="2"/>
          </w:tcPr>
          <w:p>
            <w:pPr>
              <w:jc w:val="right"/>
              <w:ind w:right="40"/>
              <w:spacing w:after="0" w:line="193" w:lineRule="exact"/>
              <w:rPr>
                <w:sz w:val="20"/>
                <w:szCs w:val="20"/>
                <w:color w:val="auto"/>
              </w:rPr>
            </w:pPr>
            <w:r>
              <w:rPr>
                <w:rFonts w:ascii="Calibri" w:cs="Calibri" w:eastAsia="Calibri" w:hAnsi="Calibri"/>
                <w:sz w:val="16"/>
                <w:szCs w:val="16"/>
                <w:color w:val="auto"/>
              </w:rPr>
              <w:t>$</w:t>
            </w:r>
          </w:p>
        </w:tc>
        <w:tc>
          <w:tcPr>
            <w:tcW w:w="118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202.55</w:t>
            </w:r>
          </w:p>
        </w:tc>
        <w:tc>
          <w:tcPr>
            <w:tcW w:w="138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(19,522 )</w:t>
            </w:r>
          </w:p>
        </w:tc>
        <w:tc>
          <w:tcPr>
            <w:tcW w:w="320" w:type="dxa"/>
            <w:vAlign w:val="bottom"/>
            <w:gridSpan w:val="2"/>
          </w:tcPr>
          <w:p>
            <w:pPr>
              <w:jc w:val="right"/>
              <w:ind w:right="60"/>
              <w:spacing w:after="0" w:line="193" w:lineRule="exact"/>
              <w:rPr>
                <w:sz w:val="20"/>
                <w:szCs w:val="20"/>
                <w:color w:val="auto"/>
              </w:rPr>
            </w:pPr>
            <w:r>
              <w:rPr>
                <w:rFonts w:ascii="Calibri" w:cs="Calibri" w:eastAsia="Calibri" w:hAnsi="Calibri"/>
                <w:sz w:val="16"/>
                <w:szCs w:val="16"/>
                <w:color w:val="auto"/>
              </w:rPr>
              <w:t>$</w:t>
            </w:r>
          </w:p>
        </w:tc>
        <w:tc>
          <w:tcPr>
            <w:tcW w:w="116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258.20</w:t>
            </w:r>
          </w:p>
        </w:tc>
      </w:tr>
      <w:tr>
        <w:trPr>
          <w:trHeight w:val="36"/>
        </w:trPr>
        <w:tc>
          <w:tcPr>
            <w:tcW w:w="2480" w:type="dxa"/>
            <w:vAlign w:val="bottom"/>
            <w:tcBorders>
              <w:right w:val="single" w:sz="8" w:color="007CBA"/>
            </w:tcBorders>
          </w:tcPr>
          <w:p>
            <w:pPr>
              <w:spacing w:after="0"/>
              <w:rPr>
                <w:sz w:val="3"/>
                <w:szCs w:val="3"/>
                <w:color w:val="auto"/>
              </w:rPr>
            </w:pPr>
          </w:p>
        </w:tc>
        <w:tc>
          <w:tcPr>
            <w:tcW w:w="1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Borders>
              <w:right w:val="single" w:sz="8" w:color="007CBA"/>
            </w:tcBorders>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Borders>
              <w:right w:val="single" w:sz="8" w:color="007CBA"/>
            </w:tcBorders>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10"/>
        </w:trPr>
        <w:tc>
          <w:tcPr>
            <w:tcW w:w="2480" w:type="dxa"/>
            <w:vAlign w:val="bottom"/>
            <w:tcBorders>
              <w:bottom w:val="single" w:sz="8" w:color="E5F1F8"/>
              <w:right w:val="single" w:sz="8" w:color="007CBA"/>
            </w:tcBorders>
            <w:shd w:val="clear" w:color="auto" w:fill="E5F1F8"/>
          </w:tcPr>
          <w:p>
            <w:pPr>
              <w:ind w:left="120"/>
              <w:spacing w:after="0" w:line="193" w:lineRule="exact"/>
              <w:rPr>
                <w:sz w:val="20"/>
                <w:szCs w:val="20"/>
                <w:color w:val="auto"/>
              </w:rPr>
            </w:pPr>
            <w:r>
              <w:rPr>
                <w:rFonts w:ascii="Calibri" w:cs="Calibri" w:eastAsia="Calibri" w:hAnsi="Calibri"/>
                <w:sz w:val="16"/>
                <w:szCs w:val="16"/>
                <w:color w:val="auto"/>
              </w:rPr>
              <w:t>Forfeited</w:t>
            </w:r>
          </w:p>
        </w:tc>
        <w:tc>
          <w:tcPr>
            <w:tcW w:w="1460" w:type="dxa"/>
            <w:vAlign w:val="bottom"/>
            <w:tcBorders>
              <w:bottom w:val="single" w:sz="8" w:color="E5F1F8"/>
            </w:tcBorders>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(2,752 )</w:t>
            </w:r>
          </w:p>
        </w:tc>
        <w:tc>
          <w:tcPr>
            <w:tcW w:w="340" w:type="dxa"/>
            <w:vAlign w:val="bottom"/>
            <w:tcBorders>
              <w:bottom w:val="single" w:sz="8" w:color="E5F1F8"/>
            </w:tcBorders>
            <w:gridSpan w:val="2"/>
            <w:shd w:val="clear" w:color="auto" w:fill="E5F1F8"/>
          </w:tcPr>
          <w:p>
            <w:pPr>
              <w:jc w:val="right"/>
              <w:ind w:right="80"/>
              <w:spacing w:after="0" w:line="193" w:lineRule="exact"/>
              <w:rPr>
                <w:sz w:val="20"/>
                <w:szCs w:val="20"/>
                <w:color w:val="auto"/>
              </w:rPr>
            </w:pPr>
            <w:r>
              <w:rPr>
                <w:rFonts w:ascii="Calibri" w:cs="Calibri" w:eastAsia="Calibri" w:hAnsi="Calibri"/>
                <w:sz w:val="16"/>
                <w:szCs w:val="16"/>
                <w:color w:val="auto"/>
              </w:rPr>
              <w:t>$</w:t>
            </w:r>
          </w:p>
        </w:tc>
        <w:tc>
          <w:tcPr>
            <w:tcW w:w="1180" w:type="dxa"/>
            <w:vAlign w:val="bottom"/>
            <w:tcBorders>
              <w:bottom w:val="single" w:sz="8" w:color="E5F1F8"/>
              <w:right w:val="single" w:sz="8" w:color="007CBA"/>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color w:val="auto"/>
              </w:rPr>
              <w:t>330.93</w:t>
            </w:r>
          </w:p>
        </w:tc>
        <w:tc>
          <w:tcPr>
            <w:tcW w:w="1440" w:type="dxa"/>
            <w:vAlign w:val="bottom"/>
            <w:tcBorders>
              <w:bottom w:val="single" w:sz="8" w:color="E5F1F8"/>
            </w:tcBorders>
            <w:gridSpan w:val="2"/>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(1,424 )</w:t>
            </w:r>
          </w:p>
        </w:tc>
        <w:tc>
          <w:tcPr>
            <w:tcW w:w="300" w:type="dxa"/>
            <w:vAlign w:val="bottom"/>
            <w:tcBorders>
              <w:bottom w:val="single" w:sz="8" w:color="E5F1F8"/>
            </w:tcBorders>
            <w:gridSpan w:val="2"/>
            <w:shd w:val="clear" w:color="auto" w:fill="E5F1F8"/>
          </w:tcPr>
          <w:p>
            <w:pPr>
              <w:jc w:val="right"/>
              <w:ind w:right="40"/>
              <w:spacing w:after="0" w:line="193" w:lineRule="exact"/>
              <w:rPr>
                <w:sz w:val="20"/>
                <w:szCs w:val="20"/>
                <w:color w:val="auto"/>
              </w:rPr>
            </w:pPr>
            <w:r>
              <w:rPr>
                <w:rFonts w:ascii="Calibri" w:cs="Calibri" w:eastAsia="Calibri" w:hAnsi="Calibri"/>
                <w:sz w:val="16"/>
                <w:szCs w:val="16"/>
                <w:color w:val="auto"/>
              </w:rPr>
              <w:t>$</w:t>
            </w:r>
          </w:p>
        </w:tc>
        <w:tc>
          <w:tcPr>
            <w:tcW w:w="1180" w:type="dxa"/>
            <w:vAlign w:val="bottom"/>
            <w:tcBorders>
              <w:bottom w:val="single" w:sz="8" w:color="E5F1F8"/>
              <w:right w:val="single" w:sz="8" w:color="007CBA"/>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color w:val="auto"/>
              </w:rPr>
              <w:t>338.35</w:t>
            </w:r>
          </w:p>
        </w:tc>
        <w:tc>
          <w:tcPr>
            <w:tcW w:w="100" w:type="dxa"/>
            <w:vAlign w:val="bottom"/>
            <w:tcBorders>
              <w:bottom w:val="single" w:sz="8" w:color="E5F1F8"/>
            </w:tcBorders>
            <w:shd w:val="clear" w:color="auto" w:fill="E5F1F8"/>
          </w:tcPr>
          <w:p>
            <w:pPr>
              <w:spacing w:after="0"/>
              <w:rPr>
                <w:sz w:val="18"/>
                <w:szCs w:val="18"/>
                <w:color w:val="auto"/>
              </w:rPr>
            </w:pPr>
          </w:p>
        </w:tc>
        <w:tc>
          <w:tcPr>
            <w:tcW w:w="1280" w:type="dxa"/>
            <w:vAlign w:val="bottom"/>
            <w:tcBorders>
              <w:bottom w:val="single" w:sz="8" w:color="E5F1F8"/>
            </w:tcBorders>
            <w:shd w:val="clear" w:color="auto" w:fill="E5F1F8"/>
          </w:tcPr>
          <w:p>
            <w:pPr>
              <w:jc w:val="right"/>
              <w:ind w:right="39"/>
              <w:spacing w:after="0" w:line="193" w:lineRule="exact"/>
              <w:rPr>
                <w:sz w:val="20"/>
                <w:szCs w:val="20"/>
                <w:color w:val="auto"/>
              </w:rPr>
            </w:pPr>
            <w:r>
              <w:rPr>
                <w:rFonts w:ascii="Calibri" w:cs="Calibri" w:eastAsia="Calibri" w:hAnsi="Calibri"/>
                <w:sz w:val="16"/>
                <w:szCs w:val="16"/>
                <w:color w:val="auto"/>
              </w:rPr>
              <w:t>—</w:t>
            </w:r>
          </w:p>
        </w:tc>
        <w:tc>
          <w:tcPr>
            <w:tcW w:w="320" w:type="dxa"/>
            <w:vAlign w:val="bottom"/>
            <w:tcBorders>
              <w:bottom w:val="single" w:sz="8" w:color="E5F1F8"/>
            </w:tcBorders>
            <w:gridSpan w:val="2"/>
            <w:shd w:val="clear" w:color="auto" w:fill="E5F1F8"/>
          </w:tcPr>
          <w:p>
            <w:pPr>
              <w:jc w:val="right"/>
              <w:ind w:right="60"/>
              <w:spacing w:after="0" w:line="193" w:lineRule="exact"/>
              <w:rPr>
                <w:sz w:val="20"/>
                <w:szCs w:val="20"/>
                <w:color w:val="auto"/>
              </w:rPr>
            </w:pPr>
            <w:r>
              <w:rPr>
                <w:rFonts w:ascii="Calibri" w:cs="Calibri" w:eastAsia="Calibri" w:hAnsi="Calibri"/>
                <w:sz w:val="16"/>
                <w:szCs w:val="16"/>
                <w:color w:val="auto"/>
              </w:rPr>
              <w:t>$</w:t>
            </w:r>
          </w:p>
        </w:tc>
        <w:tc>
          <w:tcPr>
            <w:tcW w:w="1160" w:type="dxa"/>
            <w:vAlign w:val="bottom"/>
            <w:tcBorders>
              <w:bottom w:val="single" w:sz="8" w:color="E5F1F8"/>
            </w:tcBorders>
            <w:shd w:val="clear" w:color="auto" w:fill="E5F1F8"/>
          </w:tcPr>
          <w:p>
            <w:pPr>
              <w:jc w:val="right"/>
              <w:ind w:right="39"/>
              <w:spacing w:after="0" w:line="193" w:lineRule="exact"/>
              <w:rPr>
                <w:sz w:val="20"/>
                <w:szCs w:val="20"/>
                <w:color w:val="auto"/>
              </w:rPr>
            </w:pPr>
            <w:r>
              <w:rPr>
                <w:rFonts w:ascii="Calibri" w:cs="Calibri" w:eastAsia="Calibri" w:hAnsi="Calibri"/>
                <w:sz w:val="16"/>
                <w:szCs w:val="16"/>
                <w:color w:val="auto"/>
              </w:rPr>
              <w:t>—</w:t>
            </w:r>
          </w:p>
        </w:tc>
      </w:tr>
      <w:tr>
        <w:trPr>
          <w:trHeight w:val="193"/>
        </w:trPr>
        <w:tc>
          <w:tcPr>
            <w:tcW w:w="2480" w:type="dxa"/>
            <w:vAlign w:val="bottom"/>
          </w:tcPr>
          <w:p>
            <w:pPr>
              <w:ind w:left="120"/>
              <w:spacing w:after="0" w:line="193" w:lineRule="exact"/>
              <w:rPr>
                <w:sz w:val="20"/>
                <w:szCs w:val="20"/>
                <w:color w:val="auto"/>
              </w:rPr>
            </w:pPr>
            <w:r>
              <w:rPr>
                <w:rFonts w:ascii="Calibri" w:cs="Calibri" w:eastAsia="Calibri" w:hAnsi="Calibri"/>
                <w:sz w:val="16"/>
                <w:szCs w:val="16"/>
                <w:color w:val="auto"/>
              </w:rPr>
              <w:t>Adjustment for performance</w:t>
            </w:r>
          </w:p>
        </w:tc>
        <w:tc>
          <w:tcPr>
            <w:tcW w:w="146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340" w:type="dxa"/>
            <w:vAlign w:val="bottom"/>
            <w:gridSpan w:val="2"/>
          </w:tcPr>
          <w:p>
            <w:pPr>
              <w:jc w:val="right"/>
              <w:ind w:right="80"/>
              <w:spacing w:after="0" w:line="193" w:lineRule="exact"/>
              <w:rPr>
                <w:sz w:val="20"/>
                <w:szCs w:val="20"/>
                <w:color w:val="auto"/>
              </w:rPr>
            </w:pPr>
            <w:r>
              <w:rPr>
                <w:rFonts w:ascii="Calibri" w:cs="Calibri" w:eastAsia="Calibri" w:hAnsi="Calibri"/>
                <w:sz w:val="16"/>
                <w:szCs w:val="16"/>
                <w:color w:val="auto"/>
              </w:rPr>
              <w:t>$</w:t>
            </w:r>
          </w:p>
        </w:tc>
        <w:tc>
          <w:tcPr>
            <w:tcW w:w="118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1440" w:type="dxa"/>
            <w:vAlign w:val="bottom"/>
            <w:gridSpan w:val="2"/>
          </w:tcPr>
          <w:p>
            <w:pPr>
              <w:jc w:val="right"/>
              <w:ind w:right="39"/>
              <w:spacing w:after="0" w:line="193" w:lineRule="exact"/>
              <w:rPr>
                <w:sz w:val="20"/>
                <w:szCs w:val="20"/>
                <w:color w:val="auto"/>
              </w:rPr>
            </w:pPr>
            <w:r>
              <w:rPr>
                <w:rFonts w:ascii="Calibri" w:cs="Calibri" w:eastAsia="Calibri" w:hAnsi="Calibri"/>
                <w:sz w:val="16"/>
                <w:szCs w:val="16"/>
                <w:color w:val="auto"/>
              </w:rPr>
              <w:t>64,818</w:t>
            </w:r>
          </w:p>
        </w:tc>
        <w:tc>
          <w:tcPr>
            <w:tcW w:w="300" w:type="dxa"/>
            <w:vAlign w:val="bottom"/>
            <w:gridSpan w:val="2"/>
          </w:tcPr>
          <w:p>
            <w:pPr>
              <w:jc w:val="right"/>
              <w:ind w:right="40"/>
              <w:spacing w:after="0" w:line="193" w:lineRule="exact"/>
              <w:rPr>
                <w:sz w:val="20"/>
                <w:szCs w:val="20"/>
                <w:color w:val="auto"/>
              </w:rPr>
            </w:pPr>
            <w:r>
              <w:rPr>
                <w:rFonts w:ascii="Calibri" w:cs="Calibri" w:eastAsia="Calibri" w:hAnsi="Calibri"/>
                <w:sz w:val="16"/>
                <w:szCs w:val="16"/>
                <w:color w:val="auto"/>
              </w:rPr>
              <w:t>$</w:t>
            </w:r>
          </w:p>
        </w:tc>
        <w:tc>
          <w:tcPr>
            <w:tcW w:w="118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202.55</w:t>
            </w:r>
          </w:p>
        </w:tc>
        <w:tc>
          <w:tcPr>
            <w:tcW w:w="100" w:type="dxa"/>
            <w:vAlign w:val="bottom"/>
          </w:tcPr>
          <w:p>
            <w:pPr>
              <w:spacing w:after="0"/>
              <w:rPr>
                <w:sz w:val="16"/>
                <w:szCs w:val="16"/>
                <w:color w:val="auto"/>
              </w:rPr>
            </w:pPr>
          </w:p>
        </w:tc>
        <w:tc>
          <w:tcPr>
            <w:tcW w:w="128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w:t>
            </w:r>
          </w:p>
        </w:tc>
        <w:tc>
          <w:tcPr>
            <w:tcW w:w="320" w:type="dxa"/>
            <w:vAlign w:val="bottom"/>
            <w:gridSpan w:val="2"/>
          </w:tcPr>
          <w:p>
            <w:pPr>
              <w:jc w:val="right"/>
              <w:ind w:right="60"/>
              <w:spacing w:after="0" w:line="193" w:lineRule="exact"/>
              <w:rPr>
                <w:sz w:val="20"/>
                <w:szCs w:val="20"/>
                <w:color w:val="auto"/>
              </w:rPr>
            </w:pPr>
            <w:r>
              <w:rPr>
                <w:rFonts w:ascii="Calibri" w:cs="Calibri" w:eastAsia="Calibri" w:hAnsi="Calibri"/>
                <w:sz w:val="16"/>
                <w:szCs w:val="16"/>
                <w:color w:val="auto"/>
              </w:rPr>
              <w:t>$</w:t>
            </w:r>
          </w:p>
        </w:tc>
        <w:tc>
          <w:tcPr>
            <w:tcW w:w="116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w:t>
            </w:r>
          </w:p>
        </w:tc>
      </w:tr>
      <w:tr>
        <w:trPr>
          <w:trHeight w:val="36"/>
        </w:trPr>
        <w:tc>
          <w:tcPr>
            <w:tcW w:w="24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8"/>
        </w:trPr>
        <w:tc>
          <w:tcPr>
            <w:tcW w:w="2480" w:type="dxa"/>
            <w:vAlign w:val="bottom"/>
            <w:tcBorders>
              <w:bottom w:val="single" w:sz="8" w:color="E5F1F8"/>
              <w:right w:val="single" w:sz="8" w:color="E5F1F8"/>
            </w:tcBorders>
            <w:shd w:val="clear" w:color="auto" w:fill="E5F1F8"/>
          </w:tcPr>
          <w:p>
            <w:pPr>
              <w:ind w:left="120"/>
              <w:spacing w:after="0" w:line="193" w:lineRule="exact"/>
              <w:rPr>
                <w:sz w:val="20"/>
                <w:szCs w:val="20"/>
                <w:color w:val="auto"/>
              </w:rPr>
            </w:pPr>
            <w:r>
              <w:rPr>
                <w:rFonts w:ascii="Calibri" w:cs="Calibri" w:eastAsia="Calibri" w:hAnsi="Calibri"/>
                <w:sz w:val="16"/>
                <w:szCs w:val="16"/>
                <w:color w:val="auto"/>
              </w:rPr>
              <w:t>December 31, 2022</w:t>
            </w:r>
          </w:p>
        </w:tc>
        <w:tc>
          <w:tcPr>
            <w:tcW w:w="1460" w:type="dxa"/>
            <w:vAlign w:val="bottom"/>
            <w:tcBorders>
              <w:bottom w:val="single" w:sz="8" w:color="E5F1F8"/>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color w:val="auto"/>
              </w:rPr>
              <w:t>215,644</w:t>
            </w:r>
          </w:p>
        </w:tc>
        <w:tc>
          <w:tcPr>
            <w:tcW w:w="340" w:type="dxa"/>
            <w:vAlign w:val="bottom"/>
            <w:tcBorders>
              <w:bottom w:val="single" w:sz="8" w:color="E5F1F8"/>
            </w:tcBorders>
            <w:gridSpan w:val="2"/>
            <w:shd w:val="clear" w:color="auto" w:fill="E5F1F8"/>
          </w:tcPr>
          <w:p>
            <w:pPr>
              <w:jc w:val="right"/>
              <w:ind w:right="80"/>
              <w:spacing w:after="0"/>
              <w:rPr>
                <w:sz w:val="20"/>
                <w:szCs w:val="20"/>
                <w:color w:val="auto"/>
              </w:rPr>
            </w:pPr>
            <w:r>
              <w:rPr>
                <w:rFonts w:ascii="Calibri" w:cs="Calibri" w:eastAsia="Calibri" w:hAnsi="Calibri"/>
                <w:sz w:val="16"/>
                <w:szCs w:val="16"/>
                <w:color w:val="auto"/>
              </w:rPr>
              <w:t>$</w:t>
            </w:r>
          </w:p>
        </w:tc>
        <w:tc>
          <w:tcPr>
            <w:tcW w:w="1180" w:type="dxa"/>
            <w:vAlign w:val="bottom"/>
            <w:tcBorders>
              <w:bottom w:val="single" w:sz="8" w:color="E5F1F8"/>
              <w:right w:val="single" w:sz="8" w:color="E5F1F8"/>
            </w:tcBorders>
            <w:shd w:val="clear" w:color="auto" w:fill="E5F1F8"/>
          </w:tcPr>
          <w:p>
            <w:pPr>
              <w:jc w:val="right"/>
              <w:ind w:right="59"/>
              <w:spacing w:after="0"/>
              <w:rPr>
                <w:sz w:val="20"/>
                <w:szCs w:val="20"/>
                <w:color w:val="auto"/>
              </w:rPr>
            </w:pPr>
            <w:r>
              <w:rPr>
                <w:rFonts w:ascii="Calibri" w:cs="Calibri" w:eastAsia="Calibri" w:hAnsi="Calibri"/>
                <w:sz w:val="16"/>
                <w:szCs w:val="16"/>
                <w:color w:val="auto"/>
              </w:rPr>
              <w:t>272.86</w:t>
            </w:r>
          </w:p>
        </w:tc>
        <w:tc>
          <w:tcPr>
            <w:tcW w:w="140" w:type="dxa"/>
            <w:vAlign w:val="bottom"/>
            <w:tcBorders>
              <w:bottom w:val="single" w:sz="8" w:color="E5F1F8"/>
            </w:tcBorders>
            <w:shd w:val="clear" w:color="auto" w:fill="E5F1F8"/>
          </w:tcPr>
          <w:p>
            <w:pPr>
              <w:spacing w:after="0"/>
              <w:rPr>
                <w:sz w:val="21"/>
                <w:szCs w:val="21"/>
                <w:color w:val="auto"/>
              </w:rPr>
            </w:pPr>
          </w:p>
        </w:tc>
        <w:tc>
          <w:tcPr>
            <w:tcW w:w="1300" w:type="dxa"/>
            <w:vAlign w:val="bottom"/>
            <w:tcBorders>
              <w:bottom w:val="single" w:sz="8" w:color="E5F1F8"/>
            </w:tcBorders>
            <w:shd w:val="clear" w:color="auto" w:fill="E5F1F8"/>
          </w:tcPr>
          <w:p>
            <w:pPr>
              <w:jc w:val="right"/>
              <w:ind w:right="39"/>
              <w:spacing w:after="0" w:line="193" w:lineRule="exact"/>
              <w:rPr>
                <w:sz w:val="20"/>
                <w:szCs w:val="20"/>
                <w:color w:val="auto"/>
              </w:rPr>
            </w:pPr>
            <w:r>
              <w:rPr>
                <w:rFonts w:ascii="Calibri" w:cs="Calibri" w:eastAsia="Calibri" w:hAnsi="Calibri"/>
                <w:sz w:val="16"/>
                <w:szCs w:val="16"/>
                <w:color w:val="auto"/>
              </w:rPr>
              <w:t>103,795</w:t>
            </w:r>
          </w:p>
        </w:tc>
        <w:tc>
          <w:tcPr>
            <w:tcW w:w="300" w:type="dxa"/>
            <w:vAlign w:val="bottom"/>
            <w:tcBorders>
              <w:bottom w:val="single" w:sz="8" w:color="E5F1F8"/>
            </w:tcBorders>
            <w:gridSpan w:val="2"/>
            <w:shd w:val="clear" w:color="auto" w:fill="E5F1F8"/>
          </w:tcPr>
          <w:p>
            <w:pPr>
              <w:jc w:val="right"/>
              <w:ind w:right="40"/>
              <w:spacing w:after="0"/>
              <w:rPr>
                <w:sz w:val="20"/>
                <w:szCs w:val="20"/>
                <w:color w:val="auto"/>
              </w:rPr>
            </w:pPr>
            <w:r>
              <w:rPr>
                <w:rFonts w:ascii="Calibri" w:cs="Calibri" w:eastAsia="Calibri" w:hAnsi="Calibri"/>
                <w:sz w:val="16"/>
                <w:szCs w:val="16"/>
                <w:color w:val="auto"/>
              </w:rPr>
              <w:t>$</w:t>
            </w:r>
          </w:p>
        </w:tc>
        <w:tc>
          <w:tcPr>
            <w:tcW w:w="1180" w:type="dxa"/>
            <w:vAlign w:val="bottom"/>
            <w:tcBorders>
              <w:bottom w:val="single" w:sz="8" w:color="E5F1F8"/>
              <w:right w:val="single" w:sz="8" w:color="E5F1F8"/>
            </w:tcBorders>
            <w:shd w:val="clear" w:color="auto" w:fill="E5F1F8"/>
          </w:tcPr>
          <w:p>
            <w:pPr>
              <w:jc w:val="right"/>
              <w:ind w:right="59"/>
              <w:spacing w:after="0"/>
              <w:rPr>
                <w:sz w:val="20"/>
                <w:szCs w:val="20"/>
                <w:color w:val="auto"/>
              </w:rPr>
            </w:pPr>
            <w:r>
              <w:rPr>
                <w:rFonts w:ascii="Calibri" w:cs="Calibri" w:eastAsia="Calibri" w:hAnsi="Calibri"/>
                <w:sz w:val="16"/>
                <w:szCs w:val="16"/>
                <w:color w:val="auto"/>
              </w:rPr>
              <w:t>339.17</w:t>
            </w:r>
          </w:p>
        </w:tc>
        <w:tc>
          <w:tcPr>
            <w:tcW w:w="100" w:type="dxa"/>
            <w:vAlign w:val="bottom"/>
            <w:tcBorders>
              <w:bottom w:val="single" w:sz="8" w:color="E5F1F8"/>
            </w:tcBorders>
            <w:shd w:val="clear" w:color="auto" w:fill="E5F1F8"/>
          </w:tcPr>
          <w:p>
            <w:pPr>
              <w:spacing w:after="0"/>
              <w:rPr>
                <w:sz w:val="21"/>
                <w:szCs w:val="21"/>
                <w:color w:val="auto"/>
              </w:rPr>
            </w:pPr>
          </w:p>
        </w:tc>
        <w:tc>
          <w:tcPr>
            <w:tcW w:w="1280" w:type="dxa"/>
            <w:vAlign w:val="bottom"/>
            <w:tcBorders>
              <w:bottom w:val="single" w:sz="8" w:color="E5F1F8"/>
            </w:tcBorders>
            <w:shd w:val="clear" w:color="auto" w:fill="E5F1F8"/>
          </w:tcPr>
          <w:p>
            <w:pPr>
              <w:jc w:val="right"/>
              <w:ind w:right="39"/>
              <w:spacing w:after="0" w:line="193" w:lineRule="exact"/>
              <w:rPr>
                <w:sz w:val="20"/>
                <w:szCs w:val="20"/>
                <w:color w:val="auto"/>
              </w:rPr>
            </w:pPr>
            <w:r>
              <w:rPr>
                <w:rFonts w:ascii="Calibri" w:cs="Calibri" w:eastAsia="Calibri" w:hAnsi="Calibri"/>
                <w:sz w:val="16"/>
                <w:szCs w:val="16"/>
                <w:color w:val="auto"/>
              </w:rPr>
              <w:t>32,149</w:t>
            </w:r>
          </w:p>
        </w:tc>
        <w:tc>
          <w:tcPr>
            <w:tcW w:w="320" w:type="dxa"/>
            <w:vAlign w:val="bottom"/>
            <w:tcBorders>
              <w:bottom w:val="single" w:sz="8" w:color="E5F1F8"/>
            </w:tcBorders>
            <w:gridSpan w:val="2"/>
            <w:shd w:val="clear" w:color="auto" w:fill="E5F1F8"/>
          </w:tcPr>
          <w:p>
            <w:pPr>
              <w:jc w:val="right"/>
              <w:ind w:right="60"/>
              <w:spacing w:after="0"/>
              <w:rPr>
                <w:sz w:val="20"/>
                <w:szCs w:val="20"/>
                <w:color w:val="auto"/>
              </w:rPr>
            </w:pPr>
            <w:r>
              <w:rPr>
                <w:rFonts w:ascii="Calibri" w:cs="Calibri" w:eastAsia="Calibri" w:hAnsi="Calibri"/>
                <w:sz w:val="16"/>
                <w:szCs w:val="16"/>
                <w:color w:val="auto"/>
              </w:rPr>
              <w:t>$</w:t>
            </w:r>
          </w:p>
        </w:tc>
        <w:tc>
          <w:tcPr>
            <w:tcW w:w="1160" w:type="dxa"/>
            <w:vAlign w:val="bottom"/>
            <w:tcBorders>
              <w:bottom w:val="single" w:sz="8" w:color="E5F1F8"/>
            </w:tcBorders>
            <w:shd w:val="clear" w:color="auto" w:fill="E5F1F8"/>
          </w:tcPr>
          <w:p>
            <w:pPr>
              <w:jc w:val="right"/>
              <w:ind w:right="39"/>
              <w:spacing w:after="0"/>
              <w:rPr>
                <w:sz w:val="20"/>
                <w:szCs w:val="20"/>
                <w:color w:val="auto"/>
              </w:rPr>
            </w:pPr>
            <w:r>
              <w:rPr>
                <w:rFonts w:ascii="Calibri" w:cs="Calibri" w:eastAsia="Calibri" w:hAnsi="Calibri"/>
                <w:sz w:val="16"/>
                <w:szCs w:val="16"/>
                <w:color w:val="auto"/>
              </w:rPr>
              <w:t>341.72</w:t>
            </w:r>
          </w:p>
        </w:tc>
      </w:tr>
      <w:tr>
        <w:trPr>
          <w:trHeight w:val="20"/>
        </w:trPr>
        <w:tc>
          <w:tcPr>
            <w:tcW w:w="24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5F1F8"/>
            </w:tcBorders>
            <w:shd w:val="clear" w:color="auto" w:fill="E5F1F8"/>
          </w:tcPr>
          <w:p>
            <w:pPr>
              <w:spacing w:after="0" w:line="20" w:lineRule="exact"/>
              <w:rPr>
                <w:sz w:val="1"/>
                <w:szCs w:val="1"/>
                <w:color w:val="auto"/>
              </w:rPr>
            </w:pPr>
          </w:p>
        </w:tc>
        <w:tc>
          <w:tcPr>
            <w:tcW w:w="160" w:type="dxa"/>
            <w:vAlign w:val="bottom"/>
            <w:tcBorders>
              <w:top w:val="single" w:sz="8" w:color="E5F1F8"/>
            </w:tcBorders>
            <w:shd w:val="clear" w:color="auto" w:fill="000000"/>
          </w:tcPr>
          <w:p>
            <w:pPr>
              <w:spacing w:after="0" w:line="20" w:lineRule="exact"/>
              <w:rPr>
                <w:sz w:val="1"/>
                <w:szCs w:val="1"/>
                <w:color w:val="auto"/>
              </w:rPr>
            </w:pPr>
          </w:p>
        </w:tc>
        <w:tc>
          <w:tcPr>
            <w:tcW w:w="1180" w:type="dxa"/>
            <w:vAlign w:val="bottom"/>
            <w:tcBorders>
              <w:top w:val="single" w:sz="8" w:color="E5F1F8"/>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E5F1F8"/>
            </w:tcBorders>
            <w:shd w:val="clear" w:color="auto" w:fill="E5F1F8"/>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5F1F8"/>
            </w:tcBorders>
            <w:shd w:val="clear" w:color="auto" w:fill="E5F1F8"/>
          </w:tcPr>
          <w:p>
            <w:pPr>
              <w:spacing w:after="0" w:line="20" w:lineRule="exact"/>
              <w:rPr>
                <w:sz w:val="1"/>
                <w:szCs w:val="1"/>
                <w:color w:val="auto"/>
              </w:rPr>
            </w:pPr>
          </w:p>
        </w:tc>
        <w:tc>
          <w:tcPr>
            <w:tcW w:w="140" w:type="dxa"/>
            <w:vAlign w:val="bottom"/>
            <w:tcBorders>
              <w:top w:val="single" w:sz="8" w:color="E5F1F8"/>
            </w:tcBorders>
            <w:shd w:val="clear" w:color="auto" w:fill="000000"/>
          </w:tcPr>
          <w:p>
            <w:pPr>
              <w:spacing w:after="0" w:line="20" w:lineRule="exact"/>
              <w:rPr>
                <w:sz w:val="1"/>
                <w:szCs w:val="1"/>
                <w:color w:val="auto"/>
              </w:rPr>
            </w:pPr>
          </w:p>
        </w:tc>
        <w:tc>
          <w:tcPr>
            <w:tcW w:w="1180" w:type="dxa"/>
            <w:vAlign w:val="bottom"/>
            <w:tcBorders>
              <w:top w:val="single" w:sz="8" w:color="E5F1F8"/>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E5F1F8"/>
            </w:tcBorders>
            <w:shd w:val="clear" w:color="auto" w:fill="E5F1F8"/>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5F1F8"/>
            </w:tcBorders>
            <w:shd w:val="clear" w:color="auto" w:fill="E5F1F8"/>
          </w:tcPr>
          <w:p>
            <w:pPr>
              <w:spacing w:after="0" w:line="20" w:lineRule="exact"/>
              <w:rPr>
                <w:sz w:val="1"/>
                <w:szCs w:val="1"/>
                <w:color w:val="auto"/>
              </w:rPr>
            </w:pPr>
          </w:p>
        </w:tc>
        <w:tc>
          <w:tcPr>
            <w:tcW w:w="140" w:type="dxa"/>
            <w:vAlign w:val="bottom"/>
            <w:tcBorders>
              <w:top w:val="single" w:sz="8" w:color="E5F1F8"/>
            </w:tcBorders>
            <w:shd w:val="clear" w:color="auto" w:fill="000000"/>
          </w:tcPr>
          <w:p>
            <w:pPr>
              <w:spacing w:after="0" w:line="20" w:lineRule="exact"/>
              <w:rPr>
                <w:sz w:val="1"/>
                <w:szCs w:val="1"/>
                <w:color w:val="auto"/>
              </w:rPr>
            </w:pPr>
          </w:p>
        </w:tc>
        <w:tc>
          <w:tcPr>
            <w:tcW w:w="1160" w:type="dxa"/>
            <w:vAlign w:val="bottom"/>
            <w:tcBorders>
              <w:top w:val="single" w:sz="8" w:color="E5F1F8"/>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-1447800</wp:posOffset>
            </wp:positionV>
            <wp:extent cx="547751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3">
                      <a:extLst>
                        <a:ext uri="{28A0092B-C50C-407E-A947-70E740481C1C}"/>
                      </a:extLst>
                    </a:blip>
                    <a:srcRect/>
                    <a:stretch>
                      <a:fillRect/>
                    </a:stretch>
                  </pic:blipFill>
                  <pic:spPr bwMode="auto">
                    <a:xfrm>
                      <a:off x="0" y="0"/>
                      <a:ext cx="5477510" cy="8255"/>
                    </a:xfrm>
                    <a:prstGeom prst="rect">
                      <a:avLst/>
                    </a:prstGeom>
                    <a:noFill/>
                  </pic:spPr>
                </pic:pic>
              </a:graphicData>
            </a:graphic>
          </wp:anchor>
        </w:drawing>
        <w:drawing>
          <wp:anchor simplePos="0" relativeHeight="251657728" behindDoc="1" locked="0" layoutInCell="0" allowOverlap="1">
            <wp:simplePos x="0" y="0"/>
            <wp:positionH relativeFrom="column">
              <wp:posOffset>1552575</wp:posOffset>
            </wp:positionH>
            <wp:positionV relativeFrom="paragraph">
              <wp:posOffset>-337820</wp:posOffset>
            </wp:positionV>
            <wp:extent cx="5584825" cy="3511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4">
                      <a:extLst>
                        <a:ext uri="{28A0092B-C50C-407E-A947-70E740481C1C}"/>
                      </a:extLst>
                    </a:blip>
                    <a:srcRect/>
                    <a:stretch>
                      <a:fillRect/>
                    </a:stretch>
                  </pic:blipFill>
                  <pic:spPr bwMode="auto">
                    <a:xfrm>
                      <a:off x="0" y="0"/>
                      <a:ext cx="5584825" cy="351155"/>
                    </a:xfrm>
                    <a:prstGeom prst="rect">
                      <a:avLst/>
                    </a:prstGeom>
                    <a:noFill/>
                  </pic:spPr>
                </pic:pic>
              </a:graphicData>
            </a:graphic>
          </wp:anchor>
        </w:drawing>
      </w:r>
    </w:p>
    <w:p>
      <w:pPr>
        <w:spacing w:after="0" w:line="1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weighted-average grant-date fair value of service-based restricted stock awards granted during 2022, 2021 and 2020 was $362.77, $342.11 and $222.39, respectvely. The weighted-average grant-date fair value of performance-based restricted stock awards granted during 2022, 2021 and 2020 was $406.99, $352.52 and $266.97, respectvely. The weighted-average grant-date fair value of incentve compensaton stock awards granted during 2022, 2021 and 2020 was $369.05, $325.30 and $258.67, respectvely.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aggregate intrinsic values for unvested restricted stock awards and unvested incentve compensaton stock awards at December 31, 2022 were $108.0 million and $2.1 million, respectvely, and were based on the closing price of the Company’s common stock at December 31, 2022, which was $337.97. The aggregate intrinsic values of restricted stock awards distributed during the years ended December 31, 2022, 2021 and 2020 were $64.5 million, $41.1 million and $35.2 million, respectvely. The aggregate intrinsic values of incentve compensaton stock awards distributed during the years ended December 31, 2022,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6751320</wp:posOffset>
            </wp:positionH>
            <wp:positionV relativeFrom="paragraph">
              <wp:posOffset>93980</wp:posOffset>
            </wp:positionV>
            <wp:extent cx="325755" cy="1968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5">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05" w:name="page106"/>
    <w:bookmarkEnd w:id="105"/>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ind w:firstLine="40"/>
        <w:spacing w:after="0" w:line="235" w:lineRule="auto"/>
        <w:rPr>
          <w:sz w:val="20"/>
          <w:szCs w:val="20"/>
          <w:color w:val="auto"/>
        </w:rPr>
      </w:pPr>
      <w:r>
        <w:rPr>
          <w:rFonts w:ascii="Calibri" w:cs="Calibri" w:eastAsia="Calibri" w:hAnsi="Calibri"/>
          <w:sz w:val="18"/>
          <w:szCs w:val="18"/>
          <w:color w:val="auto"/>
        </w:rPr>
        <w:t>and 2020 were $3.1 million, $4.9 million and $1.7 million, respectvely. The aggregate intrinsic values for distributed awards were based on the closing prices of the Company’s common stock on the dates of distributon.</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Prior to 2016, under the Plans, the Company granted optons to employees to purchase its common stock at a price equal to the closing market value at the date of grant. Optons become exercisable in four annual installments beginning one year afer date of grant. Optons granted startng in 2013 expire ten years afer the grant date, while outstanding optons granted prior to 2013 expire eight years afer the grant date.</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includes summary informaton for stock optons as of December 31, 2022:</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840" w:type="dxa"/>
            <w:vAlign w:val="bottom"/>
            <w:tcBorders>
              <w:right w:val="single" w:sz="8" w:color="007CBA"/>
            </w:tcBorders>
            <w:shd w:val="clear" w:color="auto" w:fill="007CBA"/>
          </w:tcPr>
          <w:p>
            <w:pPr>
              <w:spacing w:after="0"/>
              <w:rPr>
                <w:sz w:val="19"/>
                <w:szCs w:val="19"/>
                <w:color w:val="auto"/>
              </w:rPr>
            </w:pPr>
          </w:p>
        </w:tc>
        <w:tc>
          <w:tcPr>
            <w:tcW w:w="1540" w:type="dxa"/>
            <w:vAlign w:val="bottom"/>
            <w:tcBorders>
              <w:right w:val="single" w:sz="8" w:color="007CBA"/>
            </w:tcBorders>
            <w:shd w:val="clear" w:color="auto" w:fill="007CBA"/>
          </w:tcPr>
          <w:p>
            <w:pPr>
              <w:spacing w:after="0"/>
              <w:rPr>
                <w:sz w:val="19"/>
                <w:szCs w:val="19"/>
                <w:color w:val="auto"/>
              </w:rPr>
            </w:pPr>
          </w:p>
        </w:tc>
        <w:tc>
          <w:tcPr>
            <w:tcW w:w="220" w:type="dxa"/>
            <w:vAlign w:val="bottom"/>
            <w:shd w:val="clear" w:color="auto" w:fill="007CBA"/>
          </w:tcPr>
          <w:p>
            <w:pPr>
              <w:spacing w:after="0"/>
              <w:rPr>
                <w:sz w:val="19"/>
                <w:szCs w:val="19"/>
                <w:color w:val="auto"/>
              </w:rPr>
            </w:pPr>
          </w:p>
        </w:tc>
        <w:tc>
          <w:tcPr>
            <w:tcW w:w="1220" w:type="dxa"/>
            <w:vAlign w:val="bottom"/>
            <w:tcBorders>
              <w:right w:val="single" w:sz="8" w:color="007CBA"/>
            </w:tcBorders>
            <w:shd w:val="clear" w:color="auto" w:fill="007CBA"/>
          </w:tcPr>
          <w:p>
            <w:pPr>
              <w:spacing w:after="0"/>
              <w:rPr>
                <w:sz w:val="19"/>
                <w:szCs w:val="19"/>
                <w:color w:val="auto"/>
              </w:rPr>
            </w:pPr>
          </w:p>
        </w:tc>
        <w:tc>
          <w:tcPr>
            <w:tcW w:w="1420" w:type="dxa"/>
            <w:vAlign w:val="bottom"/>
            <w:shd w:val="clear" w:color="auto" w:fill="007CBA"/>
          </w:tcPr>
          <w:p>
            <w:pPr>
              <w:jc w:val="center"/>
              <w:spacing w:after="0"/>
              <w:rPr>
                <w:sz w:val="20"/>
                <w:szCs w:val="20"/>
                <w:color w:val="auto"/>
              </w:rPr>
            </w:pPr>
            <w:r>
              <w:rPr>
                <w:rFonts w:ascii="Calibri" w:cs="Calibri" w:eastAsia="Calibri" w:hAnsi="Calibri"/>
                <w:sz w:val="18"/>
                <w:szCs w:val="18"/>
                <w:b w:val="1"/>
                <w:bCs w:val="1"/>
                <w:color w:val="FFFFFF"/>
                <w:w w:val="96"/>
              </w:rPr>
              <w:t>Weighted-</w:t>
            </w:r>
          </w:p>
        </w:tc>
      </w:tr>
      <w:tr>
        <w:trPr>
          <w:trHeight w:val="215"/>
        </w:trPr>
        <w:tc>
          <w:tcPr>
            <w:tcW w:w="6840" w:type="dxa"/>
            <w:vAlign w:val="bottom"/>
            <w:tcBorders>
              <w:right w:val="single" w:sz="8" w:color="007CBA"/>
            </w:tcBorders>
            <w:shd w:val="clear" w:color="auto" w:fill="007CBA"/>
          </w:tcPr>
          <w:p>
            <w:pPr>
              <w:spacing w:after="0"/>
              <w:rPr>
                <w:sz w:val="18"/>
                <w:szCs w:val="18"/>
                <w:color w:val="auto"/>
              </w:rPr>
            </w:pPr>
          </w:p>
        </w:tc>
        <w:tc>
          <w:tcPr>
            <w:tcW w:w="1540" w:type="dxa"/>
            <w:vAlign w:val="bottom"/>
            <w:tcBorders>
              <w:right w:val="single" w:sz="8" w:color="007CBA"/>
            </w:tcBorders>
            <w:shd w:val="clear" w:color="auto" w:fill="007CBA"/>
          </w:tcPr>
          <w:p>
            <w:pPr>
              <w:spacing w:after="0"/>
              <w:rPr>
                <w:sz w:val="18"/>
                <w:szCs w:val="18"/>
                <w:color w:val="auto"/>
              </w:rPr>
            </w:pPr>
          </w:p>
        </w:tc>
        <w:tc>
          <w:tcPr>
            <w:tcW w:w="220" w:type="dxa"/>
            <w:vAlign w:val="bottom"/>
            <w:shd w:val="clear" w:color="auto" w:fill="007CBA"/>
          </w:tcPr>
          <w:p>
            <w:pPr>
              <w:spacing w:after="0"/>
              <w:rPr>
                <w:sz w:val="18"/>
                <w:szCs w:val="18"/>
                <w:color w:val="auto"/>
              </w:rPr>
            </w:pPr>
          </w:p>
        </w:tc>
        <w:tc>
          <w:tcPr>
            <w:tcW w:w="1220" w:type="dxa"/>
            <w:vAlign w:val="bottom"/>
            <w:tcBorders>
              <w:right w:val="single" w:sz="8" w:color="007CBA"/>
            </w:tcBorders>
            <w:shd w:val="clear" w:color="auto" w:fill="007CBA"/>
          </w:tcPr>
          <w:p>
            <w:pPr>
              <w:jc w:val="center"/>
              <w:ind w:right="210"/>
              <w:spacing w:after="0" w:line="215" w:lineRule="exact"/>
              <w:rPr>
                <w:sz w:val="20"/>
                <w:szCs w:val="20"/>
                <w:color w:val="auto"/>
              </w:rPr>
            </w:pPr>
            <w:r>
              <w:rPr>
                <w:rFonts w:ascii="Calibri" w:cs="Calibri" w:eastAsia="Calibri" w:hAnsi="Calibri"/>
                <w:sz w:val="18"/>
                <w:szCs w:val="18"/>
                <w:b w:val="1"/>
                <w:bCs w:val="1"/>
                <w:color w:val="FFFFFF"/>
                <w:w w:val="96"/>
              </w:rPr>
              <w:t>Weighted-</w:t>
            </w:r>
          </w:p>
        </w:tc>
        <w:tc>
          <w:tcPr>
            <w:tcW w:w="1420" w:type="dxa"/>
            <w:vAlign w:val="bottom"/>
            <w:shd w:val="clear" w:color="auto" w:fill="007CBA"/>
          </w:tcPr>
          <w:p>
            <w:pPr>
              <w:jc w:val="center"/>
              <w:spacing w:after="0" w:line="215" w:lineRule="exact"/>
              <w:rPr>
                <w:sz w:val="20"/>
                <w:szCs w:val="20"/>
                <w:color w:val="auto"/>
              </w:rPr>
            </w:pPr>
            <w:r>
              <w:rPr>
                <w:rFonts w:ascii="Calibri" w:cs="Calibri" w:eastAsia="Calibri" w:hAnsi="Calibri"/>
                <w:sz w:val="18"/>
                <w:szCs w:val="18"/>
                <w:b w:val="1"/>
                <w:bCs w:val="1"/>
                <w:color w:val="FFFFFF"/>
                <w:w w:val="97"/>
              </w:rPr>
              <w:t>Average</w:t>
            </w:r>
          </w:p>
        </w:tc>
      </w:tr>
      <w:tr>
        <w:trPr>
          <w:trHeight w:val="216"/>
        </w:trPr>
        <w:tc>
          <w:tcPr>
            <w:tcW w:w="6840" w:type="dxa"/>
            <w:vAlign w:val="bottom"/>
            <w:tcBorders>
              <w:right w:val="single" w:sz="8" w:color="007CBA"/>
            </w:tcBorders>
            <w:shd w:val="clear" w:color="auto" w:fill="007CBA"/>
          </w:tcPr>
          <w:p>
            <w:pPr>
              <w:spacing w:after="0"/>
              <w:rPr>
                <w:sz w:val="18"/>
                <w:szCs w:val="18"/>
                <w:color w:val="auto"/>
              </w:rPr>
            </w:pPr>
          </w:p>
        </w:tc>
        <w:tc>
          <w:tcPr>
            <w:tcW w:w="1540" w:type="dxa"/>
            <w:vAlign w:val="bottom"/>
            <w:tcBorders>
              <w:right w:val="single" w:sz="8" w:color="007CBA"/>
            </w:tcBorders>
            <w:shd w:val="clear" w:color="auto" w:fill="007CBA"/>
          </w:tcPr>
          <w:p>
            <w:pPr>
              <w:spacing w:after="0"/>
              <w:rPr>
                <w:sz w:val="18"/>
                <w:szCs w:val="18"/>
                <w:color w:val="auto"/>
              </w:rPr>
            </w:pPr>
          </w:p>
        </w:tc>
        <w:tc>
          <w:tcPr>
            <w:tcW w:w="220" w:type="dxa"/>
            <w:vAlign w:val="bottom"/>
            <w:shd w:val="clear" w:color="auto" w:fill="007CBA"/>
          </w:tcPr>
          <w:p>
            <w:pPr>
              <w:spacing w:after="0"/>
              <w:rPr>
                <w:sz w:val="18"/>
                <w:szCs w:val="18"/>
                <w:color w:val="auto"/>
              </w:rPr>
            </w:pPr>
          </w:p>
        </w:tc>
        <w:tc>
          <w:tcPr>
            <w:tcW w:w="1220" w:type="dxa"/>
            <w:vAlign w:val="bottom"/>
            <w:tcBorders>
              <w:right w:val="single" w:sz="8" w:color="007CBA"/>
            </w:tcBorders>
            <w:shd w:val="clear" w:color="auto" w:fill="007CBA"/>
          </w:tcPr>
          <w:p>
            <w:pPr>
              <w:jc w:val="center"/>
              <w:ind w:right="270"/>
              <w:spacing w:after="0" w:line="216" w:lineRule="exact"/>
              <w:rPr>
                <w:sz w:val="20"/>
                <w:szCs w:val="20"/>
                <w:color w:val="auto"/>
              </w:rPr>
            </w:pPr>
            <w:r>
              <w:rPr>
                <w:rFonts w:ascii="Calibri" w:cs="Calibri" w:eastAsia="Calibri" w:hAnsi="Calibri"/>
                <w:sz w:val="18"/>
                <w:szCs w:val="18"/>
                <w:b w:val="1"/>
                <w:bCs w:val="1"/>
                <w:color w:val="FFFFFF"/>
                <w:w w:val="94"/>
              </w:rPr>
              <w:t>Average</w:t>
            </w:r>
          </w:p>
        </w:tc>
        <w:tc>
          <w:tcPr>
            <w:tcW w:w="1420" w:type="dxa"/>
            <w:vAlign w:val="bottom"/>
            <w:shd w:val="clear" w:color="auto" w:fill="007CBA"/>
          </w:tcPr>
          <w:p>
            <w:pPr>
              <w:jc w:val="center"/>
              <w:spacing w:after="0" w:line="216" w:lineRule="exact"/>
              <w:rPr>
                <w:sz w:val="20"/>
                <w:szCs w:val="20"/>
                <w:color w:val="auto"/>
              </w:rPr>
            </w:pPr>
            <w:r>
              <w:rPr>
                <w:rFonts w:ascii="Calibri" w:cs="Calibri" w:eastAsia="Calibri" w:hAnsi="Calibri"/>
                <w:sz w:val="18"/>
                <w:szCs w:val="18"/>
                <w:b w:val="1"/>
                <w:bCs w:val="1"/>
                <w:color w:val="FFFFFF"/>
                <w:w w:val="95"/>
              </w:rPr>
              <w:t>Remaining</w:t>
            </w:r>
          </w:p>
        </w:tc>
      </w:tr>
      <w:tr>
        <w:trPr>
          <w:trHeight w:val="216"/>
        </w:trPr>
        <w:tc>
          <w:tcPr>
            <w:tcW w:w="6840" w:type="dxa"/>
            <w:vAlign w:val="bottom"/>
            <w:tcBorders>
              <w:right w:val="single" w:sz="8" w:color="007CBA"/>
            </w:tcBorders>
            <w:shd w:val="clear" w:color="auto" w:fill="007CBA"/>
          </w:tcPr>
          <w:p>
            <w:pPr>
              <w:spacing w:after="0"/>
              <w:rPr>
                <w:sz w:val="18"/>
                <w:szCs w:val="18"/>
                <w:color w:val="auto"/>
              </w:rPr>
            </w:pPr>
          </w:p>
        </w:tc>
        <w:tc>
          <w:tcPr>
            <w:tcW w:w="1540" w:type="dxa"/>
            <w:vAlign w:val="bottom"/>
            <w:tcBorders>
              <w:right w:val="single" w:sz="8" w:color="007CBA"/>
            </w:tcBorders>
            <w:shd w:val="clear" w:color="auto" w:fill="007CBA"/>
          </w:tcPr>
          <w:p>
            <w:pPr>
              <w:jc w:val="right"/>
              <w:ind w:right="310"/>
              <w:spacing w:after="0" w:line="216" w:lineRule="exact"/>
              <w:rPr>
                <w:sz w:val="20"/>
                <w:szCs w:val="20"/>
                <w:color w:val="auto"/>
              </w:rPr>
            </w:pPr>
            <w:r>
              <w:rPr>
                <w:rFonts w:ascii="Calibri" w:cs="Calibri" w:eastAsia="Calibri" w:hAnsi="Calibri"/>
                <w:sz w:val="18"/>
                <w:szCs w:val="18"/>
                <w:b w:val="1"/>
                <w:bCs w:val="1"/>
                <w:color w:val="FFFFFF"/>
              </w:rPr>
              <w:t>Number of</w:t>
            </w:r>
          </w:p>
        </w:tc>
        <w:tc>
          <w:tcPr>
            <w:tcW w:w="220" w:type="dxa"/>
            <w:vAlign w:val="bottom"/>
            <w:shd w:val="clear" w:color="auto" w:fill="007CBA"/>
          </w:tcPr>
          <w:p>
            <w:pPr>
              <w:spacing w:after="0"/>
              <w:rPr>
                <w:sz w:val="18"/>
                <w:szCs w:val="18"/>
                <w:color w:val="auto"/>
              </w:rPr>
            </w:pPr>
          </w:p>
        </w:tc>
        <w:tc>
          <w:tcPr>
            <w:tcW w:w="1220" w:type="dxa"/>
            <w:vAlign w:val="bottom"/>
            <w:tcBorders>
              <w:right w:val="single" w:sz="8" w:color="007CBA"/>
            </w:tcBorders>
            <w:shd w:val="clear" w:color="auto" w:fill="007CBA"/>
          </w:tcPr>
          <w:p>
            <w:pPr>
              <w:jc w:val="center"/>
              <w:ind w:right="270"/>
              <w:spacing w:after="0" w:line="216" w:lineRule="exact"/>
              <w:rPr>
                <w:sz w:val="20"/>
                <w:szCs w:val="20"/>
                <w:color w:val="auto"/>
              </w:rPr>
            </w:pPr>
            <w:r>
              <w:rPr>
                <w:rFonts w:ascii="Calibri" w:cs="Calibri" w:eastAsia="Calibri" w:hAnsi="Calibri"/>
                <w:sz w:val="18"/>
                <w:szCs w:val="18"/>
                <w:b w:val="1"/>
                <w:bCs w:val="1"/>
                <w:color w:val="FFFFFF"/>
                <w:w w:val="95"/>
              </w:rPr>
              <w:t>Exercise</w:t>
            </w:r>
          </w:p>
        </w:tc>
        <w:tc>
          <w:tcPr>
            <w:tcW w:w="1420" w:type="dxa"/>
            <w:vAlign w:val="bottom"/>
            <w:shd w:val="clear" w:color="auto" w:fill="007CBA"/>
          </w:tcPr>
          <w:p>
            <w:pPr>
              <w:jc w:val="center"/>
              <w:spacing w:after="0" w:line="216" w:lineRule="exact"/>
              <w:rPr>
                <w:sz w:val="20"/>
                <w:szCs w:val="20"/>
                <w:color w:val="auto"/>
              </w:rPr>
            </w:pPr>
            <w:r>
              <w:rPr>
                <w:rFonts w:ascii="Calibri" w:cs="Calibri" w:eastAsia="Calibri" w:hAnsi="Calibri"/>
                <w:sz w:val="18"/>
                <w:szCs w:val="18"/>
                <w:b w:val="1"/>
                <w:bCs w:val="1"/>
                <w:color w:val="FFFFFF"/>
                <w:w w:val="98"/>
              </w:rPr>
              <w:t>Contractual Life</w:t>
            </w:r>
          </w:p>
        </w:tc>
      </w:tr>
      <w:tr>
        <w:trPr>
          <w:trHeight w:val="246"/>
        </w:trPr>
        <w:tc>
          <w:tcPr>
            <w:tcW w:w="6840" w:type="dxa"/>
            <w:vAlign w:val="bottom"/>
            <w:tcBorders>
              <w:bottom w:val="single" w:sz="8" w:color="007CBA"/>
              <w:right w:val="single" w:sz="8" w:color="007CBA"/>
            </w:tcBorders>
            <w:shd w:val="clear" w:color="auto" w:fill="007CBA"/>
          </w:tcPr>
          <w:p>
            <w:pPr>
              <w:spacing w:after="0"/>
              <w:rPr>
                <w:sz w:val="21"/>
                <w:szCs w:val="21"/>
                <w:color w:val="auto"/>
              </w:rPr>
            </w:pPr>
          </w:p>
        </w:tc>
        <w:tc>
          <w:tcPr>
            <w:tcW w:w="1540" w:type="dxa"/>
            <w:vAlign w:val="bottom"/>
            <w:tcBorders>
              <w:bottom w:val="single" w:sz="8" w:color="007CBA"/>
              <w:right w:val="single" w:sz="8" w:color="007CBA"/>
            </w:tcBorders>
            <w:shd w:val="clear" w:color="auto" w:fill="007CBA"/>
          </w:tcPr>
          <w:p>
            <w:pPr>
              <w:jc w:val="right"/>
              <w:ind w:right="410"/>
              <w:spacing w:after="0" w:line="216" w:lineRule="exact"/>
              <w:rPr>
                <w:sz w:val="20"/>
                <w:szCs w:val="20"/>
                <w:color w:val="auto"/>
              </w:rPr>
            </w:pPr>
            <w:r>
              <w:rPr>
                <w:rFonts w:ascii="Calibri" w:cs="Calibri" w:eastAsia="Calibri" w:hAnsi="Calibri"/>
                <w:sz w:val="18"/>
                <w:szCs w:val="18"/>
                <w:b w:val="1"/>
                <w:bCs w:val="1"/>
                <w:color w:val="FFFFFF"/>
              </w:rPr>
              <w:t>Optons</w:t>
            </w:r>
          </w:p>
        </w:tc>
        <w:tc>
          <w:tcPr>
            <w:tcW w:w="220" w:type="dxa"/>
            <w:vAlign w:val="bottom"/>
            <w:tcBorders>
              <w:bottom w:val="single" w:sz="8" w:color="007CBA"/>
            </w:tcBorders>
            <w:shd w:val="clear" w:color="auto" w:fill="007CBA"/>
          </w:tcPr>
          <w:p>
            <w:pPr>
              <w:spacing w:after="0"/>
              <w:rPr>
                <w:sz w:val="21"/>
                <w:szCs w:val="21"/>
                <w:color w:val="auto"/>
              </w:rPr>
            </w:pPr>
          </w:p>
        </w:tc>
        <w:tc>
          <w:tcPr>
            <w:tcW w:w="1220" w:type="dxa"/>
            <w:vAlign w:val="bottom"/>
            <w:tcBorders>
              <w:bottom w:val="single" w:sz="8" w:color="007CBA"/>
              <w:right w:val="single" w:sz="8" w:color="007CBA"/>
            </w:tcBorders>
            <w:shd w:val="clear" w:color="auto" w:fill="007CBA"/>
          </w:tcPr>
          <w:p>
            <w:pPr>
              <w:jc w:val="center"/>
              <w:ind w:right="210"/>
              <w:spacing w:after="0" w:line="216" w:lineRule="exact"/>
              <w:rPr>
                <w:sz w:val="20"/>
                <w:szCs w:val="20"/>
                <w:color w:val="auto"/>
              </w:rPr>
            </w:pPr>
            <w:r>
              <w:rPr>
                <w:rFonts w:ascii="Calibri" w:cs="Calibri" w:eastAsia="Calibri" w:hAnsi="Calibri"/>
                <w:sz w:val="18"/>
                <w:szCs w:val="18"/>
                <w:b w:val="1"/>
                <w:bCs w:val="1"/>
                <w:color w:val="FFFFFF"/>
                <w:w w:val="97"/>
              </w:rPr>
              <w:t>Price</w:t>
            </w:r>
          </w:p>
        </w:tc>
        <w:tc>
          <w:tcPr>
            <w:tcW w:w="1420" w:type="dxa"/>
            <w:vAlign w:val="bottom"/>
            <w:tcBorders>
              <w:bottom w:val="single" w:sz="8" w:color="007CBA"/>
            </w:tcBorders>
            <w:shd w:val="clear" w:color="auto" w:fill="007CBA"/>
          </w:tcPr>
          <w:p>
            <w:pPr>
              <w:jc w:val="center"/>
              <w:spacing w:after="0" w:line="216" w:lineRule="exact"/>
              <w:rPr>
                <w:sz w:val="20"/>
                <w:szCs w:val="20"/>
                <w:color w:val="auto"/>
              </w:rPr>
            </w:pPr>
            <w:r>
              <w:rPr>
                <w:rFonts w:ascii="Calibri" w:cs="Calibri" w:eastAsia="Calibri" w:hAnsi="Calibri"/>
                <w:sz w:val="18"/>
                <w:szCs w:val="18"/>
                <w:b w:val="1"/>
                <w:bCs w:val="1"/>
                <w:color w:val="FFFFFF"/>
                <w:w w:val="97"/>
              </w:rPr>
              <w:t>(years)</w:t>
            </w:r>
          </w:p>
        </w:tc>
      </w:tr>
      <w:tr>
        <w:trPr>
          <w:trHeight w:val="243"/>
        </w:trPr>
        <w:tc>
          <w:tcPr>
            <w:tcW w:w="68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Outstanding at January 1, 2022</w:t>
            </w:r>
          </w:p>
        </w:tc>
        <w:tc>
          <w:tcPr>
            <w:tcW w:w="15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20,564</w:t>
            </w:r>
          </w:p>
        </w:tc>
        <w:tc>
          <w:tcPr>
            <w:tcW w:w="22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133.59</w:t>
            </w:r>
          </w:p>
        </w:tc>
        <w:tc>
          <w:tcPr>
            <w:tcW w:w="1420" w:type="dxa"/>
            <w:vAlign w:val="bottom"/>
          </w:tcPr>
          <w:p>
            <w:pPr>
              <w:spacing w:after="0"/>
              <w:rPr>
                <w:sz w:val="21"/>
                <w:szCs w:val="21"/>
                <w:color w:val="auto"/>
              </w:rPr>
            </w:pPr>
          </w:p>
        </w:tc>
      </w:tr>
      <w:tr>
        <w:trPr>
          <w:trHeight w:val="248"/>
        </w:trPr>
        <w:tc>
          <w:tcPr>
            <w:tcW w:w="684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Exercised</w:t>
            </w:r>
          </w:p>
        </w:tc>
        <w:tc>
          <w:tcPr>
            <w:tcW w:w="154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(5,281 )</w:t>
            </w:r>
          </w:p>
        </w:tc>
        <w:tc>
          <w:tcPr>
            <w:tcW w:w="22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125.02</w:t>
            </w:r>
          </w:p>
        </w:tc>
        <w:tc>
          <w:tcPr>
            <w:tcW w:w="1420" w:type="dxa"/>
            <w:vAlign w:val="bottom"/>
            <w:tcBorders>
              <w:bottom w:val="single" w:sz="8" w:color="E5F1F8"/>
            </w:tcBorders>
            <w:shd w:val="clear" w:color="auto" w:fill="E5F1F8"/>
          </w:tcPr>
          <w:p>
            <w:pPr>
              <w:spacing w:after="0"/>
              <w:rPr>
                <w:sz w:val="21"/>
                <w:szCs w:val="21"/>
                <w:color w:val="auto"/>
              </w:rPr>
            </w:pPr>
          </w:p>
        </w:tc>
      </w:tr>
      <w:tr>
        <w:trPr>
          <w:trHeight w:val="237"/>
        </w:trPr>
        <w:tc>
          <w:tcPr>
            <w:tcW w:w="6840" w:type="dxa"/>
            <w:vAlign w:val="bottom"/>
            <w:tcBorders>
              <w:top w:val="single" w:sz="8" w:color="auto"/>
              <w:bottom w:val="single" w:sz="8" w:color="auto"/>
            </w:tcBorders>
          </w:tcPr>
          <w:p>
            <w:pPr>
              <w:ind w:left="120"/>
              <w:spacing w:after="0" w:line="215" w:lineRule="exact"/>
              <w:rPr>
                <w:sz w:val="20"/>
                <w:szCs w:val="20"/>
                <w:color w:val="auto"/>
              </w:rPr>
            </w:pPr>
            <w:r>
              <w:rPr>
                <w:rFonts w:ascii="Calibri" w:cs="Calibri" w:eastAsia="Calibri" w:hAnsi="Calibri"/>
                <w:sz w:val="18"/>
                <w:szCs w:val="18"/>
                <w:color w:val="auto"/>
              </w:rPr>
              <w:t>Outstanding at December 31, 2022</w:t>
            </w:r>
          </w:p>
        </w:tc>
        <w:tc>
          <w:tcPr>
            <w:tcW w:w="1540" w:type="dxa"/>
            <w:vAlign w:val="bottom"/>
            <w:tcBorders>
              <w:top w:val="single" w:sz="8" w:color="auto"/>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color w:val="auto"/>
              </w:rPr>
              <w:t>15,283</w:t>
            </w:r>
          </w:p>
        </w:tc>
        <w:tc>
          <w:tcPr>
            <w:tcW w:w="220" w:type="dxa"/>
            <w:vAlign w:val="bottom"/>
            <w:tcBorders>
              <w:top w:val="single" w:sz="8" w:color="E5F1F8"/>
            </w:tcBorders>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top w:val="single" w:sz="8" w:color="E5F1F8"/>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136.55</w:t>
            </w:r>
          </w:p>
        </w:tc>
        <w:tc>
          <w:tcPr>
            <w:tcW w:w="1420" w:type="dxa"/>
            <w:vAlign w:val="bottom"/>
            <w:tcBorders>
              <w:top w:val="single" w:sz="8" w:color="E5F1F8"/>
            </w:tcBorders>
          </w:tcPr>
          <w:p>
            <w:pPr>
              <w:jc w:val="right"/>
              <w:ind w:right="30"/>
              <w:spacing w:after="0"/>
              <w:rPr>
                <w:sz w:val="20"/>
                <w:szCs w:val="20"/>
                <w:color w:val="auto"/>
              </w:rPr>
            </w:pPr>
            <w:r>
              <w:rPr>
                <w:rFonts w:ascii="Calibri" w:cs="Calibri" w:eastAsia="Calibri" w:hAnsi="Calibri"/>
                <w:sz w:val="18"/>
                <w:szCs w:val="18"/>
                <w:color w:val="auto"/>
              </w:rPr>
              <w:t>1.8</w:t>
            </w:r>
          </w:p>
        </w:tc>
      </w:tr>
      <w:tr>
        <w:trPr>
          <w:trHeight w:val="20"/>
        </w:trPr>
        <w:tc>
          <w:tcPr>
            <w:tcW w:w="6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right w:val="single" w:sz="8" w:color="007CBA"/>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4"/>
        </w:trPr>
        <w:tc>
          <w:tcPr>
            <w:tcW w:w="6840" w:type="dxa"/>
            <w:vAlign w:val="bottom"/>
            <w:tcBorders>
              <w:top w:val="single" w:sz="8" w:color="auto"/>
              <w:right w:val="single" w:sz="8" w:color="007CBA"/>
            </w:tcBorders>
            <w:shd w:val="clear" w:color="auto" w:fill="E5F1F8"/>
          </w:tcPr>
          <w:p>
            <w:pPr>
              <w:spacing w:after="0"/>
              <w:rPr>
                <w:sz w:val="19"/>
                <w:szCs w:val="19"/>
                <w:color w:val="auto"/>
              </w:rPr>
            </w:pPr>
          </w:p>
        </w:tc>
        <w:tc>
          <w:tcPr>
            <w:tcW w:w="1540" w:type="dxa"/>
            <w:vAlign w:val="bottom"/>
            <w:tcBorders>
              <w:top w:val="single" w:sz="8" w:color="auto"/>
              <w:right w:val="single" w:sz="8" w:color="007CBA"/>
            </w:tcBorders>
            <w:shd w:val="clear" w:color="auto" w:fill="E5F1F8"/>
          </w:tcPr>
          <w:p>
            <w:pPr>
              <w:spacing w:after="0"/>
              <w:rPr>
                <w:sz w:val="19"/>
                <w:szCs w:val="19"/>
                <w:color w:val="auto"/>
              </w:rPr>
            </w:pPr>
          </w:p>
        </w:tc>
        <w:tc>
          <w:tcPr>
            <w:tcW w:w="220" w:type="dxa"/>
            <w:vAlign w:val="bottom"/>
            <w:tcBorders>
              <w:top w:val="single" w:sz="8" w:color="E5F1F8"/>
            </w:tcBorders>
            <w:shd w:val="clear" w:color="auto" w:fill="E5F1F8"/>
          </w:tcPr>
          <w:p>
            <w:pPr>
              <w:spacing w:after="0"/>
              <w:rPr>
                <w:sz w:val="19"/>
                <w:szCs w:val="19"/>
                <w:color w:val="auto"/>
              </w:rPr>
            </w:pPr>
          </w:p>
        </w:tc>
        <w:tc>
          <w:tcPr>
            <w:tcW w:w="1220" w:type="dxa"/>
            <w:vAlign w:val="bottom"/>
            <w:tcBorders>
              <w:top w:val="single" w:sz="8" w:color="E5F1F8"/>
              <w:right w:val="single" w:sz="8" w:color="007CBA"/>
            </w:tcBorders>
            <w:shd w:val="clear" w:color="auto" w:fill="E5F1F8"/>
          </w:tcPr>
          <w:p>
            <w:pPr>
              <w:spacing w:after="0"/>
              <w:rPr>
                <w:sz w:val="19"/>
                <w:szCs w:val="19"/>
                <w:color w:val="auto"/>
              </w:rPr>
            </w:pPr>
          </w:p>
        </w:tc>
        <w:tc>
          <w:tcPr>
            <w:tcW w:w="1420" w:type="dxa"/>
            <w:vAlign w:val="bottom"/>
            <w:tcBorders>
              <w:top w:val="single" w:sz="8" w:color="E5F1F8"/>
            </w:tcBorders>
            <w:shd w:val="clear" w:color="auto" w:fill="E5F1F8"/>
          </w:tcPr>
          <w:p>
            <w:pPr>
              <w:spacing w:after="0"/>
              <w:rPr>
                <w:sz w:val="19"/>
                <w:szCs w:val="19"/>
                <w:color w:val="auto"/>
              </w:rPr>
            </w:pPr>
          </w:p>
        </w:tc>
      </w:tr>
      <w:tr>
        <w:trPr>
          <w:trHeight w:val="215"/>
        </w:trPr>
        <w:tc>
          <w:tcPr>
            <w:tcW w:w="6840" w:type="dxa"/>
            <w:vAlign w:val="bottom"/>
          </w:tcPr>
          <w:p>
            <w:pPr>
              <w:ind w:left="120"/>
              <w:spacing w:after="0" w:line="215" w:lineRule="exact"/>
              <w:rPr>
                <w:sz w:val="20"/>
                <w:szCs w:val="20"/>
                <w:color w:val="auto"/>
              </w:rPr>
            </w:pPr>
            <w:r>
              <w:rPr>
                <w:rFonts w:ascii="Calibri" w:cs="Calibri" w:eastAsia="Calibri" w:hAnsi="Calibri"/>
                <w:sz w:val="18"/>
                <w:szCs w:val="18"/>
                <w:color w:val="auto"/>
              </w:rPr>
              <w:t>Exercisable at December 31, 2022</w:t>
            </w:r>
          </w:p>
        </w:tc>
        <w:tc>
          <w:tcPr>
            <w:tcW w:w="15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15,283</w:t>
            </w:r>
          </w:p>
        </w:tc>
        <w:tc>
          <w:tcPr>
            <w:tcW w:w="22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136.55</w:t>
            </w:r>
          </w:p>
        </w:tc>
        <w:tc>
          <w:tcPr>
            <w:tcW w:w="14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1.8</w:t>
            </w:r>
          </w:p>
        </w:tc>
      </w:tr>
      <w:tr>
        <w:trPr>
          <w:trHeight w:val="28"/>
        </w:trPr>
        <w:tc>
          <w:tcPr>
            <w:tcW w:w="68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-822325</wp:posOffset>
            </wp:positionV>
            <wp:extent cx="7132320" cy="51879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7">
                      <a:extLst>
                        <a:ext uri="{28A0092B-C50C-407E-A947-70E740481C1C}"/>
                      </a:extLst>
                    </a:blip>
                    <a:srcRect/>
                    <a:stretch>
                      <a:fillRect/>
                    </a:stretch>
                  </pic:blipFill>
                  <pic:spPr bwMode="auto">
                    <a:xfrm>
                      <a:off x="0" y="0"/>
                      <a:ext cx="7132320" cy="518795"/>
                    </a:xfrm>
                    <a:prstGeom prst="rect">
                      <a:avLst/>
                    </a:prstGeom>
                    <a:noFill/>
                  </pic:spPr>
                </pic:pic>
              </a:graphicData>
            </a:graphic>
          </wp:anchor>
        </w:drawing>
        <w:drawing>
          <wp:anchor simplePos="0" relativeHeight="251657728" behindDoc="1" locked="0" layoutInCell="0" allowOverlap="1">
            <wp:simplePos x="0" y="0"/>
            <wp:positionH relativeFrom="column">
              <wp:posOffset>4321175</wp:posOffset>
            </wp:positionH>
            <wp:positionV relativeFrom="paragraph">
              <wp:posOffset>-175260</wp:posOffset>
            </wp:positionV>
            <wp:extent cx="2815590" cy="18796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8">
                      <a:extLst>
                        <a:ext uri="{28A0092B-C50C-407E-A947-70E740481C1C}"/>
                      </a:extLst>
                    </a:blip>
                    <a:srcRect/>
                    <a:stretch>
                      <a:fillRect/>
                    </a:stretch>
                  </pic:blipFill>
                  <pic:spPr bwMode="auto">
                    <a:xfrm>
                      <a:off x="0" y="0"/>
                      <a:ext cx="2815590" cy="187960"/>
                    </a:xfrm>
                    <a:prstGeom prst="rect">
                      <a:avLst/>
                    </a:prstGeom>
                    <a:noFill/>
                  </pic:spPr>
                </pic:pic>
              </a:graphicData>
            </a:graphic>
          </wp:anchor>
        </w:drawing>
      </w:r>
    </w:p>
    <w:p>
      <w:pPr>
        <w:spacing w:after="0" w:line="1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aggregate intrinsic values of optons exercised during the years ended December 31, 2022, 2021 and 2020 were $1.3 million, $2.3 million and $3.3 million, respectvely, and were based on the closing prices of the Company’s common stock on the dates of exercise. The aggregate intrinsic values for optons outstanding and exercisable at December 31, 2022 were $3.1 million and were based on the closing price of the Company’s common stock at December 31, 2022, which was $337.97.</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At December 31, 2022, there were approximately 0.5 million awards available for grant under the Plans. In 2016, the Company’s shareholders approved the issuance of an additonal 0.8 million shares of common stock under the Plans.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1996, the Company adopted the Shareholder Value Achievement Plan to award shares of the Company’s common stock to key senior employees based on certain common stock performance criteria over a long-term period. Under the terms of this plan, 0.3 million shares of common stock were reserved for issuance. Through December 31, 2022, 42,025 shares have been issued under this plan. No awards have been granted under this plan since 2000.</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adopted and the shareholders approved the Common Stock Purchase Plan for Directors in 1996, which provides nonemployee members of the Board of Directors the electon to receive all or a porton of their total fees in the form of the Company’s common stock. Beginning in 2016, members of the Board of Directors were not required to defer any of their fees in the form of the Company’s common stock. Under the terms of this plan, 0.3 million shares of common stock were reserved for issuance. Nonemployee members of the Board of Directors elected to defer portons of their fees representng 1,767, 1,686 and 3,043 shares of the Company’s common stock under this plan during 2022, 2021 and 2020, respectvely.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6751320</wp:posOffset>
            </wp:positionH>
            <wp:positionV relativeFrom="paragraph">
              <wp:posOffset>93980</wp:posOffset>
            </wp:positionV>
            <wp:extent cx="325755" cy="19685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9">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06" w:name="page107"/>
    <w:bookmarkEnd w:id="106"/>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table summarizes stock-based compensaton expense for the years ended December 31, 2022, 2021 and 2020, unrecognized compensaton cost for nonvested awards at December 31, 2022 and the weighted-average period over which unrecognized compensaton cost will be recognized: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40" w:type="dxa"/>
            <w:vAlign w:val="bottom"/>
            <w:tcBorders>
              <w:right w:val="single" w:sz="8" w:color="007CBA"/>
            </w:tcBorders>
            <w:shd w:val="clear" w:color="auto" w:fill="007CBA"/>
          </w:tcPr>
          <w:p>
            <w:pPr>
              <w:spacing w:after="0"/>
              <w:rPr>
                <w:sz w:val="19"/>
                <w:szCs w:val="19"/>
                <w:color w:val="auto"/>
              </w:rPr>
            </w:pPr>
          </w:p>
        </w:tc>
        <w:tc>
          <w:tcPr>
            <w:tcW w:w="320" w:type="dxa"/>
            <w:vAlign w:val="bottom"/>
            <w:shd w:val="clear" w:color="auto" w:fill="007CBA"/>
          </w:tcPr>
          <w:p>
            <w:pPr>
              <w:spacing w:after="0"/>
              <w:rPr>
                <w:sz w:val="19"/>
                <w:szCs w:val="19"/>
                <w:color w:val="auto"/>
              </w:rPr>
            </w:pPr>
          </w:p>
        </w:tc>
        <w:tc>
          <w:tcPr>
            <w:tcW w:w="1160" w:type="dxa"/>
            <w:vAlign w:val="bottom"/>
            <w:tcBorders>
              <w:right w:val="single" w:sz="8" w:color="007CBA"/>
            </w:tcBorders>
            <w:shd w:val="clear" w:color="auto" w:fill="007CBA"/>
          </w:tcPr>
          <w:p>
            <w:pPr>
              <w:spacing w:after="0"/>
              <w:rPr>
                <w:sz w:val="19"/>
                <w:szCs w:val="19"/>
                <w:color w:val="auto"/>
              </w:rPr>
            </w:pPr>
          </w:p>
        </w:tc>
        <w:tc>
          <w:tcPr>
            <w:tcW w:w="340" w:type="dxa"/>
            <w:vAlign w:val="bottom"/>
            <w:shd w:val="clear" w:color="auto" w:fill="007CBA"/>
          </w:tcPr>
          <w:p>
            <w:pPr>
              <w:spacing w:after="0"/>
              <w:rPr>
                <w:sz w:val="19"/>
                <w:szCs w:val="19"/>
                <w:color w:val="auto"/>
              </w:rPr>
            </w:pPr>
          </w:p>
        </w:tc>
        <w:tc>
          <w:tcPr>
            <w:tcW w:w="1120" w:type="dxa"/>
            <w:vAlign w:val="bottom"/>
            <w:tcBorders>
              <w:right w:val="single" w:sz="8" w:color="007CBA"/>
            </w:tcBorders>
            <w:shd w:val="clear" w:color="auto" w:fill="007CBA"/>
          </w:tcPr>
          <w:p>
            <w:pPr>
              <w:jc w:val="center"/>
              <w:ind w:right="190"/>
              <w:spacing w:after="0"/>
              <w:rPr>
                <w:sz w:val="20"/>
                <w:szCs w:val="20"/>
                <w:color w:val="auto"/>
              </w:rPr>
            </w:pPr>
            <w:r>
              <w:rPr>
                <w:rFonts w:ascii="Calibri" w:cs="Calibri" w:eastAsia="Calibri" w:hAnsi="Calibri"/>
                <w:sz w:val="18"/>
                <w:szCs w:val="18"/>
                <w:b w:val="1"/>
                <w:bCs w:val="1"/>
                <w:color w:val="FFFFFF"/>
              </w:rPr>
              <w:t>Incentve</w:t>
            </w:r>
          </w:p>
        </w:tc>
        <w:tc>
          <w:tcPr>
            <w:tcW w:w="320" w:type="dxa"/>
            <w:vAlign w:val="bottom"/>
            <w:shd w:val="clear" w:color="auto" w:fill="007CBA"/>
          </w:tcPr>
          <w:p>
            <w:pPr>
              <w:spacing w:after="0"/>
              <w:rPr>
                <w:sz w:val="19"/>
                <w:szCs w:val="19"/>
                <w:color w:val="auto"/>
              </w:rPr>
            </w:pPr>
          </w:p>
        </w:tc>
        <w:tc>
          <w:tcPr>
            <w:tcW w:w="1120" w:type="dxa"/>
            <w:vAlign w:val="bottom"/>
            <w:tcBorders>
              <w:right w:val="single" w:sz="8" w:color="007CBA"/>
            </w:tcBorders>
            <w:shd w:val="clear" w:color="auto" w:fill="007CBA"/>
          </w:tcPr>
          <w:p>
            <w:pPr>
              <w:spacing w:after="0"/>
              <w:rPr>
                <w:sz w:val="19"/>
                <w:szCs w:val="19"/>
                <w:color w:val="auto"/>
              </w:rPr>
            </w:pPr>
          </w:p>
        </w:tc>
        <w:tc>
          <w:tcPr>
            <w:tcW w:w="400" w:type="dxa"/>
            <w:vAlign w:val="bottom"/>
            <w:shd w:val="clear" w:color="auto" w:fill="007CBA"/>
          </w:tcPr>
          <w:p>
            <w:pPr>
              <w:spacing w:after="0"/>
              <w:rPr>
                <w:sz w:val="19"/>
                <w:szCs w:val="19"/>
                <w:color w:val="auto"/>
              </w:rPr>
            </w:pPr>
          </w:p>
        </w:tc>
        <w:tc>
          <w:tcPr>
            <w:tcW w:w="1020" w:type="dxa"/>
            <w:vAlign w:val="bottom"/>
            <w:shd w:val="clear" w:color="auto" w:fill="007CBA"/>
          </w:tcPr>
          <w:p>
            <w:pPr>
              <w:spacing w:after="0"/>
              <w:rPr>
                <w:sz w:val="19"/>
                <w:szCs w:val="19"/>
                <w:color w:val="auto"/>
              </w:rPr>
            </w:pPr>
          </w:p>
        </w:tc>
      </w:tr>
      <w:tr>
        <w:trPr>
          <w:trHeight w:val="215"/>
        </w:trPr>
        <w:tc>
          <w:tcPr>
            <w:tcW w:w="5440" w:type="dxa"/>
            <w:vAlign w:val="bottom"/>
            <w:tcBorders>
              <w:right w:val="single" w:sz="8" w:color="007CBA"/>
            </w:tcBorders>
            <w:shd w:val="clear" w:color="auto" w:fill="007CBA"/>
          </w:tcPr>
          <w:p>
            <w:pPr>
              <w:spacing w:after="0"/>
              <w:rPr>
                <w:sz w:val="18"/>
                <w:szCs w:val="18"/>
                <w:color w:val="auto"/>
              </w:rPr>
            </w:pPr>
          </w:p>
        </w:tc>
        <w:tc>
          <w:tcPr>
            <w:tcW w:w="32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jc w:val="right"/>
              <w:ind w:right="290"/>
              <w:spacing w:after="0" w:line="215" w:lineRule="exact"/>
              <w:rPr>
                <w:sz w:val="20"/>
                <w:szCs w:val="20"/>
                <w:color w:val="auto"/>
              </w:rPr>
            </w:pPr>
            <w:r>
              <w:rPr>
                <w:rFonts w:ascii="Calibri" w:cs="Calibri" w:eastAsia="Calibri" w:hAnsi="Calibri"/>
                <w:sz w:val="18"/>
                <w:szCs w:val="18"/>
                <w:b w:val="1"/>
                <w:bCs w:val="1"/>
                <w:color w:val="FFFFFF"/>
              </w:rPr>
              <w:t>Restricted</w:t>
            </w:r>
          </w:p>
        </w:tc>
        <w:tc>
          <w:tcPr>
            <w:tcW w:w="1460" w:type="dxa"/>
            <w:vAlign w:val="bottom"/>
            <w:tcBorders>
              <w:right w:val="single" w:sz="8" w:color="007CBA"/>
            </w:tcBorders>
            <w:gridSpan w:val="2"/>
            <w:shd w:val="clear" w:color="auto" w:fill="007CBA"/>
          </w:tcPr>
          <w:p>
            <w:pPr>
              <w:jc w:val="center"/>
              <w:spacing w:after="0" w:line="215" w:lineRule="exact"/>
              <w:rPr>
                <w:sz w:val="20"/>
                <w:szCs w:val="20"/>
                <w:color w:val="auto"/>
              </w:rPr>
            </w:pPr>
            <w:r>
              <w:rPr>
                <w:rFonts w:ascii="Calibri" w:cs="Calibri" w:eastAsia="Calibri" w:hAnsi="Calibri"/>
                <w:sz w:val="18"/>
                <w:szCs w:val="18"/>
                <w:b w:val="1"/>
                <w:bCs w:val="1"/>
                <w:color w:val="FFFFFF"/>
              </w:rPr>
              <w:t>Compensaton</w:t>
            </w:r>
          </w:p>
        </w:tc>
        <w:tc>
          <w:tcPr>
            <w:tcW w:w="320" w:type="dxa"/>
            <w:vAlign w:val="bottom"/>
            <w:shd w:val="clear" w:color="auto" w:fill="007CBA"/>
          </w:tcPr>
          <w:p>
            <w:pPr>
              <w:spacing w:after="0"/>
              <w:rPr>
                <w:sz w:val="18"/>
                <w:szCs w:val="18"/>
                <w:color w:val="auto"/>
              </w:rPr>
            </w:pPr>
          </w:p>
        </w:tc>
        <w:tc>
          <w:tcPr>
            <w:tcW w:w="1120" w:type="dxa"/>
            <w:vAlign w:val="bottom"/>
            <w:tcBorders>
              <w:right w:val="single" w:sz="8" w:color="007CBA"/>
            </w:tcBorders>
            <w:shd w:val="clear" w:color="auto" w:fill="007CBA"/>
          </w:tcPr>
          <w:p>
            <w:pPr>
              <w:jc w:val="right"/>
              <w:ind w:right="270"/>
              <w:spacing w:after="0" w:line="215" w:lineRule="exact"/>
              <w:rPr>
                <w:sz w:val="20"/>
                <w:szCs w:val="20"/>
                <w:color w:val="auto"/>
              </w:rPr>
            </w:pPr>
            <w:r>
              <w:rPr>
                <w:rFonts w:ascii="Calibri" w:cs="Calibri" w:eastAsia="Calibri" w:hAnsi="Calibri"/>
                <w:sz w:val="18"/>
                <w:szCs w:val="18"/>
                <w:b w:val="1"/>
                <w:bCs w:val="1"/>
                <w:color w:val="FFFFFF"/>
              </w:rPr>
              <w:t>Directors’</w:t>
            </w:r>
          </w:p>
        </w:tc>
        <w:tc>
          <w:tcPr>
            <w:tcW w:w="400" w:type="dxa"/>
            <w:vAlign w:val="bottom"/>
            <w:shd w:val="clear" w:color="auto" w:fill="007CBA"/>
          </w:tcPr>
          <w:p>
            <w:pPr>
              <w:spacing w:after="0"/>
              <w:rPr>
                <w:sz w:val="18"/>
                <w:szCs w:val="18"/>
                <w:color w:val="auto"/>
              </w:rPr>
            </w:pPr>
          </w:p>
        </w:tc>
        <w:tc>
          <w:tcPr>
            <w:tcW w:w="1020" w:type="dxa"/>
            <w:vAlign w:val="bottom"/>
            <w:shd w:val="clear" w:color="auto" w:fill="007CBA"/>
          </w:tcPr>
          <w:p>
            <w:pPr>
              <w:spacing w:after="0"/>
              <w:rPr>
                <w:sz w:val="18"/>
                <w:szCs w:val="18"/>
                <w:color w:val="auto"/>
              </w:rPr>
            </w:pPr>
          </w:p>
        </w:tc>
      </w:tr>
      <w:tr>
        <w:trPr>
          <w:trHeight w:val="246"/>
        </w:trPr>
        <w:tc>
          <w:tcPr>
            <w:tcW w:w="5440" w:type="dxa"/>
            <w:vAlign w:val="bottom"/>
            <w:tcBorders>
              <w:bottom w:val="single" w:sz="8" w:color="007CBA"/>
              <w:right w:val="single" w:sz="8" w:color="007CBA"/>
            </w:tcBorders>
            <w:shd w:val="clear" w:color="auto" w:fill="007CBA"/>
          </w:tcPr>
          <w:p>
            <w:pPr>
              <w:ind w:left="120"/>
              <w:spacing w:after="0" w:line="216" w:lineRule="exact"/>
              <w:rPr>
                <w:sz w:val="20"/>
                <w:szCs w:val="20"/>
                <w:color w:val="auto"/>
              </w:rPr>
            </w:pPr>
            <w:r>
              <w:rPr>
                <w:rFonts w:ascii="Calibri" w:cs="Calibri" w:eastAsia="Calibri" w:hAnsi="Calibri"/>
                <w:sz w:val="18"/>
                <w:szCs w:val="18"/>
                <w:color w:val="FFFFFF"/>
              </w:rPr>
              <w:t>(in millions, except year data)</w:t>
            </w:r>
          </w:p>
        </w:tc>
        <w:tc>
          <w:tcPr>
            <w:tcW w:w="320" w:type="dxa"/>
            <w:vAlign w:val="bottom"/>
            <w:tcBorders>
              <w:bottom w:val="single" w:sz="8" w:color="007CBA"/>
            </w:tcBorders>
            <w:shd w:val="clear" w:color="auto" w:fill="007CBA"/>
          </w:tcPr>
          <w:p>
            <w:pPr>
              <w:spacing w:after="0"/>
              <w:rPr>
                <w:sz w:val="21"/>
                <w:szCs w:val="21"/>
                <w:color w:val="auto"/>
              </w:rPr>
            </w:pPr>
          </w:p>
        </w:tc>
        <w:tc>
          <w:tcPr>
            <w:tcW w:w="1160" w:type="dxa"/>
            <w:vAlign w:val="bottom"/>
            <w:tcBorders>
              <w:bottom w:val="single" w:sz="8" w:color="007CBA"/>
              <w:right w:val="single" w:sz="8" w:color="007CBA"/>
            </w:tcBorders>
            <w:shd w:val="clear" w:color="auto" w:fill="007CBA"/>
          </w:tcPr>
          <w:p>
            <w:pPr>
              <w:jc w:val="right"/>
              <w:ind w:right="430"/>
              <w:spacing w:after="0" w:line="216" w:lineRule="exact"/>
              <w:rPr>
                <w:sz w:val="20"/>
                <w:szCs w:val="20"/>
                <w:color w:val="auto"/>
              </w:rPr>
            </w:pPr>
            <w:r>
              <w:rPr>
                <w:rFonts w:ascii="Calibri" w:cs="Calibri" w:eastAsia="Calibri" w:hAnsi="Calibri"/>
                <w:sz w:val="18"/>
                <w:szCs w:val="18"/>
                <w:b w:val="1"/>
                <w:bCs w:val="1"/>
                <w:color w:val="FFFFFF"/>
              </w:rPr>
              <w:t>Stock</w:t>
            </w:r>
          </w:p>
        </w:tc>
        <w:tc>
          <w:tcPr>
            <w:tcW w:w="340" w:type="dxa"/>
            <w:vAlign w:val="bottom"/>
            <w:tcBorders>
              <w:bottom w:val="single" w:sz="8" w:color="007CBA"/>
            </w:tcBorders>
            <w:shd w:val="clear" w:color="auto" w:fill="007CBA"/>
          </w:tcPr>
          <w:p>
            <w:pPr>
              <w:spacing w:after="0"/>
              <w:rPr>
                <w:sz w:val="21"/>
                <w:szCs w:val="21"/>
                <w:color w:val="auto"/>
              </w:rPr>
            </w:pPr>
          </w:p>
        </w:tc>
        <w:tc>
          <w:tcPr>
            <w:tcW w:w="1120" w:type="dxa"/>
            <w:vAlign w:val="bottom"/>
            <w:tcBorders>
              <w:bottom w:val="single" w:sz="8" w:color="007CBA"/>
              <w:right w:val="single" w:sz="8" w:color="007CBA"/>
            </w:tcBorders>
            <w:shd w:val="clear" w:color="auto" w:fill="007CBA"/>
          </w:tcPr>
          <w:p>
            <w:pPr>
              <w:jc w:val="center"/>
              <w:ind w:right="190"/>
              <w:spacing w:after="0" w:line="216" w:lineRule="exact"/>
              <w:rPr>
                <w:sz w:val="20"/>
                <w:szCs w:val="20"/>
                <w:color w:val="auto"/>
              </w:rPr>
            </w:pPr>
            <w:r>
              <w:rPr>
                <w:rFonts w:ascii="Calibri" w:cs="Calibri" w:eastAsia="Calibri" w:hAnsi="Calibri"/>
                <w:sz w:val="18"/>
                <w:szCs w:val="18"/>
                <w:b w:val="1"/>
                <w:bCs w:val="1"/>
                <w:color w:val="FFFFFF"/>
                <w:w w:val="98"/>
              </w:rPr>
              <w:t>Stock</w:t>
            </w:r>
          </w:p>
        </w:tc>
        <w:tc>
          <w:tcPr>
            <w:tcW w:w="320" w:type="dxa"/>
            <w:vAlign w:val="bottom"/>
            <w:tcBorders>
              <w:bottom w:val="single" w:sz="8" w:color="007CBA"/>
            </w:tcBorders>
            <w:shd w:val="clear" w:color="auto" w:fill="007CBA"/>
          </w:tcPr>
          <w:p>
            <w:pPr>
              <w:spacing w:after="0"/>
              <w:rPr>
                <w:sz w:val="21"/>
                <w:szCs w:val="21"/>
                <w:color w:val="auto"/>
              </w:rPr>
            </w:pPr>
          </w:p>
        </w:tc>
        <w:tc>
          <w:tcPr>
            <w:tcW w:w="1120" w:type="dxa"/>
            <w:vAlign w:val="bottom"/>
            <w:tcBorders>
              <w:bottom w:val="single" w:sz="8" w:color="007CBA"/>
              <w:right w:val="single" w:sz="8" w:color="007CBA"/>
            </w:tcBorders>
            <w:shd w:val="clear" w:color="auto" w:fill="007CBA"/>
          </w:tcPr>
          <w:p>
            <w:pPr>
              <w:jc w:val="right"/>
              <w:ind w:right="350"/>
              <w:spacing w:after="0" w:line="216" w:lineRule="exact"/>
              <w:rPr>
                <w:sz w:val="20"/>
                <w:szCs w:val="20"/>
                <w:color w:val="auto"/>
              </w:rPr>
            </w:pPr>
            <w:r>
              <w:rPr>
                <w:rFonts w:ascii="Calibri" w:cs="Calibri" w:eastAsia="Calibri" w:hAnsi="Calibri"/>
                <w:sz w:val="18"/>
                <w:szCs w:val="18"/>
                <w:b w:val="1"/>
                <w:bCs w:val="1"/>
                <w:color w:val="FFFFFF"/>
              </w:rPr>
              <w:t>Awards</w:t>
            </w:r>
          </w:p>
        </w:tc>
        <w:tc>
          <w:tcPr>
            <w:tcW w:w="400" w:type="dxa"/>
            <w:vAlign w:val="bottom"/>
            <w:tcBorders>
              <w:bottom w:val="single" w:sz="8" w:color="007CBA"/>
            </w:tcBorders>
            <w:shd w:val="clear" w:color="auto" w:fill="007CBA"/>
          </w:tcPr>
          <w:p>
            <w:pPr>
              <w:spacing w:after="0"/>
              <w:rPr>
                <w:sz w:val="21"/>
                <w:szCs w:val="21"/>
                <w:color w:val="auto"/>
              </w:rPr>
            </w:pPr>
          </w:p>
        </w:tc>
        <w:tc>
          <w:tcPr>
            <w:tcW w:w="1020" w:type="dxa"/>
            <w:vAlign w:val="bottom"/>
            <w:tcBorders>
              <w:bottom w:val="single" w:sz="8" w:color="007CBA"/>
            </w:tcBorders>
            <w:shd w:val="clear" w:color="auto" w:fill="007CBA"/>
          </w:tcPr>
          <w:p>
            <w:pPr>
              <w:jc w:val="right"/>
              <w:ind w:right="430"/>
              <w:spacing w:after="0" w:line="216" w:lineRule="exact"/>
              <w:rPr>
                <w:sz w:val="20"/>
                <w:szCs w:val="20"/>
                <w:color w:val="auto"/>
              </w:rPr>
            </w:pPr>
            <w:r>
              <w:rPr>
                <w:rFonts w:ascii="Calibri" w:cs="Calibri" w:eastAsia="Calibri" w:hAnsi="Calibri"/>
                <w:sz w:val="18"/>
                <w:szCs w:val="18"/>
                <w:b w:val="1"/>
                <w:bCs w:val="1"/>
                <w:color w:val="FFFFFF"/>
              </w:rPr>
              <w:t>Total</w:t>
            </w:r>
          </w:p>
        </w:tc>
      </w:tr>
      <w:tr>
        <w:trPr>
          <w:trHeight w:val="207"/>
        </w:trPr>
        <w:tc>
          <w:tcPr>
            <w:tcW w:w="5440" w:type="dxa"/>
            <w:vAlign w:val="bottom"/>
            <w:tcBorders>
              <w:right w:val="single" w:sz="8" w:color="007CBA"/>
            </w:tcBorders>
          </w:tcPr>
          <w:p>
            <w:pPr>
              <w:ind w:left="120"/>
              <w:spacing w:after="0" w:line="207" w:lineRule="exact"/>
              <w:rPr>
                <w:sz w:val="20"/>
                <w:szCs w:val="20"/>
                <w:color w:val="auto"/>
              </w:rPr>
            </w:pPr>
            <w:r>
              <w:rPr>
                <w:rFonts w:ascii="Calibri" w:cs="Calibri" w:eastAsia="Calibri" w:hAnsi="Calibri"/>
                <w:sz w:val="18"/>
                <w:szCs w:val="18"/>
                <w:color w:val="auto"/>
              </w:rPr>
              <w:t>Stock-based compensaton expense recognized for</w:t>
            </w:r>
          </w:p>
        </w:tc>
        <w:tc>
          <w:tcPr>
            <w:tcW w:w="320" w:type="dxa"/>
            <w:vAlign w:val="bottom"/>
          </w:tcPr>
          <w:p>
            <w:pPr>
              <w:spacing w:after="0"/>
              <w:rPr>
                <w:sz w:val="18"/>
                <w:szCs w:val="18"/>
                <w:color w:val="auto"/>
              </w:rPr>
            </w:pPr>
          </w:p>
        </w:tc>
        <w:tc>
          <w:tcPr>
            <w:tcW w:w="1160" w:type="dxa"/>
            <w:vAlign w:val="bottom"/>
            <w:tcBorders>
              <w:right w:val="single" w:sz="8" w:color="007CBA"/>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right w:val="single" w:sz="8" w:color="007CBA"/>
            </w:tcBorders>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Borders>
              <w:right w:val="single" w:sz="8" w:color="007CBA"/>
            </w:tcBorders>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5"/>
        </w:trPr>
        <w:tc>
          <w:tcPr>
            <w:tcW w:w="5440" w:type="dxa"/>
            <w:vAlign w:val="bottom"/>
            <w:tcBorders>
              <w:right w:val="single" w:sz="8" w:color="007CBA"/>
            </w:tcBorders>
          </w:tcPr>
          <w:p>
            <w:pPr>
              <w:ind w:left="240"/>
              <w:spacing w:after="0" w:line="215" w:lineRule="exact"/>
              <w:rPr>
                <w:sz w:val="20"/>
                <w:szCs w:val="20"/>
                <w:color w:val="auto"/>
              </w:rPr>
            </w:pPr>
            <w:r>
              <w:rPr>
                <w:rFonts w:ascii="Calibri" w:cs="Calibri" w:eastAsia="Calibri" w:hAnsi="Calibri"/>
                <w:sz w:val="18"/>
                <w:szCs w:val="18"/>
                <w:color w:val="auto"/>
              </w:rPr>
              <w:t>years ended December 31:</w:t>
            </w:r>
          </w:p>
        </w:tc>
        <w:tc>
          <w:tcPr>
            <w:tcW w:w="320" w:type="dxa"/>
            <w:vAlign w:val="bottom"/>
          </w:tcPr>
          <w:p>
            <w:pPr>
              <w:spacing w:after="0"/>
              <w:rPr>
                <w:sz w:val="18"/>
                <w:szCs w:val="18"/>
                <w:color w:val="auto"/>
              </w:rPr>
            </w:pPr>
          </w:p>
        </w:tc>
        <w:tc>
          <w:tcPr>
            <w:tcW w:w="1160" w:type="dxa"/>
            <w:vAlign w:val="bottom"/>
            <w:tcBorders>
              <w:right w:val="single" w:sz="8" w:color="007CBA"/>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right w:val="single" w:sz="8" w:color="007CBA"/>
            </w:tcBorders>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Borders>
              <w:right w:val="single" w:sz="8" w:color="007CBA"/>
            </w:tcBorders>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7"/>
        </w:trPr>
        <w:tc>
          <w:tcPr>
            <w:tcW w:w="5440" w:type="dxa"/>
            <w:vAlign w:val="bottom"/>
            <w:tcBorders>
              <w:right w:val="single" w:sz="8" w:color="007CBA"/>
            </w:tcBorders>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Borders>
              <w:right w:val="single" w:sz="8" w:color="007CBA"/>
            </w:tcBorders>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Borders>
              <w:right w:val="single" w:sz="8" w:color="007CBA"/>
            </w:tcBorders>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Borders>
              <w:right w:val="single" w:sz="8" w:color="007CBA"/>
            </w:tcBorders>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23"/>
        </w:trPr>
        <w:tc>
          <w:tcPr>
            <w:tcW w:w="544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b w:val="1"/>
                <w:bCs w:val="1"/>
                <w:color w:val="auto"/>
              </w:rPr>
              <w:t>2022</w:t>
            </w:r>
          </w:p>
        </w:tc>
        <w:tc>
          <w:tcPr>
            <w:tcW w:w="32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41.0</w:t>
            </w:r>
          </w:p>
        </w:tc>
        <w:tc>
          <w:tcPr>
            <w:tcW w:w="34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12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1.1</w:t>
            </w:r>
          </w:p>
        </w:tc>
        <w:tc>
          <w:tcPr>
            <w:tcW w:w="32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12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0.6</w:t>
            </w:r>
          </w:p>
        </w:tc>
        <w:tc>
          <w:tcPr>
            <w:tcW w:w="400" w:type="dxa"/>
            <w:vAlign w:val="bottom"/>
            <w:tcBorders>
              <w:bottom w:val="single" w:sz="8" w:color="E5F1F8"/>
            </w:tcBorders>
            <w:shd w:val="clear" w:color="auto" w:fill="E5F1F8"/>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10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42.7</w:t>
            </w:r>
          </w:p>
        </w:tc>
      </w:tr>
      <w:tr>
        <w:trPr>
          <w:trHeight w:val="243"/>
        </w:trPr>
        <w:tc>
          <w:tcPr>
            <w:tcW w:w="54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2021</w:t>
            </w:r>
          </w:p>
        </w:tc>
        <w:tc>
          <w:tcPr>
            <w:tcW w:w="3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41.4</w:t>
            </w:r>
          </w:p>
        </w:tc>
        <w:tc>
          <w:tcPr>
            <w:tcW w:w="3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1.0</w:t>
            </w:r>
          </w:p>
        </w:tc>
        <w:tc>
          <w:tcPr>
            <w:tcW w:w="3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0.6</w:t>
            </w:r>
          </w:p>
        </w:tc>
        <w:tc>
          <w:tcPr>
            <w:tcW w:w="40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43.0</w:t>
            </w:r>
          </w:p>
        </w:tc>
      </w:tr>
      <w:tr>
        <w:trPr>
          <w:trHeight w:val="248"/>
        </w:trPr>
        <w:tc>
          <w:tcPr>
            <w:tcW w:w="544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2020</w:t>
            </w:r>
          </w:p>
        </w:tc>
        <w:tc>
          <w:tcPr>
            <w:tcW w:w="32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28.5</w:t>
            </w:r>
          </w:p>
        </w:tc>
        <w:tc>
          <w:tcPr>
            <w:tcW w:w="34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0.8</w:t>
            </w:r>
          </w:p>
        </w:tc>
        <w:tc>
          <w:tcPr>
            <w:tcW w:w="32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0.7</w:t>
            </w:r>
          </w:p>
        </w:tc>
        <w:tc>
          <w:tcPr>
            <w:tcW w:w="400" w:type="dxa"/>
            <w:vAlign w:val="bottom"/>
            <w:tcBorders>
              <w:bottom w:val="single" w:sz="8" w:color="E5F1F8"/>
            </w:tcBorders>
            <w:shd w:val="clear" w:color="auto" w:fill="E5F1F8"/>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30.0</w:t>
            </w:r>
          </w:p>
        </w:tc>
      </w:tr>
      <w:tr>
        <w:trPr>
          <w:trHeight w:val="201"/>
        </w:trPr>
        <w:tc>
          <w:tcPr>
            <w:tcW w:w="5440" w:type="dxa"/>
            <w:vAlign w:val="bottom"/>
            <w:tcBorders>
              <w:top w:val="single" w:sz="8" w:color="auto"/>
            </w:tcBorders>
          </w:tcPr>
          <w:p>
            <w:pPr>
              <w:ind w:left="120"/>
              <w:spacing w:after="0" w:line="201" w:lineRule="exact"/>
              <w:rPr>
                <w:sz w:val="20"/>
                <w:szCs w:val="20"/>
                <w:color w:val="auto"/>
              </w:rPr>
            </w:pPr>
            <w:r>
              <w:rPr>
                <w:rFonts w:ascii="Calibri" w:cs="Calibri" w:eastAsia="Calibri" w:hAnsi="Calibri"/>
                <w:sz w:val="18"/>
                <w:szCs w:val="18"/>
                <w:color w:val="auto"/>
              </w:rPr>
              <w:t>Unrecognized compensaton cost at</w:t>
            </w: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215"/>
        </w:trPr>
        <w:tc>
          <w:tcPr>
            <w:tcW w:w="5440" w:type="dxa"/>
            <w:vAlign w:val="bottom"/>
          </w:tcPr>
          <w:p>
            <w:pPr>
              <w:ind w:left="240"/>
              <w:spacing w:after="0" w:line="215" w:lineRule="exact"/>
              <w:rPr>
                <w:sz w:val="20"/>
                <w:szCs w:val="20"/>
                <w:color w:val="auto"/>
              </w:rPr>
            </w:pPr>
            <w:r>
              <w:rPr>
                <w:rFonts w:ascii="Calibri" w:cs="Calibri" w:eastAsia="Calibri" w:hAnsi="Calibri"/>
                <w:sz w:val="18"/>
                <w:szCs w:val="18"/>
                <w:color w:val="auto"/>
              </w:rPr>
              <w:t>December 31, 2022</w:t>
            </w:r>
          </w:p>
        </w:tc>
        <w:tc>
          <w:tcPr>
            <w:tcW w:w="32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16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41.5</w:t>
            </w:r>
          </w:p>
        </w:tc>
        <w:tc>
          <w:tcPr>
            <w:tcW w:w="34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12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0.9</w:t>
            </w:r>
          </w:p>
        </w:tc>
        <w:tc>
          <w:tcPr>
            <w:tcW w:w="32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12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400" w:type="dxa"/>
            <w:vAlign w:val="bottom"/>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102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42.4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-1038860</wp:posOffset>
            </wp:positionV>
            <wp:extent cx="7132320" cy="3003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1">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78867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2">
                      <a:extLst>
                        <a:ext uri="{28A0092B-C50C-407E-A947-70E740481C1C}"/>
                      </a:extLst>
                    </a:blip>
                    <a:srcRect/>
                    <a:stretch>
                      <a:fillRect/>
                    </a:stretch>
                  </pic:blipFill>
                  <pic:spPr bwMode="auto">
                    <a:xfrm>
                      <a:off x="0" y="0"/>
                      <a:ext cx="7132320" cy="788670"/>
                    </a:xfrm>
                    <a:prstGeom prst="rect">
                      <a:avLst/>
                    </a:prstGeom>
                    <a:noFill/>
                  </pic:spPr>
                </pic:pic>
              </a:graphicData>
            </a:graphic>
          </wp:anchor>
        </w:drawing>
      </w:r>
    </w:p>
    <w:p>
      <w:pPr>
        <w:spacing w:after="0" w:line="17" w:lineRule="exact"/>
        <w:rPr>
          <w:sz w:val="20"/>
          <w:szCs w:val="20"/>
          <w:color w:val="auto"/>
        </w:rPr>
      </w:pPr>
    </w:p>
    <w:p>
      <w:pPr>
        <w:ind w:left="120"/>
        <w:spacing w:after="0"/>
        <w:rPr>
          <w:sz w:val="20"/>
          <w:szCs w:val="20"/>
          <w:color w:val="auto"/>
        </w:rPr>
      </w:pPr>
      <w:r>
        <w:rPr>
          <w:rFonts w:ascii="Calibri" w:cs="Calibri" w:eastAsia="Calibri" w:hAnsi="Calibri"/>
          <w:sz w:val="18"/>
          <w:szCs w:val="18"/>
          <w:color w:val="auto"/>
        </w:rPr>
        <w:t>Weighted-average period over which unrecognized</w:t>
      </w:r>
    </w:p>
    <w:p>
      <w:pPr>
        <w:ind w:left="240"/>
        <w:spacing w:after="0"/>
        <w:tabs>
          <w:tab w:leader="none" w:pos="6120" w:val="left"/>
          <w:tab w:leader="none" w:pos="7600" w:val="left"/>
        </w:tabs>
        <w:rPr>
          <w:sz w:val="20"/>
          <w:szCs w:val="20"/>
          <w:color w:val="auto"/>
        </w:rPr>
      </w:pPr>
      <w:r>
        <w:rPr>
          <w:rFonts w:ascii="Calibri" w:cs="Calibri" w:eastAsia="Calibri" w:hAnsi="Calibri"/>
          <w:sz w:val="18"/>
          <w:szCs w:val="18"/>
          <w:color w:val="auto"/>
        </w:rPr>
        <w:t>compensaton cost will be recognized</w:t>
      </w:r>
      <w:r>
        <w:rPr>
          <w:sz w:val="20"/>
          <w:szCs w:val="20"/>
          <w:color w:val="auto"/>
        </w:rPr>
        <w:tab/>
      </w:r>
      <w:r>
        <w:rPr>
          <w:rFonts w:ascii="Calibri" w:cs="Calibri" w:eastAsia="Calibri" w:hAnsi="Calibri"/>
          <w:sz w:val="18"/>
          <w:szCs w:val="18"/>
          <w:color w:val="auto"/>
        </w:rPr>
        <w:t>2.1 years</w:t>
      </w:r>
      <w:r>
        <w:rPr>
          <w:sz w:val="20"/>
          <w:szCs w:val="20"/>
          <w:color w:val="auto"/>
        </w:rPr>
        <w:tab/>
      </w:r>
      <w:r>
        <w:rPr>
          <w:rFonts w:ascii="Calibri" w:cs="Calibri" w:eastAsia="Calibri" w:hAnsi="Calibri"/>
          <w:sz w:val="17"/>
          <w:szCs w:val="17"/>
          <w:color w:val="auto"/>
        </w:rPr>
        <w:t>1.6 years</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Total tax benefts related to stock-based compensaton expense were $7.6 million, $7.9 million and $5.6 million for the years ended December 31, 2022, 2021 and 2020, respectvely.</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presents expected stock-based compensaton expense in future periods for outstanding awards as of December 31, 2022:</w:t>
      </w:r>
    </w:p>
    <w:p>
      <w:pPr>
        <w:spacing w:after="0" w:line="118" w:lineRule="exact"/>
        <w:rPr>
          <w:sz w:val="20"/>
          <w:szCs w:val="20"/>
          <w:color w:val="auto"/>
        </w:rPr>
      </w:pPr>
    </w:p>
    <w:p>
      <w:pPr>
        <w:ind w:left="120"/>
        <w:spacing w:after="0"/>
        <w:rPr>
          <w:sz w:val="20"/>
          <w:szCs w:val="20"/>
          <w:color w:val="auto"/>
        </w:rPr>
      </w:pPr>
      <w:r>
        <w:rPr>
          <w:rFonts w:ascii="Calibri" w:cs="Calibri" w:eastAsia="Calibri" w:hAnsi="Calibri"/>
          <w:sz w:val="18"/>
          <w:szCs w:val="18"/>
          <w:color w:val="FFFFFF"/>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3175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3">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960" w:type="dxa"/>
            <w:vAlign w:val="bottom"/>
            <w:tcBorders>
              <w:right w:val="single" w:sz="8" w:color="007CBA"/>
            </w:tcBorders>
          </w:tcPr>
          <w:p>
            <w:pPr>
              <w:ind w:left="120"/>
              <w:spacing w:after="0"/>
              <w:rPr>
                <w:sz w:val="20"/>
                <w:szCs w:val="20"/>
                <w:color w:val="auto"/>
              </w:rPr>
            </w:pPr>
            <w:r>
              <w:rPr>
                <w:rFonts w:ascii="Calibri" w:cs="Calibri" w:eastAsia="Calibri" w:hAnsi="Calibri"/>
                <w:sz w:val="18"/>
                <w:szCs w:val="18"/>
                <w:color w:val="auto"/>
              </w:rPr>
              <w:t>2023</w:t>
            </w:r>
          </w:p>
        </w:tc>
        <w:tc>
          <w:tcPr>
            <w:tcW w:w="1100" w:type="dxa"/>
            <w:vAlign w:val="bottom"/>
          </w:tcPr>
          <w:p>
            <w:pPr>
              <w:jc w:val="right"/>
              <w:ind w:right="670"/>
              <w:spacing w:after="0"/>
              <w:rPr>
                <w:sz w:val="20"/>
                <w:szCs w:val="20"/>
                <w:color w:val="auto"/>
              </w:rPr>
            </w:pPr>
            <w:r>
              <w:rPr>
                <w:rFonts w:ascii="Calibri" w:cs="Calibri" w:eastAsia="Calibri" w:hAnsi="Calibri"/>
                <w:sz w:val="18"/>
                <w:szCs w:val="18"/>
                <w:color w:val="auto"/>
              </w:rPr>
              <w:t>$</w:t>
            </w:r>
          </w:p>
        </w:tc>
        <w:tc>
          <w:tcPr>
            <w:tcW w:w="1180" w:type="dxa"/>
            <w:vAlign w:val="bottom"/>
          </w:tcPr>
          <w:p>
            <w:pPr>
              <w:jc w:val="right"/>
              <w:ind w:right="30"/>
              <w:spacing w:after="0"/>
              <w:rPr>
                <w:sz w:val="20"/>
                <w:szCs w:val="20"/>
                <w:color w:val="auto"/>
              </w:rPr>
            </w:pPr>
            <w:r>
              <w:rPr>
                <w:rFonts w:ascii="Calibri" w:cs="Calibri" w:eastAsia="Calibri" w:hAnsi="Calibri"/>
                <w:sz w:val="18"/>
                <w:szCs w:val="18"/>
                <w:color w:val="auto"/>
              </w:rPr>
              <w:t>26.1</w:t>
            </w:r>
          </w:p>
        </w:tc>
      </w:tr>
      <w:tr>
        <w:trPr>
          <w:trHeight w:val="227"/>
        </w:trPr>
        <w:tc>
          <w:tcPr>
            <w:tcW w:w="8960" w:type="dxa"/>
            <w:vAlign w:val="bottom"/>
            <w:tcBorders>
              <w:bottom w:val="single" w:sz="8" w:color="E5F1F8"/>
              <w:right w:val="single" w:sz="8" w:color="007CBA"/>
            </w:tcBorders>
            <w:shd w:val="clear" w:color="auto" w:fill="E5F1F8"/>
          </w:tcPr>
          <w:p>
            <w:pPr>
              <w:ind w:left="120"/>
              <w:spacing w:after="0"/>
              <w:rPr>
                <w:sz w:val="20"/>
                <w:szCs w:val="20"/>
                <w:color w:val="auto"/>
              </w:rPr>
            </w:pPr>
            <w:r>
              <w:rPr>
                <w:rFonts w:ascii="Calibri" w:cs="Calibri" w:eastAsia="Calibri" w:hAnsi="Calibri"/>
                <w:sz w:val="18"/>
                <w:szCs w:val="18"/>
                <w:color w:val="auto"/>
              </w:rPr>
              <w:t>2024</w:t>
            </w:r>
          </w:p>
        </w:tc>
        <w:tc>
          <w:tcPr>
            <w:tcW w:w="1100" w:type="dxa"/>
            <w:vAlign w:val="bottom"/>
            <w:tcBorders>
              <w:bottom w:val="single" w:sz="8" w:color="E5F1F8"/>
            </w:tcBorders>
            <w:shd w:val="clear" w:color="auto" w:fill="E5F1F8"/>
          </w:tcPr>
          <w:p>
            <w:pPr>
              <w:spacing w:after="0"/>
              <w:rPr>
                <w:sz w:val="19"/>
                <w:szCs w:val="19"/>
                <w:color w:val="auto"/>
              </w:rPr>
            </w:pPr>
          </w:p>
        </w:tc>
        <w:tc>
          <w:tcPr>
            <w:tcW w:w="1180" w:type="dxa"/>
            <w:vAlign w:val="bottom"/>
            <w:tcBorders>
              <w:bottom w:val="single" w:sz="8" w:color="E5F1F8"/>
            </w:tcBorders>
            <w:shd w:val="clear" w:color="auto" w:fill="E5F1F8"/>
          </w:tcPr>
          <w:p>
            <w:pPr>
              <w:jc w:val="right"/>
              <w:ind w:right="30"/>
              <w:spacing w:after="0"/>
              <w:rPr>
                <w:sz w:val="20"/>
                <w:szCs w:val="20"/>
                <w:color w:val="auto"/>
              </w:rPr>
            </w:pPr>
            <w:r>
              <w:rPr>
                <w:rFonts w:ascii="Calibri" w:cs="Calibri" w:eastAsia="Calibri" w:hAnsi="Calibri"/>
                <w:sz w:val="18"/>
                <w:szCs w:val="18"/>
                <w:color w:val="auto"/>
              </w:rPr>
              <w:t>12.8</w:t>
            </w:r>
          </w:p>
        </w:tc>
      </w:tr>
      <w:tr>
        <w:trPr>
          <w:trHeight w:val="215"/>
        </w:trPr>
        <w:tc>
          <w:tcPr>
            <w:tcW w:w="89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2025</w:t>
            </w:r>
          </w:p>
        </w:tc>
        <w:tc>
          <w:tcPr>
            <w:tcW w:w="1100" w:type="dxa"/>
            <w:vAlign w:val="bottom"/>
          </w:tcPr>
          <w:p>
            <w:pPr>
              <w:spacing w:after="0"/>
              <w:rPr>
                <w:sz w:val="18"/>
                <w:szCs w:val="18"/>
                <w:color w:val="auto"/>
              </w:rPr>
            </w:pPr>
          </w:p>
        </w:tc>
        <w:tc>
          <w:tcPr>
            <w:tcW w:w="11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2.2</w:t>
            </w:r>
          </w:p>
        </w:tc>
      </w:tr>
      <w:tr>
        <w:trPr>
          <w:trHeight w:val="28"/>
        </w:trPr>
        <w:tc>
          <w:tcPr>
            <w:tcW w:w="8960" w:type="dxa"/>
            <w:vAlign w:val="bottom"/>
            <w:tcBorders>
              <w:right w:val="single" w:sz="8" w:color="007CBA"/>
            </w:tcBorders>
          </w:tcPr>
          <w:p>
            <w:pPr>
              <w:spacing w:after="0"/>
              <w:rPr>
                <w:sz w:val="2"/>
                <w:szCs w:val="2"/>
                <w:color w:val="auto"/>
              </w:rPr>
            </w:pPr>
          </w:p>
        </w:tc>
        <w:tc>
          <w:tcPr>
            <w:tcW w:w="1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3"/>
        </w:trPr>
        <w:tc>
          <w:tcPr>
            <w:tcW w:w="896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2026</w:t>
            </w:r>
          </w:p>
        </w:tc>
        <w:tc>
          <w:tcPr>
            <w:tcW w:w="1100" w:type="dxa"/>
            <w:vAlign w:val="bottom"/>
            <w:tcBorders>
              <w:bottom w:val="single" w:sz="8" w:color="E5F1F8"/>
            </w:tcBorders>
            <w:shd w:val="clear" w:color="auto" w:fill="E5F1F8"/>
          </w:tcPr>
          <w:p>
            <w:pPr>
              <w:spacing w:after="0"/>
              <w:rPr>
                <w:sz w:val="19"/>
                <w:szCs w:val="19"/>
                <w:color w:val="auto"/>
              </w:rPr>
            </w:pPr>
          </w:p>
        </w:tc>
        <w:tc>
          <w:tcPr>
            <w:tcW w:w="118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1.1</w:t>
            </w:r>
          </w:p>
        </w:tc>
      </w:tr>
      <w:tr>
        <w:trPr>
          <w:trHeight w:val="215"/>
        </w:trPr>
        <w:tc>
          <w:tcPr>
            <w:tcW w:w="8960" w:type="dxa"/>
            <w:vAlign w:val="bottom"/>
          </w:tcPr>
          <w:p>
            <w:pPr>
              <w:ind w:left="120"/>
              <w:spacing w:after="0" w:line="215" w:lineRule="exact"/>
              <w:rPr>
                <w:sz w:val="20"/>
                <w:szCs w:val="20"/>
                <w:color w:val="auto"/>
              </w:rPr>
            </w:pPr>
            <w:r>
              <w:rPr>
                <w:rFonts w:ascii="Calibri" w:cs="Calibri" w:eastAsia="Calibri" w:hAnsi="Calibri"/>
                <w:sz w:val="18"/>
                <w:szCs w:val="18"/>
                <w:color w:val="auto"/>
              </w:rPr>
              <w:t>2027</w:t>
            </w:r>
          </w:p>
        </w:tc>
        <w:tc>
          <w:tcPr>
            <w:tcW w:w="1100" w:type="dxa"/>
            <w:vAlign w:val="bottom"/>
          </w:tcPr>
          <w:p>
            <w:pPr>
              <w:spacing w:after="0"/>
              <w:rPr>
                <w:sz w:val="18"/>
                <w:szCs w:val="18"/>
                <w:color w:val="auto"/>
              </w:rPr>
            </w:pPr>
          </w:p>
        </w:tc>
        <w:tc>
          <w:tcPr>
            <w:tcW w:w="11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0.2</w:t>
            </w:r>
          </w:p>
        </w:tc>
      </w:tr>
      <w:tr>
        <w:trPr>
          <w:trHeight w:val="28"/>
        </w:trPr>
        <w:tc>
          <w:tcPr>
            <w:tcW w:w="8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2"/>
        </w:trPr>
        <w:tc>
          <w:tcPr>
            <w:tcW w:w="896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Total</w:t>
            </w:r>
          </w:p>
        </w:tc>
        <w:tc>
          <w:tcPr>
            <w:tcW w:w="1100" w:type="dxa"/>
            <w:vAlign w:val="bottom"/>
            <w:tcBorders>
              <w:bottom w:val="single" w:sz="8" w:color="E5F1F8"/>
            </w:tcBorders>
            <w:shd w:val="clear" w:color="auto" w:fill="E5F1F8"/>
          </w:tcPr>
          <w:p>
            <w:pPr>
              <w:jc w:val="right"/>
              <w:ind w:right="670"/>
              <w:spacing w:after="0" w:line="208" w:lineRule="exact"/>
              <w:rPr>
                <w:sz w:val="20"/>
                <w:szCs w:val="20"/>
                <w:color w:val="auto"/>
              </w:rPr>
            </w:pPr>
            <w:r>
              <w:rPr>
                <w:rFonts w:ascii="Calibri" w:cs="Calibri" w:eastAsia="Calibri" w:hAnsi="Calibri"/>
                <w:sz w:val="18"/>
                <w:szCs w:val="18"/>
                <w:color w:val="auto"/>
              </w:rPr>
              <w:t>$</w:t>
            </w:r>
          </w:p>
        </w:tc>
        <w:tc>
          <w:tcPr>
            <w:tcW w:w="118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42.4</w:t>
            </w:r>
          </w:p>
        </w:tc>
      </w:tr>
      <w:tr>
        <w:trPr>
          <w:trHeight w:val="20"/>
        </w:trPr>
        <w:tc>
          <w:tcPr>
            <w:tcW w:w="89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5658485</wp:posOffset>
            </wp:positionH>
            <wp:positionV relativeFrom="paragraph">
              <wp:posOffset>-354965</wp:posOffset>
            </wp:positionV>
            <wp:extent cx="1478280" cy="3683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4">
                      <a:extLst>
                        <a:ext uri="{28A0092B-C50C-407E-A947-70E740481C1C}"/>
                      </a:extLst>
                    </a:blip>
                    <a:srcRect/>
                    <a:stretch>
                      <a:fillRect/>
                    </a:stretch>
                  </pic:blipFill>
                  <pic:spPr bwMode="auto">
                    <a:xfrm>
                      <a:off x="0" y="0"/>
                      <a:ext cx="1478280" cy="36830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Stock-based compensaton expense is included in </w:t>
      </w:r>
      <w:r>
        <w:rPr>
          <w:rFonts w:ascii="Calibri" w:cs="Calibri" w:eastAsia="Calibri" w:hAnsi="Calibri"/>
          <w:sz w:val="18"/>
          <w:szCs w:val="18"/>
          <w:i w:val="1"/>
          <w:iCs w:val="1"/>
          <w:color w:val="auto"/>
        </w:rPr>
        <w:t>Selling, general and administratve expenses</w:t>
      </w:r>
      <w:r>
        <w:rPr>
          <w:rFonts w:ascii="Calibri" w:cs="Calibri" w:eastAsia="Calibri" w:hAnsi="Calibri"/>
          <w:sz w:val="18"/>
          <w:szCs w:val="18"/>
          <w:color w:val="auto"/>
        </w:rPr>
        <w:t xml:space="preserve"> in the Company’s consolidated statements of earnings.</w:t>
      </w:r>
    </w:p>
    <w:p>
      <w:pPr>
        <w:spacing w:after="0" w:line="21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M: Leases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has leases, primarily for equipment, railcars, feet vehicles, ofce space, land, informaton technology equipment and sofware. The Company’s leases have remaining lease terms of less than one year to 97 years, some of which may include optons to extend the leases for up to 30 years, and some of which may include optons to terminate the leases within one year.</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Certain of the Company’s lease agreements include payments based upon variable rates, including, but not limited to, hours used, tonnage processed and factors related to indices. The Company’s lease agreements do not contain any material residual value guarantees or material restrictve covenants.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360" w:type="dxa"/>
            <w:vAlign w:val="bottom"/>
          </w:tcPr>
          <w:p>
            <w:pPr>
              <w:spacing w:after="0"/>
              <w:rPr>
                <w:sz w:val="20"/>
                <w:szCs w:val="20"/>
                <w:color w:val="auto"/>
              </w:rPr>
            </w:pPr>
            <w:r>
              <w:rPr>
                <w:rFonts w:ascii="Calibri" w:cs="Calibri" w:eastAsia="Calibri" w:hAnsi="Calibri"/>
                <w:sz w:val="18"/>
                <w:szCs w:val="18"/>
                <w:color w:val="auto"/>
              </w:rPr>
              <w:t>The components of lease cost are as follows:</w:t>
            </w: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91"/>
        </w:trPr>
        <w:tc>
          <w:tcPr>
            <w:tcW w:w="63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40" w:type="dxa"/>
            <w:vAlign w:val="bottom"/>
          </w:tcPr>
          <w:p>
            <w:pPr>
              <w:spacing w:after="0"/>
              <w:rPr>
                <w:sz w:val="7"/>
                <w:szCs w:val="7"/>
                <w:color w:val="auto"/>
              </w:rPr>
            </w:pPr>
          </w:p>
        </w:tc>
      </w:tr>
      <w:tr>
        <w:trPr>
          <w:trHeight w:val="207"/>
        </w:trPr>
        <w:tc>
          <w:tcPr>
            <w:tcW w:w="6360" w:type="dxa"/>
            <w:vAlign w:val="bottom"/>
            <w:tcBorders>
              <w:right w:val="single" w:sz="8" w:color="007CBA"/>
            </w:tcBorders>
            <w:shd w:val="clear" w:color="auto" w:fill="007CBA"/>
          </w:tcPr>
          <w:p>
            <w:pPr>
              <w:ind w:left="120"/>
              <w:spacing w:after="0" w:line="207" w:lineRule="exact"/>
              <w:rPr>
                <w:sz w:val="20"/>
                <w:szCs w:val="20"/>
                <w:color w:val="auto"/>
              </w:rPr>
            </w:pPr>
            <w:r>
              <w:rPr>
                <w:rFonts w:ascii="Calibri" w:cs="Calibri" w:eastAsia="Calibri" w:hAnsi="Calibri"/>
                <w:sz w:val="18"/>
                <w:szCs w:val="18"/>
                <w:i w:val="1"/>
                <w:iCs w:val="1"/>
                <w:color w:val="FFFFFF"/>
              </w:rPr>
              <w:t>years ended December 31</w:t>
            </w:r>
          </w:p>
        </w:tc>
        <w:tc>
          <w:tcPr>
            <w:tcW w:w="48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80" w:type="dxa"/>
            <w:vAlign w:val="bottom"/>
            <w:shd w:val="clear" w:color="auto" w:fill="007CBA"/>
          </w:tcPr>
          <w:p>
            <w:pPr>
              <w:spacing w:after="0"/>
              <w:rPr>
                <w:sz w:val="18"/>
                <w:szCs w:val="18"/>
                <w:color w:val="auto"/>
              </w:rPr>
            </w:pPr>
          </w:p>
        </w:tc>
        <w:tc>
          <w:tcPr>
            <w:tcW w:w="1140" w:type="dxa"/>
            <w:vAlign w:val="bottom"/>
            <w:tcBorders>
              <w:right w:val="single" w:sz="8" w:color="007CBA"/>
            </w:tcBorders>
            <w:shd w:val="clear" w:color="auto" w:fill="007CBA"/>
          </w:tcPr>
          <w:p>
            <w:pPr>
              <w:spacing w:after="0"/>
              <w:rPr>
                <w:sz w:val="18"/>
                <w:szCs w:val="18"/>
                <w:color w:val="auto"/>
              </w:rPr>
            </w:pPr>
          </w:p>
        </w:tc>
        <w:tc>
          <w:tcPr>
            <w:tcW w:w="480" w:type="dxa"/>
            <w:vAlign w:val="bottom"/>
            <w:shd w:val="clear" w:color="auto" w:fill="007CBA"/>
          </w:tcPr>
          <w:p>
            <w:pPr>
              <w:spacing w:after="0"/>
              <w:rPr>
                <w:sz w:val="18"/>
                <w:szCs w:val="18"/>
                <w:color w:val="auto"/>
              </w:rPr>
            </w:pPr>
          </w:p>
        </w:tc>
        <w:tc>
          <w:tcPr>
            <w:tcW w:w="1140" w:type="dxa"/>
            <w:vAlign w:val="bottom"/>
            <w:shd w:val="clear" w:color="auto" w:fill="007CBA"/>
          </w:tcPr>
          <w:p>
            <w:pPr>
              <w:spacing w:after="0"/>
              <w:rPr>
                <w:sz w:val="18"/>
                <w:szCs w:val="18"/>
                <w:color w:val="auto"/>
              </w:rPr>
            </w:pPr>
          </w:p>
        </w:tc>
      </w:tr>
      <w:tr>
        <w:trPr>
          <w:trHeight w:val="232"/>
        </w:trPr>
        <w:tc>
          <w:tcPr>
            <w:tcW w:w="636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480" w:type="dxa"/>
            <w:vAlign w:val="bottom"/>
            <w:tcBorders>
              <w:bottom w:val="single" w:sz="8" w:color="007CBA"/>
            </w:tcBorders>
            <w:shd w:val="clear" w:color="auto" w:fill="007CBA"/>
          </w:tcPr>
          <w:p>
            <w:pPr>
              <w:spacing w:after="0"/>
              <w:rPr>
                <w:sz w:val="20"/>
                <w:szCs w:val="20"/>
                <w:color w:val="auto"/>
              </w:rPr>
            </w:pPr>
          </w:p>
        </w:tc>
        <w:tc>
          <w:tcPr>
            <w:tcW w:w="1160" w:type="dxa"/>
            <w:vAlign w:val="bottom"/>
            <w:tcBorders>
              <w:bottom w:val="single" w:sz="8" w:color="007CBA"/>
              <w:right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b w:val="1"/>
                <w:bCs w:val="1"/>
                <w:color w:val="FFFFFF"/>
              </w:rPr>
              <w:t>2022</w:t>
            </w:r>
          </w:p>
        </w:tc>
        <w:tc>
          <w:tcPr>
            <w:tcW w:w="48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right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color w:val="FFFFFF"/>
              </w:rPr>
              <w:t>2021</w:t>
            </w:r>
          </w:p>
        </w:tc>
        <w:tc>
          <w:tcPr>
            <w:tcW w:w="48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color w:val="FFFFFF"/>
              </w:rPr>
              <w:t>2020</w:t>
            </w:r>
          </w:p>
        </w:tc>
      </w:tr>
      <w:tr>
        <w:trPr>
          <w:trHeight w:val="215"/>
        </w:trPr>
        <w:tc>
          <w:tcPr>
            <w:tcW w:w="63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Operatng lease cost</w:t>
            </w:r>
          </w:p>
        </w:tc>
        <w:tc>
          <w:tcPr>
            <w:tcW w:w="480" w:type="dxa"/>
            <w:vAlign w:val="bottom"/>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73.1</w:t>
            </w:r>
          </w:p>
        </w:tc>
        <w:tc>
          <w:tcPr>
            <w:tcW w:w="48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72.9</w:t>
            </w:r>
          </w:p>
        </w:tc>
        <w:tc>
          <w:tcPr>
            <w:tcW w:w="48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79.0</w:t>
            </w:r>
          </w:p>
        </w:tc>
      </w:tr>
      <w:tr>
        <w:trPr>
          <w:trHeight w:val="28"/>
        </w:trPr>
        <w:tc>
          <w:tcPr>
            <w:tcW w:w="63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636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Finance lease cost:</w:t>
            </w:r>
          </w:p>
        </w:tc>
        <w:tc>
          <w:tcPr>
            <w:tcW w:w="48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spacing w:after="0"/>
              <w:rPr>
                <w:sz w:val="19"/>
                <w:szCs w:val="19"/>
                <w:color w:val="auto"/>
              </w:rPr>
            </w:pPr>
          </w:p>
        </w:tc>
        <w:tc>
          <w:tcPr>
            <w:tcW w:w="48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right w:val="single" w:sz="8" w:color="007CBA"/>
            </w:tcBorders>
            <w:shd w:val="clear" w:color="auto" w:fill="E5F1F8"/>
          </w:tcPr>
          <w:p>
            <w:pPr>
              <w:spacing w:after="0"/>
              <w:rPr>
                <w:sz w:val="19"/>
                <w:szCs w:val="19"/>
                <w:color w:val="auto"/>
              </w:rPr>
            </w:pPr>
          </w:p>
        </w:tc>
        <w:tc>
          <w:tcPr>
            <w:tcW w:w="48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tcBorders>
            <w:shd w:val="clear" w:color="auto" w:fill="E5F1F8"/>
          </w:tcPr>
          <w:p>
            <w:pPr>
              <w:spacing w:after="0"/>
              <w:rPr>
                <w:sz w:val="19"/>
                <w:szCs w:val="19"/>
                <w:color w:val="auto"/>
              </w:rPr>
            </w:pPr>
          </w:p>
        </w:tc>
      </w:tr>
      <w:tr>
        <w:trPr>
          <w:trHeight w:val="215"/>
        </w:trPr>
        <w:tc>
          <w:tcPr>
            <w:tcW w:w="6360" w:type="dxa"/>
            <w:vAlign w:val="bottom"/>
            <w:tcBorders>
              <w:right w:val="single" w:sz="8" w:color="007CBA"/>
            </w:tcBorders>
          </w:tcPr>
          <w:p>
            <w:pPr>
              <w:ind w:left="200"/>
              <w:spacing w:after="0" w:line="215" w:lineRule="exact"/>
              <w:rPr>
                <w:sz w:val="20"/>
                <w:szCs w:val="20"/>
                <w:color w:val="auto"/>
              </w:rPr>
            </w:pPr>
            <w:r>
              <w:rPr>
                <w:rFonts w:ascii="Calibri" w:cs="Calibri" w:eastAsia="Calibri" w:hAnsi="Calibri"/>
                <w:sz w:val="18"/>
                <w:szCs w:val="18"/>
                <w:color w:val="auto"/>
              </w:rPr>
              <w:t>Amortzaton of right-of-use assets</w:t>
            </w:r>
          </w:p>
        </w:tc>
        <w:tc>
          <w:tcPr>
            <w:tcW w:w="480" w:type="dxa"/>
            <w:vAlign w:val="bottom"/>
          </w:tcPr>
          <w:p>
            <w:pPr>
              <w:spacing w:after="0"/>
              <w:rPr>
                <w:sz w:val="18"/>
                <w:szCs w:val="18"/>
                <w:color w:val="auto"/>
              </w:rPr>
            </w:pPr>
          </w:p>
        </w:tc>
        <w:tc>
          <w:tcPr>
            <w:tcW w:w="11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18.3</w:t>
            </w:r>
          </w:p>
        </w:tc>
        <w:tc>
          <w:tcPr>
            <w:tcW w:w="480" w:type="dxa"/>
            <w:vAlign w:val="bottom"/>
          </w:tcPr>
          <w:p>
            <w:pPr>
              <w:spacing w:after="0"/>
              <w:rPr>
                <w:sz w:val="18"/>
                <w:szCs w:val="18"/>
                <w:color w:val="auto"/>
              </w:rPr>
            </w:pPr>
          </w:p>
        </w:tc>
        <w:tc>
          <w:tcPr>
            <w:tcW w:w="11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14.3</w:t>
            </w:r>
          </w:p>
        </w:tc>
        <w:tc>
          <w:tcPr>
            <w:tcW w:w="480" w:type="dxa"/>
            <w:vAlign w:val="bottom"/>
          </w:tcPr>
          <w:p>
            <w:pPr>
              <w:spacing w:after="0"/>
              <w:rPr>
                <w:sz w:val="18"/>
                <w:szCs w:val="18"/>
                <w:color w:val="auto"/>
              </w:rPr>
            </w:pP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3.6</w:t>
            </w:r>
          </w:p>
        </w:tc>
      </w:tr>
      <w:tr>
        <w:trPr>
          <w:trHeight w:val="28"/>
        </w:trPr>
        <w:tc>
          <w:tcPr>
            <w:tcW w:w="63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6360" w:type="dxa"/>
            <w:vAlign w:val="bottom"/>
            <w:tcBorders>
              <w:bottom w:val="single" w:sz="8" w:color="E5F1F8"/>
              <w:right w:val="single" w:sz="8" w:color="007CBA"/>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Interest on lease liabilites</w:t>
            </w:r>
          </w:p>
        </w:tc>
        <w:tc>
          <w:tcPr>
            <w:tcW w:w="48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4.4</w:t>
            </w:r>
          </w:p>
        </w:tc>
        <w:tc>
          <w:tcPr>
            <w:tcW w:w="48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3.5</w:t>
            </w:r>
          </w:p>
        </w:tc>
        <w:tc>
          <w:tcPr>
            <w:tcW w:w="48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0.6</w:t>
            </w:r>
          </w:p>
        </w:tc>
      </w:tr>
      <w:tr>
        <w:trPr>
          <w:trHeight w:val="243"/>
        </w:trPr>
        <w:tc>
          <w:tcPr>
            <w:tcW w:w="63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Variable lease cost</w:t>
            </w:r>
          </w:p>
        </w:tc>
        <w:tc>
          <w:tcPr>
            <w:tcW w:w="480" w:type="dxa"/>
            <w:vAlign w:val="bottom"/>
          </w:tcPr>
          <w:p>
            <w:pPr>
              <w:spacing w:after="0"/>
              <w:rPr>
                <w:sz w:val="21"/>
                <w:szCs w:val="21"/>
                <w:color w:val="auto"/>
              </w:rPr>
            </w:pPr>
          </w:p>
        </w:tc>
        <w:tc>
          <w:tcPr>
            <w:tcW w:w="11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16.5</w:t>
            </w:r>
          </w:p>
        </w:tc>
        <w:tc>
          <w:tcPr>
            <w:tcW w:w="480" w:type="dxa"/>
            <w:vAlign w:val="bottom"/>
          </w:tcPr>
          <w:p>
            <w:pPr>
              <w:spacing w:after="0"/>
              <w:rPr>
                <w:sz w:val="21"/>
                <w:szCs w:val="21"/>
                <w:color w:val="auto"/>
              </w:rPr>
            </w:pPr>
          </w:p>
        </w:tc>
        <w:tc>
          <w:tcPr>
            <w:tcW w:w="11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17.9</w:t>
            </w:r>
          </w:p>
        </w:tc>
        <w:tc>
          <w:tcPr>
            <w:tcW w:w="480" w:type="dxa"/>
            <w:vAlign w:val="bottom"/>
          </w:tcPr>
          <w:p>
            <w:pPr>
              <w:spacing w:after="0"/>
              <w:rPr>
                <w:sz w:val="21"/>
                <w:szCs w:val="21"/>
                <w:color w:val="auto"/>
              </w:rPr>
            </w:pP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16.9</w:t>
            </w:r>
          </w:p>
        </w:tc>
      </w:tr>
      <w:tr>
        <w:trPr>
          <w:trHeight w:val="248"/>
        </w:trPr>
        <w:tc>
          <w:tcPr>
            <w:tcW w:w="636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Short-term lease cost</w:t>
            </w:r>
          </w:p>
        </w:tc>
        <w:tc>
          <w:tcPr>
            <w:tcW w:w="48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45.2</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32.3</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31.3</w:t>
            </w:r>
          </w:p>
        </w:tc>
      </w:tr>
      <w:tr>
        <w:trPr>
          <w:trHeight w:val="208"/>
        </w:trPr>
        <w:tc>
          <w:tcPr>
            <w:tcW w:w="636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 lease cost</w:t>
            </w:r>
          </w:p>
        </w:tc>
        <w:tc>
          <w:tcPr>
            <w:tcW w:w="48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157.5</w:t>
            </w:r>
          </w:p>
        </w:tc>
        <w:tc>
          <w:tcPr>
            <w:tcW w:w="48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140.9</w:t>
            </w:r>
          </w:p>
        </w:tc>
        <w:tc>
          <w:tcPr>
            <w:tcW w:w="48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131.4</w:t>
            </w:r>
          </w:p>
        </w:tc>
      </w:tr>
      <w:tr>
        <w:trPr>
          <w:trHeight w:val="28"/>
        </w:trPr>
        <w:tc>
          <w:tcPr>
            <w:tcW w:w="6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3683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5">
                      <a:extLst>
                        <a:ext uri="{28A0092B-C50C-407E-A947-70E740481C1C}"/>
                      </a:extLst>
                    </a:blip>
                    <a:srcRect/>
                    <a:stretch>
                      <a:fillRect/>
                    </a:stretch>
                  </pic:blipFill>
                  <pic:spPr bwMode="auto">
                    <a:xfrm>
                      <a:off x="0" y="0"/>
                      <a:ext cx="7132320" cy="36830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213995</wp:posOffset>
            </wp:positionV>
            <wp:extent cx="325755" cy="1968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6">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34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07" w:name="page108"/>
    <w:bookmarkEnd w:id="107"/>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has royalty agreements that are prescriptvely excluded from the scope of ASC 842 and generally require royalty payments based on tons produced, tons sold or total sales dollars and also contain minimum payments. Royalty expense was $78.2 million, $67.1 million and $60.8 million for the years ended December 31, 2022, 2021 and 2020, respectvely.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440" w:type="dxa"/>
            <w:vAlign w:val="bottom"/>
          </w:tcPr>
          <w:p>
            <w:pPr>
              <w:spacing w:after="0"/>
              <w:rPr>
                <w:sz w:val="20"/>
                <w:szCs w:val="20"/>
                <w:color w:val="auto"/>
              </w:rPr>
            </w:pPr>
            <w:r>
              <w:rPr>
                <w:rFonts w:ascii="Calibri" w:cs="Calibri" w:eastAsia="Calibri" w:hAnsi="Calibri"/>
                <w:sz w:val="18"/>
                <w:szCs w:val="18"/>
                <w:color w:val="auto"/>
              </w:rPr>
              <w:t>The balance sheet classifcatons of operatng and fnance leases are as follows:</w:t>
            </w: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31"/>
        </w:trPr>
        <w:tc>
          <w:tcPr>
            <w:tcW w:w="7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207"/>
        </w:trPr>
        <w:tc>
          <w:tcPr>
            <w:tcW w:w="7440" w:type="dxa"/>
            <w:vAlign w:val="bottom"/>
            <w:tcBorders>
              <w:right w:val="single" w:sz="8" w:color="007CBA"/>
            </w:tcBorders>
            <w:shd w:val="clear" w:color="auto" w:fill="007CBA"/>
          </w:tcPr>
          <w:p>
            <w:pPr>
              <w:ind w:left="120"/>
              <w:spacing w:after="0" w:line="207" w:lineRule="exact"/>
              <w:rPr>
                <w:sz w:val="20"/>
                <w:szCs w:val="20"/>
                <w:color w:val="auto"/>
              </w:rPr>
            </w:pPr>
            <w:r>
              <w:rPr>
                <w:rFonts w:ascii="Calibri" w:cs="Calibri" w:eastAsia="Calibri" w:hAnsi="Calibri"/>
                <w:sz w:val="18"/>
                <w:szCs w:val="18"/>
                <w:i w:val="1"/>
                <w:iCs w:val="1"/>
                <w:color w:val="FFFFFF"/>
              </w:rPr>
              <w:t>December 31</w:t>
            </w:r>
          </w:p>
        </w:tc>
        <w:tc>
          <w:tcPr>
            <w:tcW w:w="580" w:type="dxa"/>
            <w:vAlign w:val="bottom"/>
            <w:shd w:val="clear" w:color="auto" w:fill="007CBA"/>
          </w:tcPr>
          <w:p>
            <w:pPr>
              <w:spacing w:after="0"/>
              <w:rPr>
                <w:sz w:val="18"/>
                <w:szCs w:val="18"/>
                <w:color w:val="auto"/>
              </w:rPr>
            </w:pPr>
          </w:p>
        </w:tc>
        <w:tc>
          <w:tcPr>
            <w:tcW w:w="1340" w:type="dxa"/>
            <w:vAlign w:val="bottom"/>
            <w:tcBorders>
              <w:right w:val="single" w:sz="8" w:color="007CBA"/>
            </w:tcBorders>
            <w:shd w:val="clear" w:color="auto" w:fill="007CBA"/>
          </w:tcPr>
          <w:p>
            <w:pPr>
              <w:spacing w:after="0"/>
              <w:rPr>
                <w:sz w:val="18"/>
                <w:szCs w:val="18"/>
                <w:color w:val="auto"/>
              </w:rPr>
            </w:pPr>
          </w:p>
        </w:tc>
        <w:tc>
          <w:tcPr>
            <w:tcW w:w="560" w:type="dxa"/>
            <w:vAlign w:val="bottom"/>
            <w:shd w:val="clear" w:color="auto" w:fill="007CBA"/>
          </w:tcPr>
          <w:p>
            <w:pPr>
              <w:spacing w:after="0"/>
              <w:rPr>
                <w:sz w:val="18"/>
                <w:szCs w:val="18"/>
                <w:color w:val="auto"/>
              </w:rPr>
            </w:pPr>
          </w:p>
        </w:tc>
        <w:tc>
          <w:tcPr>
            <w:tcW w:w="1320" w:type="dxa"/>
            <w:vAlign w:val="bottom"/>
            <w:shd w:val="clear" w:color="auto" w:fill="007CBA"/>
          </w:tcPr>
          <w:p>
            <w:pPr>
              <w:spacing w:after="0"/>
              <w:rPr>
                <w:sz w:val="18"/>
                <w:szCs w:val="18"/>
                <w:color w:val="auto"/>
              </w:rPr>
            </w:pPr>
          </w:p>
        </w:tc>
      </w:tr>
      <w:tr>
        <w:trPr>
          <w:trHeight w:val="232"/>
        </w:trPr>
        <w:tc>
          <w:tcPr>
            <w:tcW w:w="744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580" w:type="dxa"/>
            <w:vAlign w:val="bottom"/>
            <w:tcBorders>
              <w:bottom w:val="single" w:sz="8" w:color="007CBA"/>
            </w:tcBorders>
            <w:shd w:val="clear" w:color="auto" w:fill="007CBA"/>
          </w:tcPr>
          <w:p>
            <w:pPr>
              <w:spacing w:after="0"/>
              <w:rPr>
                <w:sz w:val="20"/>
                <w:szCs w:val="20"/>
                <w:color w:val="auto"/>
              </w:rPr>
            </w:pPr>
          </w:p>
        </w:tc>
        <w:tc>
          <w:tcPr>
            <w:tcW w:w="1340" w:type="dxa"/>
            <w:vAlign w:val="bottom"/>
            <w:tcBorders>
              <w:bottom w:val="single" w:sz="8" w:color="007CBA"/>
              <w:right w:val="single" w:sz="8" w:color="007CBA"/>
            </w:tcBorders>
            <w:shd w:val="clear" w:color="auto" w:fill="007CBA"/>
          </w:tcPr>
          <w:p>
            <w:pPr>
              <w:jc w:val="right"/>
              <w:ind w:right="650"/>
              <w:spacing w:after="0" w:line="215" w:lineRule="exact"/>
              <w:rPr>
                <w:sz w:val="20"/>
                <w:szCs w:val="20"/>
                <w:color w:val="auto"/>
              </w:rPr>
            </w:pPr>
            <w:r>
              <w:rPr>
                <w:rFonts w:ascii="Calibri" w:cs="Calibri" w:eastAsia="Calibri" w:hAnsi="Calibri"/>
                <w:sz w:val="18"/>
                <w:szCs w:val="18"/>
                <w:b w:val="1"/>
                <w:bCs w:val="1"/>
                <w:color w:val="FFFFFF"/>
              </w:rPr>
              <w:t>2022</w:t>
            </w:r>
          </w:p>
        </w:tc>
        <w:tc>
          <w:tcPr>
            <w:tcW w:w="560" w:type="dxa"/>
            <w:vAlign w:val="bottom"/>
            <w:tcBorders>
              <w:bottom w:val="single" w:sz="8" w:color="007CBA"/>
            </w:tcBorders>
            <w:shd w:val="clear" w:color="auto" w:fill="007CBA"/>
          </w:tcPr>
          <w:p>
            <w:pPr>
              <w:spacing w:after="0"/>
              <w:rPr>
                <w:sz w:val="20"/>
                <w:szCs w:val="20"/>
                <w:color w:val="auto"/>
              </w:rPr>
            </w:pPr>
          </w:p>
        </w:tc>
        <w:tc>
          <w:tcPr>
            <w:tcW w:w="1320" w:type="dxa"/>
            <w:vAlign w:val="bottom"/>
            <w:tcBorders>
              <w:bottom w:val="single" w:sz="8" w:color="007CBA"/>
            </w:tcBorders>
            <w:shd w:val="clear" w:color="auto" w:fill="007CBA"/>
          </w:tcPr>
          <w:p>
            <w:pPr>
              <w:jc w:val="right"/>
              <w:ind w:right="630"/>
              <w:spacing w:after="0" w:line="215" w:lineRule="exact"/>
              <w:rPr>
                <w:sz w:val="20"/>
                <w:szCs w:val="20"/>
                <w:color w:val="auto"/>
              </w:rPr>
            </w:pPr>
            <w:r>
              <w:rPr>
                <w:rFonts w:ascii="Calibri" w:cs="Calibri" w:eastAsia="Calibri" w:hAnsi="Calibri"/>
                <w:sz w:val="18"/>
                <w:szCs w:val="18"/>
                <w:color w:val="FFFFFF"/>
              </w:rPr>
              <w:t>2021</w:t>
            </w:r>
          </w:p>
        </w:tc>
      </w:tr>
      <w:tr>
        <w:trPr>
          <w:trHeight w:val="243"/>
        </w:trPr>
        <w:tc>
          <w:tcPr>
            <w:tcW w:w="74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Operatng leases:</w:t>
            </w:r>
          </w:p>
        </w:tc>
        <w:tc>
          <w:tcPr>
            <w:tcW w:w="580" w:type="dxa"/>
            <w:vAlign w:val="bottom"/>
          </w:tcPr>
          <w:p>
            <w:pPr>
              <w:spacing w:after="0"/>
              <w:rPr>
                <w:sz w:val="21"/>
                <w:szCs w:val="21"/>
                <w:color w:val="auto"/>
              </w:rPr>
            </w:pPr>
          </w:p>
        </w:tc>
        <w:tc>
          <w:tcPr>
            <w:tcW w:w="1340" w:type="dxa"/>
            <w:vAlign w:val="bottom"/>
            <w:tcBorders>
              <w:right w:val="single" w:sz="8" w:color="007CBA"/>
            </w:tcBorders>
          </w:tcPr>
          <w:p>
            <w:pPr>
              <w:spacing w:after="0"/>
              <w:rPr>
                <w:sz w:val="21"/>
                <w:szCs w:val="21"/>
                <w:color w:val="auto"/>
              </w:rPr>
            </w:pPr>
          </w:p>
        </w:tc>
        <w:tc>
          <w:tcPr>
            <w:tcW w:w="5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8"/>
        </w:trPr>
        <w:tc>
          <w:tcPr>
            <w:tcW w:w="7440" w:type="dxa"/>
            <w:vAlign w:val="bottom"/>
            <w:tcBorders>
              <w:bottom w:val="single" w:sz="8" w:color="E5F1F8"/>
              <w:right w:val="single" w:sz="8" w:color="E5F1F8"/>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Operatng lease right-of-use assets</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b w:val="1"/>
                <w:bCs w:val="1"/>
                <w:color w:val="auto"/>
              </w:rPr>
              <w:t>$</w:t>
            </w:r>
          </w:p>
        </w:tc>
        <w:tc>
          <w:tcPr>
            <w:tcW w:w="134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383.5</w:t>
            </w:r>
          </w:p>
        </w:tc>
        <w:tc>
          <w:tcPr>
            <w:tcW w:w="56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426.7</w:t>
            </w:r>
          </w:p>
        </w:tc>
      </w:tr>
      <w:tr>
        <w:trPr>
          <w:trHeight w:val="223"/>
        </w:trPr>
        <w:tc>
          <w:tcPr>
            <w:tcW w:w="7440" w:type="dxa"/>
            <w:vAlign w:val="bottom"/>
            <w:tcBorders>
              <w:top w:val="single" w:sz="8" w:color="auto"/>
              <w:right w:val="single" w:sz="8" w:color="007CBA"/>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340" w:type="dxa"/>
            <w:vAlign w:val="bottom"/>
            <w:tcBorders>
              <w:top w:val="single" w:sz="8" w:color="auto"/>
              <w:right w:val="single" w:sz="8" w:color="007CBA"/>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r>
      <w:tr>
        <w:trPr>
          <w:trHeight w:val="223"/>
        </w:trPr>
        <w:tc>
          <w:tcPr>
            <w:tcW w:w="7440" w:type="dxa"/>
            <w:vAlign w:val="bottom"/>
            <w:tcBorders>
              <w:bottom w:val="single" w:sz="8" w:color="E5F1F8"/>
              <w:right w:val="single" w:sz="8" w:color="007CBA"/>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Current operatng lease liabilites</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b w:val="1"/>
                <w:bCs w:val="1"/>
                <w:color w:val="auto"/>
              </w:rPr>
              <w:t>$</w:t>
            </w:r>
          </w:p>
        </w:tc>
        <w:tc>
          <w:tcPr>
            <w:tcW w:w="134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52.1</w:t>
            </w:r>
          </w:p>
        </w:tc>
        <w:tc>
          <w:tcPr>
            <w:tcW w:w="56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53.9</w:t>
            </w:r>
          </w:p>
        </w:tc>
      </w:tr>
      <w:tr>
        <w:trPr>
          <w:trHeight w:val="215"/>
        </w:trPr>
        <w:tc>
          <w:tcPr>
            <w:tcW w:w="7440" w:type="dxa"/>
            <w:vAlign w:val="bottom"/>
          </w:tcPr>
          <w:p>
            <w:pPr>
              <w:ind w:left="200"/>
              <w:spacing w:after="0" w:line="215" w:lineRule="exact"/>
              <w:rPr>
                <w:sz w:val="20"/>
                <w:szCs w:val="20"/>
                <w:color w:val="auto"/>
              </w:rPr>
            </w:pPr>
            <w:r>
              <w:rPr>
                <w:rFonts w:ascii="Calibri" w:cs="Calibri" w:eastAsia="Calibri" w:hAnsi="Calibri"/>
                <w:sz w:val="18"/>
                <w:szCs w:val="18"/>
                <w:color w:val="auto"/>
              </w:rPr>
              <w:t>Noncurrent operatng lease liabilites</w:t>
            </w:r>
          </w:p>
        </w:tc>
        <w:tc>
          <w:tcPr>
            <w:tcW w:w="580" w:type="dxa"/>
            <w:vAlign w:val="bottom"/>
          </w:tcPr>
          <w:p>
            <w:pPr>
              <w:spacing w:after="0"/>
              <w:rPr>
                <w:sz w:val="18"/>
                <w:szCs w:val="18"/>
                <w:color w:val="auto"/>
              </w:rPr>
            </w:pPr>
          </w:p>
        </w:tc>
        <w:tc>
          <w:tcPr>
            <w:tcW w:w="1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335.9</w:t>
            </w:r>
          </w:p>
        </w:tc>
        <w:tc>
          <w:tcPr>
            <w:tcW w:w="560" w:type="dxa"/>
            <w:vAlign w:val="bottom"/>
          </w:tcPr>
          <w:p>
            <w:pPr>
              <w:spacing w:after="0"/>
              <w:rPr>
                <w:sz w:val="18"/>
                <w:szCs w:val="18"/>
                <w:color w:val="auto"/>
              </w:rPr>
            </w:pPr>
          </w:p>
        </w:tc>
        <w:tc>
          <w:tcPr>
            <w:tcW w:w="13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379.4</w:t>
            </w:r>
          </w:p>
        </w:tc>
      </w:tr>
      <w:tr>
        <w:trPr>
          <w:trHeight w:val="28"/>
        </w:trPr>
        <w:tc>
          <w:tcPr>
            <w:tcW w:w="7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1"/>
        </w:trPr>
        <w:tc>
          <w:tcPr>
            <w:tcW w:w="744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Total operatng lease liabilites</w:t>
            </w:r>
          </w:p>
        </w:tc>
        <w:tc>
          <w:tcPr>
            <w:tcW w:w="580" w:type="dxa"/>
            <w:vAlign w:val="bottom"/>
            <w:tcBorders>
              <w:bottom w:val="single" w:sz="8" w:color="E5F1F8"/>
            </w:tcBorders>
            <w:shd w:val="clear" w:color="auto" w:fill="E5F1F8"/>
          </w:tcPr>
          <w:p>
            <w:pPr>
              <w:jc w:val="right"/>
              <w:ind w:right="170"/>
              <w:spacing w:after="0" w:line="208" w:lineRule="exact"/>
              <w:rPr>
                <w:sz w:val="20"/>
                <w:szCs w:val="20"/>
                <w:color w:val="auto"/>
              </w:rPr>
            </w:pPr>
            <w:r>
              <w:rPr>
                <w:rFonts w:ascii="Calibri" w:cs="Calibri" w:eastAsia="Calibri" w:hAnsi="Calibri"/>
                <w:sz w:val="18"/>
                <w:szCs w:val="18"/>
                <w:b w:val="1"/>
                <w:bCs w:val="1"/>
                <w:color w:val="auto"/>
              </w:rPr>
              <w:t>$</w:t>
            </w:r>
          </w:p>
        </w:tc>
        <w:tc>
          <w:tcPr>
            <w:tcW w:w="1340" w:type="dxa"/>
            <w:vAlign w:val="bottom"/>
            <w:tcBorders>
              <w:bottom w:val="single" w:sz="8" w:color="E5F1F8"/>
              <w:right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b w:val="1"/>
                <w:bCs w:val="1"/>
                <w:color w:val="auto"/>
              </w:rPr>
              <w:t>388.0</w:t>
            </w:r>
          </w:p>
        </w:tc>
        <w:tc>
          <w:tcPr>
            <w:tcW w:w="560" w:type="dxa"/>
            <w:vAlign w:val="bottom"/>
            <w:tcBorders>
              <w:bottom w:val="single" w:sz="8" w:color="E5F1F8"/>
            </w:tcBorders>
            <w:shd w:val="clear" w:color="auto" w:fill="E5F1F8"/>
          </w:tcPr>
          <w:p>
            <w:pPr>
              <w:jc w:val="right"/>
              <w:ind w:right="170"/>
              <w:spacing w:after="0" w:line="208" w:lineRule="exact"/>
              <w:rPr>
                <w:sz w:val="20"/>
                <w:szCs w:val="20"/>
                <w:color w:val="auto"/>
              </w:rPr>
            </w:pPr>
            <w:r>
              <w:rPr>
                <w:rFonts w:ascii="Calibri" w:cs="Calibri" w:eastAsia="Calibri" w:hAnsi="Calibri"/>
                <w:sz w:val="18"/>
                <w:szCs w:val="18"/>
                <w:color w:val="auto"/>
              </w:rPr>
              <w:t>$</w:t>
            </w:r>
          </w:p>
        </w:tc>
        <w:tc>
          <w:tcPr>
            <w:tcW w:w="132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433.3</w:t>
            </w:r>
          </w:p>
        </w:tc>
      </w:tr>
      <w:tr>
        <w:trPr>
          <w:trHeight w:val="224"/>
        </w:trPr>
        <w:tc>
          <w:tcPr>
            <w:tcW w:w="7440" w:type="dxa"/>
            <w:vAlign w:val="bottom"/>
            <w:tcBorders>
              <w:top w:val="single" w:sz="8" w:color="auto"/>
              <w:right w:val="single" w:sz="8" w:color="007CBA"/>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340" w:type="dxa"/>
            <w:vAlign w:val="bottom"/>
            <w:tcBorders>
              <w:top w:val="single" w:sz="8" w:color="auto"/>
              <w:right w:val="single" w:sz="8" w:color="007CBA"/>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r>
      <w:tr>
        <w:trPr>
          <w:trHeight w:val="223"/>
        </w:trPr>
        <w:tc>
          <w:tcPr>
            <w:tcW w:w="744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Finance leases:</w:t>
            </w:r>
          </w:p>
        </w:tc>
        <w:tc>
          <w:tcPr>
            <w:tcW w:w="580" w:type="dxa"/>
            <w:vAlign w:val="bottom"/>
            <w:tcBorders>
              <w:bottom w:val="single" w:sz="8" w:color="E5F1F8"/>
            </w:tcBorders>
            <w:shd w:val="clear" w:color="auto" w:fill="E5F1F8"/>
          </w:tcPr>
          <w:p>
            <w:pPr>
              <w:spacing w:after="0"/>
              <w:rPr>
                <w:sz w:val="19"/>
                <w:szCs w:val="19"/>
                <w:color w:val="auto"/>
              </w:rPr>
            </w:pPr>
          </w:p>
        </w:tc>
        <w:tc>
          <w:tcPr>
            <w:tcW w:w="1340" w:type="dxa"/>
            <w:vAlign w:val="bottom"/>
            <w:tcBorders>
              <w:bottom w:val="single" w:sz="8" w:color="E5F1F8"/>
              <w:right w:val="single" w:sz="8" w:color="007CBA"/>
            </w:tcBorders>
            <w:shd w:val="clear" w:color="auto" w:fill="E5F1F8"/>
          </w:tcPr>
          <w:p>
            <w:pPr>
              <w:spacing w:after="0"/>
              <w:rPr>
                <w:sz w:val="19"/>
                <w:szCs w:val="19"/>
                <w:color w:val="auto"/>
              </w:rPr>
            </w:pPr>
          </w:p>
        </w:tc>
        <w:tc>
          <w:tcPr>
            <w:tcW w:w="560" w:type="dxa"/>
            <w:vAlign w:val="bottom"/>
            <w:tcBorders>
              <w:bottom w:val="single" w:sz="8" w:color="E5F1F8"/>
            </w:tcBorders>
            <w:shd w:val="clear" w:color="auto" w:fill="E5F1F8"/>
          </w:tcPr>
          <w:p>
            <w:pPr>
              <w:spacing w:after="0"/>
              <w:rPr>
                <w:sz w:val="19"/>
                <w:szCs w:val="19"/>
                <w:color w:val="auto"/>
              </w:rPr>
            </w:pPr>
          </w:p>
        </w:tc>
        <w:tc>
          <w:tcPr>
            <w:tcW w:w="1320" w:type="dxa"/>
            <w:vAlign w:val="bottom"/>
            <w:tcBorders>
              <w:bottom w:val="single" w:sz="8" w:color="E5F1F8"/>
            </w:tcBorders>
            <w:shd w:val="clear" w:color="auto" w:fill="E5F1F8"/>
          </w:tcPr>
          <w:p>
            <w:pPr>
              <w:spacing w:after="0"/>
              <w:rPr>
                <w:sz w:val="19"/>
                <w:szCs w:val="19"/>
                <w:color w:val="auto"/>
              </w:rPr>
            </w:pPr>
          </w:p>
        </w:tc>
      </w:tr>
      <w:tr>
        <w:trPr>
          <w:trHeight w:val="243"/>
        </w:trPr>
        <w:tc>
          <w:tcPr>
            <w:tcW w:w="7440" w:type="dxa"/>
            <w:vAlign w:val="bottom"/>
            <w:tcBorders>
              <w:right w:val="single" w:sz="8" w:color="007CBA"/>
            </w:tcBorders>
          </w:tcPr>
          <w:p>
            <w:pPr>
              <w:ind w:left="200"/>
              <w:spacing w:after="0" w:line="215" w:lineRule="exact"/>
              <w:rPr>
                <w:sz w:val="20"/>
                <w:szCs w:val="20"/>
                <w:color w:val="auto"/>
              </w:rPr>
            </w:pPr>
            <w:r>
              <w:rPr>
                <w:rFonts w:ascii="Calibri" w:cs="Calibri" w:eastAsia="Calibri" w:hAnsi="Calibri"/>
                <w:sz w:val="18"/>
                <w:szCs w:val="18"/>
                <w:color w:val="auto"/>
              </w:rPr>
              <w:t>Property, plant and equipment</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b w:val="1"/>
                <w:bCs w:val="1"/>
                <w:color w:val="auto"/>
              </w:rPr>
              <w:t>$</w:t>
            </w:r>
          </w:p>
        </w:tc>
        <w:tc>
          <w:tcPr>
            <w:tcW w:w="13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236.9</w:t>
            </w:r>
          </w:p>
        </w:tc>
        <w:tc>
          <w:tcPr>
            <w:tcW w:w="56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225.9</w:t>
            </w:r>
          </w:p>
        </w:tc>
      </w:tr>
      <w:tr>
        <w:trPr>
          <w:trHeight w:val="248"/>
        </w:trPr>
        <w:tc>
          <w:tcPr>
            <w:tcW w:w="7440" w:type="dxa"/>
            <w:vAlign w:val="bottom"/>
            <w:tcBorders>
              <w:bottom w:val="single" w:sz="8" w:color="E5F1F8"/>
              <w:right w:val="single" w:sz="8" w:color="E5F1F8"/>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Accumulated depreciaton</w:t>
            </w:r>
          </w:p>
        </w:tc>
        <w:tc>
          <w:tcPr>
            <w:tcW w:w="580" w:type="dxa"/>
            <w:vAlign w:val="bottom"/>
            <w:tcBorders>
              <w:bottom w:val="single" w:sz="8" w:color="E5F1F8"/>
            </w:tcBorders>
            <w:shd w:val="clear" w:color="auto" w:fill="E5F1F8"/>
          </w:tcPr>
          <w:p>
            <w:pPr>
              <w:spacing w:after="0"/>
              <w:rPr>
                <w:sz w:val="21"/>
                <w:szCs w:val="21"/>
                <w:color w:val="auto"/>
              </w:rPr>
            </w:pPr>
          </w:p>
        </w:tc>
        <w:tc>
          <w:tcPr>
            <w:tcW w:w="134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(39.4 )</w:t>
            </w:r>
          </w:p>
        </w:tc>
        <w:tc>
          <w:tcPr>
            <w:tcW w:w="560" w:type="dxa"/>
            <w:vAlign w:val="bottom"/>
            <w:tcBorders>
              <w:bottom w:val="single" w:sz="8" w:color="E5F1F8"/>
            </w:tcBorders>
            <w:shd w:val="clear" w:color="auto" w:fill="E5F1F8"/>
          </w:tcPr>
          <w:p>
            <w:pPr>
              <w:spacing w:after="0"/>
              <w:rPr>
                <w:sz w:val="21"/>
                <w:szCs w:val="21"/>
                <w:color w:val="auto"/>
              </w:rPr>
            </w:pPr>
          </w:p>
        </w:tc>
        <w:tc>
          <w:tcPr>
            <w:tcW w:w="132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(21.2 )</w:t>
            </w:r>
          </w:p>
        </w:tc>
      </w:tr>
      <w:tr>
        <w:trPr>
          <w:trHeight w:val="208"/>
        </w:trPr>
        <w:tc>
          <w:tcPr>
            <w:tcW w:w="744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Property, plant and equipment, net</w:t>
            </w:r>
          </w:p>
        </w:tc>
        <w:tc>
          <w:tcPr>
            <w:tcW w:w="580" w:type="dxa"/>
            <w:vAlign w:val="bottom"/>
            <w:tcBorders>
              <w:top w:val="single" w:sz="8" w:color="auto"/>
            </w:tcBorders>
          </w:tcPr>
          <w:p>
            <w:pPr>
              <w:jc w:val="right"/>
              <w:ind w:right="170"/>
              <w:spacing w:after="0" w:line="208" w:lineRule="exact"/>
              <w:rPr>
                <w:sz w:val="20"/>
                <w:szCs w:val="20"/>
                <w:color w:val="auto"/>
              </w:rPr>
            </w:pPr>
            <w:r>
              <w:rPr>
                <w:rFonts w:ascii="Calibri" w:cs="Calibri" w:eastAsia="Calibri" w:hAnsi="Calibri"/>
                <w:sz w:val="18"/>
                <w:szCs w:val="18"/>
                <w:b w:val="1"/>
                <w:bCs w:val="1"/>
                <w:color w:val="auto"/>
              </w:rPr>
              <w:t>$</w:t>
            </w:r>
          </w:p>
        </w:tc>
        <w:tc>
          <w:tcPr>
            <w:tcW w:w="13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197.5</w:t>
            </w:r>
          </w:p>
        </w:tc>
        <w:tc>
          <w:tcPr>
            <w:tcW w:w="560" w:type="dxa"/>
            <w:vAlign w:val="bottom"/>
            <w:tcBorders>
              <w:top w:val="single" w:sz="8" w:color="auto"/>
            </w:tcBorders>
          </w:tcPr>
          <w:p>
            <w:pPr>
              <w:jc w:val="right"/>
              <w:ind w:right="170"/>
              <w:spacing w:after="0" w:line="208" w:lineRule="exact"/>
              <w:rPr>
                <w:sz w:val="20"/>
                <w:szCs w:val="20"/>
                <w:color w:val="auto"/>
              </w:rPr>
            </w:pPr>
            <w:r>
              <w:rPr>
                <w:rFonts w:ascii="Calibri" w:cs="Calibri" w:eastAsia="Calibri" w:hAnsi="Calibri"/>
                <w:sz w:val="18"/>
                <w:szCs w:val="18"/>
                <w:color w:val="auto"/>
              </w:rPr>
              <w:t>$</w:t>
            </w:r>
          </w:p>
        </w:tc>
        <w:tc>
          <w:tcPr>
            <w:tcW w:w="132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204.7</w:t>
            </w:r>
          </w:p>
        </w:tc>
      </w:tr>
      <w:tr>
        <w:trPr>
          <w:trHeight w:val="28"/>
        </w:trPr>
        <w:tc>
          <w:tcPr>
            <w:tcW w:w="7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7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3"/>
        </w:trPr>
        <w:tc>
          <w:tcPr>
            <w:tcW w:w="7440" w:type="dxa"/>
            <w:vAlign w:val="bottom"/>
            <w:tcBorders>
              <w:right w:val="single" w:sz="8" w:color="007CBA"/>
            </w:tcBorders>
            <w:shd w:val="clear" w:color="auto" w:fill="E5F1F8"/>
          </w:tcPr>
          <w:p>
            <w:pPr>
              <w:spacing w:after="0"/>
              <w:rPr>
                <w:sz w:val="19"/>
                <w:szCs w:val="19"/>
                <w:color w:val="auto"/>
              </w:rPr>
            </w:pPr>
          </w:p>
        </w:tc>
        <w:tc>
          <w:tcPr>
            <w:tcW w:w="580" w:type="dxa"/>
            <w:vAlign w:val="bottom"/>
            <w:shd w:val="clear" w:color="auto" w:fill="E5F1F8"/>
          </w:tcPr>
          <w:p>
            <w:pPr>
              <w:spacing w:after="0"/>
              <w:rPr>
                <w:sz w:val="19"/>
                <w:szCs w:val="19"/>
                <w:color w:val="auto"/>
              </w:rPr>
            </w:pPr>
          </w:p>
        </w:tc>
        <w:tc>
          <w:tcPr>
            <w:tcW w:w="1340" w:type="dxa"/>
            <w:vAlign w:val="bottom"/>
            <w:tcBorders>
              <w:right w:val="single" w:sz="8" w:color="007CBA"/>
            </w:tcBorders>
            <w:shd w:val="clear" w:color="auto" w:fill="E5F1F8"/>
          </w:tcPr>
          <w:p>
            <w:pPr>
              <w:spacing w:after="0"/>
              <w:rPr>
                <w:sz w:val="19"/>
                <w:szCs w:val="19"/>
                <w:color w:val="auto"/>
              </w:rPr>
            </w:pPr>
          </w:p>
        </w:tc>
        <w:tc>
          <w:tcPr>
            <w:tcW w:w="560" w:type="dxa"/>
            <w:vAlign w:val="bottom"/>
            <w:shd w:val="clear" w:color="auto" w:fill="E5F1F8"/>
          </w:tcPr>
          <w:p>
            <w:pPr>
              <w:spacing w:after="0"/>
              <w:rPr>
                <w:sz w:val="19"/>
                <w:szCs w:val="19"/>
                <w:color w:val="auto"/>
              </w:rPr>
            </w:pPr>
          </w:p>
        </w:tc>
        <w:tc>
          <w:tcPr>
            <w:tcW w:w="1320" w:type="dxa"/>
            <w:vAlign w:val="bottom"/>
            <w:shd w:val="clear" w:color="auto" w:fill="E5F1F8"/>
          </w:tcPr>
          <w:p>
            <w:pPr>
              <w:spacing w:after="0"/>
              <w:rPr>
                <w:sz w:val="19"/>
                <w:szCs w:val="19"/>
                <w:color w:val="auto"/>
              </w:rPr>
            </w:pPr>
          </w:p>
        </w:tc>
      </w:tr>
      <w:tr>
        <w:trPr>
          <w:trHeight w:val="243"/>
        </w:trPr>
        <w:tc>
          <w:tcPr>
            <w:tcW w:w="7440" w:type="dxa"/>
            <w:vAlign w:val="bottom"/>
            <w:tcBorders>
              <w:right w:val="single" w:sz="8" w:color="007CBA"/>
            </w:tcBorders>
          </w:tcPr>
          <w:p>
            <w:pPr>
              <w:ind w:left="200"/>
              <w:spacing w:after="0" w:line="215" w:lineRule="exact"/>
              <w:rPr>
                <w:sz w:val="20"/>
                <w:szCs w:val="20"/>
                <w:color w:val="auto"/>
              </w:rPr>
            </w:pPr>
            <w:r>
              <w:rPr>
                <w:rFonts w:ascii="Calibri" w:cs="Calibri" w:eastAsia="Calibri" w:hAnsi="Calibri"/>
                <w:sz w:val="18"/>
                <w:szCs w:val="18"/>
                <w:color w:val="auto"/>
              </w:rPr>
              <w:t>Other current liabilites</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b w:val="1"/>
                <w:bCs w:val="1"/>
                <w:color w:val="auto"/>
              </w:rPr>
              <w:t>$</w:t>
            </w:r>
          </w:p>
        </w:tc>
        <w:tc>
          <w:tcPr>
            <w:tcW w:w="13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17.8</w:t>
            </w:r>
          </w:p>
        </w:tc>
        <w:tc>
          <w:tcPr>
            <w:tcW w:w="56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13.3</w:t>
            </w:r>
          </w:p>
        </w:tc>
      </w:tr>
      <w:tr>
        <w:trPr>
          <w:trHeight w:val="248"/>
        </w:trPr>
        <w:tc>
          <w:tcPr>
            <w:tcW w:w="7440" w:type="dxa"/>
            <w:vAlign w:val="bottom"/>
            <w:tcBorders>
              <w:bottom w:val="single" w:sz="8" w:color="E5F1F8"/>
              <w:right w:val="single" w:sz="8" w:color="E5F1F8"/>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Other noncurrent liabilites</w:t>
            </w:r>
          </w:p>
        </w:tc>
        <w:tc>
          <w:tcPr>
            <w:tcW w:w="580" w:type="dxa"/>
            <w:vAlign w:val="bottom"/>
            <w:tcBorders>
              <w:bottom w:val="single" w:sz="8" w:color="E5F1F8"/>
            </w:tcBorders>
            <w:shd w:val="clear" w:color="auto" w:fill="E5F1F8"/>
          </w:tcPr>
          <w:p>
            <w:pPr>
              <w:spacing w:after="0"/>
              <w:rPr>
                <w:sz w:val="21"/>
                <w:szCs w:val="21"/>
                <w:color w:val="auto"/>
              </w:rPr>
            </w:pPr>
          </w:p>
        </w:tc>
        <w:tc>
          <w:tcPr>
            <w:tcW w:w="134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182.1</w:t>
            </w:r>
          </w:p>
        </w:tc>
        <w:tc>
          <w:tcPr>
            <w:tcW w:w="560" w:type="dxa"/>
            <w:vAlign w:val="bottom"/>
            <w:tcBorders>
              <w:bottom w:val="single" w:sz="8" w:color="E5F1F8"/>
            </w:tcBorders>
            <w:shd w:val="clear" w:color="auto" w:fill="E5F1F8"/>
          </w:tcPr>
          <w:p>
            <w:pPr>
              <w:spacing w:after="0"/>
              <w:rPr>
                <w:sz w:val="21"/>
                <w:szCs w:val="21"/>
                <w:color w:val="auto"/>
              </w:rPr>
            </w:pPr>
          </w:p>
        </w:tc>
        <w:tc>
          <w:tcPr>
            <w:tcW w:w="13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191.1</w:t>
            </w:r>
          </w:p>
        </w:tc>
      </w:tr>
      <w:tr>
        <w:trPr>
          <w:trHeight w:val="208"/>
        </w:trPr>
        <w:tc>
          <w:tcPr>
            <w:tcW w:w="744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 fnance lease liabilites</w:t>
            </w:r>
          </w:p>
        </w:tc>
        <w:tc>
          <w:tcPr>
            <w:tcW w:w="580" w:type="dxa"/>
            <w:vAlign w:val="bottom"/>
            <w:tcBorders>
              <w:top w:val="single" w:sz="8" w:color="auto"/>
            </w:tcBorders>
          </w:tcPr>
          <w:p>
            <w:pPr>
              <w:jc w:val="right"/>
              <w:ind w:right="170"/>
              <w:spacing w:after="0" w:line="208" w:lineRule="exact"/>
              <w:rPr>
                <w:sz w:val="20"/>
                <w:szCs w:val="20"/>
                <w:color w:val="auto"/>
              </w:rPr>
            </w:pPr>
            <w:r>
              <w:rPr>
                <w:rFonts w:ascii="Calibri" w:cs="Calibri" w:eastAsia="Calibri" w:hAnsi="Calibri"/>
                <w:sz w:val="18"/>
                <w:szCs w:val="18"/>
                <w:b w:val="1"/>
                <w:bCs w:val="1"/>
                <w:color w:val="auto"/>
              </w:rPr>
              <w:t>$</w:t>
            </w:r>
          </w:p>
        </w:tc>
        <w:tc>
          <w:tcPr>
            <w:tcW w:w="13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199.9</w:t>
            </w:r>
          </w:p>
        </w:tc>
        <w:tc>
          <w:tcPr>
            <w:tcW w:w="560" w:type="dxa"/>
            <w:vAlign w:val="bottom"/>
            <w:tcBorders>
              <w:top w:val="single" w:sz="8" w:color="auto"/>
            </w:tcBorders>
          </w:tcPr>
          <w:p>
            <w:pPr>
              <w:jc w:val="right"/>
              <w:ind w:right="170"/>
              <w:spacing w:after="0" w:line="208" w:lineRule="exact"/>
              <w:rPr>
                <w:sz w:val="20"/>
                <w:szCs w:val="20"/>
                <w:color w:val="auto"/>
              </w:rPr>
            </w:pPr>
            <w:r>
              <w:rPr>
                <w:rFonts w:ascii="Calibri" w:cs="Calibri" w:eastAsia="Calibri" w:hAnsi="Calibri"/>
                <w:sz w:val="18"/>
                <w:szCs w:val="18"/>
                <w:color w:val="auto"/>
              </w:rPr>
              <w:t>$</w:t>
            </w:r>
          </w:p>
        </w:tc>
        <w:tc>
          <w:tcPr>
            <w:tcW w:w="132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204.4</w:t>
            </w:r>
          </w:p>
        </w:tc>
      </w:tr>
      <w:tr>
        <w:trPr>
          <w:trHeight w:val="28"/>
        </w:trPr>
        <w:tc>
          <w:tcPr>
            <w:tcW w:w="7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7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-2301240</wp:posOffset>
            </wp:positionV>
            <wp:extent cx="7132320" cy="3473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8">
                      <a:extLst>
                        <a:ext uri="{28A0092B-C50C-407E-A947-70E740481C1C}"/>
                      </a:extLst>
                    </a:blip>
                    <a:srcRect/>
                    <a:stretch>
                      <a:fillRect/>
                    </a:stretch>
                  </pic:blipFill>
                  <pic:spPr bwMode="auto">
                    <a:xfrm>
                      <a:off x="0" y="0"/>
                      <a:ext cx="7132320" cy="3473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-1812290</wp:posOffset>
            </wp:positionV>
            <wp:extent cx="7132320" cy="50990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9">
                      <a:extLst>
                        <a:ext uri="{28A0092B-C50C-407E-A947-70E740481C1C}"/>
                      </a:extLst>
                    </a:blip>
                    <a:srcRect/>
                    <a:stretch>
                      <a:fillRect/>
                    </a:stretch>
                  </pic:blipFill>
                  <pic:spPr bwMode="auto">
                    <a:xfrm>
                      <a:off x="0" y="0"/>
                      <a:ext cx="7132320" cy="509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-1006475</wp:posOffset>
            </wp:positionV>
            <wp:extent cx="7132320" cy="3683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0">
                      <a:extLst>
                        <a:ext uri="{28A0092B-C50C-407E-A947-70E740481C1C}"/>
                      </a:extLst>
                    </a:blip>
                    <a:srcRect/>
                    <a:stretch>
                      <a:fillRect/>
                    </a:stretch>
                  </pic:blipFill>
                  <pic:spPr bwMode="auto">
                    <a:xfrm>
                      <a:off x="0" y="0"/>
                      <a:ext cx="7132320" cy="3683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3683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1">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spacing w:after="0" w:line="1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incremental borrowing rate ranged from 0.0% to 6.0% and 0.4% to 6.0% for the years ended December 31, 2022 and 2021, respectvely. Weighted-average remaining lease terms and discount rates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46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December 31</w:t>
            </w:r>
          </w:p>
        </w:tc>
        <w:tc>
          <w:tcPr>
            <w:tcW w:w="440" w:type="dxa"/>
            <w:vAlign w:val="bottom"/>
            <w:shd w:val="clear" w:color="auto" w:fill="007CBA"/>
          </w:tcPr>
          <w:p>
            <w:pPr>
              <w:spacing w:after="0"/>
              <w:rPr>
                <w:sz w:val="21"/>
                <w:szCs w:val="21"/>
                <w:color w:val="auto"/>
              </w:rPr>
            </w:pPr>
          </w:p>
        </w:tc>
        <w:tc>
          <w:tcPr>
            <w:tcW w:w="1460" w:type="dxa"/>
            <w:vAlign w:val="bottom"/>
            <w:tcBorders>
              <w:right w:val="single" w:sz="8" w:color="007CBA"/>
            </w:tcBorders>
            <w:shd w:val="clear" w:color="auto" w:fill="007CBA"/>
          </w:tcPr>
          <w:p>
            <w:pPr>
              <w:jc w:val="center"/>
              <w:ind w:right="130"/>
              <w:spacing w:after="0"/>
              <w:rPr>
                <w:sz w:val="20"/>
                <w:szCs w:val="20"/>
                <w:color w:val="auto"/>
              </w:rPr>
            </w:pPr>
            <w:r>
              <w:rPr>
                <w:rFonts w:ascii="Calibri" w:cs="Calibri" w:eastAsia="Calibri" w:hAnsi="Calibri"/>
                <w:sz w:val="18"/>
                <w:szCs w:val="18"/>
                <w:b w:val="1"/>
                <w:bCs w:val="1"/>
                <w:color w:val="FFFFFF"/>
                <w:w w:val="98"/>
              </w:rPr>
              <w:t>2022</w:t>
            </w:r>
          </w:p>
        </w:tc>
        <w:tc>
          <w:tcPr>
            <w:tcW w:w="480" w:type="dxa"/>
            <w:vAlign w:val="bottom"/>
            <w:shd w:val="clear" w:color="auto" w:fill="007CBA"/>
          </w:tcPr>
          <w:p>
            <w:pPr>
              <w:spacing w:after="0"/>
              <w:rPr>
                <w:sz w:val="21"/>
                <w:szCs w:val="21"/>
                <w:color w:val="auto"/>
              </w:rPr>
            </w:pPr>
          </w:p>
        </w:tc>
        <w:tc>
          <w:tcPr>
            <w:tcW w:w="1400" w:type="dxa"/>
            <w:vAlign w:val="bottom"/>
            <w:shd w:val="clear" w:color="auto" w:fill="007CBA"/>
          </w:tcPr>
          <w:p>
            <w:pPr>
              <w:jc w:val="center"/>
              <w:ind w:right="190"/>
              <w:spacing w:after="0"/>
              <w:rPr>
                <w:sz w:val="20"/>
                <w:szCs w:val="20"/>
                <w:color w:val="auto"/>
              </w:rPr>
            </w:pPr>
            <w:r>
              <w:rPr>
                <w:rFonts w:ascii="Calibri" w:cs="Calibri" w:eastAsia="Calibri" w:hAnsi="Calibri"/>
                <w:sz w:val="18"/>
                <w:szCs w:val="18"/>
                <w:color w:val="FFFFFF"/>
                <w:w w:val="98"/>
              </w:rPr>
              <w:t>2021</w:t>
            </w:r>
          </w:p>
        </w:tc>
      </w:tr>
      <w:tr>
        <w:trPr>
          <w:trHeight w:val="215"/>
        </w:trPr>
        <w:tc>
          <w:tcPr>
            <w:tcW w:w="74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Weighted-average remaining lease terms (years):</w:t>
            </w:r>
          </w:p>
        </w:tc>
        <w:tc>
          <w:tcPr>
            <w:tcW w:w="440" w:type="dxa"/>
            <w:vAlign w:val="bottom"/>
          </w:tcPr>
          <w:p>
            <w:pPr>
              <w:spacing w:after="0"/>
              <w:rPr>
                <w:sz w:val="18"/>
                <w:szCs w:val="18"/>
                <w:color w:val="auto"/>
              </w:rPr>
            </w:pPr>
          </w:p>
        </w:tc>
        <w:tc>
          <w:tcPr>
            <w:tcW w:w="1460" w:type="dxa"/>
            <w:vAlign w:val="bottom"/>
            <w:tcBorders>
              <w:right w:val="single" w:sz="8" w:color="007CBA"/>
            </w:tcBorders>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8"/>
        </w:trPr>
        <w:tc>
          <w:tcPr>
            <w:tcW w:w="7460" w:type="dxa"/>
            <w:vAlign w:val="bottom"/>
            <w:tcBorders>
              <w:right w:val="single" w:sz="8" w:color="007CBA"/>
            </w:tcBorders>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3"/>
        </w:trPr>
        <w:tc>
          <w:tcPr>
            <w:tcW w:w="7460" w:type="dxa"/>
            <w:vAlign w:val="bottom"/>
            <w:tcBorders>
              <w:bottom w:val="single" w:sz="8" w:color="E5F1F8"/>
              <w:right w:val="single" w:sz="8" w:color="007CBA"/>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Operatng leases</w:t>
            </w:r>
          </w:p>
        </w:tc>
        <w:tc>
          <w:tcPr>
            <w:tcW w:w="440" w:type="dxa"/>
            <w:vAlign w:val="bottom"/>
            <w:tcBorders>
              <w:bottom w:val="single" w:sz="8" w:color="E5F1F8"/>
            </w:tcBorders>
            <w:shd w:val="clear" w:color="auto" w:fill="E5F1F8"/>
          </w:tcPr>
          <w:p>
            <w:pPr>
              <w:spacing w:after="0"/>
              <w:rPr>
                <w:sz w:val="19"/>
                <w:szCs w:val="19"/>
                <w:color w:val="auto"/>
              </w:rPr>
            </w:pPr>
          </w:p>
        </w:tc>
        <w:tc>
          <w:tcPr>
            <w:tcW w:w="1460" w:type="dxa"/>
            <w:vAlign w:val="bottom"/>
            <w:tcBorders>
              <w:bottom w:val="single" w:sz="8" w:color="E5F1F8"/>
              <w:right w:val="single" w:sz="8" w:color="007CBA"/>
            </w:tcBorders>
            <w:shd w:val="clear" w:color="auto" w:fill="E5F1F8"/>
          </w:tcPr>
          <w:p>
            <w:pPr>
              <w:jc w:val="center"/>
              <w:ind w:right="130"/>
              <w:spacing w:after="0" w:line="215" w:lineRule="exact"/>
              <w:rPr>
                <w:sz w:val="20"/>
                <w:szCs w:val="20"/>
                <w:color w:val="auto"/>
              </w:rPr>
            </w:pPr>
            <w:r>
              <w:rPr>
                <w:rFonts w:ascii="Calibri" w:cs="Calibri" w:eastAsia="Calibri" w:hAnsi="Calibri"/>
                <w:sz w:val="18"/>
                <w:szCs w:val="18"/>
                <w:b w:val="1"/>
                <w:bCs w:val="1"/>
                <w:color w:val="auto"/>
                <w:w w:val="99"/>
              </w:rPr>
              <w:t>12.2</w:t>
            </w:r>
          </w:p>
        </w:tc>
        <w:tc>
          <w:tcPr>
            <w:tcW w:w="480" w:type="dxa"/>
            <w:vAlign w:val="bottom"/>
            <w:tcBorders>
              <w:bottom w:val="single" w:sz="8" w:color="E5F1F8"/>
            </w:tcBorders>
            <w:shd w:val="clear" w:color="auto" w:fill="E5F1F8"/>
          </w:tcPr>
          <w:p>
            <w:pPr>
              <w:spacing w:after="0"/>
              <w:rPr>
                <w:sz w:val="19"/>
                <w:szCs w:val="19"/>
                <w:color w:val="auto"/>
              </w:rPr>
            </w:pPr>
          </w:p>
        </w:tc>
        <w:tc>
          <w:tcPr>
            <w:tcW w:w="1400" w:type="dxa"/>
            <w:vAlign w:val="bottom"/>
            <w:tcBorders>
              <w:bottom w:val="single" w:sz="8" w:color="E5F1F8"/>
            </w:tcBorders>
            <w:shd w:val="clear" w:color="auto" w:fill="E5F1F8"/>
          </w:tcPr>
          <w:p>
            <w:pPr>
              <w:jc w:val="center"/>
              <w:ind w:right="190"/>
              <w:spacing w:after="0" w:line="215" w:lineRule="exact"/>
              <w:rPr>
                <w:sz w:val="20"/>
                <w:szCs w:val="20"/>
                <w:color w:val="auto"/>
              </w:rPr>
            </w:pPr>
            <w:r>
              <w:rPr>
                <w:rFonts w:ascii="Calibri" w:cs="Calibri" w:eastAsia="Calibri" w:hAnsi="Calibri"/>
                <w:sz w:val="18"/>
                <w:szCs w:val="18"/>
                <w:color w:val="auto"/>
              </w:rPr>
              <w:t>12.6</w:t>
            </w:r>
          </w:p>
        </w:tc>
      </w:tr>
      <w:tr>
        <w:trPr>
          <w:trHeight w:val="215"/>
        </w:trPr>
        <w:tc>
          <w:tcPr>
            <w:tcW w:w="7460" w:type="dxa"/>
            <w:vAlign w:val="bottom"/>
            <w:tcBorders>
              <w:right w:val="single" w:sz="8" w:color="007CBA"/>
            </w:tcBorders>
          </w:tcPr>
          <w:p>
            <w:pPr>
              <w:ind w:left="200"/>
              <w:spacing w:after="0" w:line="215" w:lineRule="exact"/>
              <w:rPr>
                <w:sz w:val="20"/>
                <w:szCs w:val="20"/>
                <w:color w:val="auto"/>
              </w:rPr>
            </w:pPr>
            <w:r>
              <w:rPr>
                <w:rFonts w:ascii="Calibri" w:cs="Calibri" w:eastAsia="Calibri" w:hAnsi="Calibri"/>
                <w:sz w:val="18"/>
                <w:szCs w:val="18"/>
                <w:color w:val="auto"/>
              </w:rPr>
              <w:t>Finance leases</w:t>
            </w:r>
          </w:p>
        </w:tc>
        <w:tc>
          <w:tcPr>
            <w:tcW w:w="440" w:type="dxa"/>
            <w:vAlign w:val="bottom"/>
          </w:tcPr>
          <w:p>
            <w:pPr>
              <w:spacing w:after="0"/>
              <w:rPr>
                <w:sz w:val="18"/>
                <w:szCs w:val="18"/>
                <w:color w:val="auto"/>
              </w:rPr>
            </w:pPr>
          </w:p>
        </w:tc>
        <w:tc>
          <w:tcPr>
            <w:tcW w:w="1460" w:type="dxa"/>
            <w:vAlign w:val="bottom"/>
            <w:tcBorders>
              <w:right w:val="single" w:sz="8" w:color="007CBA"/>
            </w:tcBorders>
          </w:tcPr>
          <w:p>
            <w:pPr>
              <w:jc w:val="center"/>
              <w:ind w:right="130"/>
              <w:spacing w:after="0" w:line="215" w:lineRule="exact"/>
              <w:rPr>
                <w:sz w:val="20"/>
                <w:szCs w:val="20"/>
                <w:color w:val="auto"/>
              </w:rPr>
            </w:pPr>
            <w:r>
              <w:rPr>
                <w:rFonts w:ascii="Calibri" w:cs="Calibri" w:eastAsia="Calibri" w:hAnsi="Calibri"/>
                <w:sz w:val="18"/>
                <w:szCs w:val="18"/>
                <w:b w:val="1"/>
                <w:bCs w:val="1"/>
                <w:color w:val="auto"/>
                <w:w w:val="99"/>
              </w:rPr>
              <w:t>19.1</w:t>
            </w:r>
          </w:p>
        </w:tc>
        <w:tc>
          <w:tcPr>
            <w:tcW w:w="480" w:type="dxa"/>
            <w:vAlign w:val="bottom"/>
          </w:tcPr>
          <w:p>
            <w:pPr>
              <w:spacing w:after="0"/>
              <w:rPr>
                <w:sz w:val="18"/>
                <w:szCs w:val="18"/>
                <w:color w:val="auto"/>
              </w:rPr>
            </w:pPr>
          </w:p>
        </w:tc>
        <w:tc>
          <w:tcPr>
            <w:tcW w:w="1400" w:type="dxa"/>
            <w:vAlign w:val="bottom"/>
          </w:tcPr>
          <w:p>
            <w:pPr>
              <w:jc w:val="center"/>
              <w:ind w:right="190"/>
              <w:spacing w:after="0" w:line="215" w:lineRule="exact"/>
              <w:rPr>
                <w:sz w:val="20"/>
                <w:szCs w:val="20"/>
                <w:color w:val="auto"/>
              </w:rPr>
            </w:pPr>
            <w:r>
              <w:rPr>
                <w:rFonts w:ascii="Calibri" w:cs="Calibri" w:eastAsia="Calibri" w:hAnsi="Calibri"/>
                <w:sz w:val="18"/>
                <w:szCs w:val="18"/>
                <w:color w:val="auto"/>
              </w:rPr>
              <w:t>19.5</w:t>
            </w:r>
          </w:p>
        </w:tc>
      </w:tr>
      <w:tr>
        <w:trPr>
          <w:trHeight w:val="28"/>
        </w:trPr>
        <w:tc>
          <w:tcPr>
            <w:tcW w:w="7460" w:type="dxa"/>
            <w:vAlign w:val="bottom"/>
            <w:tcBorders>
              <w:right w:val="single" w:sz="8" w:color="007CBA"/>
            </w:tcBorders>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7460" w:type="dxa"/>
            <w:vAlign w:val="bottom"/>
            <w:tcBorders>
              <w:right w:val="single" w:sz="8" w:color="007CBA"/>
            </w:tcBorders>
            <w:shd w:val="clear" w:color="auto" w:fill="E5F1F8"/>
          </w:tcPr>
          <w:p>
            <w:pPr>
              <w:spacing w:after="0"/>
              <w:rPr>
                <w:sz w:val="21"/>
                <w:szCs w:val="21"/>
                <w:color w:val="auto"/>
              </w:rPr>
            </w:pPr>
          </w:p>
        </w:tc>
        <w:tc>
          <w:tcPr>
            <w:tcW w:w="440" w:type="dxa"/>
            <w:vAlign w:val="bottom"/>
            <w:shd w:val="clear" w:color="auto" w:fill="E5F1F8"/>
          </w:tcPr>
          <w:p>
            <w:pPr>
              <w:spacing w:after="0"/>
              <w:rPr>
                <w:sz w:val="21"/>
                <w:szCs w:val="21"/>
                <w:color w:val="auto"/>
              </w:rPr>
            </w:pPr>
          </w:p>
        </w:tc>
        <w:tc>
          <w:tcPr>
            <w:tcW w:w="1460" w:type="dxa"/>
            <w:vAlign w:val="bottom"/>
            <w:tcBorders>
              <w:right w:val="single" w:sz="8" w:color="007CBA"/>
            </w:tcBorders>
            <w:shd w:val="clear" w:color="auto" w:fill="E5F1F8"/>
          </w:tcPr>
          <w:p>
            <w:pPr>
              <w:spacing w:after="0"/>
              <w:rPr>
                <w:sz w:val="21"/>
                <w:szCs w:val="21"/>
                <w:color w:val="auto"/>
              </w:rPr>
            </w:pPr>
          </w:p>
        </w:tc>
        <w:tc>
          <w:tcPr>
            <w:tcW w:w="480" w:type="dxa"/>
            <w:vAlign w:val="bottom"/>
            <w:shd w:val="clear" w:color="auto" w:fill="E5F1F8"/>
          </w:tcPr>
          <w:p>
            <w:pPr>
              <w:spacing w:after="0"/>
              <w:rPr>
                <w:sz w:val="21"/>
                <w:szCs w:val="21"/>
                <w:color w:val="auto"/>
              </w:rPr>
            </w:pPr>
          </w:p>
        </w:tc>
        <w:tc>
          <w:tcPr>
            <w:tcW w:w="1400" w:type="dxa"/>
            <w:vAlign w:val="bottom"/>
            <w:shd w:val="clear" w:color="auto" w:fill="E5F1F8"/>
          </w:tcPr>
          <w:p>
            <w:pPr>
              <w:spacing w:after="0"/>
              <w:rPr>
                <w:sz w:val="21"/>
                <w:szCs w:val="21"/>
                <w:color w:val="auto"/>
              </w:rPr>
            </w:pPr>
          </w:p>
        </w:tc>
      </w:tr>
      <w:tr>
        <w:trPr>
          <w:trHeight w:val="215"/>
        </w:trPr>
        <w:tc>
          <w:tcPr>
            <w:tcW w:w="74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Weighted-average discount rates:</w:t>
            </w:r>
          </w:p>
        </w:tc>
        <w:tc>
          <w:tcPr>
            <w:tcW w:w="440" w:type="dxa"/>
            <w:vAlign w:val="bottom"/>
          </w:tcPr>
          <w:p>
            <w:pPr>
              <w:spacing w:after="0"/>
              <w:rPr>
                <w:sz w:val="18"/>
                <w:szCs w:val="18"/>
                <w:color w:val="auto"/>
              </w:rPr>
            </w:pPr>
          </w:p>
        </w:tc>
        <w:tc>
          <w:tcPr>
            <w:tcW w:w="1460" w:type="dxa"/>
            <w:vAlign w:val="bottom"/>
            <w:tcBorders>
              <w:right w:val="single" w:sz="8" w:color="007CBA"/>
            </w:tcBorders>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8"/>
        </w:trPr>
        <w:tc>
          <w:tcPr>
            <w:tcW w:w="7460" w:type="dxa"/>
            <w:vAlign w:val="bottom"/>
            <w:tcBorders>
              <w:right w:val="single" w:sz="8" w:color="007CBA"/>
            </w:tcBorders>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3"/>
        </w:trPr>
        <w:tc>
          <w:tcPr>
            <w:tcW w:w="7460" w:type="dxa"/>
            <w:vAlign w:val="bottom"/>
            <w:tcBorders>
              <w:bottom w:val="single" w:sz="8" w:color="E5F1F8"/>
              <w:right w:val="single" w:sz="8" w:color="007CBA"/>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Operatng leases</w:t>
            </w:r>
          </w:p>
        </w:tc>
        <w:tc>
          <w:tcPr>
            <w:tcW w:w="440" w:type="dxa"/>
            <w:vAlign w:val="bottom"/>
            <w:tcBorders>
              <w:bottom w:val="single" w:sz="8" w:color="E5F1F8"/>
            </w:tcBorders>
            <w:shd w:val="clear" w:color="auto" w:fill="E5F1F8"/>
          </w:tcPr>
          <w:p>
            <w:pPr>
              <w:spacing w:after="0"/>
              <w:rPr>
                <w:sz w:val="19"/>
                <w:szCs w:val="19"/>
                <w:color w:val="auto"/>
              </w:rPr>
            </w:pPr>
          </w:p>
        </w:tc>
        <w:tc>
          <w:tcPr>
            <w:tcW w:w="1460" w:type="dxa"/>
            <w:vAlign w:val="bottom"/>
            <w:tcBorders>
              <w:bottom w:val="single" w:sz="8" w:color="E5F1F8"/>
              <w:right w:val="single" w:sz="8" w:color="007CBA"/>
            </w:tcBorders>
            <w:shd w:val="clear" w:color="auto" w:fill="E5F1F8"/>
          </w:tcPr>
          <w:p>
            <w:pPr>
              <w:jc w:val="center"/>
              <w:ind w:right="130"/>
              <w:spacing w:after="0" w:line="215" w:lineRule="exact"/>
              <w:rPr>
                <w:sz w:val="20"/>
                <w:szCs w:val="20"/>
                <w:color w:val="auto"/>
              </w:rPr>
            </w:pPr>
            <w:r>
              <w:rPr>
                <w:rFonts w:ascii="Calibri" w:cs="Calibri" w:eastAsia="Calibri" w:hAnsi="Calibri"/>
                <w:sz w:val="18"/>
                <w:szCs w:val="18"/>
                <w:b w:val="1"/>
                <w:bCs w:val="1"/>
                <w:color w:val="auto"/>
                <w:w w:val="99"/>
              </w:rPr>
              <w:t>4.0%</w:t>
            </w:r>
          </w:p>
        </w:tc>
        <w:tc>
          <w:tcPr>
            <w:tcW w:w="480" w:type="dxa"/>
            <w:vAlign w:val="bottom"/>
            <w:tcBorders>
              <w:bottom w:val="single" w:sz="8" w:color="E5F1F8"/>
            </w:tcBorders>
            <w:shd w:val="clear" w:color="auto" w:fill="E5F1F8"/>
          </w:tcPr>
          <w:p>
            <w:pPr>
              <w:spacing w:after="0"/>
              <w:rPr>
                <w:sz w:val="19"/>
                <w:szCs w:val="19"/>
                <w:color w:val="auto"/>
              </w:rPr>
            </w:pPr>
          </w:p>
        </w:tc>
        <w:tc>
          <w:tcPr>
            <w:tcW w:w="1400" w:type="dxa"/>
            <w:vAlign w:val="bottom"/>
            <w:tcBorders>
              <w:bottom w:val="single" w:sz="8" w:color="E5F1F8"/>
            </w:tcBorders>
            <w:shd w:val="clear" w:color="auto" w:fill="E5F1F8"/>
          </w:tcPr>
          <w:p>
            <w:pPr>
              <w:jc w:val="center"/>
              <w:ind w:right="190"/>
              <w:spacing w:after="0" w:line="215" w:lineRule="exact"/>
              <w:rPr>
                <w:sz w:val="20"/>
                <w:szCs w:val="20"/>
                <w:color w:val="auto"/>
              </w:rPr>
            </w:pPr>
            <w:r>
              <w:rPr>
                <w:rFonts w:ascii="Calibri" w:cs="Calibri" w:eastAsia="Calibri" w:hAnsi="Calibri"/>
                <w:sz w:val="18"/>
                <w:szCs w:val="18"/>
                <w:color w:val="auto"/>
              </w:rPr>
              <w:t>3.9%</w:t>
            </w:r>
          </w:p>
        </w:tc>
      </w:tr>
      <w:tr>
        <w:trPr>
          <w:trHeight w:val="215"/>
        </w:trPr>
        <w:tc>
          <w:tcPr>
            <w:tcW w:w="7460" w:type="dxa"/>
            <w:vAlign w:val="bottom"/>
          </w:tcPr>
          <w:p>
            <w:pPr>
              <w:ind w:left="200"/>
              <w:spacing w:after="0" w:line="215" w:lineRule="exact"/>
              <w:rPr>
                <w:sz w:val="20"/>
                <w:szCs w:val="20"/>
                <w:color w:val="auto"/>
              </w:rPr>
            </w:pPr>
            <w:r>
              <w:rPr>
                <w:rFonts w:ascii="Calibri" w:cs="Calibri" w:eastAsia="Calibri" w:hAnsi="Calibri"/>
                <w:sz w:val="18"/>
                <w:szCs w:val="18"/>
                <w:color w:val="auto"/>
              </w:rPr>
              <w:t>Finance leases</w:t>
            </w:r>
          </w:p>
        </w:tc>
        <w:tc>
          <w:tcPr>
            <w:tcW w:w="440" w:type="dxa"/>
            <w:vAlign w:val="bottom"/>
          </w:tcPr>
          <w:p>
            <w:pPr>
              <w:spacing w:after="0"/>
              <w:rPr>
                <w:sz w:val="18"/>
                <w:szCs w:val="18"/>
                <w:color w:val="auto"/>
              </w:rPr>
            </w:pPr>
          </w:p>
        </w:tc>
        <w:tc>
          <w:tcPr>
            <w:tcW w:w="1460" w:type="dxa"/>
            <w:vAlign w:val="bottom"/>
          </w:tcPr>
          <w:p>
            <w:pPr>
              <w:jc w:val="center"/>
              <w:ind w:right="130"/>
              <w:spacing w:after="0" w:line="215" w:lineRule="exact"/>
              <w:rPr>
                <w:sz w:val="20"/>
                <w:szCs w:val="20"/>
                <w:color w:val="auto"/>
              </w:rPr>
            </w:pPr>
            <w:r>
              <w:rPr>
                <w:rFonts w:ascii="Calibri" w:cs="Calibri" w:eastAsia="Calibri" w:hAnsi="Calibri"/>
                <w:sz w:val="18"/>
                <w:szCs w:val="18"/>
                <w:b w:val="1"/>
                <w:bCs w:val="1"/>
                <w:color w:val="auto"/>
                <w:w w:val="99"/>
              </w:rPr>
              <w:t>2.3%</w:t>
            </w:r>
          </w:p>
        </w:tc>
        <w:tc>
          <w:tcPr>
            <w:tcW w:w="480" w:type="dxa"/>
            <w:vAlign w:val="bottom"/>
          </w:tcPr>
          <w:p>
            <w:pPr>
              <w:spacing w:after="0"/>
              <w:rPr>
                <w:sz w:val="18"/>
                <w:szCs w:val="18"/>
                <w:color w:val="auto"/>
              </w:rPr>
            </w:pPr>
          </w:p>
        </w:tc>
        <w:tc>
          <w:tcPr>
            <w:tcW w:w="1400" w:type="dxa"/>
            <w:vAlign w:val="bottom"/>
          </w:tcPr>
          <w:p>
            <w:pPr>
              <w:jc w:val="center"/>
              <w:ind w:right="190"/>
              <w:spacing w:after="0" w:line="215" w:lineRule="exact"/>
              <w:rPr>
                <w:sz w:val="20"/>
                <w:szCs w:val="20"/>
                <w:color w:val="auto"/>
              </w:rPr>
            </w:pPr>
            <w:r>
              <w:rPr>
                <w:rFonts w:ascii="Calibri" w:cs="Calibri" w:eastAsia="Calibri" w:hAnsi="Calibri"/>
                <w:sz w:val="18"/>
                <w:szCs w:val="18"/>
                <w:color w:val="auto"/>
              </w:rPr>
              <w:t>2.3%</w:t>
            </w:r>
          </w:p>
        </w:tc>
      </w:tr>
      <w:tr>
        <w:trPr>
          <w:trHeight w:val="28"/>
        </w:trPr>
        <w:tc>
          <w:tcPr>
            <w:tcW w:w="7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362"/>
        </w:trPr>
        <w:tc>
          <w:tcPr>
            <w:tcW w:w="7460" w:type="dxa"/>
            <w:vAlign w:val="bottom"/>
          </w:tcPr>
          <w:p>
            <w:pPr>
              <w:spacing w:after="0"/>
              <w:rPr>
                <w:sz w:val="20"/>
                <w:szCs w:val="20"/>
                <w:color w:val="auto"/>
              </w:rPr>
            </w:pPr>
            <w:r>
              <w:rPr>
                <w:rFonts w:ascii="Calibri" w:cs="Calibri" w:eastAsia="Calibri" w:hAnsi="Calibri"/>
                <w:sz w:val="18"/>
                <w:szCs w:val="18"/>
                <w:color w:val="auto"/>
              </w:rPr>
              <w:t>Future lease payments as of December 31, 2022 are as follows:</w:t>
            </w: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31"/>
        </w:trPr>
        <w:tc>
          <w:tcPr>
            <w:tcW w:w="7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0" w:type="dxa"/>
            <w:vAlign w:val="bottom"/>
          </w:tcPr>
          <w:p>
            <w:pPr>
              <w:spacing w:after="0"/>
              <w:rPr>
                <w:sz w:val="11"/>
                <w:szCs w:val="11"/>
                <w:color w:val="auto"/>
              </w:rPr>
            </w:pPr>
          </w:p>
        </w:tc>
      </w:tr>
      <w:tr>
        <w:trPr>
          <w:trHeight w:val="215"/>
        </w:trPr>
        <w:tc>
          <w:tcPr>
            <w:tcW w:w="7460" w:type="dxa"/>
            <w:vAlign w:val="bottom"/>
            <w:tcBorders>
              <w:right w:val="single" w:sz="8" w:color="007CBA"/>
            </w:tcBorders>
            <w:shd w:val="clear" w:color="auto" w:fill="007CBA"/>
          </w:tcPr>
          <w:p>
            <w:pPr>
              <w:spacing w:after="0"/>
              <w:rPr>
                <w:sz w:val="18"/>
                <w:szCs w:val="18"/>
                <w:color w:val="auto"/>
              </w:rPr>
            </w:pPr>
          </w:p>
        </w:tc>
        <w:tc>
          <w:tcPr>
            <w:tcW w:w="440" w:type="dxa"/>
            <w:vAlign w:val="bottom"/>
            <w:shd w:val="clear" w:color="auto" w:fill="007CBA"/>
          </w:tcPr>
          <w:p>
            <w:pPr>
              <w:spacing w:after="0"/>
              <w:rPr>
                <w:sz w:val="18"/>
                <w:szCs w:val="18"/>
                <w:color w:val="auto"/>
              </w:rPr>
            </w:pPr>
          </w:p>
        </w:tc>
        <w:tc>
          <w:tcPr>
            <w:tcW w:w="1460" w:type="dxa"/>
            <w:vAlign w:val="bottom"/>
            <w:tcBorders>
              <w:right w:val="single" w:sz="8" w:color="007CBA"/>
            </w:tcBorders>
            <w:shd w:val="clear" w:color="auto" w:fill="007CBA"/>
          </w:tcPr>
          <w:p>
            <w:pPr>
              <w:jc w:val="right"/>
              <w:ind w:right="490"/>
              <w:spacing w:after="0" w:line="215" w:lineRule="exact"/>
              <w:rPr>
                <w:sz w:val="20"/>
                <w:szCs w:val="20"/>
                <w:color w:val="auto"/>
              </w:rPr>
            </w:pPr>
            <w:r>
              <w:rPr>
                <w:rFonts w:ascii="Calibri" w:cs="Calibri" w:eastAsia="Calibri" w:hAnsi="Calibri"/>
                <w:sz w:val="18"/>
                <w:szCs w:val="18"/>
                <w:b w:val="1"/>
                <w:bCs w:val="1"/>
                <w:color w:val="FFFFFF"/>
              </w:rPr>
              <w:t>Operatng</w:t>
            </w:r>
          </w:p>
        </w:tc>
        <w:tc>
          <w:tcPr>
            <w:tcW w:w="480" w:type="dxa"/>
            <w:vAlign w:val="bottom"/>
            <w:shd w:val="clear" w:color="auto" w:fill="007CBA"/>
          </w:tcPr>
          <w:p>
            <w:pPr>
              <w:spacing w:after="0"/>
              <w:rPr>
                <w:sz w:val="18"/>
                <w:szCs w:val="18"/>
                <w:color w:val="auto"/>
              </w:rPr>
            </w:pPr>
          </w:p>
        </w:tc>
        <w:tc>
          <w:tcPr>
            <w:tcW w:w="1400" w:type="dxa"/>
            <w:vAlign w:val="bottom"/>
            <w:shd w:val="clear" w:color="auto" w:fill="007CBA"/>
          </w:tcPr>
          <w:p>
            <w:pPr>
              <w:jc w:val="right"/>
              <w:ind w:right="530"/>
              <w:spacing w:after="0" w:line="215" w:lineRule="exact"/>
              <w:rPr>
                <w:sz w:val="20"/>
                <w:szCs w:val="20"/>
                <w:color w:val="auto"/>
              </w:rPr>
            </w:pPr>
            <w:r>
              <w:rPr>
                <w:rFonts w:ascii="Calibri" w:cs="Calibri" w:eastAsia="Calibri" w:hAnsi="Calibri"/>
                <w:sz w:val="18"/>
                <w:szCs w:val="18"/>
                <w:b w:val="1"/>
                <w:bCs w:val="1"/>
                <w:color w:val="FFFFFF"/>
              </w:rPr>
              <w:t>Finance</w:t>
            </w:r>
          </w:p>
        </w:tc>
      </w:tr>
      <w:tr>
        <w:trPr>
          <w:trHeight w:val="265"/>
        </w:trPr>
        <w:tc>
          <w:tcPr>
            <w:tcW w:w="7460" w:type="dxa"/>
            <w:vAlign w:val="bottom"/>
            <w:tcBorders>
              <w:bottom w:val="single" w:sz="8" w:color="007CBA"/>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color w:val="FFFFFF"/>
              </w:rPr>
              <w:t>(in millions)</w:t>
            </w:r>
          </w:p>
        </w:tc>
        <w:tc>
          <w:tcPr>
            <w:tcW w:w="440" w:type="dxa"/>
            <w:vAlign w:val="bottom"/>
            <w:tcBorders>
              <w:bottom w:val="single" w:sz="8" w:color="007CBA"/>
            </w:tcBorders>
            <w:shd w:val="clear" w:color="auto" w:fill="007CBA"/>
          </w:tcPr>
          <w:p>
            <w:pPr>
              <w:spacing w:after="0"/>
              <w:rPr>
                <w:sz w:val="23"/>
                <w:szCs w:val="23"/>
                <w:color w:val="auto"/>
              </w:rPr>
            </w:pPr>
          </w:p>
        </w:tc>
        <w:tc>
          <w:tcPr>
            <w:tcW w:w="1460" w:type="dxa"/>
            <w:vAlign w:val="bottom"/>
            <w:tcBorders>
              <w:bottom w:val="single" w:sz="8" w:color="007CBA"/>
              <w:right w:val="single" w:sz="8" w:color="007CBA"/>
            </w:tcBorders>
            <w:shd w:val="clear" w:color="auto" w:fill="007CBA"/>
          </w:tcPr>
          <w:p>
            <w:pPr>
              <w:jc w:val="right"/>
              <w:ind w:right="610"/>
              <w:spacing w:after="0"/>
              <w:rPr>
                <w:sz w:val="20"/>
                <w:szCs w:val="20"/>
                <w:color w:val="auto"/>
              </w:rPr>
            </w:pPr>
            <w:r>
              <w:rPr>
                <w:rFonts w:ascii="Calibri" w:cs="Calibri" w:eastAsia="Calibri" w:hAnsi="Calibri"/>
                <w:sz w:val="18"/>
                <w:szCs w:val="18"/>
                <w:b w:val="1"/>
                <w:bCs w:val="1"/>
                <w:color w:val="FFFFFF"/>
              </w:rPr>
              <w:t>Leases</w:t>
            </w:r>
          </w:p>
        </w:tc>
        <w:tc>
          <w:tcPr>
            <w:tcW w:w="480" w:type="dxa"/>
            <w:vAlign w:val="bottom"/>
            <w:tcBorders>
              <w:bottom w:val="single" w:sz="8" w:color="007CBA"/>
            </w:tcBorders>
            <w:shd w:val="clear" w:color="auto" w:fill="007CBA"/>
          </w:tcPr>
          <w:p>
            <w:pPr>
              <w:spacing w:after="0"/>
              <w:rPr>
                <w:sz w:val="23"/>
                <w:szCs w:val="23"/>
                <w:color w:val="auto"/>
              </w:rPr>
            </w:pPr>
          </w:p>
        </w:tc>
        <w:tc>
          <w:tcPr>
            <w:tcW w:w="1400" w:type="dxa"/>
            <w:vAlign w:val="bottom"/>
            <w:tcBorders>
              <w:bottom w:val="single" w:sz="8" w:color="007CBA"/>
            </w:tcBorders>
            <w:shd w:val="clear" w:color="auto" w:fill="007CBA"/>
          </w:tcPr>
          <w:p>
            <w:pPr>
              <w:jc w:val="right"/>
              <w:ind w:right="570"/>
              <w:spacing w:after="0"/>
              <w:rPr>
                <w:sz w:val="20"/>
                <w:szCs w:val="20"/>
                <w:color w:val="auto"/>
              </w:rPr>
            </w:pPr>
            <w:r>
              <w:rPr>
                <w:rFonts w:ascii="Calibri" w:cs="Calibri" w:eastAsia="Calibri" w:hAnsi="Calibri"/>
                <w:sz w:val="18"/>
                <w:szCs w:val="18"/>
                <w:b w:val="1"/>
                <w:bCs w:val="1"/>
                <w:color w:val="FFFFFF"/>
              </w:rPr>
              <w:t>Leases</w:t>
            </w:r>
          </w:p>
        </w:tc>
      </w:tr>
      <w:tr>
        <w:trPr>
          <w:trHeight w:val="215"/>
        </w:trPr>
        <w:tc>
          <w:tcPr>
            <w:tcW w:w="74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2023</w:t>
            </w:r>
          </w:p>
        </w:tc>
        <w:tc>
          <w:tcPr>
            <w:tcW w:w="44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4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72.8</w:t>
            </w:r>
          </w:p>
        </w:tc>
        <w:tc>
          <w:tcPr>
            <w:tcW w:w="48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4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20.3</w:t>
            </w:r>
          </w:p>
        </w:tc>
      </w:tr>
      <w:tr>
        <w:trPr>
          <w:trHeight w:val="28"/>
        </w:trPr>
        <w:tc>
          <w:tcPr>
            <w:tcW w:w="7460" w:type="dxa"/>
            <w:vAlign w:val="bottom"/>
            <w:tcBorders>
              <w:right w:val="single" w:sz="8" w:color="007CBA"/>
            </w:tcBorders>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3"/>
        </w:trPr>
        <w:tc>
          <w:tcPr>
            <w:tcW w:w="746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2024</w:t>
            </w:r>
          </w:p>
        </w:tc>
        <w:tc>
          <w:tcPr>
            <w:tcW w:w="440" w:type="dxa"/>
            <w:vAlign w:val="bottom"/>
            <w:tcBorders>
              <w:bottom w:val="single" w:sz="8" w:color="E5F1F8"/>
            </w:tcBorders>
            <w:shd w:val="clear" w:color="auto" w:fill="E5F1F8"/>
          </w:tcPr>
          <w:p>
            <w:pPr>
              <w:spacing w:after="0"/>
              <w:rPr>
                <w:sz w:val="19"/>
                <w:szCs w:val="19"/>
                <w:color w:val="auto"/>
              </w:rPr>
            </w:pPr>
          </w:p>
        </w:tc>
        <w:tc>
          <w:tcPr>
            <w:tcW w:w="146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56.0</w:t>
            </w:r>
          </w:p>
        </w:tc>
        <w:tc>
          <w:tcPr>
            <w:tcW w:w="480" w:type="dxa"/>
            <w:vAlign w:val="bottom"/>
            <w:tcBorders>
              <w:bottom w:val="single" w:sz="8" w:color="E5F1F8"/>
            </w:tcBorders>
            <w:shd w:val="clear" w:color="auto" w:fill="E5F1F8"/>
          </w:tcPr>
          <w:p>
            <w:pPr>
              <w:spacing w:after="0"/>
              <w:rPr>
                <w:sz w:val="19"/>
                <w:szCs w:val="19"/>
                <w:color w:val="auto"/>
              </w:rPr>
            </w:pPr>
          </w:p>
        </w:tc>
        <w:tc>
          <w:tcPr>
            <w:tcW w:w="140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20.1</w:t>
            </w:r>
          </w:p>
        </w:tc>
      </w:tr>
      <w:tr>
        <w:trPr>
          <w:trHeight w:val="215"/>
        </w:trPr>
        <w:tc>
          <w:tcPr>
            <w:tcW w:w="74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2025</w:t>
            </w:r>
          </w:p>
        </w:tc>
        <w:tc>
          <w:tcPr>
            <w:tcW w:w="440" w:type="dxa"/>
            <w:vAlign w:val="bottom"/>
          </w:tcPr>
          <w:p>
            <w:pPr>
              <w:spacing w:after="0"/>
              <w:rPr>
                <w:sz w:val="18"/>
                <w:szCs w:val="18"/>
                <w:color w:val="auto"/>
              </w:rPr>
            </w:pPr>
          </w:p>
        </w:tc>
        <w:tc>
          <w:tcPr>
            <w:tcW w:w="14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49.0</w:t>
            </w:r>
          </w:p>
        </w:tc>
        <w:tc>
          <w:tcPr>
            <w:tcW w:w="480" w:type="dxa"/>
            <w:vAlign w:val="bottom"/>
          </w:tcPr>
          <w:p>
            <w:pPr>
              <w:spacing w:after="0"/>
              <w:rPr>
                <w:sz w:val="18"/>
                <w:szCs w:val="18"/>
                <w:color w:val="auto"/>
              </w:rPr>
            </w:pPr>
          </w:p>
        </w:tc>
        <w:tc>
          <w:tcPr>
            <w:tcW w:w="14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18.1</w:t>
            </w:r>
          </w:p>
        </w:tc>
      </w:tr>
      <w:tr>
        <w:trPr>
          <w:trHeight w:val="28"/>
        </w:trPr>
        <w:tc>
          <w:tcPr>
            <w:tcW w:w="7460" w:type="dxa"/>
            <w:vAlign w:val="bottom"/>
            <w:tcBorders>
              <w:right w:val="single" w:sz="8" w:color="007CBA"/>
            </w:tcBorders>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3"/>
        </w:trPr>
        <w:tc>
          <w:tcPr>
            <w:tcW w:w="746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2026</w:t>
            </w:r>
          </w:p>
        </w:tc>
        <w:tc>
          <w:tcPr>
            <w:tcW w:w="440" w:type="dxa"/>
            <w:vAlign w:val="bottom"/>
            <w:tcBorders>
              <w:bottom w:val="single" w:sz="8" w:color="E5F1F8"/>
            </w:tcBorders>
            <w:shd w:val="clear" w:color="auto" w:fill="E5F1F8"/>
          </w:tcPr>
          <w:p>
            <w:pPr>
              <w:spacing w:after="0"/>
              <w:rPr>
                <w:sz w:val="19"/>
                <w:szCs w:val="19"/>
                <w:color w:val="auto"/>
              </w:rPr>
            </w:pPr>
          </w:p>
        </w:tc>
        <w:tc>
          <w:tcPr>
            <w:tcW w:w="146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40.4</w:t>
            </w:r>
          </w:p>
        </w:tc>
        <w:tc>
          <w:tcPr>
            <w:tcW w:w="480" w:type="dxa"/>
            <w:vAlign w:val="bottom"/>
            <w:tcBorders>
              <w:bottom w:val="single" w:sz="8" w:color="E5F1F8"/>
            </w:tcBorders>
            <w:shd w:val="clear" w:color="auto" w:fill="E5F1F8"/>
          </w:tcPr>
          <w:p>
            <w:pPr>
              <w:spacing w:after="0"/>
              <w:rPr>
                <w:sz w:val="19"/>
                <w:szCs w:val="19"/>
                <w:color w:val="auto"/>
              </w:rPr>
            </w:pPr>
          </w:p>
        </w:tc>
        <w:tc>
          <w:tcPr>
            <w:tcW w:w="140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11.5</w:t>
            </w:r>
          </w:p>
        </w:tc>
      </w:tr>
      <w:tr>
        <w:trPr>
          <w:trHeight w:val="243"/>
        </w:trPr>
        <w:tc>
          <w:tcPr>
            <w:tcW w:w="74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2027</w:t>
            </w:r>
          </w:p>
        </w:tc>
        <w:tc>
          <w:tcPr>
            <w:tcW w:w="440" w:type="dxa"/>
            <w:vAlign w:val="bottom"/>
          </w:tcPr>
          <w:p>
            <w:pPr>
              <w:spacing w:after="0"/>
              <w:rPr>
                <w:sz w:val="21"/>
                <w:szCs w:val="21"/>
                <w:color w:val="auto"/>
              </w:rPr>
            </w:pPr>
          </w:p>
        </w:tc>
        <w:tc>
          <w:tcPr>
            <w:tcW w:w="14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33.7</w:t>
            </w:r>
          </w:p>
        </w:tc>
        <w:tc>
          <w:tcPr>
            <w:tcW w:w="480" w:type="dxa"/>
            <w:vAlign w:val="bottom"/>
          </w:tcPr>
          <w:p>
            <w:pPr>
              <w:spacing w:after="0"/>
              <w:rPr>
                <w:sz w:val="21"/>
                <w:szCs w:val="21"/>
                <w:color w:val="auto"/>
              </w:rPr>
            </w:pPr>
          </w:p>
        </w:tc>
        <w:tc>
          <w:tcPr>
            <w:tcW w:w="14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10.7</w:t>
            </w:r>
          </w:p>
        </w:tc>
      </w:tr>
      <w:tr>
        <w:trPr>
          <w:trHeight w:val="248"/>
        </w:trPr>
        <w:tc>
          <w:tcPr>
            <w:tcW w:w="746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Thereafer</w:t>
            </w:r>
          </w:p>
        </w:tc>
        <w:tc>
          <w:tcPr>
            <w:tcW w:w="440" w:type="dxa"/>
            <w:vAlign w:val="bottom"/>
            <w:tcBorders>
              <w:bottom w:val="single" w:sz="8" w:color="E5F1F8"/>
            </w:tcBorders>
            <w:shd w:val="clear" w:color="auto" w:fill="E5F1F8"/>
          </w:tcPr>
          <w:p>
            <w:pPr>
              <w:spacing w:after="0"/>
              <w:rPr>
                <w:sz w:val="21"/>
                <w:szCs w:val="21"/>
                <w:color w:val="auto"/>
              </w:rPr>
            </w:pPr>
          </w:p>
        </w:tc>
        <w:tc>
          <w:tcPr>
            <w:tcW w:w="146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264.8</w:t>
            </w:r>
          </w:p>
        </w:tc>
        <w:tc>
          <w:tcPr>
            <w:tcW w:w="480" w:type="dxa"/>
            <w:vAlign w:val="bottom"/>
            <w:tcBorders>
              <w:bottom w:val="single" w:sz="8" w:color="E5F1F8"/>
            </w:tcBorders>
            <w:shd w:val="clear" w:color="auto" w:fill="E5F1F8"/>
          </w:tcPr>
          <w:p>
            <w:pPr>
              <w:spacing w:after="0"/>
              <w:rPr>
                <w:sz w:val="21"/>
                <w:szCs w:val="21"/>
                <w:color w:val="auto"/>
              </w:rPr>
            </w:pPr>
          </w:p>
        </w:tc>
        <w:tc>
          <w:tcPr>
            <w:tcW w:w="140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176.4</w:t>
            </w:r>
          </w:p>
        </w:tc>
      </w:tr>
      <w:tr>
        <w:trPr>
          <w:trHeight w:val="237"/>
        </w:trPr>
        <w:tc>
          <w:tcPr>
            <w:tcW w:w="746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color w:val="auto"/>
              </w:rPr>
              <w:t>Total lease payments</w:t>
            </w:r>
          </w:p>
        </w:tc>
        <w:tc>
          <w:tcPr>
            <w:tcW w:w="440" w:type="dxa"/>
            <w:vAlign w:val="bottom"/>
            <w:tcBorders>
              <w:top w:val="single" w:sz="8" w:color="auto"/>
            </w:tcBorders>
          </w:tcPr>
          <w:p>
            <w:pPr>
              <w:spacing w:after="0"/>
              <w:rPr>
                <w:sz w:val="20"/>
                <w:szCs w:val="20"/>
                <w:color w:val="auto"/>
              </w:rPr>
            </w:pPr>
          </w:p>
        </w:tc>
        <w:tc>
          <w:tcPr>
            <w:tcW w:w="1460" w:type="dxa"/>
            <w:vAlign w:val="bottom"/>
            <w:tcBorders>
              <w:top w:val="single" w:sz="8" w:color="auto"/>
              <w:right w:val="single" w:sz="8" w:color="007CBA"/>
            </w:tcBorders>
          </w:tcPr>
          <w:p>
            <w:pPr>
              <w:jc w:val="right"/>
              <w:ind w:right="50"/>
              <w:spacing w:after="0" w:line="208" w:lineRule="exact"/>
              <w:rPr>
                <w:sz w:val="20"/>
                <w:szCs w:val="20"/>
                <w:color w:val="auto"/>
              </w:rPr>
            </w:pPr>
            <w:r>
              <w:rPr>
                <w:rFonts w:ascii="Calibri" w:cs="Calibri" w:eastAsia="Calibri" w:hAnsi="Calibri"/>
                <w:sz w:val="18"/>
                <w:szCs w:val="18"/>
                <w:color w:val="auto"/>
              </w:rPr>
              <w:t>516.7</w:t>
            </w:r>
          </w:p>
        </w:tc>
        <w:tc>
          <w:tcPr>
            <w:tcW w:w="4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257.1</w:t>
            </w:r>
          </w:p>
        </w:tc>
      </w:tr>
      <w:tr>
        <w:trPr>
          <w:trHeight w:val="248"/>
        </w:trPr>
        <w:tc>
          <w:tcPr>
            <w:tcW w:w="746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Less: imputed interest</w:t>
            </w:r>
          </w:p>
        </w:tc>
        <w:tc>
          <w:tcPr>
            <w:tcW w:w="440" w:type="dxa"/>
            <w:vAlign w:val="bottom"/>
            <w:tcBorders>
              <w:bottom w:val="single" w:sz="8" w:color="E5F1F8"/>
            </w:tcBorders>
            <w:shd w:val="clear" w:color="auto" w:fill="E5F1F8"/>
          </w:tcPr>
          <w:p>
            <w:pPr>
              <w:spacing w:after="0"/>
              <w:rPr>
                <w:sz w:val="21"/>
                <w:szCs w:val="21"/>
                <w:color w:val="auto"/>
              </w:rPr>
            </w:pPr>
          </w:p>
        </w:tc>
        <w:tc>
          <w:tcPr>
            <w:tcW w:w="146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(120.9 )</w:t>
            </w:r>
          </w:p>
        </w:tc>
        <w:tc>
          <w:tcPr>
            <w:tcW w:w="480" w:type="dxa"/>
            <w:vAlign w:val="bottom"/>
            <w:tcBorders>
              <w:bottom w:val="single" w:sz="8" w:color="E5F1F8"/>
            </w:tcBorders>
            <w:shd w:val="clear" w:color="auto" w:fill="E5F1F8"/>
          </w:tcPr>
          <w:p>
            <w:pPr>
              <w:spacing w:after="0"/>
              <w:rPr>
                <w:sz w:val="21"/>
                <w:szCs w:val="21"/>
                <w:color w:val="auto"/>
              </w:rPr>
            </w:pPr>
          </w:p>
        </w:tc>
        <w:tc>
          <w:tcPr>
            <w:tcW w:w="140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(56.4 )</w:t>
            </w:r>
          </w:p>
        </w:tc>
      </w:tr>
      <w:tr>
        <w:trPr>
          <w:trHeight w:val="208"/>
        </w:trPr>
        <w:tc>
          <w:tcPr>
            <w:tcW w:w="746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color w:val="auto"/>
              </w:rPr>
              <w:t>Present value of lease payments</w:t>
            </w:r>
          </w:p>
        </w:tc>
        <w:tc>
          <w:tcPr>
            <w:tcW w:w="440" w:type="dxa"/>
            <w:vAlign w:val="bottom"/>
            <w:tcBorders>
              <w:top w:val="single" w:sz="8" w:color="auto"/>
            </w:tcBorders>
          </w:tcPr>
          <w:p>
            <w:pPr>
              <w:spacing w:after="0"/>
              <w:rPr>
                <w:sz w:val="18"/>
                <w:szCs w:val="18"/>
                <w:color w:val="auto"/>
              </w:rPr>
            </w:pPr>
          </w:p>
        </w:tc>
        <w:tc>
          <w:tcPr>
            <w:tcW w:w="1460" w:type="dxa"/>
            <w:vAlign w:val="bottom"/>
            <w:tcBorders>
              <w:top w:val="single" w:sz="8" w:color="auto"/>
              <w:right w:val="single" w:sz="8" w:color="007CBA"/>
            </w:tcBorders>
          </w:tcPr>
          <w:p>
            <w:pPr>
              <w:jc w:val="right"/>
              <w:ind w:right="50"/>
              <w:spacing w:after="0" w:line="208" w:lineRule="exact"/>
              <w:rPr>
                <w:sz w:val="20"/>
                <w:szCs w:val="20"/>
                <w:color w:val="auto"/>
              </w:rPr>
            </w:pPr>
            <w:r>
              <w:rPr>
                <w:rFonts w:ascii="Calibri" w:cs="Calibri" w:eastAsia="Calibri" w:hAnsi="Calibri"/>
                <w:sz w:val="18"/>
                <w:szCs w:val="18"/>
                <w:color w:val="auto"/>
              </w:rPr>
              <w:t>395.8</w:t>
            </w:r>
          </w:p>
        </w:tc>
        <w:tc>
          <w:tcPr>
            <w:tcW w:w="4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200.7</w:t>
            </w:r>
          </w:p>
        </w:tc>
      </w:tr>
      <w:tr>
        <w:trPr>
          <w:trHeight w:val="28"/>
        </w:trPr>
        <w:tc>
          <w:tcPr>
            <w:tcW w:w="7460" w:type="dxa"/>
            <w:vAlign w:val="bottom"/>
            <w:tcBorders>
              <w:right w:val="single" w:sz="8" w:color="007CBA"/>
            </w:tcBorders>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3"/>
        </w:trPr>
        <w:tc>
          <w:tcPr>
            <w:tcW w:w="746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Less: leases classifed as held for sale</w:t>
            </w:r>
          </w:p>
        </w:tc>
        <w:tc>
          <w:tcPr>
            <w:tcW w:w="440" w:type="dxa"/>
            <w:vAlign w:val="bottom"/>
            <w:tcBorders>
              <w:bottom w:val="single" w:sz="8" w:color="E5F1F8"/>
            </w:tcBorders>
            <w:shd w:val="clear" w:color="auto" w:fill="E5F1F8"/>
          </w:tcPr>
          <w:p>
            <w:pPr>
              <w:spacing w:after="0"/>
              <w:rPr>
                <w:sz w:val="19"/>
                <w:szCs w:val="19"/>
                <w:color w:val="auto"/>
              </w:rPr>
            </w:pPr>
          </w:p>
        </w:tc>
        <w:tc>
          <w:tcPr>
            <w:tcW w:w="1460" w:type="dxa"/>
            <w:vAlign w:val="bottom"/>
            <w:tcBorders>
              <w:bottom w:val="single" w:sz="8" w:color="E5F1F8"/>
              <w:right w:val="single" w:sz="8" w:color="007CBA"/>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(7.8 )</w:t>
            </w:r>
          </w:p>
        </w:tc>
        <w:tc>
          <w:tcPr>
            <w:tcW w:w="480" w:type="dxa"/>
            <w:vAlign w:val="bottom"/>
            <w:tcBorders>
              <w:bottom w:val="single" w:sz="8" w:color="E5F1F8"/>
            </w:tcBorders>
            <w:shd w:val="clear" w:color="auto" w:fill="E5F1F8"/>
          </w:tcPr>
          <w:p>
            <w:pPr>
              <w:spacing w:after="0"/>
              <w:rPr>
                <w:sz w:val="19"/>
                <w:szCs w:val="19"/>
                <w:color w:val="auto"/>
              </w:rPr>
            </w:pPr>
          </w:p>
        </w:tc>
        <w:tc>
          <w:tcPr>
            <w:tcW w:w="140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(0.8 )</w:t>
            </w:r>
          </w:p>
        </w:tc>
      </w:tr>
      <w:tr>
        <w:trPr>
          <w:trHeight w:val="215"/>
        </w:trPr>
        <w:tc>
          <w:tcPr>
            <w:tcW w:w="7460" w:type="dxa"/>
            <w:vAlign w:val="bottom"/>
          </w:tcPr>
          <w:p>
            <w:pPr>
              <w:ind w:left="120"/>
              <w:spacing w:after="0" w:line="215" w:lineRule="exact"/>
              <w:rPr>
                <w:sz w:val="20"/>
                <w:szCs w:val="20"/>
                <w:color w:val="auto"/>
              </w:rPr>
            </w:pPr>
            <w:r>
              <w:rPr>
                <w:rFonts w:ascii="Calibri" w:cs="Calibri" w:eastAsia="Calibri" w:hAnsi="Calibri"/>
                <w:sz w:val="18"/>
                <w:szCs w:val="18"/>
                <w:color w:val="auto"/>
              </w:rPr>
              <w:t>Less: current lease obligatons</w:t>
            </w:r>
          </w:p>
        </w:tc>
        <w:tc>
          <w:tcPr>
            <w:tcW w:w="440" w:type="dxa"/>
            <w:vAlign w:val="bottom"/>
          </w:tcPr>
          <w:p>
            <w:pPr>
              <w:spacing w:after="0"/>
              <w:rPr>
                <w:sz w:val="18"/>
                <w:szCs w:val="18"/>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(52.1 )</w:t>
            </w:r>
          </w:p>
        </w:tc>
        <w:tc>
          <w:tcPr>
            <w:tcW w:w="480" w:type="dxa"/>
            <w:vAlign w:val="bottom"/>
          </w:tcPr>
          <w:p>
            <w:pPr>
              <w:spacing w:after="0"/>
              <w:rPr>
                <w:sz w:val="18"/>
                <w:szCs w:val="18"/>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color w:val="auto"/>
              </w:rPr>
              <w:t>(17.8 )</w:t>
            </w:r>
          </w:p>
        </w:tc>
      </w:tr>
      <w:tr>
        <w:trPr>
          <w:trHeight w:val="28"/>
        </w:trPr>
        <w:tc>
          <w:tcPr>
            <w:tcW w:w="7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2"/>
        </w:trPr>
        <w:tc>
          <w:tcPr>
            <w:tcW w:w="746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Total long-term lease obligatons</w:t>
            </w:r>
          </w:p>
        </w:tc>
        <w:tc>
          <w:tcPr>
            <w:tcW w:w="440" w:type="dxa"/>
            <w:vAlign w:val="bottom"/>
            <w:tcBorders>
              <w:bottom w:val="single" w:sz="8" w:color="E5F1F8"/>
            </w:tcBorders>
            <w:shd w:val="clear" w:color="auto" w:fill="E5F1F8"/>
          </w:tcPr>
          <w:p>
            <w:pPr>
              <w:jc w:val="right"/>
              <w:ind w:right="90"/>
              <w:spacing w:after="0" w:line="208" w:lineRule="exact"/>
              <w:rPr>
                <w:sz w:val="20"/>
                <w:szCs w:val="20"/>
                <w:color w:val="auto"/>
              </w:rPr>
            </w:pPr>
            <w:r>
              <w:rPr>
                <w:rFonts w:ascii="Calibri" w:cs="Calibri" w:eastAsia="Calibri" w:hAnsi="Calibri"/>
                <w:sz w:val="18"/>
                <w:szCs w:val="18"/>
                <w:color w:val="auto"/>
              </w:rPr>
              <w:t>$</w:t>
            </w:r>
          </w:p>
        </w:tc>
        <w:tc>
          <w:tcPr>
            <w:tcW w:w="146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color w:val="auto"/>
              </w:rPr>
              <w:t>335.9</w:t>
            </w:r>
          </w:p>
        </w:tc>
        <w:tc>
          <w:tcPr>
            <w:tcW w:w="480" w:type="dxa"/>
            <w:vAlign w:val="bottom"/>
            <w:tcBorders>
              <w:bottom w:val="single" w:sz="8" w:color="E5F1F8"/>
            </w:tcBorders>
            <w:shd w:val="clear" w:color="auto" w:fill="E5F1F8"/>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40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182.1</w:t>
            </w:r>
          </w:p>
        </w:tc>
      </w:tr>
      <w:tr>
        <w:trPr>
          <w:trHeight w:val="20"/>
        </w:trPr>
        <w:tc>
          <w:tcPr>
            <w:tcW w:w="74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4715510</wp:posOffset>
            </wp:positionH>
            <wp:positionV relativeFrom="paragraph">
              <wp:posOffset>-2712085</wp:posOffset>
            </wp:positionV>
            <wp:extent cx="2421255" cy="18796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2">
                      <a:extLst>
                        <a:ext uri="{28A0092B-C50C-407E-A947-70E740481C1C}"/>
                      </a:extLst>
                    </a:blip>
                    <a:srcRect/>
                    <a:stretch>
                      <a:fillRect/>
                    </a:stretch>
                  </pic:blipFill>
                  <pic:spPr bwMode="auto">
                    <a:xfrm>
                      <a:off x="0" y="0"/>
                      <a:ext cx="2421255" cy="1879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-1910715</wp:posOffset>
            </wp:positionV>
            <wp:extent cx="7132320" cy="16319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-1143635</wp:posOffset>
            </wp:positionV>
            <wp:extent cx="7132320" cy="64706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4">
                      <a:extLst>
                        <a:ext uri="{28A0092B-C50C-407E-A947-70E740481C1C}"/>
                      </a:extLst>
                    </a:blip>
                    <a:srcRect/>
                    <a:stretch>
                      <a:fillRect/>
                    </a:stretch>
                  </pic:blipFill>
                  <pic:spPr bwMode="auto">
                    <a:xfrm>
                      <a:off x="0" y="0"/>
                      <a:ext cx="7132320" cy="647065"/>
                    </a:xfrm>
                    <a:prstGeom prst="rect">
                      <a:avLst/>
                    </a:prstGeom>
                    <a:noFill/>
                  </pic:spPr>
                </pic:pic>
              </a:graphicData>
            </a:graphic>
          </wp:anchor>
        </w:drawing>
        <w:drawing>
          <wp:anchor simplePos="0" relativeHeight="251657728" behindDoc="1" locked="0" layoutInCell="0" allowOverlap="1">
            <wp:simplePos x="0" y="0"/>
            <wp:positionH relativeFrom="column">
              <wp:posOffset>4681220</wp:posOffset>
            </wp:positionH>
            <wp:positionV relativeFrom="paragraph">
              <wp:posOffset>-354965</wp:posOffset>
            </wp:positionV>
            <wp:extent cx="2455545" cy="3683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5">
                      <a:extLst>
                        <a:ext uri="{28A0092B-C50C-407E-A947-70E740481C1C}"/>
                      </a:extLst>
                    </a:blip>
                    <a:srcRect/>
                    <a:stretch>
                      <a:fillRect/>
                    </a:stretch>
                  </pic:blipFill>
                  <pic:spPr bwMode="auto">
                    <a:xfrm>
                      <a:off x="0" y="0"/>
                      <a:ext cx="2455545" cy="36830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213995</wp:posOffset>
            </wp:positionV>
            <wp:extent cx="325755" cy="19685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6">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34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08" w:name="page109"/>
    <w:bookmarkEnd w:id="108"/>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8 – Financial Statements and Supplementary Data</w:t>
      </w:r>
    </w:p>
    <w:p>
      <w:pPr>
        <w:spacing w:after="0" w:line="209"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N: Shareholders’ Equity</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authorized capital structure of the Company includes 100.0 million shares of common stock, with a par value of $0.01 per share. At December 31, 2022, approximately 1.2 million common shares were reserved for issuance under stock-based award plans.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Pursuant to authority granted by its Board of Directors, the Company can repurchase up to 20.0 million shares of common stock. During 2022 and 2020, the Company repurchased 0.4 million and 0.2 million shares of common stock, respectvely. The Company made no share repurchases during 2021. Future share repurchases are at the discreton of management. At December 31, 2022, 13.1 million shares of common stock were remaining under the Company’s repurchase authorizaton.</w:t>
      </w:r>
    </w:p>
    <w:p>
      <w:pPr>
        <w:spacing w:after="0" w:line="21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O: Commitments and Contngencies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Legal and Administratve Proceedings. </w:t>
      </w:r>
      <w:r>
        <w:rPr>
          <w:rFonts w:ascii="Calibri" w:cs="Calibri" w:eastAsia="Calibri" w:hAnsi="Calibri"/>
          <w:sz w:val="18"/>
          <w:szCs w:val="18"/>
          <w:color w:val="000000"/>
        </w:rPr>
        <w:t>The Company is engaged in certain legal and administratve proceedings incidental to its normal business actvites. In</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the opinion of management and counsel, based upon currently-available facts, the likelihood is remote that the ultmate outcome of any litgaton and other proceedings, including those pertaining to environmental maters (see Note A), relatng to the Company and its subsidiaries, will have a material adverse efect on the overall results of the Company’s operatons, its cash fows or its fnancial positon.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Asset Retrement Obligatons. </w:t>
      </w:r>
      <w:r>
        <w:rPr>
          <w:rFonts w:ascii="Calibri" w:cs="Calibri" w:eastAsia="Calibri" w:hAnsi="Calibri"/>
          <w:sz w:val="18"/>
          <w:szCs w:val="18"/>
          <w:color w:val="000000"/>
        </w:rPr>
        <w:t>The Company incurs reclamaton and teardown costs as part of its mining and producton processes. Estmated future</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 xml:space="preserve">obligatons are discounted to their present value and accreted to their projected future obligatons via charges to operatng expenses. Additonally, the fxed assets recorded concurrently with the liabilites are depreciated over the period untl retrement actvites are expected to occur. Total accreton and depreciaton expenses for 2022, 2021 and 2020 were $15.5 million, $11.9 million and $14.5 million, respectvely, and are included in </w:t>
      </w:r>
      <w:r>
        <w:rPr>
          <w:rFonts w:ascii="Calibri" w:cs="Calibri" w:eastAsia="Calibri" w:hAnsi="Calibri"/>
          <w:sz w:val="18"/>
          <w:szCs w:val="18"/>
          <w:i w:val="1"/>
          <w:iCs w:val="1"/>
          <w:color w:val="000000"/>
        </w:rPr>
        <w:t>Other operatng income,</w:t>
      </w:r>
      <w:r>
        <w:rPr>
          <w:rFonts w:ascii="Calibri" w:cs="Calibri" w:eastAsia="Calibri" w:hAnsi="Calibri"/>
          <w:sz w:val="18"/>
          <w:szCs w:val="18"/>
          <w:color w:val="000000"/>
        </w:rPr>
        <w:t xml:space="preserve"> </w:t>
      </w:r>
      <w:r>
        <w:rPr>
          <w:rFonts w:ascii="Calibri" w:cs="Calibri" w:eastAsia="Calibri" w:hAnsi="Calibri"/>
          <w:sz w:val="18"/>
          <w:szCs w:val="18"/>
          <w:i w:val="1"/>
          <w:iCs w:val="1"/>
          <w:color w:val="000000"/>
        </w:rPr>
        <w:t>net</w:t>
      </w:r>
      <w:r>
        <w:rPr>
          <w:rFonts w:ascii="Calibri" w:cs="Calibri" w:eastAsia="Calibri" w:hAnsi="Calibri"/>
          <w:sz w:val="18"/>
          <w:szCs w:val="18"/>
          <w:color w:val="000000"/>
        </w:rPr>
        <w:t>, in the consolidated statements of earnings.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300" w:type="dxa"/>
            <w:vAlign w:val="bottom"/>
          </w:tcPr>
          <w:p>
            <w:pPr>
              <w:spacing w:after="0"/>
              <w:rPr>
                <w:sz w:val="20"/>
                <w:szCs w:val="20"/>
                <w:color w:val="auto"/>
              </w:rPr>
            </w:pPr>
            <w:r>
              <w:rPr>
                <w:rFonts w:ascii="Calibri" w:cs="Calibri" w:eastAsia="Calibri" w:hAnsi="Calibri"/>
                <w:sz w:val="18"/>
                <w:szCs w:val="18"/>
                <w:color w:val="auto"/>
              </w:rPr>
              <w:t>The following shows the changes in asset retrement obligatons:</w:t>
            </w: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32"/>
        </w:trPr>
        <w:tc>
          <w:tcPr>
            <w:tcW w:w="6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07"/>
        </w:trPr>
        <w:tc>
          <w:tcPr>
            <w:tcW w:w="6300" w:type="dxa"/>
            <w:vAlign w:val="bottom"/>
            <w:tcBorders>
              <w:right w:val="single" w:sz="8" w:color="007CBA"/>
            </w:tcBorders>
            <w:shd w:val="clear" w:color="auto" w:fill="007CBA"/>
          </w:tcPr>
          <w:p>
            <w:pPr>
              <w:ind w:left="120"/>
              <w:spacing w:after="0" w:line="207" w:lineRule="exact"/>
              <w:rPr>
                <w:sz w:val="20"/>
                <w:szCs w:val="20"/>
                <w:color w:val="auto"/>
              </w:rPr>
            </w:pPr>
            <w:r>
              <w:rPr>
                <w:rFonts w:ascii="Calibri" w:cs="Calibri" w:eastAsia="Calibri" w:hAnsi="Calibri"/>
                <w:sz w:val="18"/>
                <w:szCs w:val="18"/>
                <w:i w:val="1"/>
                <w:iCs w:val="1"/>
                <w:color w:val="FFFFFF"/>
              </w:rPr>
              <w:t>years ended December 31</w:t>
            </w:r>
          </w:p>
        </w:tc>
        <w:tc>
          <w:tcPr>
            <w:tcW w:w="500" w:type="dxa"/>
            <w:vAlign w:val="bottom"/>
            <w:shd w:val="clear" w:color="auto" w:fill="007CBA"/>
          </w:tcPr>
          <w:p>
            <w:pPr>
              <w:spacing w:after="0"/>
              <w:rPr>
                <w:sz w:val="18"/>
                <w:szCs w:val="18"/>
                <w:color w:val="auto"/>
              </w:rPr>
            </w:pPr>
          </w:p>
        </w:tc>
        <w:tc>
          <w:tcPr>
            <w:tcW w:w="1180" w:type="dxa"/>
            <w:vAlign w:val="bottom"/>
            <w:tcBorders>
              <w:right w:val="single" w:sz="8" w:color="007CBA"/>
            </w:tcBorders>
            <w:shd w:val="clear" w:color="auto" w:fill="007CBA"/>
          </w:tcPr>
          <w:p>
            <w:pPr>
              <w:spacing w:after="0"/>
              <w:rPr>
                <w:sz w:val="18"/>
                <w:szCs w:val="18"/>
                <w:color w:val="auto"/>
              </w:rPr>
            </w:pPr>
          </w:p>
        </w:tc>
        <w:tc>
          <w:tcPr>
            <w:tcW w:w="48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80" w:type="dxa"/>
            <w:vAlign w:val="bottom"/>
            <w:shd w:val="clear" w:color="auto" w:fill="007CBA"/>
          </w:tcPr>
          <w:p>
            <w:pPr>
              <w:spacing w:after="0"/>
              <w:rPr>
                <w:sz w:val="18"/>
                <w:szCs w:val="18"/>
                <w:color w:val="auto"/>
              </w:rPr>
            </w:pPr>
          </w:p>
        </w:tc>
        <w:tc>
          <w:tcPr>
            <w:tcW w:w="1140" w:type="dxa"/>
            <w:vAlign w:val="bottom"/>
            <w:shd w:val="clear" w:color="auto" w:fill="007CBA"/>
          </w:tcPr>
          <w:p>
            <w:pPr>
              <w:spacing w:after="0"/>
              <w:rPr>
                <w:sz w:val="18"/>
                <w:szCs w:val="18"/>
                <w:color w:val="auto"/>
              </w:rPr>
            </w:pPr>
          </w:p>
        </w:tc>
      </w:tr>
      <w:tr>
        <w:trPr>
          <w:trHeight w:val="232"/>
        </w:trPr>
        <w:tc>
          <w:tcPr>
            <w:tcW w:w="630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500" w:type="dxa"/>
            <w:vAlign w:val="bottom"/>
            <w:tcBorders>
              <w:bottom w:val="single" w:sz="8" w:color="007CBA"/>
            </w:tcBorders>
            <w:shd w:val="clear" w:color="auto" w:fill="007CBA"/>
          </w:tcPr>
          <w:p>
            <w:pPr>
              <w:spacing w:after="0"/>
              <w:rPr>
                <w:sz w:val="20"/>
                <w:szCs w:val="20"/>
                <w:color w:val="auto"/>
              </w:rPr>
            </w:pPr>
          </w:p>
        </w:tc>
        <w:tc>
          <w:tcPr>
            <w:tcW w:w="1180" w:type="dxa"/>
            <w:vAlign w:val="bottom"/>
            <w:tcBorders>
              <w:bottom w:val="single" w:sz="8" w:color="007CBA"/>
              <w:right w:val="single" w:sz="8" w:color="007CBA"/>
            </w:tcBorders>
            <w:shd w:val="clear" w:color="auto" w:fill="007CBA"/>
          </w:tcPr>
          <w:p>
            <w:pPr>
              <w:jc w:val="right"/>
              <w:ind w:right="530"/>
              <w:spacing w:after="0" w:line="215" w:lineRule="exact"/>
              <w:rPr>
                <w:sz w:val="20"/>
                <w:szCs w:val="20"/>
                <w:color w:val="auto"/>
              </w:rPr>
            </w:pPr>
            <w:r>
              <w:rPr>
                <w:rFonts w:ascii="Calibri" w:cs="Calibri" w:eastAsia="Calibri" w:hAnsi="Calibri"/>
                <w:sz w:val="18"/>
                <w:szCs w:val="18"/>
                <w:b w:val="1"/>
                <w:bCs w:val="1"/>
                <w:color w:val="FFFFFF"/>
              </w:rPr>
              <w:t>2022</w:t>
            </w:r>
          </w:p>
        </w:tc>
        <w:tc>
          <w:tcPr>
            <w:tcW w:w="480" w:type="dxa"/>
            <w:vAlign w:val="bottom"/>
            <w:tcBorders>
              <w:bottom w:val="single" w:sz="8" w:color="007CBA"/>
            </w:tcBorders>
            <w:shd w:val="clear" w:color="auto" w:fill="007CBA"/>
          </w:tcPr>
          <w:p>
            <w:pPr>
              <w:spacing w:after="0"/>
              <w:rPr>
                <w:sz w:val="20"/>
                <w:szCs w:val="20"/>
                <w:color w:val="auto"/>
              </w:rPr>
            </w:pPr>
          </w:p>
        </w:tc>
        <w:tc>
          <w:tcPr>
            <w:tcW w:w="1160" w:type="dxa"/>
            <w:vAlign w:val="bottom"/>
            <w:tcBorders>
              <w:bottom w:val="single" w:sz="8" w:color="007CBA"/>
              <w:right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color w:val="FFFFFF"/>
              </w:rPr>
              <w:t>2021</w:t>
            </w:r>
          </w:p>
        </w:tc>
        <w:tc>
          <w:tcPr>
            <w:tcW w:w="48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color w:val="FFFFFF"/>
              </w:rPr>
              <w:t>2020</w:t>
            </w:r>
          </w:p>
        </w:tc>
      </w:tr>
      <w:tr>
        <w:trPr>
          <w:trHeight w:val="215"/>
        </w:trPr>
        <w:tc>
          <w:tcPr>
            <w:tcW w:w="63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Balance at beginning of year</w:t>
            </w:r>
          </w:p>
        </w:tc>
        <w:tc>
          <w:tcPr>
            <w:tcW w:w="500" w:type="dxa"/>
            <w:vAlign w:val="bottom"/>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18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306.8</w:t>
            </w:r>
          </w:p>
        </w:tc>
        <w:tc>
          <w:tcPr>
            <w:tcW w:w="48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153.8</w:t>
            </w:r>
          </w:p>
        </w:tc>
        <w:tc>
          <w:tcPr>
            <w:tcW w:w="48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143.9</w:t>
            </w:r>
          </w:p>
        </w:tc>
      </w:tr>
      <w:tr>
        <w:trPr>
          <w:trHeight w:val="28"/>
        </w:trPr>
        <w:tc>
          <w:tcPr>
            <w:tcW w:w="6300" w:type="dxa"/>
            <w:vAlign w:val="bottom"/>
            <w:tcBorders>
              <w:right w:val="single" w:sz="8" w:color="007CBA"/>
            </w:tcBorders>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630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Accreton expense</w:t>
            </w:r>
          </w:p>
        </w:tc>
        <w:tc>
          <w:tcPr>
            <w:tcW w:w="500" w:type="dxa"/>
            <w:vAlign w:val="bottom"/>
            <w:tcBorders>
              <w:bottom w:val="single" w:sz="8" w:color="E5F1F8"/>
            </w:tcBorders>
            <w:shd w:val="clear" w:color="auto" w:fill="E5F1F8"/>
          </w:tcPr>
          <w:p>
            <w:pPr>
              <w:spacing w:after="0"/>
              <w:rPr>
                <w:sz w:val="19"/>
                <w:szCs w:val="19"/>
                <w:color w:val="auto"/>
              </w:rPr>
            </w:pPr>
          </w:p>
        </w:tc>
        <w:tc>
          <w:tcPr>
            <w:tcW w:w="118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10.6</w:t>
            </w:r>
          </w:p>
        </w:tc>
        <w:tc>
          <w:tcPr>
            <w:tcW w:w="48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7.2</w:t>
            </w:r>
          </w:p>
        </w:tc>
        <w:tc>
          <w:tcPr>
            <w:tcW w:w="48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5.9</w:t>
            </w:r>
          </w:p>
        </w:tc>
      </w:tr>
      <w:tr>
        <w:trPr>
          <w:trHeight w:val="215"/>
        </w:trPr>
        <w:tc>
          <w:tcPr>
            <w:tcW w:w="63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Liabilites incurred and liabilites assumed in business combinatons</w:t>
            </w:r>
          </w:p>
        </w:tc>
        <w:tc>
          <w:tcPr>
            <w:tcW w:w="500" w:type="dxa"/>
            <w:vAlign w:val="bottom"/>
          </w:tcPr>
          <w:p>
            <w:pPr>
              <w:spacing w:after="0"/>
              <w:rPr>
                <w:sz w:val="18"/>
                <w:szCs w:val="18"/>
                <w:color w:val="auto"/>
              </w:rPr>
            </w:pPr>
          </w:p>
        </w:tc>
        <w:tc>
          <w:tcPr>
            <w:tcW w:w="118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78.6</w:t>
            </w:r>
          </w:p>
        </w:tc>
        <w:tc>
          <w:tcPr>
            <w:tcW w:w="480" w:type="dxa"/>
            <w:vAlign w:val="bottom"/>
          </w:tcPr>
          <w:p>
            <w:pPr>
              <w:spacing w:after="0"/>
              <w:rPr>
                <w:sz w:val="18"/>
                <w:szCs w:val="18"/>
                <w:color w:val="auto"/>
              </w:rPr>
            </w:pP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179.0</w:t>
            </w:r>
          </w:p>
        </w:tc>
        <w:tc>
          <w:tcPr>
            <w:tcW w:w="480" w:type="dxa"/>
            <w:vAlign w:val="bottom"/>
          </w:tcPr>
          <w:p>
            <w:pPr>
              <w:spacing w:after="0"/>
              <w:rPr>
                <w:sz w:val="18"/>
                <w:szCs w:val="18"/>
                <w:color w:val="auto"/>
              </w:rPr>
            </w:pP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0.3</w:t>
            </w:r>
          </w:p>
        </w:tc>
      </w:tr>
      <w:tr>
        <w:trPr>
          <w:trHeight w:val="28"/>
        </w:trPr>
        <w:tc>
          <w:tcPr>
            <w:tcW w:w="6300" w:type="dxa"/>
            <w:vAlign w:val="bottom"/>
            <w:tcBorders>
              <w:right w:val="single" w:sz="8" w:color="007CBA"/>
            </w:tcBorders>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630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Liabilites setled</w:t>
            </w:r>
          </w:p>
        </w:tc>
        <w:tc>
          <w:tcPr>
            <w:tcW w:w="500" w:type="dxa"/>
            <w:vAlign w:val="bottom"/>
            <w:tcBorders>
              <w:bottom w:val="single" w:sz="8" w:color="E5F1F8"/>
            </w:tcBorders>
            <w:shd w:val="clear" w:color="auto" w:fill="E5F1F8"/>
          </w:tcPr>
          <w:p>
            <w:pPr>
              <w:spacing w:after="0"/>
              <w:rPr>
                <w:sz w:val="19"/>
                <w:szCs w:val="19"/>
                <w:color w:val="auto"/>
              </w:rPr>
            </w:pPr>
          </w:p>
        </w:tc>
        <w:tc>
          <w:tcPr>
            <w:tcW w:w="1180" w:type="dxa"/>
            <w:vAlign w:val="bottom"/>
            <w:tcBorders>
              <w:bottom w:val="single" w:sz="8" w:color="E5F1F8"/>
              <w:right w:val="single" w:sz="8" w:color="007CBA"/>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(14.1 )</w:t>
            </w:r>
          </w:p>
        </w:tc>
        <w:tc>
          <w:tcPr>
            <w:tcW w:w="48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(5.2 )</w:t>
            </w:r>
          </w:p>
        </w:tc>
        <w:tc>
          <w:tcPr>
            <w:tcW w:w="48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(10.3 )</w:t>
            </w:r>
          </w:p>
        </w:tc>
      </w:tr>
      <w:tr>
        <w:trPr>
          <w:trHeight w:val="243"/>
        </w:trPr>
        <w:tc>
          <w:tcPr>
            <w:tcW w:w="63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Revisions in estmated cash fows</w:t>
            </w:r>
          </w:p>
        </w:tc>
        <w:tc>
          <w:tcPr>
            <w:tcW w:w="500" w:type="dxa"/>
            <w:vAlign w:val="bottom"/>
          </w:tcPr>
          <w:p>
            <w:pPr>
              <w:spacing w:after="0"/>
              <w:rPr>
                <w:sz w:val="21"/>
                <w:szCs w:val="21"/>
                <w:color w:val="auto"/>
              </w:rPr>
            </w:pPr>
          </w:p>
        </w:tc>
        <w:tc>
          <w:tcPr>
            <w:tcW w:w="118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b w:val="1"/>
                <w:bCs w:val="1"/>
                <w:color w:val="auto"/>
              </w:rPr>
              <w:t>(3.1 )</w:t>
            </w:r>
          </w:p>
        </w:tc>
        <w:tc>
          <w:tcPr>
            <w:tcW w:w="480" w:type="dxa"/>
            <w:vAlign w:val="bottom"/>
          </w:tcPr>
          <w:p>
            <w:pPr>
              <w:spacing w:after="0"/>
              <w:rPr>
                <w:sz w:val="21"/>
                <w:szCs w:val="21"/>
                <w:color w:val="auto"/>
              </w:rPr>
            </w:pP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3.5</w:t>
            </w:r>
          </w:p>
        </w:tc>
        <w:tc>
          <w:tcPr>
            <w:tcW w:w="480" w:type="dxa"/>
            <w:vAlign w:val="bottom"/>
          </w:tcPr>
          <w:p>
            <w:pPr>
              <w:spacing w:after="0"/>
              <w:rPr>
                <w:sz w:val="21"/>
                <w:szCs w:val="21"/>
                <w:color w:val="auto"/>
              </w:rPr>
            </w:pP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14.0</w:t>
            </w:r>
          </w:p>
        </w:tc>
      </w:tr>
      <w:tr>
        <w:trPr>
          <w:trHeight w:val="248"/>
        </w:trPr>
        <w:tc>
          <w:tcPr>
            <w:tcW w:w="630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Liabilites reclassifed from/(to) assets held for sale</w:t>
            </w:r>
          </w:p>
        </w:tc>
        <w:tc>
          <w:tcPr>
            <w:tcW w:w="500" w:type="dxa"/>
            <w:vAlign w:val="bottom"/>
            <w:tcBorders>
              <w:bottom w:val="single" w:sz="8" w:color="E5F1F8"/>
            </w:tcBorders>
            <w:shd w:val="clear" w:color="auto" w:fill="E5F1F8"/>
          </w:tcPr>
          <w:p>
            <w:pPr>
              <w:spacing w:after="0"/>
              <w:rPr>
                <w:sz w:val="21"/>
                <w:szCs w:val="21"/>
                <w:color w:val="auto"/>
              </w:rPr>
            </w:pPr>
          </w:p>
        </w:tc>
        <w:tc>
          <w:tcPr>
            <w:tcW w:w="118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1.2</w:t>
            </w:r>
          </w:p>
        </w:tc>
        <w:tc>
          <w:tcPr>
            <w:tcW w:w="48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(31.5 )</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08"/>
        </w:trPr>
        <w:tc>
          <w:tcPr>
            <w:tcW w:w="630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Balance at end of year</w:t>
            </w:r>
          </w:p>
        </w:tc>
        <w:tc>
          <w:tcPr>
            <w:tcW w:w="50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b w:val="1"/>
                <w:bCs w:val="1"/>
                <w:color w:val="auto"/>
              </w:rPr>
              <w:t>$</w:t>
            </w:r>
          </w:p>
        </w:tc>
        <w:tc>
          <w:tcPr>
            <w:tcW w:w="118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380.0</w:t>
            </w:r>
          </w:p>
        </w:tc>
        <w:tc>
          <w:tcPr>
            <w:tcW w:w="48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6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color w:val="auto"/>
              </w:rPr>
              <w:t>306.8</w:t>
            </w:r>
          </w:p>
        </w:tc>
        <w:tc>
          <w:tcPr>
            <w:tcW w:w="48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153.8</w:t>
            </w:r>
          </w:p>
        </w:tc>
      </w:tr>
      <w:tr>
        <w:trPr>
          <w:trHeight w:val="28"/>
        </w:trPr>
        <w:tc>
          <w:tcPr>
            <w:tcW w:w="6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3683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8">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spacing w:after="0" w:line="133"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b w:val="1"/>
          <w:bCs w:val="1"/>
          <w:i w:val="1"/>
          <w:iCs w:val="1"/>
          <w:color w:val="4EAD8A"/>
        </w:rPr>
        <w:t>Other Environmental Maters</w:t>
      </w:r>
      <w:r>
        <w:rPr>
          <w:rFonts w:ascii="Calibri" w:cs="Calibri" w:eastAsia="Calibri" w:hAnsi="Calibri"/>
          <w:sz w:val="17"/>
          <w:szCs w:val="17"/>
          <w:color w:val="4EAD8A"/>
        </w:rPr>
        <w:t>.</w:t>
      </w:r>
      <w:r>
        <w:rPr>
          <w:rFonts w:ascii="Calibri" w:cs="Calibri" w:eastAsia="Calibri" w:hAnsi="Calibri"/>
          <w:sz w:val="17"/>
          <w:szCs w:val="17"/>
          <w:b w:val="1"/>
          <w:bCs w:val="1"/>
          <w:i w:val="1"/>
          <w:iCs w:val="1"/>
          <w:color w:val="4EAD8A"/>
        </w:rPr>
        <w:t xml:space="preserve"> </w:t>
      </w:r>
      <w:r>
        <w:rPr>
          <w:rFonts w:ascii="Calibri" w:cs="Calibri" w:eastAsia="Calibri" w:hAnsi="Calibri"/>
          <w:sz w:val="17"/>
          <w:szCs w:val="17"/>
          <w:color w:val="000000"/>
        </w:rPr>
        <w:t>The Company’s operatons are subject to and afected by federal, state and local laws and regulatons relatng to the</w:t>
      </w:r>
      <w:r>
        <w:rPr>
          <w:rFonts w:ascii="Calibri" w:cs="Calibri" w:eastAsia="Calibri" w:hAnsi="Calibri"/>
          <w:sz w:val="17"/>
          <w:szCs w:val="17"/>
          <w:b w:val="1"/>
          <w:bCs w:val="1"/>
          <w:i w:val="1"/>
          <w:iCs w:val="1"/>
          <w:color w:val="4EAD8A"/>
        </w:rPr>
        <w:t xml:space="preserve"> </w:t>
      </w:r>
      <w:r>
        <w:rPr>
          <w:rFonts w:ascii="Calibri" w:cs="Calibri" w:eastAsia="Calibri" w:hAnsi="Calibri"/>
          <w:sz w:val="17"/>
          <w:szCs w:val="17"/>
          <w:color w:val="000000"/>
        </w:rPr>
        <w:t>environment, health and safety, and other regulatory maters. Certain of the Company’s operatons may, from tme to tme, involve the use of substances that are classifed as toxic or hazardous within the meaning of these laws and regulatons. Environmental operatng permits are, or may be, required for certain of the Company’s operatons, and such permits are subject to modifcaton, renewal and revocaton. The Company regularly monitors and reviews its operatons, procedures and policies for compliance with these laws and regulatons. Despite these compliance eforts, risk of environmental remediaton liability is inherent in the operaton of the Company’s businesses, as it is with other companies engaged in similar businesses. The Company has no material provisions for environmental remediaton liabilites and does not believe such liabilites will have a material adverse efect on the Company in the future.</w:t>
      </w:r>
    </w:p>
    <w:p>
      <w:pPr>
        <w:spacing w:after="0" w:line="9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4EAD8A"/>
        </w:rPr>
        <w:t xml:space="preserve">Insurance Reserves. </w:t>
      </w:r>
      <w:r>
        <w:rPr>
          <w:rFonts w:ascii="Calibri" w:cs="Calibri" w:eastAsia="Calibri" w:hAnsi="Calibri"/>
          <w:sz w:val="18"/>
          <w:szCs w:val="18"/>
          <w:color w:val="000000"/>
        </w:rPr>
        <w:t>At December 31, 2022 and 2021, reserves of $48.2 million and $42.0 million, respectvely, were recorded for insurance claims.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Leters of Credit. </w:t>
      </w:r>
      <w:r>
        <w:rPr>
          <w:rFonts w:ascii="Calibri" w:cs="Calibri" w:eastAsia="Calibri" w:hAnsi="Calibri"/>
          <w:sz w:val="18"/>
          <w:szCs w:val="18"/>
          <w:color w:val="000000"/>
        </w:rPr>
        <w:t>In the normal course of business, the Company provides certain third partes with standby leter of credit agreements guaranteeing its</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payment for certain insurance claims, contract performance and permit requirements. At December 31, 2022, the Company was contngently liable for $21.8 million in leters of credit.</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Surety Bonds. </w:t>
      </w:r>
      <w:r>
        <w:rPr>
          <w:rFonts w:ascii="Calibri" w:cs="Calibri" w:eastAsia="Calibri" w:hAnsi="Calibri"/>
          <w:sz w:val="18"/>
          <w:szCs w:val="18"/>
          <w:color w:val="000000"/>
        </w:rPr>
        <w:t>At December 31, 2022, the Company was contngently liable for $678.5 million in surety bonds required by certain states and municipalites</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and their related agencies. The bonds are provided in the normal course of business and are principally for certain insurance claims, constructon contracts, reclamaton obligatons and mining permits guaranteeing the Company’s 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6751320</wp:posOffset>
            </wp:positionH>
            <wp:positionV relativeFrom="paragraph">
              <wp:posOffset>92710</wp:posOffset>
            </wp:positionV>
            <wp:extent cx="325755" cy="19685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9">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9"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09" w:name="page110"/>
    <w:bookmarkEnd w:id="109"/>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performance. The Company has indemnifed the underwritng insurance company against any exposure under the surety bonds. In the Company’s past experience, no material claims have been made against these fnancial instruments.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Borrowing Arrangements with Afliate. </w:t>
      </w:r>
      <w:r>
        <w:rPr>
          <w:rFonts w:ascii="Calibri" w:cs="Calibri" w:eastAsia="Calibri" w:hAnsi="Calibri"/>
          <w:sz w:val="18"/>
          <w:szCs w:val="18"/>
          <w:color w:val="000000"/>
        </w:rPr>
        <w:t>The Company is a guarantor with an unconsolidated afliate for a $15.0 million revolving line of credit agreement</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with Truist Bank that has a maturity date of March 2024, of which $2.6 million was outstanding as of December 31, 2022. The afliate has agreed to reimburse and indemnify the Company for any payments and expenses the Company may incur from this agreement. The Company holds a lien on the afliate’s membership interest in a joint venture as collateral for payment under the revolving line of credit.</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At December 31, 2022 and 2021, the Company had a $6.0 million interest-only note receivable outstanding from this unconsolidated afliate. In January 2022, the partes extended the maturity date to December 31, 2024. The interest rate is one-month LIBOR plus a current spread of 1.625%.</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Purchase Commitments. </w:t>
      </w:r>
      <w:r>
        <w:rPr>
          <w:rFonts w:ascii="Calibri" w:cs="Calibri" w:eastAsia="Calibri" w:hAnsi="Calibri"/>
          <w:sz w:val="18"/>
          <w:szCs w:val="18"/>
          <w:color w:val="000000"/>
        </w:rPr>
        <w:t>The Company had purchase commitments for property, plant and equipment of $130.4 million as of December 31, 2022. The</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Company also had other purchase obligatons related to energy and service contracts of $198.1 million as of December 31, 2022. The Company’s contractual purchase commitments as of December 31, 2022 are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74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color w:val="FFFFFF"/>
              </w:rPr>
              <w:t>(in millions)</w:t>
            </w:r>
          </w:p>
        </w:tc>
        <w:tc>
          <w:tcPr>
            <w:tcW w:w="1180" w:type="dxa"/>
            <w:vAlign w:val="bottom"/>
            <w:shd w:val="clear" w:color="auto" w:fill="007CBA"/>
          </w:tcPr>
          <w:p>
            <w:pPr>
              <w:spacing w:after="0"/>
              <w:rPr>
                <w:sz w:val="21"/>
                <w:szCs w:val="21"/>
                <w:color w:val="auto"/>
              </w:rPr>
            </w:pPr>
          </w:p>
        </w:tc>
        <w:tc>
          <w:tcPr>
            <w:tcW w:w="1320" w:type="dxa"/>
            <w:vAlign w:val="bottom"/>
            <w:shd w:val="clear" w:color="auto" w:fill="007CBA"/>
          </w:tcPr>
          <w:p>
            <w:pPr>
              <w:spacing w:after="0"/>
              <w:rPr>
                <w:sz w:val="21"/>
                <w:szCs w:val="21"/>
                <w:color w:val="auto"/>
              </w:rPr>
            </w:pPr>
          </w:p>
        </w:tc>
      </w:tr>
      <w:tr>
        <w:trPr>
          <w:trHeight w:val="215"/>
        </w:trPr>
        <w:tc>
          <w:tcPr>
            <w:tcW w:w="87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2023</w:t>
            </w:r>
          </w:p>
        </w:tc>
        <w:tc>
          <w:tcPr>
            <w:tcW w:w="1180" w:type="dxa"/>
            <w:vAlign w:val="bottom"/>
          </w:tcPr>
          <w:p>
            <w:pPr>
              <w:jc w:val="right"/>
              <w:ind w:right="690"/>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196.2</w:t>
            </w:r>
          </w:p>
        </w:tc>
      </w:tr>
      <w:tr>
        <w:trPr>
          <w:trHeight w:val="28"/>
        </w:trPr>
        <w:tc>
          <w:tcPr>
            <w:tcW w:w="8740" w:type="dxa"/>
            <w:vAlign w:val="bottom"/>
            <w:tcBorders>
              <w:right w:val="single" w:sz="8" w:color="007CBA"/>
            </w:tcBorders>
          </w:tcPr>
          <w:p>
            <w:pPr>
              <w:spacing w:after="0"/>
              <w:rPr>
                <w:sz w:val="2"/>
                <w:szCs w:val="2"/>
                <w:color w:val="auto"/>
              </w:rPr>
            </w:pPr>
          </w:p>
        </w:tc>
        <w:tc>
          <w:tcPr>
            <w:tcW w:w="1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3"/>
        </w:trPr>
        <w:tc>
          <w:tcPr>
            <w:tcW w:w="874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2024</w:t>
            </w:r>
          </w:p>
        </w:tc>
        <w:tc>
          <w:tcPr>
            <w:tcW w:w="1180" w:type="dxa"/>
            <w:vAlign w:val="bottom"/>
            <w:tcBorders>
              <w:bottom w:val="single" w:sz="8" w:color="E5F1F8"/>
            </w:tcBorders>
            <w:shd w:val="clear" w:color="auto" w:fill="E5F1F8"/>
          </w:tcPr>
          <w:p>
            <w:pPr>
              <w:spacing w:after="0"/>
              <w:rPr>
                <w:sz w:val="19"/>
                <w:szCs w:val="19"/>
                <w:color w:val="auto"/>
              </w:rPr>
            </w:pPr>
          </w:p>
        </w:tc>
        <w:tc>
          <w:tcPr>
            <w:tcW w:w="13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35.0</w:t>
            </w:r>
          </w:p>
        </w:tc>
      </w:tr>
      <w:tr>
        <w:trPr>
          <w:trHeight w:val="215"/>
        </w:trPr>
        <w:tc>
          <w:tcPr>
            <w:tcW w:w="87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2025</w:t>
            </w:r>
          </w:p>
        </w:tc>
        <w:tc>
          <w:tcPr>
            <w:tcW w:w="1180" w:type="dxa"/>
            <w:vAlign w:val="bottom"/>
          </w:tcPr>
          <w:p>
            <w:pPr>
              <w:spacing w:after="0"/>
              <w:rPr>
                <w:sz w:val="18"/>
                <w:szCs w:val="18"/>
                <w:color w:val="auto"/>
              </w:rPr>
            </w:pPr>
          </w:p>
        </w:tc>
        <w:tc>
          <w:tcPr>
            <w:tcW w:w="13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24.8</w:t>
            </w:r>
          </w:p>
        </w:tc>
      </w:tr>
      <w:tr>
        <w:trPr>
          <w:trHeight w:val="28"/>
        </w:trPr>
        <w:tc>
          <w:tcPr>
            <w:tcW w:w="8740" w:type="dxa"/>
            <w:vAlign w:val="bottom"/>
            <w:tcBorders>
              <w:right w:val="single" w:sz="8" w:color="007CBA"/>
            </w:tcBorders>
          </w:tcPr>
          <w:p>
            <w:pPr>
              <w:spacing w:after="0"/>
              <w:rPr>
                <w:sz w:val="2"/>
                <w:szCs w:val="2"/>
                <w:color w:val="auto"/>
              </w:rPr>
            </w:pPr>
          </w:p>
        </w:tc>
        <w:tc>
          <w:tcPr>
            <w:tcW w:w="1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3"/>
        </w:trPr>
        <w:tc>
          <w:tcPr>
            <w:tcW w:w="874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2026</w:t>
            </w:r>
          </w:p>
        </w:tc>
        <w:tc>
          <w:tcPr>
            <w:tcW w:w="1180" w:type="dxa"/>
            <w:vAlign w:val="bottom"/>
            <w:tcBorders>
              <w:bottom w:val="single" w:sz="8" w:color="E5F1F8"/>
            </w:tcBorders>
            <w:shd w:val="clear" w:color="auto" w:fill="E5F1F8"/>
          </w:tcPr>
          <w:p>
            <w:pPr>
              <w:spacing w:after="0"/>
              <w:rPr>
                <w:sz w:val="19"/>
                <w:szCs w:val="19"/>
                <w:color w:val="auto"/>
              </w:rPr>
            </w:pPr>
          </w:p>
        </w:tc>
        <w:tc>
          <w:tcPr>
            <w:tcW w:w="13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10.5</w:t>
            </w:r>
          </w:p>
        </w:tc>
      </w:tr>
      <w:tr>
        <w:trPr>
          <w:trHeight w:val="243"/>
        </w:trPr>
        <w:tc>
          <w:tcPr>
            <w:tcW w:w="87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2027</w:t>
            </w:r>
          </w:p>
        </w:tc>
        <w:tc>
          <w:tcPr>
            <w:tcW w:w="1180" w:type="dxa"/>
            <w:vAlign w:val="bottom"/>
          </w:tcPr>
          <w:p>
            <w:pPr>
              <w:spacing w:after="0"/>
              <w:rPr>
                <w:sz w:val="21"/>
                <w:szCs w:val="21"/>
                <w:color w:val="auto"/>
              </w:rPr>
            </w:pPr>
          </w:p>
        </w:tc>
        <w:tc>
          <w:tcPr>
            <w:tcW w:w="13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8.5</w:t>
            </w:r>
          </w:p>
        </w:tc>
      </w:tr>
      <w:tr>
        <w:trPr>
          <w:trHeight w:val="248"/>
        </w:trPr>
        <w:tc>
          <w:tcPr>
            <w:tcW w:w="874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Thereafer</w:t>
            </w:r>
          </w:p>
        </w:tc>
        <w:tc>
          <w:tcPr>
            <w:tcW w:w="1180" w:type="dxa"/>
            <w:vAlign w:val="bottom"/>
            <w:tcBorders>
              <w:bottom w:val="single" w:sz="8" w:color="E5F1F8"/>
            </w:tcBorders>
            <w:shd w:val="clear" w:color="auto" w:fill="E5F1F8"/>
          </w:tcPr>
          <w:p>
            <w:pPr>
              <w:spacing w:after="0"/>
              <w:rPr>
                <w:sz w:val="21"/>
                <w:szCs w:val="21"/>
                <w:color w:val="auto"/>
              </w:rPr>
            </w:pPr>
          </w:p>
        </w:tc>
        <w:tc>
          <w:tcPr>
            <w:tcW w:w="13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53.5</w:t>
            </w:r>
          </w:p>
        </w:tc>
      </w:tr>
      <w:tr>
        <w:trPr>
          <w:trHeight w:val="208"/>
        </w:trPr>
        <w:tc>
          <w:tcPr>
            <w:tcW w:w="874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w:t>
            </w:r>
          </w:p>
        </w:tc>
        <w:tc>
          <w:tcPr>
            <w:tcW w:w="1180" w:type="dxa"/>
            <w:vAlign w:val="bottom"/>
            <w:tcBorders>
              <w:top w:val="single" w:sz="8" w:color="auto"/>
            </w:tcBorders>
          </w:tcPr>
          <w:p>
            <w:pPr>
              <w:jc w:val="right"/>
              <w:ind w:right="690"/>
              <w:spacing w:after="0" w:line="208" w:lineRule="exact"/>
              <w:rPr>
                <w:sz w:val="20"/>
                <w:szCs w:val="20"/>
                <w:color w:val="auto"/>
              </w:rPr>
            </w:pPr>
            <w:r>
              <w:rPr>
                <w:rFonts w:ascii="Calibri" w:cs="Calibri" w:eastAsia="Calibri" w:hAnsi="Calibri"/>
                <w:sz w:val="18"/>
                <w:szCs w:val="18"/>
                <w:color w:val="auto"/>
              </w:rPr>
              <w:t>$</w:t>
            </w:r>
          </w:p>
        </w:tc>
        <w:tc>
          <w:tcPr>
            <w:tcW w:w="132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328.5</w:t>
            </w:r>
          </w:p>
        </w:tc>
      </w:tr>
      <w:tr>
        <w:trPr>
          <w:trHeight w:val="28"/>
        </w:trPr>
        <w:tc>
          <w:tcPr>
            <w:tcW w:w="87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7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3683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1">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spacing w:after="0" w:line="1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Capital expenditures in 2022, 2021 and 2020 that were purchase commitments as of the prior year end were $89.6 million, $99.0 million and $77.0 million, respectvely.</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In October 2022, the Company entered into a commitment for 691 railcars at an aggregate value of $75.8 million.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Contracts of Afreightment and Royalty Commitments. </w:t>
      </w:r>
      <w:r>
        <w:rPr>
          <w:rFonts w:ascii="Calibri" w:cs="Calibri" w:eastAsia="Calibri" w:hAnsi="Calibri"/>
          <w:sz w:val="18"/>
          <w:szCs w:val="18"/>
          <w:color w:val="000000"/>
        </w:rPr>
        <w:t>Future minimum contracts of afreightment and royalty commitments for all noncancelable</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agreements that are not accounted for as leases on the Company’s consolidated balance sheet as of December 31, 2022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080" w:type="dxa"/>
            <w:vAlign w:val="bottom"/>
            <w:tcBorders>
              <w:right w:val="single" w:sz="8" w:color="007CBA"/>
            </w:tcBorders>
            <w:shd w:val="clear" w:color="auto" w:fill="007CBA"/>
          </w:tcPr>
          <w:p>
            <w:pPr>
              <w:spacing w:after="0"/>
              <w:rPr>
                <w:sz w:val="19"/>
                <w:szCs w:val="19"/>
                <w:color w:val="auto"/>
              </w:rPr>
            </w:pPr>
          </w:p>
        </w:tc>
        <w:tc>
          <w:tcPr>
            <w:tcW w:w="1640" w:type="dxa"/>
            <w:vAlign w:val="bottom"/>
            <w:shd w:val="clear" w:color="auto" w:fill="007CBA"/>
          </w:tcPr>
          <w:p>
            <w:pPr>
              <w:jc w:val="right"/>
              <w:ind w:right="10"/>
              <w:spacing w:after="0"/>
              <w:rPr>
                <w:sz w:val="20"/>
                <w:szCs w:val="20"/>
                <w:color w:val="auto"/>
              </w:rPr>
            </w:pPr>
            <w:r>
              <w:rPr>
                <w:rFonts w:ascii="Calibri" w:cs="Calibri" w:eastAsia="Calibri" w:hAnsi="Calibri"/>
                <w:sz w:val="18"/>
                <w:szCs w:val="18"/>
                <w:b w:val="1"/>
                <w:bCs w:val="1"/>
                <w:color w:val="FFFFFF"/>
              </w:rPr>
              <w:t>Contracts of</w:t>
            </w:r>
          </w:p>
        </w:tc>
        <w:tc>
          <w:tcPr>
            <w:tcW w:w="460" w:type="dxa"/>
            <w:vAlign w:val="bottom"/>
            <w:tcBorders>
              <w:right w:val="single" w:sz="8" w:color="007CBA"/>
            </w:tcBorders>
            <w:shd w:val="clear" w:color="auto" w:fill="007CBA"/>
          </w:tcPr>
          <w:p>
            <w:pPr>
              <w:spacing w:after="0"/>
              <w:rPr>
                <w:sz w:val="19"/>
                <w:szCs w:val="19"/>
                <w:color w:val="auto"/>
              </w:rPr>
            </w:pPr>
          </w:p>
        </w:tc>
        <w:tc>
          <w:tcPr>
            <w:tcW w:w="460" w:type="dxa"/>
            <w:vAlign w:val="bottom"/>
            <w:shd w:val="clear" w:color="auto" w:fill="007CBA"/>
          </w:tcPr>
          <w:p>
            <w:pPr>
              <w:spacing w:after="0"/>
              <w:rPr>
                <w:sz w:val="19"/>
                <w:szCs w:val="19"/>
                <w:color w:val="auto"/>
              </w:rPr>
            </w:pPr>
          </w:p>
        </w:tc>
        <w:tc>
          <w:tcPr>
            <w:tcW w:w="1600" w:type="dxa"/>
            <w:vAlign w:val="bottom"/>
            <w:shd w:val="clear" w:color="auto" w:fill="007CBA"/>
          </w:tcPr>
          <w:p>
            <w:pPr>
              <w:jc w:val="right"/>
              <w:ind w:right="610"/>
              <w:spacing w:after="0"/>
              <w:rPr>
                <w:sz w:val="20"/>
                <w:szCs w:val="20"/>
                <w:color w:val="auto"/>
              </w:rPr>
            </w:pPr>
            <w:r>
              <w:rPr>
                <w:rFonts w:ascii="Calibri" w:cs="Calibri" w:eastAsia="Calibri" w:hAnsi="Calibri"/>
                <w:sz w:val="18"/>
                <w:szCs w:val="18"/>
                <w:b w:val="1"/>
                <w:bCs w:val="1"/>
                <w:color w:val="FFFFFF"/>
              </w:rPr>
              <w:t>Royalty</w:t>
            </w:r>
          </w:p>
        </w:tc>
      </w:tr>
      <w:tr>
        <w:trPr>
          <w:trHeight w:val="245"/>
        </w:trPr>
        <w:tc>
          <w:tcPr>
            <w:tcW w:w="708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1640" w:type="dxa"/>
            <w:vAlign w:val="bottom"/>
            <w:tcBorders>
              <w:bottom w:val="single" w:sz="8" w:color="007CBA"/>
            </w:tcBorders>
            <w:shd w:val="clear" w:color="auto" w:fill="007CBA"/>
          </w:tcPr>
          <w:p>
            <w:pPr>
              <w:jc w:val="right"/>
              <w:spacing w:after="0" w:line="215" w:lineRule="exact"/>
              <w:rPr>
                <w:sz w:val="20"/>
                <w:szCs w:val="20"/>
                <w:color w:val="auto"/>
              </w:rPr>
            </w:pPr>
            <w:r>
              <w:rPr>
                <w:rFonts w:ascii="Calibri" w:cs="Calibri" w:eastAsia="Calibri" w:hAnsi="Calibri"/>
                <w:sz w:val="18"/>
                <w:szCs w:val="18"/>
                <w:b w:val="1"/>
                <w:bCs w:val="1"/>
                <w:color w:val="FFFFFF"/>
              </w:rPr>
              <w:t>Afreightment</w:t>
            </w:r>
          </w:p>
        </w:tc>
        <w:tc>
          <w:tcPr>
            <w:tcW w:w="460" w:type="dxa"/>
            <w:vAlign w:val="bottom"/>
            <w:tcBorders>
              <w:bottom w:val="single" w:sz="8" w:color="007CBA"/>
              <w:right w:val="single" w:sz="8" w:color="007CBA"/>
            </w:tcBorders>
            <w:shd w:val="clear" w:color="auto" w:fill="007CBA"/>
          </w:tcPr>
          <w:p>
            <w:pPr>
              <w:spacing w:after="0"/>
              <w:rPr>
                <w:sz w:val="21"/>
                <w:szCs w:val="21"/>
                <w:color w:val="auto"/>
              </w:rPr>
            </w:pPr>
          </w:p>
        </w:tc>
        <w:tc>
          <w:tcPr>
            <w:tcW w:w="460" w:type="dxa"/>
            <w:vAlign w:val="bottom"/>
            <w:tcBorders>
              <w:bottom w:val="single" w:sz="8" w:color="007CBA"/>
            </w:tcBorders>
            <w:shd w:val="clear" w:color="auto" w:fill="007CBA"/>
          </w:tcPr>
          <w:p>
            <w:pPr>
              <w:spacing w:after="0"/>
              <w:rPr>
                <w:sz w:val="21"/>
                <w:szCs w:val="21"/>
                <w:color w:val="auto"/>
              </w:rPr>
            </w:pPr>
          </w:p>
        </w:tc>
        <w:tc>
          <w:tcPr>
            <w:tcW w:w="1600" w:type="dxa"/>
            <w:vAlign w:val="bottom"/>
            <w:tcBorders>
              <w:bottom w:val="single" w:sz="8" w:color="007CBA"/>
            </w:tcBorders>
            <w:shd w:val="clear" w:color="auto" w:fill="007CBA"/>
          </w:tcPr>
          <w:p>
            <w:pPr>
              <w:jc w:val="right"/>
              <w:ind w:right="370"/>
              <w:spacing w:after="0" w:line="215" w:lineRule="exact"/>
              <w:rPr>
                <w:sz w:val="20"/>
                <w:szCs w:val="20"/>
                <w:color w:val="auto"/>
              </w:rPr>
            </w:pPr>
            <w:r>
              <w:rPr>
                <w:rFonts w:ascii="Calibri" w:cs="Calibri" w:eastAsia="Calibri" w:hAnsi="Calibri"/>
                <w:sz w:val="18"/>
                <w:szCs w:val="18"/>
                <w:b w:val="1"/>
                <w:bCs w:val="1"/>
                <w:color w:val="FFFFFF"/>
              </w:rPr>
              <w:t>Commitments</w:t>
            </w:r>
          </w:p>
        </w:tc>
      </w:tr>
      <w:tr>
        <w:trPr>
          <w:trHeight w:val="215"/>
        </w:trPr>
        <w:tc>
          <w:tcPr>
            <w:tcW w:w="70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2023</w:t>
            </w:r>
          </w:p>
        </w:tc>
        <w:tc>
          <w:tcPr>
            <w:tcW w:w="1640" w:type="dxa"/>
            <w:vAlign w:val="bottom"/>
          </w:tcPr>
          <w:p>
            <w:pPr>
              <w:jc w:val="right"/>
              <w:ind w:right="1210"/>
              <w:spacing w:after="0" w:line="215" w:lineRule="exact"/>
              <w:rPr>
                <w:sz w:val="20"/>
                <w:szCs w:val="20"/>
                <w:color w:val="auto"/>
              </w:rPr>
            </w:pPr>
            <w:r>
              <w:rPr>
                <w:rFonts w:ascii="Calibri" w:cs="Calibri" w:eastAsia="Calibri" w:hAnsi="Calibri"/>
                <w:sz w:val="18"/>
                <w:szCs w:val="18"/>
                <w:color w:val="auto"/>
              </w:rPr>
              <w:t>$</w:t>
            </w:r>
          </w:p>
        </w:tc>
        <w:tc>
          <w:tcPr>
            <w:tcW w:w="4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28.1</w:t>
            </w:r>
          </w:p>
        </w:tc>
        <w:tc>
          <w:tcPr>
            <w:tcW w:w="4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6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24.1</w:t>
            </w:r>
          </w:p>
        </w:tc>
      </w:tr>
      <w:tr>
        <w:trPr>
          <w:trHeight w:val="28"/>
        </w:trPr>
        <w:tc>
          <w:tcPr>
            <w:tcW w:w="7080" w:type="dxa"/>
            <w:vAlign w:val="bottom"/>
            <w:tcBorders>
              <w:right w:val="single" w:sz="8" w:color="007CBA"/>
            </w:tcBorders>
          </w:tcPr>
          <w:p>
            <w:pPr>
              <w:spacing w:after="0"/>
              <w:rPr>
                <w:sz w:val="2"/>
                <w:szCs w:val="2"/>
                <w:color w:val="auto"/>
              </w:rPr>
            </w:pPr>
          </w:p>
        </w:tc>
        <w:tc>
          <w:tcPr>
            <w:tcW w:w="1640" w:type="dxa"/>
            <w:vAlign w:val="bottom"/>
          </w:tcPr>
          <w:p>
            <w:pPr>
              <w:spacing w:after="0"/>
              <w:rPr>
                <w:sz w:val="2"/>
                <w:szCs w:val="2"/>
                <w:color w:val="auto"/>
              </w:rPr>
            </w:pPr>
          </w:p>
        </w:tc>
        <w:tc>
          <w:tcPr>
            <w:tcW w:w="46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3"/>
        </w:trPr>
        <w:tc>
          <w:tcPr>
            <w:tcW w:w="708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2024</w:t>
            </w:r>
          </w:p>
        </w:tc>
        <w:tc>
          <w:tcPr>
            <w:tcW w:w="1640" w:type="dxa"/>
            <w:vAlign w:val="bottom"/>
            <w:tcBorders>
              <w:bottom w:val="single" w:sz="8" w:color="E5F1F8"/>
            </w:tcBorders>
            <w:shd w:val="clear" w:color="auto" w:fill="E5F1F8"/>
          </w:tcPr>
          <w:p>
            <w:pPr>
              <w:spacing w:after="0"/>
              <w:rPr>
                <w:sz w:val="19"/>
                <w:szCs w:val="19"/>
                <w:color w:val="auto"/>
              </w:rPr>
            </w:pPr>
          </w:p>
        </w:tc>
        <w:tc>
          <w:tcPr>
            <w:tcW w:w="46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16.9</w:t>
            </w:r>
          </w:p>
        </w:tc>
        <w:tc>
          <w:tcPr>
            <w:tcW w:w="460" w:type="dxa"/>
            <w:vAlign w:val="bottom"/>
            <w:tcBorders>
              <w:bottom w:val="single" w:sz="8" w:color="E5F1F8"/>
            </w:tcBorders>
            <w:shd w:val="clear" w:color="auto" w:fill="E5F1F8"/>
          </w:tcPr>
          <w:p>
            <w:pPr>
              <w:spacing w:after="0"/>
              <w:rPr>
                <w:sz w:val="19"/>
                <w:szCs w:val="19"/>
                <w:color w:val="auto"/>
              </w:rPr>
            </w:pPr>
          </w:p>
        </w:tc>
        <w:tc>
          <w:tcPr>
            <w:tcW w:w="160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15.4</w:t>
            </w:r>
          </w:p>
        </w:tc>
      </w:tr>
      <w:tr>
        <w:trPr>
          <w:trHeight w:val="215"/>
        </w:trPr>
        <w:tc>
          <w:tcPr>
            <w:tcW w:w="70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2025</w:t>
            </w:r>
          </w:p>
        </w:tc>
        <w:tc>
          <w:tcPr>
            <w:tcW w:w="1640" w:type="dxa"/>
            <w:vAlign w:val="bottom"/>
          </w:tcPr>
          <w:p>
            <w:pPr>
              <w:spacing w:after="0"/>
              <w:rPr>
                <w:sz w:val="18"/>
                <w:szCs w:val="18"/>
                <w:color w:val="auto"/>
              </w:rPr>
            </w:pPr>
          </w:p>
        </w:tc>
        <w:tc>
          <w:tcPr>
            <w:tcW w:w="4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17.1</w:t>
            </w:r>
          </w:p>
        </w:tc>
        <w:tc>
          <w:tcPr>
            <w:tcW w:w="460" w:type="dxa"/>
            <w:vAlign w:val="bottom"/>
          </w:tcPr>
          <w:p>
            <w:pPr>
              <w:spacing w:after="0"/>
              <w:rPr>
                <w:sz w:val="18"/>
                <w:szCs w:val="18"/>
                <w:color w:val="auto"/>
              </w:rPr>
            </w:pPr>
          </w:p>
        </w:tc>
        <w:tc>
          <w:tcPr>
            <w:tcW w:w="16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12.8</w:t>
            </w:r>
          </w:p>
        </w:tc>
      </w:tr>
      <w:tr>
        <w:trPr>
          <w:trHeight w:val="28"/>
        </w:trPr>
        <w:tc>
          <w:tcPr>
            <w:tcW w:w="7080" w:type="dxa"/>
            <w:vAlign w:val="bottom"/>
            <w:tcBorders>
              <w:right w:val="single" w:sz="8" w:color="007CBA"/>
            </w:tcBorders>
          </w:tcPr>
          <w:p>
            <w:pPr>
              <w:spacing w:after="0"/>
              <w:rPr>
                <w:sz w:val="2"/>
                <w:szCs w:val="2"/>
                <w:color w:val="auto"/>
              </w:rPr>
            </w:pPr>
          </w:p>
        </w:tc>
        <w:tc>
          <w:tcPr>
            <w:tcW w:w="1640" w:type="dxa"/>
            <w:vAlign w:val="bottom"/>
          </w:tcPr>
          <w:p>
            <w:pPr>
              <w:spacing w:after="0"/>
              <w:rPr>
                <w:sz w:val="2"/>
                <w:szCs w:val="2"/>
                <w:color w:val="auto"/>
              </w:rPr>
            </w:pPr>
          </w:p>
        </w:tc>
        <w:tc>
          <w:tcPr>
            <w:tcW w:w="46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3"/>
        </w:trPr>
        <w:tc>
          <w:tcPr>
            <w:tcW w:w="708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2026</w:t>
            </w:r>
          </w:p>
        </w:tc>
        <w:tc>
          <w:tcPr>
            <w:tcW w:w="1640" w:type="dxa"/>
            <w:vAlign w:val="bottom"/>
            <w:tcBorders>
              <w:bottom w:val="single" w:sz="8" w:color="E5F1F8"/>
            </w:tcBorders>
            <w:shd w:val="clear" w:color="auto" w:fill="E5F1F8"/>
          </w:tcPr>
          <w:p>
            <w:pPr>
              <w:spacing w:after="0"/>
              <w:rPr>
                <w:sz w:val="19"/>
                <w:szCs w:val="19"/>
                <w:color w:val="auto"/>
              </w:rPr>
            </w:pPr>
          </w:p>
        </w:tc>
        <w:tc>
          <w:tcPr>
            <w:tcW w:w="46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17.4</w:t>
            </w:r>
          </w:p>
        </w:tc>
        <w:tc>
          <w:tcPr>
            <w:tcW w:w="460" w:type="dxa"/>
            <w:vAlign w:val="bottom"/>
            <w:tcBorders>
              <w:bottom w:val="single" w:sz="8" w:color="E5F1F8"/>
            </w:tcBorders>
            <w:shd w:val="clear" w:color="auto" w:fill="E5F1F8"/>
          </w:tcPr>
          <w:p>
            <w:pPr>
              <w:spacing w:after="0"/>
              <w:rPr>
                <w:sz w:val="19"/>
                <w:szCs w:val="19"/>
                <w:color w:val="auto"/>
              </w:rPr>
            </w:pPr>
          </w:p>
        </w:tc>
        <w:tc>
          <w:tcPr>
            <w:tcW w:w="160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10.9</w:t>
            </w:r>
          </w:p>
        </w:tc>
      </w:tr>
      <w:tr>
        <w:trPr>
          <w:trHeight w:val="243"/>
        </w:trPr>
        <w:tc>
          <w:tcPr>
            <w:tcW w:w="70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2027</w:t>
            </w:r>
          </w:p>
        </w:tc>
        <w:tc>
          <w:tcPr>
            <w:tcW w:w="1640" w:type="dxa"/>
            <w:vAlign w:val="bottom"/>
          </w:tcPr>
          <w:p>
            <w:pPr>
              <w:spacing w:after="0"/>
              <w:rPr>
                <w:sz w:val="21"/>
                <w:szCs w:val="21"/>
                <w:color w:val="auto"/>
              </w:rPr>
            </w:pPr>
          </w:p>
        </w:tc>
        <w:tc>
          <w:tcPr>
            <w:tcW w:w="4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17.7</w:t>
            </w:r>
          </w:p>
        </w:tc>
        <w:tc>
          <w:tcPr>
            <w:tcW w:w="460" w:type="dxa"/>
            <w:vAlign w:val="bottom"/>
          </w:tcPr>
          <w:p>
            <w:pPr>
              <w:spacing w:after="0"/>
              <w:rPr>
                <w:sz w:val="21"/>
                <w:szCs w:val="21"/>
                <w:color w:val="auto"/>
              </w:rPr>
            </w:pPr>
          </w:p>
        </w:tc>
        <w:tc>
          <w:tcPr>
            <w:tcW w:w="16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10.3</w:t>
            </w:r>
          </w:p>
        </w:tc>
      </w:tr>
      <w:tr>
        <w:trPr>
          <w:trHeight w:val="248"/>
        </w:trPr>
        <w:tc>
          <w:tcPr>
            <w:tcW w:w="708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Thereafer</w:t>
            </w:r>
          </w:p>
        </w:tc>
        <w:tc>
          <w:tcPr>
            <w:tcW w:w="1640" w:type="dxa"/>
            <w:vAlign w:val="bottom"/>
            <w:tcBorders>
              <w:bottom w:val="single" w:sz="8" w:color="E5F1F8"/>
            </w:tcBorders>
            <w:shd w:val="clear" w:color="auto" w:fill="E5F1F8"/>
          </w:tcPr>
          <w:p>
            <w:pPr>
              <w:spacing w:after="0"/>
              <w:rPr>
                <w:sz w:val="21"/>
                <w:szCs w:val="21"/>
                <w:color w:val="auto"/>
              </w:rPr>
            </w:pPr>
          </w:p>
        </w:tc>
        <w:tc>
          <w:tcPr>
            <w:tcW w:w="46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460" w:type="dxa"/>
            <w:vAlign w:val="bottom"/>
            <w:tcBorders>
              <w:bottom w:val="single" w:sz="8" w:color="E5F1F8"/>
            </w:tcBorders>
            <w:shd w:val="clear" w:color="auto" w:fill="E5F1F8"/>
          </w:tcPr>
          <w:p>
            <w:pPr>
              <w:spacing w:after="0"/>
              <w:rPr>
                <w:sz w:val="21"/>
                <w:szCs w:val="21"/>
                <w:color w:val="auto"/>
              </w:rPr>
            </w:pPr>
          </w:p>
        </w:tc>
        <w:tc>
          <w:tcPr>
            <w:tcW w:w="160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82.8</w:t>
            </w:r>
          </w:p>
        </w:tc>
      </w:tr>
      <w:tr>
        <w:trPr>
          <w:trHeight w:val="208"/>
        </w:trPr>
        <w:tc>
          <w:tcPr>
            <w:tcW w:w="708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w:t>
            </w:r>
          </w:p>
        </w:tc>
        <w:tc>
          <w:tcPr>
            <w:tcW w:w="1640" w:type="dxa"/>
            <w:vAlign w:val="bottom"/>
            <w:tcBorders>
              <w:top w:val="single" w:sz="8" w:color="auto"/>
            </w:tcBorders>
          </w:tcPr>
          <w:p>
            <w:pPr>
              <w:jc w:val="right"/>
              <w:ind w:right="1210"/>
              <w:spacing w:after="0" w:line="208" w:lineRule="exact"/>
              <w:rPr>
                <w:sz w:val="20"/>
                <w:szCs w:val="20"/>
                <w:color w:val="auto"/>
              </w:rPr>
            </w:pPr>
            <w:r>
              <w:rPr>
                <w:rFonts w:ascii="Calibri" w:cs="Calibri" w:eastAsia="Calibri" w:hAnsi="Calibri"/>
                <w:sz w:val="18"/>
                <w:szCs w:val="18"/>
                <w:color w:val="auto"/>
              </w:rPr>
              <w:t>$</w:t>
            </w:r>
          </w:p>
        </w:tc>
        <w:tc>
          <w:tcPr>
            <w:tcW w:w="4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97.2</w:t>
            </w:r>
          </w:p>
        </w:tc>
        <w:tc>
          <w:tcPr>
            <w:tcW w:w="46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color w:val="auto"/>
              </w:rPr>
              <w:t>$</w:t>
            </w:r>
          </w:p>
        </w:tc>
        <w:tc>
          <w:tcPr>
            <w:tcW w:w="160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156.3</w:t>
            </w:r>
          </w:p>
        </w:tc>
      </w:tr>
      <w:tr>
        <w:trPr>
          <w:trHeight w:val="28"/>
        </w:trPr>
        <w:tc>
          <w:tcPr>
            <w:tcW w:w="70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70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-1122680</wp:posOffset>
            </wp:positionV>
            <wp:extent cx="7132320" cy="16256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3683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3">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spacing w:after="0" w:line="13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Employees. </w:t>
      </w:r>
      <w:r>
        <w:rPr>
          <w:rFonts w:ascii="Calibri" w:cs="Calibri" w:eastAsia="Calibri" w:hAnsi="Calibri"/>
          <w:sz w:val="18"/>
          <w:szCs w:val="18"/>
          <w:color w:val="000000"/>
        </w:rPr>
        <w:t>Approximately 13% of the Company’s employees are represented by a labor union. All such employees are hourly employees. The Company</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maintains collectve bargaining agreements relatng to the union employees within the Building Materials business and Magnesia Specialtes segment. All of the hourly employees of the Magnesia Specialtes segment, located in Manistee, Michigan, and Woodville, Ohio, are represented by labor unions. The Woodville collectve bargaining agreement expires in June 2026. The Manistee collectve bargaining agreement expires in August 2027.</w:t>
      </w:r>
    </w:p>
    <w:p>
      <w:pPr>
        <w:spacing w:after="0" w:line="21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P: Segments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2022, the Building Materials business is comprised of four divisions that represent individual operatng segments. These operatng segments are consolidated into two reportable segments, the East Group and the West Group, for fnancial reportng purposes as they meet the aggregaton criteria. The Magnesia Specialtes business represents an individual operatng and reportable segment. The accountng policies used for segment reportng are the same as those described in Note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6751320</wp:posOffset>
            </wp:positionH>
            <wp:positionV relativeFrom="paragraph">
              <wp:posOffset>93345</wp:posOffset>
            </wp:positionV>
            <wp:extent cx="325755" cy="19685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4">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0" w:name="page111"/>
    <w:bookmarkEnd w:id="110"/>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Chief Operatng Decision Maker’s evaluaton of performance and allocaton of resources are based primarily on earnings from operatons. Consolidated earnings from operatons include total revenues less cost of revenues; selling, general and administratve expenses; acquisiton and integraton expenses; other operatng income and expenses, net; and exclude interest expense; other nonoperatng income and expenses, net; and income tax expense. Corporate loss from operatons primarily includes depreciaton; expenses for corporate administratve functons; acquisiton and integraton expenses; and other nonrecurring income and expenses not atributable to operatons of the Company's other operatng segments. All long-term debt and related interest expense are held at Corporate.</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Assets employed by segment include assets directly identfed with those operatons. Corporate assets consist primarily of cash, cash equivalents and restricted cash; property, plant and equipment for corporate operatons; restricted investments; and other assets not directly identfable with a reportable segment.</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tables display selected fnancial data for the Company’s reportable segments. Total revenues, as presented on the consolidated statements of earnings and comprehensive earnings, refect the eliminaton of intersegment revenues. Total revenues and earnings (loss) from operatons refect contnuing operatons only.</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30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500" w:type="dxa"/>
            <w:vAlign w:val="bottom"/>
            <w:shd w:val="clear" w:color="auto" w:fill="007CBA"/>
          </w:tcPr>
          <w:p>
            <w:pPr>
              <w:spacing w:after="0"/>
              <w:rPr>
                <w:sz w:val="19"/>
                <w:szCs w:val="19"/>
                <w:color w:val="auto"/>
              </w:rPr>
            </w:pPr>
          </w:p>
        </w:tc>
        <w:tc>
          <w:tcPr>
            <w:tcW w:w="1180" w:type="dxa"/>
            <w:vAlign w:val="bottom"/>
            <w:tcBorders>
              <w:right w:val="single" w:sz="8" w:color="007CBA"/>
            </w:tcBorders>
            <w:shd w:val="clear" w:color="auto" w:fill="007CBA"/>
          </w:tcPr>
          <w:p>
            <w:pPr>
              <w:spacing w:after="0"/>
              <w:rPr>
                <w:sz w:val="19"/>
                <w:szCs w:val="19"/>
                <w:color w:val="auto"/>
              </w:rPr>
            </w:pPr>
          </w:p>
        </w:tc>
        <w:tc>
          <w:tcPr>
            <w:tcW w:w="480" w:type="dxa"/>
            <w:vAlign w:val="bottom"/>
            <w:shd w:val="clear" w:color="auto" w:fill="007CBA"/>
          </w:tcPr>
          <w:p>
            <w:pPr>
              <w:spacing w:after="0"/>
              <w:rPr>
                <w:sz w:val="19"/>
                <w:szCs w:val="19"/>
                <w:color w:val="auto"/>
              </w:rPr>
            </w:pPr>
          </w:p>
        </w:tc>
        <w:tc>
          <w:tcPr>
            <w:tcW w:w="1160" w:type="dxa"/>
            <w:vAlign w:val="bottom"/>
            <w:tcBorders>
              <w:right w:val="single" w:sz="8" w:color="007CBA"/>
            </w:tcBorders>
            <w:shd w:val="clear" w:color="auto" w:fill="007CBA"/>
          </w:tcPr>
          <w:p>
            <w:pPr>
              <w:spacing w:after="0"/>
              <w:rPr>
                <w:sz w:val="19"/>
                <w:szCs w:val="19"/>
                <w:color w:val="auto"/>
              </w:rPr>
            </w:pPr>
          </w:p>
        </w:tc>
        <w:tc>
          <w:tcPr>
            <w:tcW w:w="480" w:type="dxa"/>
            <w:vAlign w:val="bottom"/>
            <w:shd w:val="clear" w:color="auto" w:fill="007CBA"/>
          </w:tcPr>
          <w:p>
            <w:pPr>
              <w:spacing w:after="0"/>
              <w:rPr>
                <w:sz w:val="19"/>
                <w:szCs w:val="19"/>
                <w:color w:val="auto"/>
              </w:rPr>
            </w:pPr>
          </w:p>
        </w:tc>
        <w:tc>
          <w:tcPr>
            <w:tcW w:w="1140" w:type="dxa"/>
            <w:vAlign w:val="bottom"/>
            <w:shd w:val="clear" w:color="auto" w:fill="007CBA"/>
          </w:tcPr>
          <w:p>
            <w:pPr>
              <w:spacing w:after="0"/>
              <w:rPr>
                <w:sz w:val="19"/>
                <w:szCs w:val="19"/>
                <w:color w:val="auto"/>
              </w:rPr>
            </w:pPr>
          </w:p>
        </w:tc>
      </w:tr>
      <w:tr>
        <w:trPr>
          <w:trHeight w:val="215"/>
        </w:trPr>
        <w:tc>
          <w:tcPr>
            <w:tcW w:w="630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500" w:type="dxa"/>
            <w:vAlign w:val="bottom"/>
            <w:shd w:val="clear" w:color="auto" w:fill="007CBA"/>
          </w:tcPr>
          <w:p>
            <w:pPr>
              <w:spacing w:after="0"/>
              <w:rPr>
                <w:sz w:val="18"/>
                <w:szCs w:val="18"/>
                <w:color w:val="auto"/>
              </w:rPr>
            </w:pPr>
          </w:p>
        </w:tc>
        <w:tc>
          <w:tcPr>
            <w:tcW w:w="1180" w:type="dxa"/>
            <w:vAlign w:val="bottom"/>
            <w:tcBorders>
              <w:right w:val="single" w:sz="8" w:color="007CBA"/>
            </w:tcBorders>
            <w:shd w:val="clear" w:color="auto" w:fill="007CBA"/>
          </w:tcPr>
          <w:p>
            <w:pPr>
              <w:spacing w:after="0"/>
              <w:rPr>
                <w:sz w:val="18"/>
                <w:szCs w:val="18"/>
                <w:color w:val="auto"/>
              </w:rPr>
            </w:pPr>
          </w:p>
        </w:tc>
        <w:tc>
          <w:tcPr>
            <w:tcW w:w="48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80" w:type="dxa"/>
            <w:vAlign w:val="bottom"/>
            <w:shd w:val="clear" w:color="auto" w:fill="007CBA"/>
          </w:tcPr>
          <w:p>
            <w:pPr>
              <w:spacing w:after="0"/>
              <w:rPr>
                <w:sz w:val="18"/>
                <w:szCs w:val="18"/>
                <w:color w:val="auto"/>
              </w:rPr>
            </w:pPr>
          </w:p>
        </w:tc>
        <w:tc>
          <w:tcPr>
            <w:tcW w:w="1140" w:type="dxa"/>
            <w:vAlign w:val="bottom"/>
            <w:shd w:val="clear" w:color="auto" w:fill="007CBA"/>
          </w:tcPr>
          <w:p>
            <w:pPr>
              <w:spacing w:after="0"/>
              <w:rPr>
                <w:sz w:val="18"/>
                <w:szCs w:val="18"/>
                <w:color w:val="auto"/>
              </w:rPr>
            </w:pPr>
          </w:p>
        </w:tc>
      </w:tr>
      <w:tr>
        <w:trPr>
          <w:trHeight w:val="233"/>
        </w:trPr>
        <w:tc>
          <w:tcPr>
            <w:tcW w:w="6300" w:type="dxa"/>
            <w:vAlign w:val="bottom"/>
            <w:tcBorders>
              <w:bottom w:val="single" w:sz="8" w:color="007CBA"/>
              <w:right w:val="single" w:sz="8" w:color="007CBA"/>
            </w:tcBorders>
            <w:shd w:val="clear" w:color="auto" w:fill="007CBA"/>
          </w:tcPr>
          <w:p>
            <w:pPr>
              <w:ind w:left="120"/>
              <w:spacing w:after="0" w:line="216" w:lineRule="exact"/>
              <w:rPr>
                <w:sz w:val="20"/>
                <w:szCs w:val="20"/>
                <w:color w:val="auto"/>
              </w:rPr>
            </w:pPr>
            <w:r>
              <w:rPr>
                <w:rFonts w:ascii="Calibri" w:cs="Calibri" w:eastAsia="Calibri" w:hAnsi="Calibri"/>
                <w:sz w:val="18"/>
                <w:szCs w:val="18"/>
                <w:b w:val="1"/>
                <w:bCs w:val="1"/>
                <w:color w:val="FFFFFF"/>
              </w:rPr>
              <w:t>Total revenues</w:t>
            </w:r>
          </w:p>
        </w:tc>
        <w:tc>
          <w:tcPr>
            <w:tcW w:w="500" w:type="dxa"/>
            <w:vAlign w:val="bottom"/>
            <w:tcBorders>
              <w:bottom w:val="single" w:sz="8" w:color="007CBA"/>
            </w:tcBorders>
            <w:shd w:val="clear" w:color="auto" w:fill="007CBA"/>
          </w:tcPr>
          <w:p>
            <w:pPr>
              <w:spacing w:after="0"/>
              <w:rPr>
                <w:sz w:val="20"/>
                <w:szCs w:val="20"/>
                <w:color w:val="auto"/>
              </w:rPr>
            </w:pPr>
          </w:p>
        </w:tc>
        <w:tc>
          <w:tcPr>
            <w:tcW w:w="1180" w:type="dxa"/>
            <w:vAlign w:val="bottom"/>
            <w:tcBorders>
              <w:bottom w:val="single" w:sz="8" w:color="007CBA"/>
              <w:right w:val="single" w:sz="8" w:color="007CBA"/>
            </w:tcBorders>
            <w:shd w:val="clear" w:color="auto" w:fill="007CBA"/>
          </w:tcPr>
          <w:p>
            <w:pPr>
              <w:jc w:val="right"/>
              <w:ind w:right="530"/>
              <w:spacing w:after="0" w:line="216" w:lineRule="exact"/>
              <w:rPr>
                <w:sz w:val="20"/>
                <w:szCs w:val="20"/>
                <w:color w:val="auto"/>
              </w:rPr>
            </w:pPr>
            <w:r>
              <w:rPr>
                <w:rFonts w:ascii="Calibri" w:cs="Calibri" w:eastAsia="Calibri" w:hAnsi="Calibri"/>
                <w:sz w:val="18"/>
                <w:szCs w:val="18"/>
                <w:b w:val="1"/>
                <w:bCs w:val="1"/>
                <w:color w:val="FFFFFF"/>
              </w:rPr>
              <w:t>2022</w:t>
            </w:r>
          </w:p>
        </w:tc>
        <w:tc>
          <w:tcPr>
            <w:tcW w:w="480" w:type="dxa"/>
            <w:vAlign w:val="bottom"/>
            <w:tcBorders>
              <w:bottom w:val="single" w:sz="8" w:color="007CBA"/>
            </w:tcBorders>
            <w:shd w:val="clear" w:color="auto" w:fill="007CBA"/>
          </w:tcPr>
          <w:p>
            <w:pPr>
              <w:spacing w:after="0"/>
              <w:rPr>
                <w:sz w:val="20"/>
                <w:szCs w:val="20"/>
                <w:color w:val="auto"/>
              </w:rPr>
            </w:pPr>
          </w:p>
        </w:tc>
        <w:tc>
          <w:tcPr>
            <w:tcW w:w="1160" w:type="dxa"/>
            <w:vAlign w:val="bottom"/>
            <w:tcBorders>
              <w:bottom w:val="single" w:sz="8" w:color="007CBA"/>
              <w:right w:val="single" w:sz="8" w:color="007CBA"/>
            </w:tcBorders>
            <w:shd w:val="clear" w:color="auto" w:fill="007CBA"/>
          </w:tcPr>
          <w:p>
            <w:pPr>
              <w:jc w:val="right"/>
              <w:ind w:right="510"/>
              <w:spacing w:after="0" w:line="216" w:lineRule="exact"/>
              <w:rPr>
                <w:sz w:val="20"/>
                <w:szCs w:val="20"/>
                <w:color w:val="auto"/>
              </w:rPr>
            </w:pPr>
            <w:r>
              <w:rPr>
                <w:rFonts w:ascii="Calibri" w:cs="Calibri" w:eastAsia="Calibri" w:hAnsi="Calibri"/>
                <w:sz w:val="18"/>
                <w:szCs w:val="18"/>
                <w:color w:val="FFFFFF"/>
              </w:rPr>
              <w:t>2021</w:t>
            </w:r>
          </w:p>
        </w:tc>
        <w:tc>
          <w:tcPr>
            <w:tcW w:w="48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tcBorders>
            <w:shd w:val="clear" w:color="auto" w:fill="007CBA"/>
          </w:tcPr>
          <w:p>
            <w:pPr>
              <w:jc w:val="right"/>
              <w:ind w:right="510"/>
              <w:spacing w:after="0" w:line="216" w:lineRule="exact"/>
              <w:rPr>
                <w:sz w:val="20"/>
                <w:szCs w:val="20"/>
                <w:color w:val="auto"/>
              </w:rPr>
            </w:pPr>
            <w:r>
              <w:rPr>
                <w:rFonts w:ascii="Calibri" w:cs="Calibri" w:eastAsia="Calibri" w:hAnsi="Calibri"/>
                <w:sz w:val="18"/>
                <w:szCs w:val="18"/>
                <w:color w:val="FFFFFF"/>
              </w:rPr>
              <w:t>2020</w:t>
            </w:r>
          </w:p>
        </w:tc>
      </w:tr>
      <w:tr>
        <w:trPr>
          <w:trHeight w:val="243"/>
        </w:trPr>
        <w:tc>
          <w:tcPr>
            <w:tcW w:w="63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East Group</w:t>
            </w:r>
          </w:p>
        </w:tc>
        <w:tc>
          <w:tcPr>
            <w:tcW w:w="500" w:type="dxa"/>
            <w:vAlign w:val="bottom"/>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18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2,468.1</w:t>
            </w:r>
          </w:p>
        </w:tc>
        <w:tc>
          <w:tcPr>
            <w:tcW w:w="48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2,303.0</w:t>
            </w:r>
          </w:p>
        </w:tc>
        <w:tc>
          <w:tcPr>
            <w:tcW w:w="48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1,949.1</w:t>
            </w:r>
          </w:p>
        </w:tc>
      </w:tr>
      <w:tr>
        <w:trPr>
          <w:trHeight w:val="248"/>
        </w:trPr>
        <w:tc>
          <w:tcPr>
            <w:tcW w:w="630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West Group</w:t>
            </w:r>
          </w:p>
        </w:tc>
        <w:tc>
          <w:tcPr>
            <w:tcW w:w="500" w:type="dxa"/>
            <w:vAlign w:val="bottom"/>
            <w:tcBorders>
              <w:bottom w:val="single" w:sz="8" w:color="E5F1F8"/>
            </w:tcBorders>
            <w:shd w:val="clear" w:color="auto" w:fill="E5F1F8"/>
          </w:tcPr>
          <w:p>
            <w:pPr>
              <w:spacing w:after="0"/>
              <w:rPr>
                <w:sz w:val="21"/>
                <w:szCs w:val="21"/>
                <w:color w:val="auto"/>
              </w:rPr>
            </w:pPr>
          </w:p>
        </w:tc>
        <w:tc>
          <w:tcPr>
            <w:tcW w:w="118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3,388.6</w:t>
            </w:r>
          </w:p>
        </w:tc>
        <w:tc>
          <w:tcPr>
            <w:tcW w:w="48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2,812.3</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2,538.1</w:t>
            </w:r>
          </w:p>
        </w:tc>
      </w:tr>
      <w:tr>
        <w:trPr>
          <w:trHeight w:val="237"/>
        </w:trPr>
        <w:tc>
          <w:tcPr>
            <w:tcW w:w="630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color w:val="auto"/>
              </w:rPr>
              <w:t>Total Building Materials business</w:t>
            </w:r>
          </w:p>
        </w:tc>
        <w:tc>
          <w:tcPr>
            <w:tcW w:w="500" w:type="dxa"/>
            <w:vAlign w:val="bottom"/>
            <w:tcBorders>
              <w:top w:val="single" w:sz="8" w:color="auto"/>
            </w:tcBorders>
          </w:tcPr>
          <w:p>
            <w:pPr>
              <w:spacing w:after="0"/>
              <w:rPr>
                <w:sz w:val="20"/>
                <w:szCs w:val="20"/>
                <w:color w:val="auto"/>
              </w:rPr>
            </w:pPr>
          </w:p>
        </w:tc>
        <w:tc>
          <w:tcPr>
            <w:tcW w:w="118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5,856.7</w:t>
            </w:r>
          </w:p>
        </w:tc>
        <w:tc>
          <w:tcPr>
            <w:tcW w:w="480" w:type="dxa"/>
            <w:vAlign w:val="bottom"/>
            <w:tcBorders>
              <w:top w:val="single" w:sz="8" w:color="auto"/>
            </w:tcBorders>
          </w:tcPr>
          <w:p>
            <w:pPr>
              <w:spacing w:after="0"/>
              <w:rPr>
                <w:sz w:val="20"/>
                <w:szCs w:val="20"/>
                <w:color w:val="auto"/>
              </w:rPr>
            </w:pPr>
          </w:p>
        </w:tc>
        <w:tc>
          <w:tcPr>
            <w:tcW w:w="1160" w:type="dxa"/>
            <w:vAlign w:val="bottom"/>
            <w:tcBorders>
              <w:top w:val="single" w:sz="8" w:color="auto"/>
              <w:right w:val="single" w:sz="8" w:color="007CBA"/>
            </w:tcBorders>
          </w:tcPr>
          <w:p>
            <w:pPr>
              <w:jc w:val="right"/>
              <w:ind w:right="50"/>
              <w:spacing w:after="0" w:line="208" w:lineRule="exact"/>
              <w:rPr>
                <w:sz w:val="20"/>
                <w:szCs w:val="20"/>
                <w:color w:val="auto"/>
              </w:rPr>
            </w:pPr>
            <w:r>
              <w:rPr>
                <w:rFonts w:ascii="Calibri" w:cs="Calibri" w:eastAsia="Calibri" w:hAnsi="Calibri"/>
                <w:sz w:val="18"/>
                <w:szCs w:val="18"/>
                <w:color w:val="auto"/>
              </w:rPr>
              <w:t>5,115.3</w:t>
            </w:r>
          </w:p>
        </w:tc>
        <w:tc>
          <w:tcPr>
            <w:tcW w:w="4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4,487.2</w:t>
            </w:r>
          </w:p>
        </w:tc>
      </w:tr>
      <w:tr>
        <w:trPr>
          <w:trHeight w:val="248"/>
        </w:trPr>
        <w:tc>
          <w:tcPr>
            <w:tcW w:w="630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Magnesia Specialtes</w:t>
            </w:r>
          </w:p>
        </w:tc>
        <w:tc>
          <w:tcPr>
            <w:tcW w:w="500" w:type="dxa"/>
            <w:vAlign w:val="bottom"/>
            <w:tcBorders>
              <w:bottom w:val="single" w:sz="8" w:color="E5F1F8"/>
            </w:tcBorders>
            <w:shd w:val="clear" w:color="auto" w:fill="E5F1F8"/>
          </w:tcPr>
          <w:p>
            <w:pPr>
              <w:spacing w:after="0"/>
              <w:rPr>
                <w:sz w:val="21"/>
                <w:szCs w:val="21"/>
                <w:color w:val="auto"/>
              </w:rPr>
            </w:pPr>
          </w:p>
        </w:tc>
        <w:tc>
          <w:tcPr>
            <w:tcW w:w="118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304.0</w:t>
            </w:r>
          </w:p>
        </w:tc>
        <w:tc>
          <w:tcPr>
            <w:tcW w:w="48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298.7</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242.7</w:t>
            </w:r>
          </w:p>
        </w:tc>
      </w:tr>
      <w:tr>
        <w:trPr>
          <w:trHeight w:val="208"/>
        </w:trPr>
        <w:tc>
          <w:tcPr>
            <w:tcW w:w="630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w:t>
            </w:r>
          </w:p>
        </w:tc>
        <w:tc>
          <w:tcPr>
            <w:tcW w:w="50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b w:val="1"/>
                <w:bCs w:val="1"/>
                <w:color w:val="auto"/>
              </w:rPr>
              <w:t>$</w:t>
            </w:r>
          </w:p>
        </w:tc>
        <w:tc>
          <w:tcPr>
            <w:tcW w:w="118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6,160.7</w:t>
            </w:r>
          </w:p>
        </w:tc>
        <w:tc>
          <w:tcPr>
            <w:tcW w:w="48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6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color w:val="auto"/>
              </w:rPr>
              <w:t>5,414.0</w:t>
            </w:r>
          </w:p>
        </w:tc>
        <w:tc>
          <w:tcPr>
            <w:tcW w:w="48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4,729.9</w:t>
            </w:r>
          </w:p>
        </w:tc>
      </w:tr>
      <w:tr>
        <w:trPr>
          <w:trHeight w:val="28"/>
        </w:trPr>
        <w:tc>
          <w:tcPr>
            <w:tcW w:w="6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6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7"/>
        </w:trPr>
        <w:tc>
          <w:tcPr>
            <w:tcW w:w="6300" w:type="dxa"/>
            <w:vAlign w:val="bottom"/>
            <w:tcBorders>
              <w:right w:val="single" w:sz="8" w:color="007CBA"/>
            </w:tcBorders>
            <w:shd w:val="clear" w:color="auto" w:fill="007CBA"/>
          </w:tcPr>
          <w:p>
            <w:pPr>
              <w:ind w:left="120"/>
              <w:spacing w:after="0" w:line="207" w:lineRule="exact"/>
              <w:rPr>
                <w:sz w:val="20"/>
                <w:szCs w:val="20"/>
                <w:color w:val="auto"/>
              </w:rPr>
            </w:pPr>
            <w:r>
              <w:rPr>
                <w:rFonts w:ascii="Calibri" w:cs="Calibri" w:eastAsia="Calibri" w:hAnsi="Calibri"/>
                <w:sz w:val="18"/>
                <w:szCs w:val="18"/>
                <w:i w:val="1"/>
                <w:iCs w:val="1"/>
                <w:color w:val="FFFFFF"/>
              </w:rPr>
              <w:t>years ended December 31</w:t>
            </w:r>
          </w:p>
        </w:tc>
        <w:tc>
          <w:tcPr>
            <w:tcW w:w="500" w:type="dxa"/>
            <w:vAlign w:val="bottom"/>
            <w:shd w:val="clear" w:color="auto" w:fill="007CBA"/>
          </w:tcPr>
          <w:p>
            <w:pPr>
              <w:spacing w:after="0"/>
              <w:rPr>
                <w:sz w:val="18"/>
                <w:szCs w:val="18"/>
                <w:color w:val="auto"/>
              </w:rPr>
            </w:pPr>
          </w:p>
        </w:tc>
        <w:tc>
          <w:tcPr>
            <w:tcW w:w="1180" w:type="dxa"/>
            <w:vAlign w:val="bottom"/>
            <w:tcBorders>
              <w:right w:val="single" w:sz="8" w:color="007CBA"/>
            </w:tcBorders>
            <w:shd w:val="clear" w:color="auto" w:fill="007CBA"/>
          </w:tcPr>
          <w:p>
            <w:pPr>
              <w:spacing w:after="0"/>
              <w:rPr>
                <w:sz w:val="18"/>
                <w:szCs w:val="18"/>
                <w:color w:val="auto"/>
              </w:rPr>
            </w:pPr>
          </w:p>
        </w:tc>
        <w:tc>
          <w:tcPr>
            <w:tcW w:w="48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80" w:type="dxa"/>
            <w:vAlign w:val="bottom"/>
            <w:shd w:val="clear" w:color="auto" w:fill="007CBA"/>
          </w:tcPr>
          <w:p>
            <w:pPr>
              <w:spacing w:after="0"/>
              <w:rPr>
                <w:sz w:val="18"/>
                <w:szCs w:val="18"/>
                <w:color w:val="auto"/>
              </w:rPr>
            </w:pPr>
          </w:p>
        </w:tc>
        <w:tc>
          <w:tcPr>
            <w:tcW w:w="1140" w:type="dxa"/>
            <w:vAlign w:val="bottom"/>
            <w:shd w:val="clear" w:color="auto" w:fill="007CBA"/>
          </w:tcPr>
          <w:p>
            <w:pPr>
              <w:spacing w:after="0"/>
              <w:rPr>
                <w:sz w:val="18"/>
                <w:szCs w:val="18"/>
                <w:color w:val="auto"/>
              </w:rPr>
            </w:pPr>
          </w:p>
        </w:tc>
      </w:tr>
      <w:tr>
        <w:trPr>
          <w:trHeight w:val="215"/>
        </w:trPr>
        <w:tc>
          <w:tcPr>
            <w:tcW w:w="630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500" w:type="dxa"/>
            <w:vAlign w:val="bottom"/>
            <w:shd w:val="clear" w:color="auto" w:fill="007CBA"/>
          </w:tcPr>
          <w:p>
            <w:pPr>
              <w:spacing w:after="0"/>
              <w:rPr>
                <w:sz w:val="18"/>
                <w:szCs w:val="18"/>
                <w:color w:val="auto"/>
              </w:rPr>
            </w:pPr>
          </w:p>
        </w:tc>
        <w:tc>
          <w:tcPr>
            <w:tcW w:w="1180" w:type="dxa"/>
            <w:vAlign w:val="bottom"/>
            <w:tcBorders>
              <w:right w:val="single" w:sz="8" w:color="007CBA"/>
            </w:tcBorders>
            <w:shd w:val="clear" w:color="auto" w:fill="007CBA"/>
          </w:tcPr>
          <w:p>
            <w:pPr>
              <w:spacing w:after="0"/>
              <w:rPr>
                <w:sz w:val="18"/>
                <w:szCs w:val="18"/>
                <w:color w:val="auto"/>
              </w:rPr>
            </w:pPr>
          </w:p>
        </w:tc>
        <w:tc>
          <w:tcPr>
            <w:tcW w:w="48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80" w:type="dxa"/>
            <w:vAlign w:val="bottom"/>
            <w:shd w:val="clear" w:color="auto" w:fill="007CBA"/>
          </w:tcPr>
          <w:p>
            <w:pPr>
              <w:spacing w:after="0"/>
              <w:rPr>
                <w:sz w:val="18"/>
                <w:szCs w:val="18"/>
                <w:color w:val="auto"/>
              </w:rPr>
            </w:pPr>
          </w:p>
        </w:tc>
        <w:tc>
          <w:tcPr>
            <w:tcW w:w="1140" w:type="dxa"/>
            <w:vAlign w:val="bottom"/>
            <w:shd w:val="clear" w:color="auto" w:fill="007CBA"/>
          </w:tcPr>
          <w:p>
            <w:pPr>
              <w:spacing w:after="0"/>
              <w:rPr>
                <w:sz w:val="18"/>
                <w:szCs w:val="18"/>
                <w:color w:val="auto"/>
              </w:rPr>
            </w:pPr>
          </w:p>
        </w:tc>
      </w:tr>
      <w:tr>
        <w:trPr>
          <w:trHeight w:val="233"/>
        </w:trPr>
        <w:tc>
          <w:tcPr>
            <w:tcW w:w="6300" w:type="dxa"/>
            <w:vAlign w:val="bottom"/>
            <w:tcBorders>
              <w:bottom w:val="single" w:sz="8" w:color="007CBA"/>
              <w:right w:val="single" w:sz="8" w:color="007CBA"/>
            </w:tcBorders>
            <w:shd w:val="clear" w:color="auto" w:fill="007CBA"/>
          </w:tcPr>
          <w:p>
            <w:pPr>
              <w:ind w:left="120"/>
              <w:spacing w:after="0" w:line="216" w:lineRule="exact"/>
              <w:rPr>
                <w:sz w:val="20"/>
                <w:szCs w:val="20"/>
                <w:color w:val="auto"/>
              </w:rPr>
            </w:pPr>
            <w:r>
              <w:rPr>
                <w:rFonts w:ascii="Calibri" w:cs="Calibri" w:eastAsia="Calibri" w:hAnsi="Calibri"/>
                <w:sz w:val="18"/>
                <w:szCs w:val="18"/>
                <w:b w:val="1"/>
                <w:bCs w:val="1"/>
                <w:color w:val="FFFFFF"/>
              </w:rPr>
              <w:t>Earnings (Loss) from operatons</w:t>
            </w:r>
          </w:p>
        </w:tc>
        <w:tc>
          <w:tcPr>
            <w:tcW w:w="500" w:type="dxa"/>
            <w:vAlign w:val="bottom"/>
            <w:tcBorders>
              <w:bottom w:val="single" w:sz="8" w:color="007CBA"/>
            </w:tcBorders>
            <w:shd w:val="clear" w:color="auto" w:fill="007CBA"/>
          </w:tcPr>
          <w:p>
            <w:pPr>
              <w:spacing w:after="0"/>
              <w:rPr>
                <w:sz w:val="20"/>
                <w:szCs w:val="20"/>
                <w:color w:val="auto"/>
              </w:rPr>
            </w:pPr>
          </w:p>
        </w:tc>
        <w:tc>
          <w:tcPr>
            <w:tcW w:w="1180" w:type="dxa"/>
            <w:vAlign w:val="bottom"/>
            <w:tcBorders>
              <w:bottom w:val="single" w:sz="8" w:color="007CBA"/>
              <w:right w:val="single" w:sz="8" w:color="007CBA"/>
            </w:tcBorders>
            <w:shd w:val="clear" w:color="auto" w:fill="007CBA"/>
          </w:tcPr>
          <w:p>
            <w:pPr>
              <w:jc w:val="right"/>
              <w:ind w:right="530"/>
              <w:spacing w:after="0" w:line="216" w:lineRule="exact"/>
              <w:rPr>
                <w:sz w:val="20"/>
                <w:szCs w:val="20"/>
                <w:color w:val="auto"/>
              </w:rPr>
            </w:pPr>
            <w:r>
              <w:rPr>
                <w:rFonts w:ascii="Calibri" w:cs="Calibri" w:eastAsia="Calibri" w:hAnsi="Calibri"/>
                <w:sz w:val="18"/>
                <w:szCs w:val="18"/>
                <w:b w:val="1"/>
                <w:bCs w:val="1"/>
                <w:color w:val="FFFFFF"/>
              </w:rPr>
              <w:t>2022</w:t>
            </w:r>
          </w:p>
        </w:tc>
        <w:tc>
          <w:tcPr>
            <w:tcW w:w="480" w:type="dxa"/>
            <w:vAlign w:val="bottom"/>
            <w:tcBorders>
              <w:bottom w:val="single" w:sz="8" w:color="007CBA"/>
            </w:tcBorders>
            <w:shd w:val="clear" w:color="auto" w:fill="007CBA"/>
          </w:tcPr>
          <w:p>
            <w:pPr>
              <w:spacing w:after="0"/>
              <w:rPr>
                <w:sz w:val="20"/>
                <w:szCs w:val="20"/>
                <w:color w:val="auto"/>
              </w:rPr>
            </w:pPr>
          </w:p>
        </w:tc>
        <w:tc>
          <w:tcPr>
            <w:tcW w:w="1160" w:type="dxa"/>
            <w:vAlign w:val="bottom"/>
            <w:tcBorders>
              <w:bottom w:val="single" w:sz="8" w:color="007CBA"/>
              <w:right w:val="single" w:sz="8" w:color="007CBA"/>
            </w:tcBorders>
            <w:shd w:val="clear" w:color="auto" w:fill="007CBA"/>
          </w:tcPr>
          <w:p>
            <w:pPr>
              <w:jc w:val="right"/>
              <w:ind w:right="510"/>
              <w:spacing w:after="0" w:line="216" w:lineRule="exact"/>
              <w:rPr>
                <w:sz w:val="20"/>
                <w:szCs w:val="20"/>
                <w:color w:val="auto"/>
              </w:rPr>
            </w:pPr>
            <w:r>
              <w:rPr>
                <w:rFonts w:ascii="Calibri" w:cs="Calibri" w:eastAsia="Calibri" w:hAnsi="Calibri"/>
                <w:sz w:val="18"/>
                <w:szCs w:val="18"/>
                <w:color w:val="FFFFFF"/>
              </w:rPr>
              <w:t>2021</w:t>
            </w:r>
          </w:p>
        </w:tc>
        <w:tc>
          <w:tcPr>
            <w:tcW w:w="48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tcBorders>
            <w:shd w:val="clear" w:color="auto" w:fill="007CBA"/>
          </w:tcPr>
          <w:p>
            <w:pPr>
              <w:jc w:val="right"/>
              <w:ind w:right="510"/>
              <w:spacing w:after="0" w:line="216" w:lineRule="exact"/>
              <w:rPr>
                <w:sz w:val="20"/>
                <w:szCs w:val="20"/>
                <w:color w:val="auto"/>
              </w:rPr>
            </w:pPr>
            <w:r>
              <w:rPr>
                <w:rFonts w:ascii="Calibri" w:cs="Calibri" w:eastAsia="Calibri" w:hAnsi="Calibri"/>
                <w:sz w:val="18"/>
                <w:szCs w:val="18"/>
                <w:color w:val="FFFFFF"/>
              </w:rPr>
              <w:t>2020</w:t>
            </w:r>
          </w:p>
        </w:tc>
      </w:tr>
      <w:tr>
        <w:trPr>
          <w:trHeight w:val="243"/>
        </w:trPr>
        <w:tc>
          <w:tcPr>
            <w:tcW w:w="63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East Group</w:t>
            </w:r>
          </w:p>
        </w:tc>
        <w:tc>
          <w:tcPr>
            <w:tcW w:w="500" w:type="dxa"/>
            <w:vAlign w:val="bottom"/>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18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640.2</w:t>
            </w:r>
          </w:p>
        </w:tc>
        <w:tc>
          <w:tcPr>
            <w:tcW w:w="48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621.7</w:t>
            </w:r>
          </w:p>
        </w:tc>
        <w:tc>
          <w:tcPr>
            <w:tcW w:w="48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522.1</w:t>
            </w:r>
          </w:p>
        </w:tc>
      </w:tr>
      <w:tr>
        <w:trPr>
          <w:trHeight w:val="248"/>
        </w:trPr>
        <w:tc>
          <w:tcPr>
            <w:tcW w:w="630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West Group</w:t>
            </w:r>
          </w:p>
        </w:tc>
        <w:tc>
          <w:tcPr>
            <w:tcW w:w="500" w:type="dxa"/>
            <w:vAlign w:val="bottom"/>
            <w:tcBorders>
              <w:bottom w:val="single" w:sz="8" w:color="E5F1F8"/>
            </w:tcBorders>
            <w:shd w:val="clear" w:color="auto" w:fill="E5F1F8"/>
          </w:tcPr>
          <w:p>
            <w:pPr>
              <w:spacing w:after="0"/>
              <w:rPr>
                <w:sz w:val="21"/>
                <w:szCs w:val="21"/>
                <w:color w:val="auto"/>
              </w:rPr>
            </w:pPr>
          </w:p>
        </w:tc>
        <w:tc>
          <w:tcPr>
            <w:tcW w:w="118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588.1</w:t>
            </w:r>
          </w:p>
        </w:tc>
        <w:tc>
          <w:tcPr>
            <w:tcW w:w="48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385.2</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471.3</w:t>
            </w:r>
          </w:p>
        </w:tc>
      </w:tr>
      <w:tr>
        <w:trPr>
          <w:trHeight w:val="208"/>
        </w:trPr>
        <w:tc>
          <w:tcPr>
            <w:tcW w:w="630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color w:val="auto"/>
              </w:rPr>
              <w:t>Total Building Materials business</w:t>
            </w:r>
          </w:p>
        </w:tc>
        <w:tc>
          <w:tcPr>
            <w:tcW w:w="500" w:type="dxa"/>
            <w:vAlign w:val="bottom"/>
            <w:tcBorders>
              <w:top w:val="single" w:sz="8" w:color="auto"/>
            </w:tcBorders>
          </w:tcPr>
          <w:p>
            <w:pPr>
              <w:spacing w:after="0"/>
              <w:rPr>
                <w:sz w:val="18"/>
                <w:szCs w:val="18"/>
                <w:color w:val="auto"/>
              </w:rPr>
            </w:pPr>
          </w:p>
        </w:tc>
        <w:tc>
          <w:tcPr>
            <w:tcW w:w="118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1,228.3</w:t>
            </w:r>
          </w:p>
        </w:tc>
        <w:tc>
          <w:tcPr>
            <w:tcW w:w="480" w:type="dxa"/>
            <w:vAlign w:val="bottom"/>
            <w:tcBorders>
              <w:top w:val="single" w:sz="8" w:color="auto"/>
            </w:tcBorders>
          </w:tcPr>
          <w:p>
            <w:pPr>
              <w:spacing w:after="0"/>
              <w:rPr>
                <w:sz w:val="18"/>
                <w:szCs w:val="18"/>
                <w:color w:val="auto"/>
              </w:rPr>
            </w:pPr>
          </w:p>
        </w:tc>
        <w:tc>
          <w:tcPr>
            <w:tcW w:w="1160" w:type="dxa"/>
            <w:vAlign w:val="bottom"/>
            <w:tcBorders>
              <w:top w:val="single" w:sz="8" w:color="auto"/>
              <w:right w:val="single" w:sz="8" w:color="007CBA"/>
            </w:tcBorders>
          </w:tcPr>
          <w:p>
            <w:pPr>
              <w:jc w:val="right"/>
              <w:ind w:right="50"/>
              <w:spacing w:after="0" w:line="208" w:lineRule="exact"/>
              <w:rPr>
                <w:sz w:val="20"/>
                <w:szCs w:val="20"/>
                <w:color w:val="auto"/>
              </w:rPr>
            </w:pPr>
            <w:r>
              <w:rPr>
                <w:rFonts w:ascii="Calibri" w:cs="Calibri" w:eastAsia="Calibri" w:hAnsi="Calibri"/>
                <w:sz w:val="18"/>
                <w:szCs w:val="18"/>
                <w:color w:val="auto"/>
              </w:rPr>
              <w:t>1,006.9</w:t>
            </w:r>
          </w:p>
        </w:tc>
        <w:tc>
          <w:tcPr>
            <w:tcW w:w="4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993.4</w:t>
            </w:r>
          </w:p>
        </w:tc>
      </w:tr>
      <w:tr>
        <w:trPr>
          <w:trHeight w:val="28"/>
        </w:trPr>
        <w:tc>
          <w:tcPr>
            <w:tcW w:w="6300" w:type="dxa"/>
            <w:vAlign w:val="bottom"/>
            <w:tcBorders>
              <w:right w:val="single" w:sz="8" w:color="007CBA"/>
            </w:tcBorders>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630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Magnesia Specialtes</w:t>
            </w:r>
          </w:p>
        </w:tc>
        <w:tc>
          <w:tcPr>
            <w:tcW w:w="500" w:type="dxa"/>
            <w:vAlign w:val="bottom"/>
            <w:tcBorders>
              <w:bottom w:val="single" w:sz="8" w:color="E5F1F8"/>
            </w:tcBorders>
            <w:shd w:val="clear" w:color="auto" w:fill="E5F1F8"/>
          </w:tcPr>
          <w:p>
            <w:pPr>
              <w:spacing w:after="0"/>
              <w:rPr>
                <w:sz w:val="19"/>
                <w:szCs w:val="19"/>
                <w:color w:val="auto"/>
              </w:rPr>
            </w:pPr>
          </w:p>
        </w:tc>
        <w:tc>
          <w:tcPr>
            <w:tcW w:w="118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75.2</w:t>
            </w:r>
          </w:p>
        </w:tc>
        <w:tc>
          <w:tcPr>
            <w:tcW w:w="48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90.8</w:t>
            </w:r>
          </w:p>
        </w:tc>
        <w:tc>
          <w:tcPr>
            <w:tcW w:w="48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70.7</w:t>
            </w:r>
          </w:p>
        </w:tc>
      </w:tr>
      <w:tr>
        <w:trPr>
          <w:trHeight w:val="215"/>
        </w:trPr>
        <w:tc>
          <w:tcPr>
            <w:tcW w:w="6300" w:type="dxa"/>
            <w:vAlign w:val="bottom"/>
          </w:tcPr>
          <w:p>
            <w:pPr>
              <w:ind w:left="120"/>
              <w:spacing w:after="0" w:line="215" w:lineRule="exact"/>
              <w:rPr>
                <w:sz w:val="20"/>
                <w:szCs w:val="20"/>
                <w:color w:val="auto"/>
              </w:rPr>
            </w:pPr>
            <w:r>
              <w:rPr>
                <w:rFonts w:ascii="Calibri" w:cs="Calibri" w:eastAsia="Calibri" w:hAnsi="Calibri"/>
                <w:sz w:val="18"/>
                <w:szCs w:val="18"/>
                <w:color w:val="auto"/>
              </w:rPr>
              <w:t>Corporate</w:t>
            </w:r>
          </w:p>
        </w:tc>
        <w:tc>
          <w:tcPr>
            <w:tcW w:w="50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(96.8 )</w:t>
            </w:r>
          </w:p>
        </w:tc>
        <w:tc>
          <w:tcPr>
            <w:tcW w:w="48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(123.9 )</w:t>
            </w:r>
          </w:p>
        </w:tc>
        <w:tc>
          <w:tcPr>
            <w:tcW w:w="48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(58.7 )</w:t>
            </w:r>
          </w:p>
        </w:tc>
      </w:tr>
      <w:tr>
        <w:trPr>
          <w:trHeight w:val="28"/>
        </w:trPr>
        <w:tc>
          <w:tcPr>
            <w:tcW w:w="6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1"/>
        </w:trPr>
        <w:tc>
          <w:tcPr>
            <w:tcW w:w="630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Total</w:t>
            </w:r>
          </w:p>
        </w:tc>
        <w:tc>
          <w:tcPr>
            <w:tcW w:w="500" w:type="dxa"/>
            <w:vAlign w:val="bottom"/>
            <w:tcBorders>
              <w:bottom w:val="single" w:sz="8" w:color="E5F1F8"/>
            </w:tcBorders>
            <w:shd w:val="clear" w:color="auto" w:fill="E5F1F8"/>
          </w:tcPr>
          <w:p>
            <w:pPr>
              <w:jc w:val="right"/>
              <w:ind w:right="110"/>
              <w:spacing w:after="0" w:line="208" w:lineRule="exact"/>
              <w:rPr>
                <w:sz w:val="20"/>
                <w:szCs w:val="20"/>
                <w:color w:val="auto"/>
              </w:rPr>
            </w:pPr>
            <w:r>
              <w:rPr>
                <w:rFonts w:ascii="Calibri" w:cs="Calibri" w:eastAsia="Calibri" w:hAnsi="Calibri"/>
                <w:sz w:val="18"/>
                <w:szCs w:val="18"/>
                <w:b w:val="1"/>
                <w:bCs w:val="1"/>
                <w:color w:val="auto"/>
              </w:rPr>
              <w:t>$</w:t>
            </w:r>
          </w:p>
        </w:tc>
        <w:tc>
          <w:tcPr>
            <w:tcW w:w="1180" w:type="dxa"/>
            <w:vAlign w:val="bottom"/>
            <w:tcBorders>
              <w:bottom w:val="single" w:sz="8" w:color="E5F1F8"/>
              <w:right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b w:val="1"/>
                <w:bCs w:val="1"/>
                <w:color w:val="auto"/>
              </w:rPr>
              <w:t>1,206.7</w:t>
            </w:r>
          </w:p>
        </w:tc>
        <w:tc>
          <w:tcPr>
            <w:tcW w:w="480" w:type="dxa"/>
            <w:vAlign w:val="bottom"/>
            <w:tcBorders>
              <w:bottom w:val="single" w:sz="8" w:color="E5F1F8"/>
            </w:tcBorders>
            <w:shd w:val="clear" w:color="auto" w:fill="E5F1F8"/>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color w:val="auto"/>
              </w:rPr>
              <w:t>973.8</w:t>
            </w:r>
          </w:p>
        </w:tc>
        <w:tc>
          <w:tcPr>
            <w:tcW w:w="480" w:type="dxa"/>
            <w:vAlign w:val="bottom"/>
            <w:tcBorders>
              <w:bottom w:val="single" w:sz="8" w:color="E5F1F8"/>
            </w:tcBorders>
            <w:shd w:val="clear" w:color="auto" w:fill="E5F1F8"/>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1,005.4</w:t>
            </w:r>
          </w:p>
        </w:tc>
      </w:tr>
      <w:tr>
        <w:trPr>
          <w:trHeight w:val="20"/>
        </w:trPr>
        <w:tc>
          <w:tcPr>
            <w:tcW w:w="63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-2206625</wp:posOffset>
            </wp:positionV>
            <wp:extent cx="7132320" cy="68516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6">
                      <a:extLst>
                        <a:ext uri="{28A0092B-C50C-407E-A947-70E740481C1C}"/>
                      </a:extLst>
                    </a:blip>
                    <a:srcRect/>
                    <a:stretch>
                      <a:fillRect/>
                    </a:stretch>
                  </pic:blipFill>
                  <pic:spPr bwMode="auto">
                    <a:xfrm>
                      <a:off x="0" y="0"/>
                      <a:ext cx="7132320" cy="6851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-826135</wp:posOffset>
            </wp:positionV>
            <wp:extent cx="7132320" cy="32956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7">
                      <a:extLst>
                        <a:ext uri="{28A0092B-C50C-407E-A947-70E740481C1C}"/>
                      </a:extLst>
                    </a:blip>
                    <a:srcRect/>
                    <a:stretch>
                      <a:fillRect/>
                    </a:stretch>
                  </pic:blipFill>
                  <pic:spPr bwMode="auto">
                    <a:xfrm>
                      <a:off x="0" y="0"/>
                      <a:ext cx="7132320" cy="329565"/>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-354965</wp:posOffset>
            </wp:positionV>
            <wp:extent cx="3158490" cy="3683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8">
                      <a:extLst>
                        <a:ext uri="{28A0092B-C50C-407E-A947-70E740481C1C}"/>
                      </a:extLst>
                    </a:blip>
                    <a:srcRect/>
                    <a:stretch>
                      <a:fillRect/>
                    </a:stretch>
                  </pic:blipFill>
                  <pic:spPr bwMode="auto">
                    <a:xfrm>
                      <a:off x="0" y="0"/>
                      <a:ext cx="3158490" cy="368300"/>
                    </a:xfrm>
                    <a:prstGeom prst="rect">
                      <a:avLst/>
                    </a:prstGeom>
                    <a:noFill/>
                  </pic:spPr>
                </pic:pic>
              </a:graphicData>
            </a:graphic>
          </wp:anchor>
        </w:drawing>
      </w:r>
    </w:p>
    <w:p>
      <w:pPr>
        <w:spacing w:after="0" w:line="1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Earnings from operatons for the West Group included a nonrecurring gain on divestture of $151.9 million in 2022 and nonrecurring gains on sales of investment land and divested assets of $69.9 million in 2020.</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30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December 31</w:t>
            </w:r>
          </w:p>
        </w:tc>
        <w:tc>
          <w:tcPr>
            <w:tcW w:w="500" w:type="dxa"/>
            <w:vAlign w:val="bottom"/>
            <w:shd w:val="clear" w:color="auto" w:fill="007CBA"/>
          </w:tcPr>
          <w:p>
            <w:pPr>
              <w:spacing w:after="0"/>
              <w:rPr>
                <w:sz w:val="19"/>
                <w:szCs w:val="19"/>
                <w:color w:val="auto"/>
              </w:rPr>
            </w:pPr>
          </w:p>
        </w:tc>
        <w:tc>
          <w:tcPr>
            <w:tcW w:w="1180" w:type="dxa"/>
            <w:vAlign w:val="bottom"/>
            <w:tcBorders>
              <w:right w:val="single" w:sz="8" w:color="007CBA"/>
            </w:tcBorders>
            <w:shd w:val="clear" w:color="auto" w:fill="007CBA"/>
          </w:tcPr>
          <w:p>
            <w:pPr>
              <w:spacing w:after="0"/>
              <w:rPr>
                <w:sz w:val="19"/>
                <w:szCs w:val="19"/>
                <w:color w:val="auto"/>
              </w:rPr>
            </w:pPr>
          </w:p>
        </w:tc>
        <w:tc>
          <w:tcPr>
            <w:tcW w:w="480" w:type="dxa"/>
            <w:vAlign w:val="bottom"/>
            <w:shd w:val="clear" w:color="auto" w:fill="007CBA"/>
          </w:tcPr>
          <w:p>
            <w:pPr>
              <w:spacing w:after="0"/>
              <w:rPr>
                <w:sz w:val="19"/>
                <w:szCs w:val="19"/>
                <w:color w:val="auto"/>
              </w:rPr>
            </w:pPr>
          </w:p>
        </w:tc>
        <w:tc>
          <w:tcPr>
            <w:tcW w:w="1160" w:type="dxa"/>
            <w:vAlign w:val="bottom"/>
            <w:tcBorders>
              <w:right w:val="single" w:sz="8" w:color="007CBA"/>
            </w:tcBorders>
            <w:shd w:val="clear" w:color="auto" w:fill="007CBA"/>
          </w:tcPr>
          <w:p>
            <w:pPr>
              <w:spacing w:after="0"/>
              <w:rPr>
                <w:sz w:val="19"/>
                <w:szCs w:val="19"/>
                <w:color w:val="auto"/>
              </w:rPr>
            </w:pPr>
          </w:p>
        </w:tc>
        <w:tc>
          <w:tcPr>
            <w:tcW w:w="480" w:type="dxa"/>
            <w:vAlign w:val="bottom"/>
            <w:shd w:val="clear" w:color="auto" w:fill="007CBA"/>
          </w:tcPr>
          <w:p>
            <w:pPr>
              <w:spacing w:after="0"/>
              <w:rPr>
                <w:sz w:val="19"/>
                <w:szCs w:val="19"/>
                <w:color w:val="auto"/>
              </w:rPr>
            </w:pPr>
          </w:p>
        </w:tc>
        <w:tc>
          <w:tcPr>
            <w:tcW w:w="1140" w:type="dxa"/>
            <w:vAlign w:val="bottom"/>
            <w:shd w:val="clear" w:color="auto" w:fill="007CBA"/>
          </w:tcPr>
          <w:p>
            <w:pPr>
              <w:spacing w:after="0"/>
              <w:rPr>
                <w:sz w:val="19"/>
                <w:szCs w:val="19"/>
                <w:color w:val="auto"/>
              </w:rPr>
            </w:pPr>
          </w:p>
        </w:tc>
      </w:tr>
      <w:tr>
        <w:trPr>
          <w:trHeight w:val="215"/>
        </w:trPr>
        <w:tc>
          <w:tcPr>
            <w:tcW w:w="630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500" w:type="dxa"/>
            <w:vAlign w:val="bottom"/>
            <w:shd w:val="clear" w:color="auto" w:fill="007CBA"/>
          </w:tcPr>
          <w:p>
            <w:pPr>
              <w:spacing w:after="0"/>
              <w:rPr>
                <w:sz w:val="18"/>
                <w:szCs w:val="18"/>
                <w:color w:val="auto"/>
              </w:rPr>
            </w:pPr>
          </w:p>
        </w:tc>
        <w:tc>
          <w:tcPr>
            <w:tcW w:w="1180" w:type="dxa"/>
            <w:vAlign w:val="bottom"/>
            <w:tcBorders>
              <w:right w:val="single" w:sz="8" w:color="007CBA"/>
            </w:tcBorders>
            <w:shd w:val="clear" w:color="auto" w:fill="007CBA"/>
          </w:tcPr>
          <w:p>
            <w:pPr>
              <w:spacing w:after="0"/>
              <w:rPr>
                <w:sz w:val="18"/>
                <w:szCs w:val="18"/>
                <w:color w:val="auto"/>
              </w:rPr>
            </w:pPr>
          </w:p>
        </w:tc>
        <w:tc>
          <w:tcPr>
            <w:tcW w:w="48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80" w:type="dxa"/>
            <w:vAlign w:val="bottom"/>
            <w:shd w:val="clear" w:color="auto" w:fill="007CBA"/>
          </w:tcPr>
          <w:p>
            <w:pPr>
              <w:spacing w:after="0"/>
              <w:rPr>
                <w:sz w:val="18"/>
                <w:szCs w:val="18"/>
                <w:color w:val="auto"/>
              </w:rPr>
            </w:pPr>
          </w:p>
        </w:tc>
        <w:tc>
          <w:tcPr>
            <w:tcW w:w="1140" w:type="dxa"/>
            <w:vAlign w:val="bottom"/>
            <w:shd w:val="clear" w:color="auto" w:fill="007CBA"/>
          </w:tcPr>
          <w:p>
            <w:pPr>
              <w:spacing w:after="0"/>
              <w:rPr>
                <w:sz w:val="18"/>
                <w:szCs w:val="18"/>
                <w:color w:val="auto"/>
              </w:rPr>
            </w:pPr>
          </w:p>
        </w:tc>
      </w:tr>
      <w:tr>
        <w:trPr>
          <w:trHeight w:val="233"/>
        </w:trPr>
        <w:tc>
          <w:tcPr>
            <w:tcW w:w="6300" w:type="dxa"/>
            <w:vAlign w:val="bottom"/>
            <w:tcBorders>
              <w:bottom w:val="single" w:sz="8" w:color="007CBA"/>
              <w:right w:val="single" w:sz="8" w:color="007CBA"/>
            </w:tcBorders>
            <w:shd w:val="clear" w:color="auto" w:fill="007CBA"/>
          </w:tcPr>
          <w:p>
            <w:pPr>
              <w:ind w:left="120"/>
              <w:spacing w:after="0" w:line="216" w:lineRule="exact"/>
              <w:rPr>
                <w:sz w:val="20"/>
                <w:szCs w:val="20"/>
                <w:color w:val="auto"/>
              </w:rPr>
            </w:pPr>
            <w:r>
              <w:rPr>
                <w:rFonts w:ascii="Calibri" w:cs="Calibri" w:eastAsia="Calibri" w:hAnsi="Calibri"/>
                <w:sz w:val="18"/>
                <w:szCs w:val="18"/>
                <w:b w:val="1"/>
                <w:bCs w:val="1"/>
                <w:color w:val="FFFFFF"/>
              </w:rPr>
              <w:t>Assets employed</w:t>
            </w:r>
          </w:p>
        </w:tc>
        <w:tc>
          <w:tcPr>
            <w:tcW w:w="500" w:type="dxa"/>
            <w:vAlign w:val="bottom"/>
            <w:tcBorders>
              <w:bottom w:val="single" w:sz="8" w:color="007CBA"/>
            </w:tcBorders>
            <w:shd w:val="clear" w:color="auto" w:fill="007CBA"/>
          </w:tcPr>
          <w:p>
            <w:pPr>
              <w:spacing w:after="0"/>
              <w:rPr>
                <w:sz w:val="20"/>
                <w:szCs w:val="20"/>
                <w:color w:val="auto"/>
              </w:rPr>
            </w:pPr>
          </w:p>
        </w:tc>
        <w:tc>
          <w:tcPr>
            <w:tcW w:w="1180" w:type="dxa"/>
            <w:vAlign w:val="bottom"/>
            <w:tcBorders>
              <w:bottom w:val="single" w:sz="8" w:color="007CBA"/>
              <w:right w:val="single" w:sz="8" w:color="007CBA"/>
            </w:tcBorders>
            <w:shd w:val="clear" w:color="auto" w:fill="007CBA"/>
          </w:tcPr>
          <w:p>
            <w:pPr>
              <w:jc w:val="right"/>
              <w:ind w:right="530"/>
              <w:spacing w:after="0" w:line="216" w:lineRule="exact"/>
              <w:rPr>
                <w:sz w:val="20"/>
                <w:szCs w:val="20"/>
                <w:color w:val="auto"/>
              </w:rPr>
            </w:pPr>
            <w:r>
              <w:rPr>
                <w:rFonts w:ascii="Calibri" w:cs="Calibri" w:eastAsia="Calibri" w:hAnsi="Calibri"/>
                <w:sz w:val="18"/>
                <w:szCs w:val="18"/>
                <w:b w:val="1"/>
                <w:bCs w:val="1"/>
                <w:color w:val="FFFFFF"/>
              </w:rPr>
              <w:t>2022</w:t>
            </w:r>
          </w:p>
        </w:tc>
        <w:tc>
          <w:tcPr>
            <w:tcW w:w="480" w:type="dxa"/>
            <w:vAlign w:val="bottom"/>
            <w:tcBorders>
              <w:bottom w:val="single" w:sz="8" w:color="007CBA"/>
            </w:tcBorders>
            <w:shd w:val="clear" w:color="auto" w:fill="007CBA"/>
          </w:tcPr>
          <w:p>
            <w:pPr>
              <w:spacing w:after="0"/>
              <w:rPr>
                <w:sz w:val="20"/>
                <w:szCs w:val="20"/>
                <w:color w:val="auto"/>
              </w:rPr>
            </w:pPr>
          </w:p>
        </w:tc>
        <w:tc>
          <w:tcPr>
            <w:tcW w:w="1160" w:type="dxa"/>
            <w:vAlign w:val="bottom"/>
            <w:tcBorders>
              <w:bottom w:val="single" w:sz="8" w:color="007CBA"/>
              <w:right w:val="single" w:sz="8" w:color="007CBA"/>
            </w:tcBorders>
            <w:shd w:val="clear" w:color="auto" w:fill="007CBA"/>
          </w:tcPr>
          <w:p>
            <w:pPr>
              <w:jc w:val="right"/>
              <w:ind w:right="510"/>
              <w:spacing w:after="0" w:line="216" w:lineRule="exact"/>
              <w:rPr>
                <w:sz w:val="20"/>
                <w:szCs w:val="20"/>
                <w:color w:val="auto"/>
              </w:rPr>
            </w:pPr>
            <w:r>
              <w:rPr>
                <w:rFonts w:ascii="Calibri" w:cs="Calibri" w:eastAsia="Calibri" w:hAnsi="Calibri"/>
                <w:sz w:val="18"/>
                <w:szCs w:val="18"/>
                <w:color w:val="FFFFFF"/>
              </w:rPr>
              <w:t>2021</w:t>
            </w:r>
          </w:p>
        </w:tc>
        <w:tc>
          <w:tcPr>
            <w:tcW w:w="48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tcBorders>
            <w:shd w:val="clear" w:color="auto" w:fill="007CBA"/>
          </w:tcPr>
          <w:p>
            <w:pPr>
              <w:jc w:val="right"/>
              <w:ind w:right="510"/>
              <w:spacing w:after="0" w:line="216" w:lineRule="exact"/>
              <w:rPr>
                <w:sz w:val="20"/>
                <w:szCs w:val="20"/>
                <w:color w:val="auto"/>
              </w:rPr>
            </w:pPr>
            <w:r>
              <w:rPr>
                <w:rFonts w:ascii="Calibri" w:cs="Calibri" w:eastAsia="Calibri" w:hAnsi="Calibri"/>
                <w:sz w:val="18"/>
                <w:szCs w:val="18"/>
                <w:color w:val="FFFFFF"/>
              </w:rPr>
              <w:t>2020</w:t>
            </w:r>
          </w:p>
        </w:tc>
      </w:tr>
      <w:tr>
        <w:trPr>
          <w:trHeight w:val="243"/>
        </w:trPr>
        <w:tc>
          <w:tcPr>
            <w:tcW w:w="63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East Group</w:t>
            </w:r>
          </w:p>
        </w:tc>
        <w:tc>
          <w:tcPr>
            <w:tcW w:w="500" w:type="dxa"/>
            <w:vAlign w:val="bottom"/>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18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5,063.5</w:t>
            </w:r>
          </w:p>
        </w:tc>
        <w:tc>
          <w:tcPr>
            <w:tcW w:w="48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5,009.0</w:t>
            </w:r>
          </w:p>
        </w:tc>
        <w:tc>
          <w:tcPr>
            <w:tcW w:w="48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4,342.5</w:t>
            </w:r>
          </w:p>
        </w:tc>
      </w:tr>
      <w:tr>
        <w:trPr>
          <w:trHeight w:val="248"/>
        </w:trPr>
        <w:tc>
          <w:tcPr>
            <w:tcW w:w="630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West Group</w:t>
            </w:r>
          </w:p>
        </w:tc>
        <w:tc>
          <w:tcPr>
            <w:tcW w:w="500" w:type="dxa"/>
            <w:vAlign w:val="bottom"/>
            <w:tcBorders>
              <w:bottom w:val="single" w:sz="8" w:color="E5F1F8"/>
            </w:tcBorders>
            <w:shd w:val="clear" w:color="auto" w:fill="E5F1F8"/>
          </w:tcPr>
          <w:p>
            <w:pPr>
              <w:spacing w:after="0"/>
              <w:rPr>
                <w:sz w:val="21"/>
                <w:szCs w:val="21"/>
                <w:color w:val="auto"/>
              </w:rPr>
            </w:pPr>
          </w:p>
        </w:tc>
        <w:tc>
          <w:tcPr>
            <w:tcW w:w="118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7,908.4</w:t>
            </w:r>
          </w:p>
        </w:tc>
        <w:tc>
          <w:tcPr>
            <w:tcW w:w="48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8,264.8</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5,355.5</w:t>
            </w:r>
          </w:p>
        </w:tc>
      </w:tr>
      <w:tr>
        <w:trPr>
          <w:trHeight w:val="208"/>
        </w:trPr>
        <w:tc>
          <w:tcPr>
            <w:tcW w:w="630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color w:val="auto"/>
              </w:rPr>
              <w:t>Total Building Materials business</w:t>
            </w:r>
          </w:p>
        </w:tc>
        <w:tc>
          <w:tcPr>
            <w:tcW w:w="500" w:type="dxa"/>
            <w:vAlign w:val="bottom"/>
            <w:tcBorders>
              <w:top w:val="single" w:sz="8" w:color="auto"/>
            </w:tcBorders>
          </w:tcPr>
          <w:p>
            <w:pPr>
              <w:spacing w:after="0"/>
              <w:rPr>
                <w:sz w:val="18"/>
                <w:szCs w:val="18"/>
                <w:color w:val="auto"/>
              </w:rPr>
            </w:pPr>
          </w:p>
        </w:tc>
        <w:tc>
          <w:tcPr>
            <w:tcW w:w="118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12,971.9</w:t>
            </w:r>
          </w:p>
        </w:tc>
        <w:tc>
          <w:tcPr>
            <w:tcW w:w="480" w:type="dxa"/>
            <w:vAlign w:val="bottom"/>
            <w:tcBorders>
              <w:top w:val="single" w:sz="8" w:color="auto"/>
            </w:tcBorders>
          </w:tcPr>
          <w:p>
            <w:pPr>
              <w:spacing w:after="0"/>
              <w:rPr>
                <w:sz w:val="18"/>
                <w:szCs w:val="18"/>
                <w:color w:val="auto"/>
              </w:rPr>
            </w:pPr>
          </w:p>
        </w:tc>
        <w:tc>
          <w:tcPr>
            <w:tcW w:w="1160" w:type="dxa"/>
            <w:vAlign w:val="bottom"/>
            <w:tcBorders>
              <w:top w:val="single" w:sz="8" w:color="auto"/>
              <w:right w:val="single" w:sz="8" w:color="007CBA"/>
            </w:tcBorders>
          </w:tcPr>
          <w:p>
            <w:pPr>
              <w:jc w:val="right"/>
              <w:ind w:right="50"/>
              <w:spacing w:after="0" w:line="208" w:lineRule="exact"/>
              <w:rPr>
                <w:sz w:val="20"/>
                <w:szCs w:val="20"/>
                <w:color w:val="auto"/>
              </w:rPr>
            </w:pPr>
            <w:r>
              <w:rPr>
                <w:rFonts w:ascii="Calibri" w:cs="Calibri" w:eastAsia="Calibri" w:hAnsi="Calibri"/>
                <w:sz w:val="18"/>
                <w:szCs w:val="18"/>
                <w:color w:val="auto"/>
              </w:rPr>
              <w:t>13,273.8</w:t>
            </w:r>
          </w:p>
        </w:tc>
        <w:tc>
          <w:tcPr>
            <w:tcW w:w="4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9,698.0</w:t>
            </w:r>
          </w:p>
        </w:tc>
      </w:tr>
      <w:tr>
        <w:trPr>
          <w:trHeight w:val="28"/>
        </w:trPr>
        <w:tc>
          <w:tcPr>
            <w:tcW w:w="6300" w:type="dxa"/>
            <w:vAlign w:val="bottom"/>
            <w:tcBorders>
              <w:right w:val="single" w:sz="8" w:color="007CBA"/>
            </w:tcBorders>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630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Magnesia Specialtes</w:t>
            </w:r>
          </w:p>
        </w:tc>
        <w:tc>
          <w:tcPr>
            <w:tcW w:w="500" w:type="dxa"/>
            <w:vAlign w:val="bottom"/>
            <w:tcBorders>
              <w:bottom w:val="single" w:sz="8" w:color="E5F1F8"/>
            </w:tcBorders>
            <w:shd w:val="clear" w:color="auto" w:fill="E5F1F8"/>
          </w:tcPr>
          <w:p>
            <w:pPr>
              <w:spacing w:after="0"/>
              <w:rPr>
                <w:sz w:val="19"/>
                <w:szCs w:val="19"/>
                <w:color w:val="auto"/>
              </w:rPr>
            </w:pPr>
          </w:p>
        </w:tc>
        <w:tc>
          <w:tcPr>
            <w:tcW w:w="118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192.1</w:t>
            </w:r>
          </w:p>
        </w:tc>
        <w:tc>
          <w:tcPr>
            <w:tcW w:w="48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168.7</w:t>
            </w:r>
          </w:p>
        </w:tc>
        <w:tc>
          <w:tcPr>
            <w:tcW w:w="48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167.9</w:t>
            </w:r>
          </w:p>
        </w:tc>
      </w:tr>
      <w:tr>
        <w:trPr>
          <w:trHeight w:val="215"/>
        </w:trPr>
        <w:tc>
          <w:tcPr>
            <w:tcW w:w="6300" w:type="dxa"/>
            <w:vAlign w:val="bottom"/>
          </w:tcPr>
          <w:p>
            <w:pPr>
              <w:ind w:left="120"/>
              <w:spacing w:after="0" w:line="215" w:lineRule="exact"/>
              <w:rPr>
                <w:sz w:val="20"/>
                <w:szCs w:val="20"/>
                <w:color w:val="auto"/>
              </w:rPr>
            </w:pPr>
            <w:r>
              <w:rPr>
                <w:rFonts w:ascii="Calibri" w:cs="Calibri" w:eastAsia="Calibri" w:hAnsi="Calibri"/>
                <w:sz w:val="18"/>
                <w:szCs w:val="18"/>
                <w:color w:val="auto"/>
              </w:rPr>
              <w:t>Corporate</w:t>
            </w:r>
          </w:p>
        </w:tc>
        <w:tc>
          <w:tcPr>
            <w:tcW w:w="500" w:type="dxa"/>
            <w:vAlign w:val="bottom"/>
          </w:tcPr>
          <w:p>
            <w:pPr>
              <w:spacing w:after="0"/>
              <w:rPr>
                <w:sz w:val="18"/>
                <w:szCs w:val="18"/>
                <w:color w:val="auto"/>
              </w:rPr>
            </w:pPr>
          </w:p>
        </w:tc>
        <w:tc>
          <w:tcPr>
            <w:tcW w:w="118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1,829.6</w:t>
            </w:r>
          </w:p>
        </w:tc>
        <w:tc>
          <w:tcPr>
            <w:tcW w:w="480" w:type="dxa"/>
            <w:vAlign w:val="bottom"/>
          </w:tcPr>
          <w:p>
            <w:pPr>
              <w:spacing w:after="0"/>
              <w:rPr>
                <w:sz w:val="18"/>
                <w:szCs w:val="18"/>
                <w:color w:val="auto"/>
              </w:rPr>
            </w:pPr>
          </w:p>
        </w:tc>
        <w:tc>
          <w:tcPr>
            <w:tcW w:w="11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950.5</w:t>
            </w:r>
          </w:p>
        </w:tc>
        <w:tc>
          <w:tcPr>
            <w:tcW w:w="480" w:type="dxa"/>
            <w:vAlign w:val="bottom"/>
          </w:tcPr>
          <w:p>
            <w:pPr>
              <w:spacing w:after="0"/>
              <w:rPr>
                <w:sz w:val="18"/>
                <w:szCs w:val="18"/>
                <w:color w:val="auto"/>
              </w:rPr>
            </w:pP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714.9</w:t>
            </w:r>
          </w:p>
        </w:tc>
      </w:tr>
      <w:tr>
        <w:trPr>
          <w:trHeight w:val="28"/>
        </w:trPr>
        <w:tc>
          <w:tcPr>
            <w:tcW w:w="6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1"/>
        </w:trPr>
        <w:tc>
          <w:tcPr>
            <w:tcW w:w="630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Total</w:t>
            </w:r>
          </w:p>
        </w:tc>
        <w:tc>
          <w:tcPr>
            <w:tcW w:w="500" w:type="dxa"/>
            <w:vAlign w:val="bottom"/>
            <w:tcBorders>
              <w:bottom w:val="single" w:sz="8" w:color="E5F1F8"/>
            </w:tcBorders>
            <w:shd w:val="clear" w:color="auto" w:fill="E5F1F8"/>
          </w:tcPr>
          <w:p>
            <w:pPr>
              <w:jc w:val="right"/>
              <w:ind w:right="110"/>
              <w:spacing w:after="0" w:line="208" w:lineRule="exact"/>
              <w:rPr>
                <w:sz w:val="20"/>
                <w:szCs w:val="20"/>
                <w:color w:val="auto"/>
              </w:rPr>
            </w:pPr>
            <w:r>
              <w:rPr>
                <w:rFonts w:ascii="Calibri" w:cs="Calibri" w:eastAsia="Calibri" w:hAnsi="Calibri"/>
                <w:sz w:val="18"/>
                <w:szCs w:val="18"/>
                <w:b w:val="1"/>
                <w:bCs w:val="1"/>
                <w:color w:val="auto"/>
              </w:rPr>
              <w:t>$</w:t>
            </w:r>
          </w:p>
        </w:tc>
        <w:tc>
          <w:tcPr>
            <w:tcW w:w="1180" w:type="dxa"/>
            <w:vAlign w:val="bottom"/>
            <w:tcBorders>
              <w:bottom w:val="single" w:sz="8" w:color="E5F1F8"/>
              <w:right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b w:val="1"/>
                <w:bCs w:val="1"/>
                <w:color w:val="auto"/>
              </w:rPr>
              <w:t>14,993.6</w:t>
            </w:r>
          </w:p>
        </w:tc>
        <w:tc>
          <w:tcPr>
            <w:tcW w:w="480" w:type="dxa"/>
            <w:vAlign w:val="bottom"/>
            <w:tcBorders>
              <w:bottom w:val="single" w:sz="8" w:color="E5F1F8"/>
            </w:tcBorders>
            <w:shd w:val="clear" w:color="auto" w:fill="E5F1F8"/>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color w:val="auto"/>
              </w:rPr>
              <w:t>14,393.0</w:t>
            </w:r>
          </w:p>
        </w:tc>
        <w:tc>
          <w:tcPr>
            <w:tcW w:w="480" w:type="dxa"/>
            <w:vAlign w:val="bottom"/>
            <w:tcBorders>
              <w:bottom w:val="single" w:sz="8" w:color="E5F1F8"/>
            </w:tcBorders>
            <w:shd w:val="clear" w:color="auto" w:fill="E5F1F8"/>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10,580.8</w:t>
            </w:r>
          </w:p>
        </w:tc>
      </w:tr>
      <w:tr>
        <w:trPr>
          <w:trHeight w:val="20"/>
        </w:trPr>
        <w:tc>
          <w:tcPr>
            <w:tcW w:w="63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-826770</wp:posOffset>
            </wp:positionV>
            <wp:extent cx="7132320" cy="32956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9">
                      <a:extLst>
                        <a:ext uri="{28A0092B-C50C-407E-A947-70E740481C1C}"/>
                      </a:extLst>
                    </a:blip>
                    <a:srcRect/>
                    <a:stretch>
                      <a:fillRect/>
                    </a:stretch>
                  </pic:blipFill>
                  <pic:spPr bwMode="auto">
                    <a:xfrm>
                      <a:off x="0" y="0"/>
                      <a:ext cx="7132320" cy="329565"/>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-354965</wp:posOffset>
            </wp:positionV>
            <wp:extent cx="3158490" cy="3683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0">
                      <a:extLst>
                        <a:ext uri="{28A0092B-C50C-407E-A947-70E740481C1C}"/>
                      </a:extLst>
                    </a:blip>
                    <a:srcRect/>
                    <a:stretch>
                      <a:fillRect/>
                    </a:stretch>
                  </pic:blipFill>
                  <pic:spPr bwMode="auto">
                    <a:xfrm>
                      <a:off x="0" y="0"/>
                      <a:ext cx="3158490" cy="36830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213995</wp:posOffset>
            </wp:positionV>
            <wp:extent cx="325755" cy="19685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1">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34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308"/>
        </w:trPr>
        <w:tc>
          <w:tcPr>
            <w:tcW w:w="6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40" w:type="dxa"/>
            <w:vAlign w:val="bottom"/>
            <w:gridSpan w:val="6"/>
          </w:tcPr>
          <w:p>
            <w:pPr>
              <w:ind w:left="20"/>
              <w:spacing w:after="0"/>
              <w:rPr>
                <w:sz w:val="20"/>
                <w:szCs w:val="20"/>
                <w:color w:val="auto"/>
              </w:rPr>
            </w:pPr>
            <w:r>
              <w:rPr>
                <w:rFonts w:ascii="Calibri" w:cs="Calibri" w:eastAsia="Calibri" w:hAnsi="Calibri"/>
                <w:sz w:val="18"/>
                <w:szCs w:val="18"/>
                <w:color w:val="auto"/>
                <w:w w:val="98"/>
              </w:rPr>
              <w:t xml:space="preserve">Part II </w:t>
            </w:r>
            <w:r>
              <w:rPr>
                <w:rFonts w:ascii="Arial" w:cs="Arial" w:eastAsia="Arial" w:hAnsi="Arial"/>
                <w:sz w:val="23"/>
                <w:szCs w:val="23"/>
                <w:color w:val="0070C0"/>
                <w:w w:val="98"/>
              </w:rPr>
              <w:t>♦</w:t>
            </w:r>
            <w:r>
              <w:rPr>
                <w:rFonts w:ascii="Calibri" w:cs="Calibri" w:eastAsia="Calibri" w:hAnsi="Calibri"/>
                <w:sz w:val="18"/>
                <w:szCs w:val="18"/>
                <w:color w:val="auto"/>
                <w:w w:val="98"/>
              </w:rPr>
              <w:t xml:space="preserve"> Item 8 – Financial Statements and Supplementary Data</w:t>
            </w:r>
          </w:p>
        </w:tc>
        <w:tc>
          <w:tcPr>
            <w:tcW w:w="0" w:type="dxa"/>
            <w:vAlign w:val="bottom"/>
          </w:tcPr>
          <w:p>
            <w:pPr>
              <w:spacing w:after="0"/>
              <w:rPr>
                <w:sz w:val="1"/>
                <w:szCs w:val="1"/>
                <w:color w:val="auto"/>
              </w:rPr>
            </w:pPr>
          </w:p>
        </w:tc>
      </w:tr>
      <w:tr>
        <w:trPr>
          <w:trHeight w:val="169"/>
        </w:trPr>
        <w:tc>
          <w:tcPr>
            <w:tcW w:w="6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300" w:type="dxa"/>
            <w:vAlign w:val="bottom"/>
            <w:tcBorders>
              <w:right w:val="single" w:sz="8" w:color="007CBA"/>
            </w:tcBorders>
            <w:shd w:val="clear" w:color="auto" w:fill="007CBA"/>
          </w:tcPr>
          <w:p>
            <w:pPr>
              <w:ind w:left="120"/>
              <w:spacing w:after="0" w:line="207" w:lineRule="exact"/>
              <w:rPr>
                <w:sz w:val="20"/>
                <w:szCs w:val="20"/>
                <w:color w:val="auto"/>
              </w:rPr>
            </w:pPr>
            <w:r>
              <w:rPr>
                <w:rFonts w:ascii="Calibri" w:cs="Calibri" w:eastAsia="Calibri" w:hAnsi="Calibri"/>
                <w:sz w:val="18"/>
                <w:szCs w:val="18"/>
                <w:i w:val="1"/>
                <w:iCs w:val="1"/>
                <w:color w:val="FFFFFF"/>
              </w:rPr>
              <w:t>years ended December 31</w:t>
            </w:r>
          </w:p>
        </w:tc>
        <w:tc>
          <w:tcPr>
            <w:tcW w:w="320" w:type="dxa"/>
            <w:vAlign w:val="bottom"/>
            <w:shd w:val="clear" w:color="auto" w:fill="007CBA"/>
          </w:tcPr>
          <w:p>
            <w:pPr>
              <w:spacing w:after="0"/>
              <w:rPr>
                <w:sz w:val="18"/>
                <w:szCs w:val="18"/>
                <w:color w:val="auto"/>
              </w:rPr>
            </w:pPr>
          </w:p>
        </w:tc>
        <w:tc>
          <w:tcPr>
            <w:tcW w:w="1360" w:type="dxa"/>
            <w:vAlign w:val="bottom"/>
            <w:tcBorders>
              <w:right w:val="single" w:sz="8" w:color="007CBA"/>
            </w:tcBorders>
            <w:shd w:val="clear" w:color="auto" w:fill="007CBA"/>
          </w:tcPr>
          <w:p>
            <w:pPr>
              <w:spacing w:after="0"/>
              <w:rPr>
                <w:sz w:val="18"/>
                <w:szCs w:val="18"/>
                <w:color w:val="auto"/>
              </w:rPr>
            </w:pPr>
          </w:p>
        </w:tc>
        <w:tc>
          <w:tcPr>
            <w:tcW w:w="48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80" w:type="dxa"/>
            <w:vAlign w:val="bottom"/>
            <w:shd w:val="clear" w:color="auto" w:fill="007CBA"/>
          </w:tcPr>
          <w:p>
            <w:pPr>
              <w:spacing w:after="0"/>
              <w:rPr>
                <w:sz w:val="18"/>
                <w:szCs w:val="18"/>
                <w:color w:val="auto"/>
              </w:rPr>
            </w:pPr>
          </w:p>
        </w:tc>
        <w:tc>
          <w:tcPr>
            <w:tcW w:w="1140" w:type="dxa"/>
            <w:vAlign w:val="bottom"/>
            <w:shd w:val="clear" w:color="auto" w:fill="007CB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0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320" w:type="dxa"/>
            <w:vAlign w:val="bottom"/>
            <w:shd w:val="clear" w:color="auto" w:fill="007CBA"/>
          </w:tcPr>
          <w:p>
            <w:pPr>
              <w:spacing w:after="0"/>
              <w:rPr>
                <w:sz w:val="18"/>
                <w:szCs w:val="18"/>
                <w:color w:val="auto"/>
              </w:rPr>
            </w:pPr>
          </w:p>
        </w:tc>
        <w:tc>
          <w:tcPr>
            <w:tcW w:w="1360" w:type="dxa"/>
            <w:vAlign w:val="bottom"/>
            <w:tcBorders>
              <w:right w:val="single" w:sz="8" w:color="007CBA"/>
            </w:tcBorders>
            <w:shd w:val="clear" w:color="auto" w:fill="007CBA"/>
          </w:tcPr>
          <w:p>
            <w:pPr>
              <w:spacing w:after="0"/>
              <w:rPr>
                <w:sz w:val="18"/>
                <w:szCs w:val="18"/>
                <w:color w:val="auto"/>
              </w:rPr>
            </w:pPr>
          </w:p>
        </w:tc>
        <w:tc>
          <w:tcPr>
            <w:tcW w:w="48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80" w:type="dxa"/>
            <w:vAlign w:val="bottom"/>
            <w:shd w:val="clear" w:color="auto" w:fill="007CBA"/>
          </w:tcPr>
          <w:p>
            <w:pPr>
              <w:spacing w:after="0"/>
              <w:rPr>
                <w:sz w:val="18"/>
                <w:szCs w:val="18"/>
                <w:color w:val="auto"/>
              </w:rPr>
            </w:pPr>
          </w:p>
        </w:tc>
        <w:tc>
          <w:tcPr>
            <w:tcW w:w="1140" w:type="dxa"/>
            <w:vAlign w:val="bottom"/>
            <w:shd w:val="clear" w:color="auto" w:fill="007CB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300" w:type="dxa"/>
            <w:vAlign w:val="bottom"/>
            <w:tcBorders>
              <w:bottom w:val="single" w:sz="8" w:color="007CBA"/>
              <w:right w:val="single" w:sz="8" w:color="007CBA"/>
            </w:tcBorders>
            <w:shd w:val="clear" w:color="auto" w:fill="007CBA"/>
          </w:tcPr>
          <w:p>
            <w:pPr>
              <w:ind w:left="120"/>
              <w:spacing w:after="0" w:line="216" w:lineRule="exact"/>
              <w:rPr>
                <w:sz w:val="20"/>
                <w:szCs w:val="20"/>
                <w:color w:val="auto"/>
              </w:rPr>
            </w:pPr>
            <w:r>
              <w:rPr>
                <w:rFonts w:ascii="Calibri" w:cs="Calibri" w:eastAsia="Calibri" w:hAnsi="Calibri"/>
                <w:sz w:val="18"/>
                <w:szCs w:val="18"/>
                <w:b w:val="1"/>
                <w:bCs w:val="1"/>
                <w:color w:val="FFFFFF"/>
              </w:rPr>
              <w:t>Depreciaton, depleton and amortzaton</w:t>
            </w:r>
          </w:p>
        </w:tc>
        <w:tc>
          <w:tcPr>
            <w:tcW w:w="320" w:type="dxa"/>
            <w:vAlign w:val="bottom"/>
            <w:tcBorders>
              <w:bottom w:val="single" w:sz="8" w:color="007CBA"/>
            </w:tcBorders>
            <w:shd w:val="clear" w:color="auto" w:fill="007CBA"/>
          </w:tcPr>
          <w:p>
            <w:pPr>
              <w:spacing w:after="0"/>
              <w:rPr>
                <w:sz w:val="20"/>
                <w:szCs w:val="20"/>
                <w:color w:val="auto"/>
              </w:rPr>
            </w:pPr>
          </w:p>
        </w:tc>
        <w:tc>
          <w:tcPr>
            <w:tcW w:w="1360" w:type="dxa"/>
            <w:vAlign w:val="bottom"/>
            <w:tcBorders>
              <w:bottom w:val="single" w:sz="8" w:color="007CBA"/>
              <w:right w:val="single" w:sz="8" w:color="007CBA"/>
            </w:tcBorders>
            <w:shd w:val="clear" w:color="auto" w:fill="007CBA"/>
          </w:tcPr>
          <w:p>
            <w:pPr>
              <w:jc w:val="right"/>
              <w:ind w:right="530"/>
              <w:spacing w:after="0" w:line="216" w:lineRule="exact"/>
              <w:rPr>
                <w:sz w:val="20"/>
                <w:szCs w:val="20"/>
                <w:color w:val="auto"/>
              </w:rPr>
            </w:pPr>
            <w:r>
              <w:rPr>
                <w:rFonts w:ascii="Calibri" w:cs="Calibri" w:eastAsia="Calibri" w:hAnsi="Calibri"/>
                <w:sz w:val="18"/>
                <w:szCs w:val="18"/>
                <w:b w:val="1"/>
                <w:bCs w:val="1"/>
                <w:color w:val="FFFFFF"/>
              </w:rPr>
              <w:t>2022</w:t>
            </w:r>
          </w:p>
        </w:tc>
        <w:tc>
          <w:tcPr>
            <w:tcW w:w="480" w:type="dxa"/>
            <w:vAlign w:val="bottom"/>
            <w:tcBorders>
              <w:bottom w:val="single" w:sz="8" w:color="007CBA"/>
            </w:tcBorders>
            <w:shd w:val="clear" w:color="auto" w:fill="007CBA"/>
          </w:tcPr>
          <w:p>
            <w:pPr>
              <w:spacing w:after="0"/>
              <w:rPr>
                <w:sz w:val="20"/>
                <w:szCs w:val="20"/>
                <w:color w:val="auto"/>
              </w:rPr>
            </w:pPr>
          </w:p>
        </w:tc>
        <w:tc>
          <w:tcPr>
            <w:tcW w:w="1160" w:type="dxa"/>
            <w:vAlign w:val="bottom"/>
            <w:tcBorders>
              <w:bottom w:val="single" w:sz="8" w:color="007CBA"/>
              <w:right w:val="single" w:sz="8" w:color="007CBA"/>
            </w:tcBorders>
            <w:shd w:val="clear" w:color="auto" w:fill="007CBA"/>
          </w:tcPr>
          <w:p>
            <w:pPr>
              <w:jc w:val="right"/>
              <w:ind w:right="510"/>
              <w:spacing w:after="0" w:line="216" w:lineRule="exact"/>
              <w:rPr>
                <w:sz w:val="20"/>
                <w:szCs w:val="20"/>
                <w:color w:val="auto"/>
              </w:rPr>
            </w:pPr>
            <w:r>
              <w:rPr>
                <w:rFonts w:ascii="Calibri" w:cs="Calibri" w:eastAsia="Calibri" w:hAnsi="Calibri"/>
                <w:sz w:val="18"/>
                <w:szCs w:val="18"/>
                <w:color w:val="FFFFFF"/>
              </w:rPr>
              <w:t>2021</w:t>
            </w:r>
          </w:p>
        </w:tc>
        <w:tc>
          <w:tcPr>
            <w:tcW w:w="48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tcBorders>
            <w:shd w:val="clear" w:color="auto" w:fill="007CBA"/>
          </w:tcPr>
          <w:p>
            <w:pPr>
              <w:jc w:val="right"/>
              <w:ind w:right="510"/>
              <w:spacing w:after="0" w:line="216" w:lineRule="exact"/>
              <w:rPr>
                <w:sz w:val="20"/>
                <w:szCs w:val="20"/>
                <w:color w:val="auto"/>
              </w:rPr>
            </w:pPr>
            <w:r>
              <w:rPr>
                <w:rFonts w:ascii="Calibri" w:cs="Calibri" w:eastAsia="Calibri" w:hAnsi="Calibri"/>
                <w:sz w:val="18"/>
                <w:szCs w:val="18"/>
                <w:color w:val="FFFFFF"/>
              </w:rPr>
              <w:t>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East Group</w:t>
            </w:r>
          </w:p>
        </w:tc>
        <w:tc>
          <w:tcPr>
            <w:tcW w:w="32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3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210.4</w:t>
            </w:r>
          </w:p>
        </w:tc>
        <w:tc>
          <w:tcPr>
            <w:tcW w:w="48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196.0</w:t>
            </w:r>
          </w:p>
        </w:tc>
        <w:tc>
          <w:tcPr>
            <w:tcW w:w="48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167.9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30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West Group</w:t>
            </w:r>
          </w:p>
        </w:tc>
        <w:tc>
          <w:tcPr>
            <w:tcW w:w="320" w:type="dxa"/>
            <w:vAlign w:val="bottom"/>
            <w:tcBorders>
              <w:bottom w:val="single" w:sz="8" w:color="E5F1F8"/>
            </w:tcBorders>
            <w:shd w:val="clear" w:color="auto" w:fill="E5F1F8"/>
          </w:tcPr>
          <w:p>
            <w:pPr>
              <w:spacing w:after="0"/>
              <w:rPr>
                <w:sz w:val="21"/>
                <w:szCs w:val="21"/>
                <w:color w:val="auto"/>
              </w:rPr>
            </w:pPr>
          </w:p>
        </w:tc>
        <w:tc>
          <w:tcPr>
            <w:tcW w:w="136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260.6</w:t>
            </w:r>
          </w:p>
        </w:tc>
        <w:tc>
          <w:tcPr>
            <w:tcW w:w="48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223.0</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196.6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30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color w:val="auto"/>
              </w:rPr>
              <w:t>Total Building Materials business</w:t>
            </w:r>
          </w:p>
        </w:tc>
        <w:tc>
          <w:tcPr>
            <w:tcW w:w="320" w:type="dxa"/>
            <w:vAlign w:val="bottom"/>
            <w:tcBorders>
              <w:top w:val="single" w:sz="8" w:color="auto"/>
            </w:tcBorders>
          </w:tcPr>
          <w:p>
            <w:pPr>
              <w:spacing w:after="0"/>
              <w:rPr>
                <w:sz w:val="18"/>
                <w:szCs w:val="18"/>
                <w:color w:val="auto"/>
              </w:rPr>
            </w:pPr>
          </w:p>
        </w:tc>
        <w:tc>
          <w:tcPr>
            <w:tcW w:w="136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471.0</w:t>
            </w:r>
          </w:p>
        </w:tc>
        <w:tc>
          <w:tcPr>
            <w:tcW w:w="480" w:type="dxa"/>
            <w:vAlign w:val="bottom"/>
            <w:tcBorders>
              <w:top w:val="single" w:sz="8" w:color="auto"/>
            </w:tcBorders>
          </w:tcPr>
          <w:p>
            <w:pPr>
              <w:spacing w:after="0"/>
              <w:rPr>
                <w:sz w:val="18"/>
                <w:szCs w:val="18"/>
                <w:color w:val="auto"/>
              </w:rPr>
            </w:pPr>
          </w:p>
        </w:tc>
        <w:tc>
          <w:tcPr>
            <w:tcW w:w="1160" w:type="dxa"/>
            <w:vAlign w:val="bottom"/>
            <w:tcBorders>
              <w:top w:val="single" w:sz="8" w:color="auto"/>
              <w:right w:val="single" w:sz="8" w:color="007CBA"/>
            </w:tcBorders>
          </w:tcPr>
          <w:p>
            <w:pPr>
              <w:jc w:val="right"/>
              <w:ind w:right="50"/>
              <w:spacing w:after="0" w:line="208" w:lineRule="exact"/>
              <w:rPr>
                <w:sz w:val="20"/>
                <w:szCs w:val="20"/>
                <w:color w:val="auto"/>
              </w:rPr>
            </w:pPr>
            <w:r>
              <w:rPr>
                <w:rFonts w:ascii="Calibri" w:cs="Calibri" w:eastAsia="Calibri" w:hAnsi="Calibri"/>
                <w:sz w:val="18"/>
                <w:szCs w:val="18"/>
                <w:color w:val="auto"/>
              </w:rPr>
              <w:t>419.0</w:t>
            </w:r>
          </w:p>
        </w:tc>
        <w:tc>
          <w:tcPr>
            <w:tcW w:w="4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364.5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300" w:type="dxa"/>
            <w:vAlign w:val="bottom"/>
            <w:tcBorders>
              <w:right w:val="single" w:sz="8" w:color="007CBA"/>
            </w:tcBorders>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30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Magnesia Specialtes</w:t>
            </w:r>
          </w:p>
        </w:tc>
        <w:tc>
          <w:tcPr>
            <w:tcW w:w="320" w:type="dxa"/>
            <w:vAlign w:val="bottom"/>
            <w:tcBorders>
              <w:bottom w:val="single" w:sz="8" w:color="E5F1F8"/>
            </w:tcBorders>
            <w:shd w:val="clear" w:color="auto" w:fill="E5F1F8"/>
          </w:tcPr>
          <w:p>
            <w:pPr>
              <w:spacing w:after="0"/>
              <w:rPr>
                <w:sz w:val="19"/>
                <w:szCs w:val="19"/>
                <w:color w:val="auto"/>
              </w:rPr>
            </w:pPr>
          </w:p>
        </w:tc>
        <w:tc>
          <w:tcPr>
            <w:tcW w:w="136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12.2</w:t>
            </w:r>
          </w:p>
        </w:tc>
        <w:tc>
          <w:tcPr>
            <w:tcW w:w="48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12.3</w:t>
            </w:r>
          </w:p>
        </w:tc>
        <w:tc>
          <w:tcPr>
            <w:tcW w:w="48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300" w:type="dxa"/>
            <w:vAlign w:val="bottom"/>
          </w:tcPr>
          <w:p>
            <w:pPr>
              <w:ind w:left="120"/>
              <w:spacing w:after="0" w:line="215" w:lineRule="exact"/>
              <w:rPr>
                <w:sz w:val="20"/>
                <w:szCs w:val="20"/>
                <w:color w:val="auto"/>
              </w:rPr>
            </w:pPr>
            <w:r>
              <w:rPr>
                <w:rFonts w:ascii="Calibri" w:cs="Calibri" w:eastAsia="Calibri" w:hAnsi="Calibri"/>
                <w:sz w:val="18"/>
                <w:szCs w:val="18"/>
                <w:color w:val="auto"/>
              </w:rPr>
              <w:t>Corporate</w:t>
            </w:r>
          </w:p>
        </w:tc>
        <w:tc>
          <w:tcPr>
            <w:tcW w:w="320" w:type="dxa"/>
            <w:vAlign w:val="bottom"/>
          </w:tcPr>
          <w:p>
            <w:pPr>
              <w:spacing w:after="0"/>
              <w:rPr>
                <w:sz w:val="18"/>
                <w:szCs w:val="18"/>
                <w:color w:val="auto"/>
              </w:rPr>
            </w:pPr>
          </w:p>
        </w:tc>
        <w:tc>
          <w:tcPr>
            <w:tcW w:w="136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22.8</w:t>
            </w:r>
          </w:p>
        </w:tc>
        <w:tc>
          <w:tcPr>
            <w:tcW w:w="480" w:type="dxa"/>
            <w:vAlign w:val="bottom"/>
          </w:tcPr>
          <w:p>
            <w:pPr>
              <w:spacing w:after="0"/>
              <w:rPr>
                <w:sz w:val="18"/>
                <w:szCs w:val="18"/>
                <w:color w:val="auto"/>
              </w:rPr>
            </w:pPr>
          </w:p>
        </w:tc>
        <w:tc>
          <w:tcPr>
            <w:tcW w:w="11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20.4</w:t>
            </w:r>
          </w:p>
        </w:tc>
        <w:tc>
          <w:tcPr>
            <w:tcW w:w="480" w:type="dxa"/>
            <w:vAlign w:val="bottom"/>
          </w:tcPr>
          <w:p>
            <w:pPr>
              <w:spacing w:after="0"/>
              <w:rPr>
                <w:sz w:val="18"/>
                <w:szCs w:val="18"/>
                <w:color w:val="auto"/>
              </w:rPr>
            </w:pP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30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Total</w:t>
            </w:r>
          </w:p>
        </w:tc>
        <w:tc>
          <w:tcPr>
            <w:tcW w:w="320" w:type="dxa"/>
            <w:vAlign w:val="bottom"/>
            <w:tcBorders>
              <w:bottom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b w:val="1"/>
                <w:bCs w:val="1"/>
                <w:color w:val="auto"/>
              </w:rPr>
              <w:t>$</w:t>
            </w:r>
          </w:p>
        </w:tc>
        <w:tc>
          <w:tcPr>
            <w:tcW w:w="1360" w:type="dxa"/>
            <w:vAlign w:val="bottom"/>
            <w:tcBorders>
              <w:bottom w:val="single" w:sz="8" w:color="E5F1F8"/>
              <w:right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b w:val="1"/>
                <w:bCs w:val="1"/>
                <w:color w:val="auto"/>
              </w:rPr>
              <w:t>506.0</w:t>
            </w:r>
          </w:p>
        </w:tc>
        <w:tc>
          <w:tcPr>
            <w:tcW w:w="480" w:type="dxa"/>
            <w:vAlign w:val="bottom"/>
            <w:tcBorders>
              <w:bottom w:val="single" w:sz="8" w:color="E5F1F8"/>
            </w:tcBorders>
            <w:shd w:val="clear" w:color="auto" w:fill="E5F1F8"/>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color w:val="auto"/>
              </w:rPr>
              <w:t>451.7</w:t>
            </w:r>
          </w:p>
        </w:tc>
        <w:tc>
          <w:tcPr>
            <w:tcW w:w="480" w:type="dxa"/>
            <w:vAlign w:val="bottom"/>
            <w:tcBorders>
              <w:bottom w:val="single" w:sz="8" w:color="E5F1F8"/>
            </w:tcBorders>
            <w:shd w:val="clear" w:color="auto" w:fill="E5F1F8"/>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393.5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3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30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b w:val="1"/>
                <w:bCs w:val="1"/>
                <w:color w:val="FFFFFF"/>
              </w:rPr>
              <w:t>Total property additons, including the impact of acquisitons</w:t>
            </w:r>
          </w:p>
        </w:tc>
        <w:tc>
          <w:tcPr>
            <w:tcW w:w="320" w:type="dxa"/>
            <w:vAlign w:val="bottom"/>
            <w:tcBorders>
              <w:bottom w:val="single" w:sz="8" w:color="007CBA"/>
            </w:tcBorders>
            <w:shd w:val="clear" w:color="auto" w:fill="007CBA"/>
          </w:tcPr>
          <w:p>
            <w:pPr>
              <w:spacing w:after="0"/>
              <w:rPr>
                <w:sz w:val="19"/>
                <w:szCs w:val="19"/>
                <w:color w:val="auto"/>
              </w:rPr>
            </w:pPr>
          </w:p>
        </w:tc>
        <w:tc>
          <w:tcPr>
            <w:tcW w:w="1360" w:type="dxa"/>
            <w:vAlign w:val="bottom"/>
            <w:tcBorders>
              <w:bottom w:val="single" w:sz="8" w:color="007CBA"/>
              <w:right w:val="single" w:sz="8" w:color="007CBA"/>
            </w:tcBorders>
            <w:shd w:val="clear" w:color="auto" w:fill="007CBA"/>
          </w:tcPr>
          <w:p>
            <w:pPr>
              <w:spacing w:after="0"/>
              <w:rPr>
                <w:sz w:val="19"/>
                <w:szCs w:val="19"/>
                <w:color w:val="auto"/>
              </w:rPr>
            </w:pPr>
          </w:p>
        </w:tc>
        <w:tc>
          <w:tcPr>
            <w:tcW w:w="480" w:type="dxa"/>
            <w:vAlign w:val="bottom"/>
            <w:tcBorders>
              <w:bottom w:val="single" w:sz="8" w:color="007CBA"/>
            </w:tcBorders>
            <w:shd w:val="clear" w:color="auto" w:fill="007CBA"/>
          </w:tcPr>
          <w:p>
            <w:pPr>
              <w:spacing w:after="0"/>
              <w:rPr>
                <w:sz w:val="19"/>
                <w:szCs w:val="19"/>
                <w:color w:val="auto"/>
              </w:rPr>
            </w:pPr>
          </w:p>
        </w:tc>
        <w:tc>
          <w:tcPr>
            <w:tcW w:w="1160" w:type="dxa"/>
            <w:vAlign w:val="bottom"/>
            <w:tcBorders>
              <w:bottom w:val="single" w:sz="8" w:color="007CBA"/>
              <w:right w:val="single" w:sz="8" w:color="007CBA"/>
            </w:tcBorders>
            <w:shd w:val="clear" w:color="auto" w:fill="007CBA"/>
          </w:tcPr>
          <w:p>
            <w:pPr>
              <w:spacing w:after="0"/>
              <w:rPr>
                <w:sz w:val="19"/>
                <w:szCs w:val="19"/>
                <w:color w:val="auto"/>
              </w:rPr>
            </w:pPr>
          </w:p>
        </w:tc>
        <w:tc>
          <w:tcPr>
            <w:tcW w:w="480" w:type="dxa"/>
            <w:vAlign w:val="bottom"/>
            <w:tcBorders>
              <w:bottom w:val="single" w:sz="8" w:color="007CBA"/>
            </w:tcBorders>
            <w:shd w:val="clear" w:color="auto" w:fill="007CBA"/>
          </w:tcPr>
          <w:p>
            <w:pPr>
              <w:spacing w:after="0"/>
              <w:rPr>
                <w:sz w:val="19"/>
                <w:szCs w:val="19"/>
                <w:color w:val="auto"/>
              </w:rPr>
            </w:pPr>
          </w:p>
        </w:tc>
        <w:tc>
          <w:tcPr>
            <w:tcW w:w="1140" w:type="dxa"/>
            <w:vAlign w:val="bottom"/>
            <w:tcBorders>
              <w:bottom w:val="single" w:sz="8" w:color="007CBA"/>
            </w:tcBorders>
            <w:shd w:val="clear" w:color="auto" w:fill="007CBA"/>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3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East Group</w:t>
            </w:r>
          </w:p>
        </w:tc>
        <w:tc>
          <w:tcPr>
            <w:tcW w:w="32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3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189.1</w:t>
            </w:r>
          </w:p>
        </w:tc>
        <w:tc>
          <w:tcPr>
            <w:tcW w:w="48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372.9</w:t>
            </w:r>
          </w:p>
        </w:tc>
        <w:tc>
          <w:tcPr>
            <w:tcW w:w="48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159.0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30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West Group</w:t>
            </w:r>
          </w:p>
        </w:tc>
        <w:tc>
          <w:tcPr>
            <w:tcW w:w="320" w:type="dxa"/>
            <w:vAlign w:val="bottom"/>
            <w:tcBorders>
              <w:bottom w:val="single" w:sz="8" w:color="E5F1F8"/>
            </w:tcBorders>
            <w:shd w:val="clear" w:color="auto" w:fill="E5F1F8"/>
          </w:tcPr>
          <w:p>
            <w:pPr>
              <w:spacing w:after="0"/>
              <w:rPr>
                <w:sz w:val="21"/>
                <w:szCs w:val="21"/>
                <w:color w:val="auto"/>
              </w:rPr>
            </w:pPr>
          </w:p>
        </w:tc>
        <w:tc>
          <w:tcPr>
            <w:tcW w:w="136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302.2</w:t>
            </w:r>
          </w:p>
        </w:tc>
        <w:tc>
          <w:tcPr>
            <w:tcW w:w="48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1,131.6</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197.9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30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color w:val="auto"/>
              </w:rPr>
              <w:t>Total Building Materials business</w:t>
            </w:r>
          </w:p>
        </w:tc>
        <w:tc>
          <w:tcPr>
            <w:tcW w:w="320" w:type="dxa"/>
            <w:vAlign w:val="bottom"/>
            <w:tcBorders>
              <w:top w:val="single" w:sz="8" w:color="auto"/>
            </w:tcBorders>
          </w:tcPr>
          <w:p>
            <w:pPr>
              <w:spacing w:after="0"/>
              <w:rPr>
                <w:sz w:val="18"/>
                <w:szCs w:val="18"/>
                <w:color w:val="auto"/>
              </w:rPr>
            </w:pPr>
          </w:p>
        </w:tc>
        <w:tc>
          <w:tcPr>
            <w:tcW w:w="136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491.3</w:t>
            </w:r>
          </w:p>
        </w:tc>
        <w:tc>
          <w:tcPr>
            <w:tcW w:w="480" w:type="dxa"/>
            <w:vAlign w:val="bottom"/>
            <w:tcBorders>
              <w:top w:val="single" w:sz="8" w:color="auto"/>
            </w:tcBorders>
          </w:tcPr>
          <w:p>
            <w:pPr>
              <w:spacing w:after="0"/>
              <w:rPr>
                <w:sz w:val="18"/>
                <w:szCs w:val="18"/>
                <w:color w:val="auto"/>
              </w:rPr>
            </w:pPr>
          </w:p>
        </w:tc>
        <w:tc>
          <w:tcPr>
            <w:tcW w:w="1160" w:type="dxa"/>
            <w:vAlign w:val="bottom"/>
            <w:tcBorders>
              <w:top w:val="single" w:sz="8" w:color="auto"/>
              <w:right w:val="single" w:sz="8" w:color="007CBA"/>
            </w:tcBorders>
          </w:tcPr>
          <w:p>
            <w:pPr>
              <w:jc w:val="right"/>
              <w:ind w:right="50"/>
              <w:spacing w:after="0" w:line="208" w:lineRule="exact"/>
              <w:rPr>
                <w:sz w:val="20"/>
                <w:szCs w:val="20"/>
                <w:color w:val="auto"/>
              </w:rPr>
            </w:pPr>
            <w:r>
              <w:rPr>
                <w:rFonts w:ascii="Calibri" w:cs="Calibri" w:eastAsia="Calibri" w:hAnsi="Calibri"/>
                <w:sz w:val="18"/>
                <w:szCs w:val="18"/>
                <w:color w:val="auto"/>
              </w:rPr>
              <w:t>1,504.5</w:t>
            </w:r>
          </w:p>
        </w:tc>
        <w:tc>
          <w:tcPr>
            <w:tcW w:w="4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356.9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300" w:type="dxa"/>
            <w:vAlign w:val="bottom"/>
            <w:tcBorders>
              <w:right w:val="single" w:sz="8" w:color="007CBA"/>
            </w:tcBorders>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30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Magnesia Specialtes</w:t>
            </w:r>
          </w:p>
        </w:tc>
        <w:tc>
          <w:tcPr>
            <w:tcW w:w="320" w:type="dxa"/>
            <w:vAlign w:val="bottom"/>
            <w:tcBorders>
              <w:bottom w:val="single" w:sz="8" w:color="E5F1F8"/>
            </w:tcBorders>
            <w:shd w:val="clear" w:color="auto" w:fill="E5F1F8"/>
          </w:tcPr>
          <w:p>
            <w:pPr>
              <w:spacing w:after="0"/>
              <w:rPr>
                <w:sz w:val="19"/>
                <w:szCs w:val="19"/>
                <w:color w:val="auto"/>
              </w:rPr>
            </w:pPr>
          </w:p>
        </w:tc>
        <w:tc>
          <w:tcPr>
            <w:tcW w:w="136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32.0</w:t>
            </w:r>
          </w:p>
        </w:tc>
        <w:tc>
          <w:tcPr>
            <w:tcW w:w="48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8.2</w:t>
            </w:r>
          </w:p>
        </w:tc>
        <w:tc>
          <w:tcPr>
            <w:tcW w:w="48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300" w:type="dxa"/>
            <w:vAlign w:val="bottom"/>
          </w:tcPr>
          <w:p>
            <w:pPr>
              <w:ind w:left="120"/>
              <w:spacing w:after="0" w:line="215" w:lineRule="exact"/>
              <w:rPr>
                <w:sz w:val="20"/>
                <w:szCs w:val="20"/>
                <w:color w:val="auto"/>
              </w:rPr>
            </w:pPr>
            <w:r>
              <w:rPr>
                <w:rFonts w:ascii="Calibri" w:cs="Calibri" w:eastAsia="Calibri" w:hAnsi="Calibri"/>
                <w:sz w:val="18"/>
                <w:szCs w:val="18"/>
                <w:color w:val="auto"/>
              </w:rPr>
              <w:t>Corporate</w:t>
            </w:r>
          </w:p>
        </w:tc>
        <w:tc>
          <w:tcPr>
            <w:tcW w:w="320" w:type="dxa"/>
            <w:vAlign w:val="bottom"/>
          </w:tcPr>
          <w:p>
            <w:pPr>
              <w:spacing w:after="0"/>
              <w:rPr>
                <w:sz w:val="18"/>
                <w:szCs w:val="18"/>
                <w:color w:val="auto"/>
              </w:rPr>
            </w:pPr>
          </w:p>
        </w:tc>
        <w:tc>
          <w:tcPr>
            <w:tcW w:w="136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21.1</w:t>
            </w:r>
          </w:p>
        </w:tc>
        <w:tc>
          <w:tcPr>
            <w:tcW w:w="480" w:type="dxa"/>
            <w:vAlign w:val="bottom"/>
          </w:tcPr>
          <w:p>
            <w:pPr>
              <w:spacing w:after="0"/>
              <w:rPr>
                <w:sz w:val="18"/>
                <w:szCs w:val="18"/>
                <w:color w:val="auto"/>
              </w:rPr>
            </w:pPr>
          </w:p>
        </w:tc>
        <w:tc>
          <w:tcPr>
            <w:tcW w:w="11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28.8</w:t>
            </w:r>
          </w:p>
        </w:tc>
        <w:tc>
          <w:tcPr>
            <w:tcW w:w="480" w:type="dxa"/>
            <w:vAlign w:val="bottom"/>
          </w:tcPr>
          <w:p>
            <w:pPr>
              <w:spacing w:after="0"/>
              <w:rPr>
                <w:sz w:val="18"/>
                <w:szCs w:val="18"/>
                <w:color w:val="auto"/>
              </w:rPr>
            </w:pP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630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Total</w:t>
            </w:r>
          </w:p>
        </w:tc>
        <w:tc>
          <w:tcPr>
            <w:tcW w:w="320" w:type="dxa"/>
            <w:vAlign w:val="bottom"/>
            <w:tcBorders>
              <w:bottom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b w:val="1"/>
                <w:bCs w:val="1"/>
                <w:color w:val="auto"/>
              </w:rPr>
              <w:t>$</w:t>
            </w:r>
          </w:p>
        </w:tc>
        <w:tc>
          <w:tcPr>
            <w:tcW w:w="1360" w:type="dxa"/>
            <w:vAlign w:val="bottom"/>
            <w:tcBorders>
              <w:bottom w:val="single" w:sz="8" w:color="E5F1F8"/>
              <w:right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b w:val="1"/>
                <w:bCs w:val="1"/>
                <w:color w:val="auto"/>
              </w:rPr>
              <w:t>544.4</w:t>
            </w:r>
          </w:p>
        </w:tc>
        <w:tc>
          <w:tcPr>
            <w:tcW w:w="480" w:type="dxa"/>
            <w:vAlign w:val="bottom"/>
            <w:tcBorders>
              <w:bottom w:val="single" w:sz="8" w:color="E5F1F8"/>
            </w:tcBorders>
            <w:shd w:val="clear" w:color="auto" w:fill="E5F1F8"/>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color w:val="auto"/>
              </w:rPr>
              <w:t>1,541.5</w:t>
            </w:r>
          </w:p>
        </w:tc>
        <w:tc>
          <w:tcPr>
            <w:tcW w:w="480" w:type="dxa"/>
            <w:vAlign w:val="bottom"/>
            <w:tcBorders>
              <w:bottom w:val="single" w:sz="8" w:color="E5F1F8"/>
            </w:tcBorders>
            <w:shd w:val="clear" w:color="auto" w:fill="E5F1F8"/>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387.2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3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30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b w:val="1"/>
                <w:bCs w:val="1"/>
                <w:color w:val="FFFFFF"/>
              </w:rPr>
              <w:t>Property additons through acquisitons</w:t>
            </w:r>
          </w:p>
        </w:tc>
        <w:tc>
          <w:tcPr>
            <w:tcW w:w="320" w:type="dxa"/>
            <w:vAlign w:val="bottom"/>
            <w:tcBorders>
              <w:bottom w:val="single" w:sz="8" w:color="007CBA"/>
            </w:tcBorders>
            <w:shd w:val="clear" w:color="auto" w:fill="007CBA"/>
          </w:tcPr>
          <w:p>
            <w:pPr>
              <w:spacing w:after="0"/>
              <w:rPr>
                <w:sz w:val="19"/>
                <w:szCs w:val="19"/>
                <w:color w:val="auto"/>
              </w:rPr>
            </w:pPr>
          </w:p>
        </w:tc>
        <w:tc>
          <w:tcPr>
            <w:tcW w:w="1360" w:type="dxa"/>
            <w:vAlign w:val="bottom"/>
            <w:tcBorders>
              <w:bottom w:val="single" w:sz="8" w:color="007CBA"/>
              <w:right w:val="single" w:sz="8" w:color="007CBA"/>
            </w:tcBorders>
            <w:shd w:val="clear" w:color="auto" w:fill="007CBA"/>
          </w:tcPr>
          <w:p>
            <w:pPr>
              <w:spacing w:after="0"/>
              <w:rPr>
                <w:sz w:val="19"/>
                <w:szCs w:val="19"/>
                <w:color w:val="auto"/>
              </w:rPr>
            </w:pPr>
          </w:p>
        </w:tc>
        <w:tc>
          <w:tcPr>
            <w:tcW w:w="480" w:type="dxa"/>
            <w:vAlign w:val="bottom"/>
            <w:tcBorders>
              <w:bottom w:val="single" w:sz="8" w:color="007CBA"/>
            </w:tcBorders>
            <w:shd w:val="clear" w:color="auto" w:fill="007CBA"/>
          </w:tcPr>
          <w:p>
            <w:pPr>
              <w:spacing w:after="0"/>
              <w:rPr>
                <w:sz w:val="19"/>
                <w:szCs w:val="19"/>
                <w:color w:val="auto"/>
              </w:rPr>
            </w:pPr>
          </w:p>
        </w:tc>
        <w:tc>
          <w:tcPr>
            <w:tcW w:w="1160" w:type="dxa"/>
            <w:vAlign w:val="bottom"/>
            <w:tcBorders>
              <w:bottom w:val="single" w:sz="8" w:color="007CBA"/>
              <w:right w:val="single" w:sz="8" w:color="007CBA"/>
            </w:tcBorders>
            <w:shd w:val="clear" w:color="auto" w:fill="007CBA"/>
          </w:tcPr>
          <w:p>
            <w:pPr>
              <w:spacing w:after="0"/>
              <w:rPr>
                <w:sz w:val="19"/>
                <w:szCs w:val="19"/>
                <w:color w:val="auto"/>
              </w:rPr>
            </w:pPr>
          </w:p>
        </w:tc>
        <w:tc>
          <w:tcPr>
            <w:tcW w:w="480" w:type="dxa"/>
            <w:vAlign w:val="bottom"/>
            <w:tcBorders>
              <w:bottom w:val="single" w:sz="8" w:color="007CBA"/>
            </w:tcBorders>
            <w:shd w:val="clear" w:color="auto" w:fill="007CBA"/>
          </w:tcPr>
          <w:p>
            <w:pPr>
              <w:spacing w:after="0"/>
              <w:rPr>
                <w:sz w:val="19"/>
                <w:szCs w:val="19"/>
                <w:color w:val="auto"/>
              </w:rPr>
            </w:pPr>
          </w:p>
        </w:tc>
        <w:tc>
          <w:tcPr>
            <w:tcW w:w="1140" w:type="dxa"/>
            <w:vAlign w:val="bottom"/>
            <w:tcBorders>
              <w:bottom w:val="single" w:sz="8" w:color="007CBA"/>
            </w:tcBorders>
            <w:shd w:val="clear" w:color="auto" w:fill="007CBA"/>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3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East Group</w:t>
            </w:r>
          </w:p>
        </w:tc>
        <w:tc>
          <w:tcPr>
            <w:tcW w:w="32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3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48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169.2</w:t>
            </w:r>
          </w:p>
        </w:tc>
        <w:tc>
          <w:tcPr>
            <w:tcW w:w="48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30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West Group</w:t>
            </w:r>
          </w:p>
        </w:tc>
        <w:tc>
          <w:tcPr>
            <w:tcW w:w="320" w:type="dxa"/>
            <w:vAlign w:val="bottom"/>
            <w:tcBorders>
              <w:bottom w:val="single" w:sz="8" w:color="E5F1F8"/>
            </w:tcBorders>
            <w:shd w:val="clear" w:color="auto" w:fill="E5F1F8"/>
          </w:tcPr>
          <w:p>
            <w:pPr>
              <w:spacing w:after="0"/>
              <w:rPr>
                <w:sz w:val="21"/>
                <w:szCs w:val="21"/>
                <w:color w:val="auto"/>
              </w:rPr>
            </w:pPr>
          </w:p>
        </w:tc>
        <w:tc>
          <w:tcPr>
            <w:tcW w:w="136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2.5</w:t>
            </w:r>
          </w:p>
        </w:tc>
        <w:tc>
          <w:tcPr>
            <w:tcW w:w="48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918.3</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30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color w:val="auto"/>
              </w:rPr>
              <w:t>Total Building Materials business</w:t>
            </w:r>
          </w:p>
        </w:tc>
        <w:tc>
          <w:tcPr>
            <w:tcW w:w="320" w:type="dxa"/>
            <w:vAlign w:val="bottom"/>
            <w:tcBorders>
              <w:top w:val="single" w:sz="8" w:color="auto"/>
            </w:tcBorders>
          </w:tcPr>
          <w:p>
            <w:pPr>
              <w:spacing w:after="0"/>
              <w:rPr>
                <w:sz w:val="18"/>
                <w:szCs w:val="18"/>
                <w:color w:val="auto"/>
              </w:rPr>
            </w:pPr>
          </w:p>
        </w:tc>
        <w:tc>
          <w:tcPr>
            <w:tcW w:w="136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2.5</w:t>
            </w:r>
          </w:p>
        </w:tc>
        <w:tc>
          <w:tcPr>
            <w:tcW w:w="480" w:type="dxa"/>
            <w:vAlign w:val="bottom"/>
            <w:tcBorders>
              <w:top w:val="single" w:sz="8" w:color="auto"/>
            </w:tcBorders>
          </w:tcPr>
          <w:p>
            <w:pPr>
              <w:spacing w:after="0"/>
              <w:rPr>
                <w:sz w:val="18"/>
                <w:szCs w:val="18"/>
                <w:color w:val="auto"/>
              </w:rPr>
            </w:pPr>
          </w:p>
        </w:tc>
        <w:tc>
          <w:tcPr>
            <w:tcW w:w="1160" w:type="dxa"/>
            <w:vAlign w:val="bottom"/>
            <w:tcBorders>
              <w:top w:val="single" w:sz="8" w:color="auto"/>
              <w:right w:val="single" w:sz="8" w:color="007CBA"/>
            </w:tcBorders>
          </w:tcPr>
          <w:p>
            <w:pPr>
              <w:jc w:val="right"/>
              <w:ind w:right="50"/>
              <w:spacing w:after="0" w:line="208" w:lineRule="exact"/>
              <w:rPr>
                <w:sz w:val="20"/>
                <w:szCs w:val="20"/>
                <w:color w:val="auto"/>
              </w:rPr>
            </w:pPr>
            <w:r>
              <w:rPr>
                <w:rFonts w:ascii="Calibri" w:cs="Calibri" w:eastAsia="Calibri" w:hAnsi="Calibri"/>
                <w:sz w:val="18"/>
                <w:szCs w:val="18"/>
                <w:color w:val="auto"/>
              </w:rPr>
              <w:t>1,087.5</w:t>
            </w:r>
          </w:p>
        </w:tc>
        <w:tc>
          <w:tcPr>
            <w:tcW w:w="4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300" w:type="dxa"/>
            <w:vAlign w:val="bottom"/>
            <w:tcBorders>
              <w:right w:val="single" w:sz="8" w:color="007CBA"/>
            </w:tcBorders>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30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Magnesia Specialtes</w:t>
            </w:r>
          </w:p>
        </w:tc>
        <w:tc>
          <w:tcPr>
            <w:tcW w:w="320" w:type="dxa"/>
            <w:vAlign w:val="bottom"/>
            <w:tcBorders>
              <w:bottom w:val="single" w:sz="8" w:color="E5F1F8"/>
            </w:tcBorders>
            <w:shd w:val="clear" w:color="auto" w:fill="E5F1F8"/>
          </w:tcPr>
          <w:p>
            <w:pPr>
              <w:spacing w:after="0"/>
              <w:rPr>
                <w:sz w:val="19"/>
                <w:szCs w:val="19"/>
                <w:color w:val="auto"/>
              </w:rPr>
            </w:pPr>
          </w:p>
        </w:tc>
        <w:tc>
          <w:tcPr>
            <w:tcW w:w="136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48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48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300" w:type="dxa"/>
            <w:vAlign w:val="bottom"/>
          </w:tcPr>
          <w:p>
            <w:pPr>
              <w:ind w:left="120"/>
              <w:spacing w:after="0" w:line="215" w:lineRule="exact"/>
              <w:rPr>
                <w:sz w:val="20"/>
                <w:szCs w:val="20"/>
                <w:color w:val="auto"/>
              </w:rPr>
            </w:pPr>
            <w:r>
              <w:rPr>
                <w:rFonts w:ascii="Calibri" w:cs="Calibri" w:eastAsia="Calibri" w:hAnsi="Calibri"/>
                <w:sz w:val="18"/>
                <w:szCs w:val="18"/>
                <w:color w:val="auto"/>
              </w:rPr>
              <w:t>Corporate</w:t>
            </w:r>
          </w:p>
        </w:tc>
        <w:tc>
          <w:tcPr>
            <w:tcW w:w="320" w:type="dxa"/>
            <w:vAlign w:val="bottom"/>
          </w:tcPr>
          <w:p>
            <w:pPr>
              <w:spacing w:after="0"/>
              <w:rPr>
                <w:sz w:val="18"/>
                <w:szCs w:val="18"/>
                <w:color w:val="auto"/>
              </w:rPr>
            </w:pPr>
          </w:p>
        </w:tc>
        <w:tc>
          <w:tcPr>
            <w:tcW w:w="136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480" w:type="dxa"/>
            <w:vAlign w:val="bottom"/>
          </w:tcPr>
          <w:p>
            <w:pPr>
              <w:spacing w:after="0"/>
              <w:rPr>
                <w:sz w:val="18"/>
                <w:szCs w:val="18"/>
                <w:color w:val="auto"/>
              </w:rPr>
            </w:pPr>
          </w:p>
        </w:tc>
        <w:tc>
          <w:tcPr>
            <w:tcW w:w="11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480" w:type="dxa"/>
            <w:vAlign w:val="bottom"/>
          </w:tcPr>
          <w:p>
            <w:pPr>
              <w:spacing w:after="0"/>
              <w:rPr>
                <w:sz w:val="18"/>
                <w:szCs w:val="18"/>
                <w:color w:val="auto"/>
              </w:rPr>
            </w:pP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630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Total</w:t>
            </w:r>
          </w:p>
        </w:tc>
        <w:tc>
          <w:tcPr>
            <w:tcW w:w="320" w:type="dxa"/>
            <w:vAlign w:val="bottom"/>
            <w:tcBorders>
              <w:bottom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b w:val="1"/>
                <w:bCs w:val="1"/>
                <w:color w:val="auto"/>
              </w:rPr>
              <w:t>$</w:t>
            </w:r>
          </w:p>
        </w:tc>
        <w:tc>
          <w:tcPr>
            <w:tcW w:w="1360" w:type="dxa"/>
            <w:vAlign w:val="bottom"/>
            <w:tcBorders>
              <w:bottom w:val="single" w:sz="8" w:color="E5F1F8"/>
              <w:right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b w:val="1"/>
                <w:bCs w:val="1"/>
                <w:color w:val="auto"/>
              </w:rPr>
              <w:t>2.5</w:t>
            </w:r>
          </w:p>
        </w:tc>
        <w:tc>
          <w:tcPr>
            <w:tcW w:w="480" w:type="dxa"/>
            <w:vAlign w:val="bottom"/>
            <w:tcBorders>
              <w:bottom w:val="single" w:sz="8" w:color="E5F1F8"/>
            </w:tcBorders>
            <w:shd w:val="clear" w:color="auto" w:fill="E5F1F8"/>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color w:val="auto"/>
              </w:rPr>
              <w:t>1,087.5</w:t>
            </w:r>
          </w:p>
        </w:tc>
        <w:tc>
          <w:tcPr>
            <w:tcW w:w="480" w:type="dxa"/>
            <w:vAlign w:val="bottom"/>
            <w:tcBorders>
              <w:bottom w:val="single" w:sz="8" w:color="E5F1F8"/>
            </w:tcBorders>
            <w:shd w:val="clear" w:color="auto" w:fill="E5F1F8"/>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20.0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-3346450</wp:posOffset>
            </wp:positionV>
            <wp:extent cx="7132320" cy="32956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3">
                      <a:extLst>
                        <a:ext uri="{28A0092B-C50C-407E-A947-70E740481C1C}"/>
                      </a:extLst>
                    </a:blip>
                    <a:srcRect/>
                    <a:stretch>
                      <a:fillRect/>
                    </a:stretch>
                  </pic:blipFill>
                  <pic:spPr bwMode="auto">
                    <a:xfrm>
                      <a:off x="0" y="0"/>
                      <a:ext cx="7132320" cy="329565"/>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-2875280</wp:posOffset>
            </wp:positionV>
            <wp:extent cx="3158490" cy="3683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4">
                      <a:extLst>
                        <a:ext uri="{28A0092B-C50C-407E-A947-70E740481C1C}"/>
                      </a:extLst>
                    </a:blip>
                    <a:srcRect/>
                    <a:stretch>
                      <a:fillRect/>
                    </a:stretch>
                  </pic:blipFill>
                  <pic:spPr bwMode="auto">
                    <a:xfrm>
                      <a:off x="0" y="0"/>
                      <a:ext cx="3158490" cy="3683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-2086610</wp:posOffset>
            </wp:positionV>
            <wp:extent cx="7132320" cy="32956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5">
                      <a:extLst>
                        <a:ext uri="{28A0092B-C50C-407E-A947-70E740481C1C}"/>
                      </a:extLst>
                    </a:blip>
                    <a:srcRect/>
                    <a:stretch>
                      <a:fillRect/>
                    </a:stretch>
                  </pic:blipFill>
                  <pic:spPr bwMode="auto">
                    <a:xfrm>
                      <a:off x="0" y="0"/>
                      <a:ext cx="7132320" cy="329565"/>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-1614805</wp:posOffset>
            </wp:positionV>
            <wp:extent cx="3158490" cy="3683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6">
                      <a:extLst>
                        <a:ext uri="{28A0092B-C50C-407E-A947-70E740481C1C}"/>
                      </a:extLst>
                    </a:blip>
                    <a:srcRect/>
                    <a:stretch>
                      <a:fillRect/>
                    </a:stretch>
                  </pic:blipFill>
                  <pic:spPr bwMode="auto">
                    <a:xfrm>
                      <a:off x="0" y="0"/>
                      <a:ext cx="3158490" cy="3683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-826770</wp:posOffset>
            </wp:positionV>
            <wp:extent cx="7132320" cy="3302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7">
                      <a:extLst>
                        <a:ext uri="{28A0092B-C50C-407E-A947-70E740481C1C}"/>
                      </a:extLst>
                    </a:blip>
                    <a:srcRect/>
                    <a:stretch>
                      <a:fillRect/>
                    </a:stretch>
                  </pic:blipFill>
                  <pic:spPr bwMode="auto">
                    <a:xfrm>
                      <a:off x="0" y="0"/>
                      <a:ext cx="7132320" cy="330200"/>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-354965</wp:posOffset>
            </wp:positionV>
            <wp:extent cx="3158490" cy="3683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8">
                      <a:extLst>
                        <a:ext uri="{28A0092B-C50C-407E-A947-70E740481C1C}"/>
                      </a:extLst>
                    </a:blip>
                    <a:srcRect/>
                    <a:stretch>
                      <a:fillRect/>
                    </a:stretch>
                  </pic:blipFill>
                  <pic:spPr bwMode="auto">
                    <a:xfrm>
                      <a:off x="0" y="0"/>
                      <a:ext cx="3158490" cy="36830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Q: Revenues and Gross Proft</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tables, which are reconciled to consolidated amounts, provide total revenues and gross proft by line of business: Building Materials (further divided by product line) and Magnesia Specialtes. Interproduct revenues represent sales from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6751320</wp:posOffset>
            </wp:positionH>
            <wp:positionV relativeFrom="paragraph">
              <wp:posOffset>92710</wp:posOffset>
            </wp:positionV>
            <wp:extent cx="325755" cy="19685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9">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2" w:name="page113"/>
    <w:bookmarkEnd w:id="112"/>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aggregates product line to the ready mixed concrete and asphalt and paving product lines and sales from the cement product line to the ready mixed concrete product line. Total revenues and gross proft (loss) refect contnuing operatons only.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36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480" w:type="dxa"/>
            <w:vAlign w:val="bottom"/>
            <w:shd w:val="clear" w:color="auto" w:fill="007CBA"/>
          </w:tcPr>
          <w:p>
            <w:pPr>
              <w:spacing w:after="0"/>
              <w:rPr>
                <w:sz w:val="19"/>
                <w:szCs w:val="19"/>
                <w:color w:val="auto"/>
              </w:rPr>
            </w:pPr>
          </w:p>
        </w:tc>
        <w:tc>
          <w:tcPr>
            <w:tcW w:w="1160" w:type="dxa"/>
            <w:vAlign w:val="bottom"/>
            <w:tcBorders>
              <w:right w:val="single" w:sz="8" w:color="007CBA"/>
            </w:tcBorders>
            <w:shd w:val="clear" w:color="auto" w:fill="007CBA"/>
          </w:tcPr>
          <w:p>
            <w:pPr>
              <w:spacing w:after="0"/>
              <w:rPr>
                <w:sz w:val="19"/>
                <w:szCs w:val="19"/>
                <w:color w:val="auto"/>
              </w:rPr>
            </w:pPr>
          </w:p>
        </w:tc>
        <w:tc>
          <w:tcPr>
            <w:tcW w:w="460" w:type="dxa"/>
            <w:vAlign w:val="bottom"/>
            <w:shd w:val="clear" w:color="auto" w:fill="007CBA"/>
          </w:tcPr>
          <w:p>
            <w:pPr>
              <w:spacing w:after="0"/>
              <w:rPr>
                <w:sz w:val="19"/>
                <w:szCs w:val="19"/>
                <w:color w:val="auto"/>
              </w:rPr>
            </w:pPr>
          </w:p>
        </w:tc>
        <w:tc>
          <w:tcPr>
            <w:tcW w:w="1160" w:type="dxa"/>
            <w:vAlign w:val="bottom"/>
            <w:tcBorders>
              <w:right w:val="single" w:sz="8" w:color="007CBA"/>
            </w:tcBorders>
            <w:shd w:val="clear" w:color="auto" w:fill="007CBA"/>
          </w:tcPr>
          <w:p>
            <w:pPr>
              <w:spacing w:after="0"/>
              <w:rPr>
                <w:sz w:val="19"/>
                <w:szCs w:val="19"/>
                <w:color w:val="auto"/>
              </w:rPr>
            </w:pPr>
          </w:p>
        </w:tc>
        <w:tc>
          <w:tcPr>
            <w:tcW w:w="460" w:type="dxa"/>
            <w:vAlign w:val="bottom"/>
            <w:shd w:val="clear" w:color="auto" w:fill="007CBA"/>
          </w:tcPr>
          <w:p>
            <w:pPr>
              <w:spacing w:after="0"/>
              <w:rPr>
                <w:sz w:val="19"/>
                <w:szCs w:val="19"/>
                <w:color w:val="auto"/>
              </w:rPr>
            </w:pPr>
          </w:p>
        </w:tc>
        <w:tc>
          <w:tcPr>
            <w:tcW w:w="1160" w:type="dxa"/>
            <w:vAlign w:val="bottom"/>
            <w:shd w:val="clear" w:color="auto" w:fill="007CBA"/>
          </w:tcPr>
          <w:p>
            <w:pPr>
              <w:spacing w:after="0"/>
              <w:rPr>
                <w:sz w:val="19"/>
                <w:szCs w:val="19"/>
                <w:color w:val="auto"/>
              </w:rPr>
            </w:pPr>
          </w:p>
        </w:tc>
      </w:tr>
      <w:tr>
        <w:trPr>
          <w:trHeight w:val="215"/>
        </w:trPr>
        <w:tc>
          <w:tcPr>
            <w:tcW w:w="636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48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6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60" w:type="dxa"/>
            <w:vAlign w:val="bottom"/>
            <w:shd w:val="clear" w:color="auto" w:fill="007CBA"/>
          </w:tcPr>
          <w:p>
            <w:pPr>
              <w:spacing w:after="0"/>
              <w:rPr>
                <w:sz w:val="18"/>
                <w:szCs w:val="18"/>
                <w:color w:val="auto"/>
              </w:rPr>
            </w:pPr>
          </w:p>
        </w:tc>
        <w:tc>
          <w:tcPr>
            <w:tcW w:w="1160" w:type="dxa"/>
            <w:vAlign w:val="bottom"/>
            <w:shd w:val="clear" w:color="auto" w:fill="007CBA"/>
          </w:tcPr>
          <w:p>
            <w:pPr>
              <w:spacing w:after="0"/>
              <w:rPr>
                <w:sz w:val="18"/>
                <w:szCs w:val="18"/>
                <w:color w:val="auto"/>
              </w:rPr>
            </w:pPr>
          </w:p>
        </w:tc>
      </w:tr>
      <w:tr>
        <w:trPr>
          <w:trHeight w:val="233"/>
        </w:trPr>
        <w:tc>
          <w:tcPr>
            <w:tcW w:w="6360" w:type="dxa"/>
            <w:vAlign w:val="bottom"/>
            <w:tcBorders>
              <w:bottom w:val="single" w:sz="8" w:color="007CBA"/>
              <w:right w:val="single" w:sz="8" w:color="007CBA"/>
            </w:tcBorders>
            <w:shd w:val="clear" w:color="auto" w:fill="007CBA"/>
          </w:tcPr>
          <w:p>
            <w:pPr>
              <w:ind w:left="120"/>
              <w:spacing w:after="0" w:line="216" w:lineRule="exact"/>
              <w:rPr>
                <w:sz w:val="20"/>
                <w:szCs w:val="20"/>
                <w:color w:val="auto"/>
              </w:rPr>
            </w:pPr>
            <w:r>
              <w:rPr>
                <w:rFonts w:ascii="Calibri" w:cs="Calibri" w:eastAsia="Calibri" w:hAnsi="Calibri"/>
                <w:sz w:val="18"/>
                <w:szCs w:val="18"/>
                <w:b w:val="1"/>
                <w:bCs w:val="1"/>
                <w:color w:val="FFFFFF"/>
              </w:rPr>
              <w:t>Total revenues</w:t>
            </w:r>
          </w:p>
        </w:tc>
        <w:tc>
          <w:tcPr>
            <w:tcW w:w="480" w:type="dxa"/>
            <w:vAlign w:val="bottom"/>
            <w:tcBorders>
              <w:bottom w:val="single" w:sz="8" w:color="007CBA"/>
            </w:tcBorders>
            <w:shd w:val="clear" w:color="auto" w:fill="007CBA"/>
          </w:tcPr>
          <w:p>
            <w:pPr>
              <w:spacing w:after="0"/>
              <w:rPr>
                <w:sz w:val="20"/>
                <w:szCs w:val="20"/>
                <w:color w:val="auto"/>
              </w:rPr>
            </w:pPr>
          </w:p>
        </w:tc>
        <w:tc>
          <w:tcPr>
            <w:tcW w:w="1160" w:type="dxa"/>
            <w:vAlign w:val="bottom"/>
            <w:tcBorders>
              <w:bottom w:val="single" w:sz="8" w:color="007CBA"/>
              <w:right w:val="single" w:sz="8" w:color="007CBA"/>
            </w:tcBorders>
            <w:shd w:val="clear" w:color="auto" w:fill="007CBA"/>
          </w:tcPr>
          <w:p>
            <w:pPr>
              <w:jc w:val="right"/>
              <w:ind w:right="510"/>
              <w:spacing w:after="0" w:line="216" w:lineRule="exact"/>
              <w:rPr>
                <w:sz w:val="20"/>
                <w:szCs w:val="20"/>
                <w:color w:val="auto"/>
              </w:rPr>
            </w:pPr>
            <w:r>
              <w:rPr>
                <w:rFonts w:ascii="Calibri" w:cs="Calibri" w:eastAsia="Calibri" w:hAnsi="Calibri"/>
                <w:sz w:val="18"/>
                <w:szCs w:val="18"/>
                <w:b w:val="1"/>
                <w:bCs w:val="1"/>
                <w:color w:val="FFFFFF"/>
              </w:rPr>
              <w:t>2022</w:t>
            </w:r>
          </w:p>
        </w:tc>
        <w:tc>
          <w:tcPr>
            <w:tcW w:w="460" w:type="dxa"/>
            <w:vAlign w:val="bottom"/>
            <w:tcBorders>
              <w:bottom w:val="single" w:sz="8" w:color="007CBA"/>
            </w:tcBorders>
            <w:shd w:val="clear" w:color="auto" w:fill="007CBA"/>
          </w:tcPr>
          <w:p>
            <w:pPr>
              <w:spacing w:after="0"/>
              <w:rPr>
                <w:sz w:val="20"/>
                <w:szCs w:val="20"/>
                <w:color w:val="auto"/>
              </w:rPr>
            </w:pPr>
          </w:p>
        </w:tc>
        <w:tc>
          <w:tcPr>
            <w:tcW w:w="1160" w:type="dxa"/>
            <w:vAlign w:val="bottom"/>
            <w:tcBorders>
              <w:bottom w:val="single" w:sz="8" w:color="007CBA"/>
              <w:right w:val="single" w:sz="8" w:color="007CBA"/>
            </w:tcBorders>
            <w:shd w:val="clear" w:color="auto" w:fill="007CBA"/>
          </w:tcPr>
          <w:p>
            <w:pPr>
              <w:jc w:val="right"/>
              <w:ind w:right="510"/>
              <w:spacing w:after="0" w:line="216" w:lineRule="exact"/>
              <w:rPr>
                <w:sz w:val="20"/>
                <w:szCs w:val="20"/>
                <w:color w:val="auto"/>
              </w:rPr>
            </w:pPr>
            <w:r>
              <w:rPr>
                <w:rFonts w:ascii="Calibri" w:cs="Calibri" w:eastAsia="Calibri" w:hAnsi="Calibri"/>
                <w:sz w:val="18"/>
                <w:szCs w:val="18"/>
                <w:color w:val="FFFFFF"/>
              </w:rPr>
              <w:t>2021</w:t>
            </w:r>
          </w:p>
        </w:tc>
        <w:tc>
          <w:tcPr>
            <w:tcW w:w="460" w:type="dxa"/>
            <w:vAlign w:val="bottom"/>
            <w:tcBorders>
              <w:bottom w:val="single" w:sz="8" w:color="007CBA"/>
            </w:tcBorders>
            <w:shd w:val="clear" w:color="auto" w:fill="007CBA"/>
          </w:tcPr>
          <w:p>
            <w:pPr>
              <w:spacing w:after="0"/>
              <w:rPr>
                <w:sz w:val="20"/>
                <w:szCs w:val="20"/>
                <w:color w:val="auto"/>
              </w:rPr>
            </w:pPr>
          </w:p>
        </w:tc>
        <w:tc>
          <w:tcPr>
            <w:tcW w:w="1160" w:type="dxa"/>
            <w:vAlign w:val="bottom"/>
            <w:tcBorders>
              <w:bottom w:val="single" w:sz="8" w:color="007CBA"/>
            </w:tcBorders>
            <w:shd w:val="clear" w:color="auto" w:fill="007CBA"/>
          </w:tcPr>
          <w:p>
            <w:pPr>
              <w:jc w:val="right"/>
              <w:ind w:right="510"/>
              <w:spacing w:after="0" w:line="216" w:lineRule="exact"/>
              <w:rPr>
                <w:sz w:val="20"/>
                <w:szCs w:val="20"/>
                <w:color w:val="auto"/>
              </w:rPr>
            </w:pPr>
            <w:r>
              <w:rPr>
                <w:rFonts w:ascii="Calibri" w:cs="Calibri" w:eastAsia="Calibri" w:hAnsi="Calibri"/>
                <w:sz w:val="18"/>
                <w:szCs w:val="18"/>
                <w:color w:val="FFFFFF"/>
              </w:rPr>
              <w:t>2020</w:t>
            </w:r>
          </w:p>
        </w:tc>
      </w:tr>
      <w:tr>
        <w:trPr>
          <w:trHeight w:val="215"/>
        </w:trPr>
        <w:tc>
          <w:tcPr>
            <w:tcW w:w="63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Building Materials business:</w:t>
            </w:r>
          </w:p>
        </w:tc>
        <w:tc>
          <w:tcPr>
            <w:tcW w:w="480" w:type="dxa"/>
            <w:vAlign w:val="bottom"/>
          </w:tcPr>
          <w:p>
            <w:pPr>
              <w:spacing w:after="0"/>
              <w:rPr>
                <w:sz w:val="18"/>
                <w:szCs w:val="18"/>
                <w:color w:val="auto"/>
              </w:rPr>
            </w:pPr>
          </w:p>
        </w:tc>
        <w:tc>
          <w:tcPr>
            <w:tcW w:w="1160" w:type="dxa"/>
            <w:vAlign w:val="bottom"/>
            <w:tcBorders>
              <w:right w:val="single" w:sz="8" w:color="007CBA"/>
            </w:tcBorders>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Borders>
              <w:right w:val="single" w:sz="8" w:color="007CBA"/>
            </w:tcBorders>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8"/>
        </w:trPr>
        <w:tc>
          <w:tcPr>
            <w:tcW w:w="63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6360" w:type="dxa"/>
            <w:vAlign w:val="bottom"/>
            <w:tcBorders>
              <w:bottom w:val="single" w:sz="8" w:color="E5F1F8"/>
              <w:right w:val="single" w:sz="8" w:color="007CBA"/>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Products and services:</w:t>
            </w:r>
          </w:p>
        </w:tc>
        <w:tc>
          <w:tcPr>
            <w:tcW w:w="48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spacing w:after="0"/>
              <w:rPr>
                <w:sz w:val="19"/>
                <w:szCs w:val="19"/>
                <w:color w:val="auto"/>
              </w:rPr>
            </w:pPr>
          </w:p>
        </w:tc>
        <w:tc>
          <w:tcPr>
            <w:tcW w:w="46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spacing w:after="0"/>
              <w:rPr>
                <w:sz w:val="19"/>
                <w:szCs w:val="19"/>
                <w:color w:val="auto"/>
              </w:rPr>
            </w:pPr>
          </w:p>
        </w:tc>
        <w:tc>
          <w:tcPr>
            <w:tcW w:w="46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tcBorders>
            <w:shd w:val="clear" w:color="auto" w:fill="E5F1F8"/>
          </w:tcPr>
          <w:p>
            <w:pPr>
              <w:spacing w:after="0"/>
              <w:rPr>
                <w:sz w:val="19"/>
                <w:szCs w:val="19"/>
                <w:color w:val="auto"/>
              </w:rPr>
            </w:pPr>
          </w:p>
        </w:tc>
      </w:tr>
      <w:tr>
        <w:trPr>
          <w:trHeight w:val="215"/>
        </w:trPr>
        <w:tc>
          <w:tcPr>
            <w:tcW w:w="6360" w:type="dxa"/>
            <w:vAlign w:val="bottom"/>
            <w:tcBorders>
              <w:right w:val="single" w:sz="8" w:color="007CBA"/>
            </w:tcBorders>
          </w:tcPr>
          <w:p>
            <w:pPr>
              <w:ind w:left="300"/>
              <w:spacing w:after="0" w:line="215" w:lineRule="exact"/>
              <w:rPr>
                <w:sz w:val="20"/>
                <w:szCs w:val="20"/>
                <w:color w:val="auto"/>
              </w:rPr>
            </w:pPr>
            <w:r>
              <w:rPr>
                <w:rFonts w:ascii="Calibri" w:cs="Calibri" w:eastAsia="Calibri" w:hAnsi="Calibri"/>
                <w:sz w:val="18"/>
                <w:szCs w:val="18"/>
                <w:color w:val="auto"/>
              </w:rPr>
              <w:t>Aggregates</w:t>
            </w:r>
          </w:p>
        </w:tc>
        <w:tc>
          <w:tcPr>
            <w:tcW w:w="480" w:type="dxa"/>
            <w:vAlign w:val="bottom"/>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3,506.0</w:t>
            </w:r>
          </w:p>
        </w:tc>
        <w:tc>
          <w:tcPr>
            <w:tcW w:w="46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3,058.5</w:t>
            </w:r>
          </w:p>
        </w:tc>
        <w:tc>
          <w:tcPr>
            <w:tcW w:w="46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2,769.3</w:t>
            </w:r>
          </w:p>
        </w:tc>
      </w:tr>
      <w:tr>
        <w:trPr>
          <w:trHeight w:val="28"/>
        </w:trPr>
        <w:tc>
          <w:tcPr>
            <w:tcW w:w="63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6360" w:type="dxa"/>
            <w:vAlign w:val="bottom"/>
            <w:tcBorders>
              <w:bottom w:val="single" w:sz="8" w:color="E5F1F8"/>
              <w:right w:val="single" w:sz="8" w:color="007CBA"/>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Cement</w:t>
            </w:r>
          </w:p>
        </w:tc>
        <w:tc>
          <w:tcPr>
            <w:tcW w:w="48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602.3</w:t>
            </w:r>
          </w:p>
        </w:tc>
        <w:tc>
          <w:tcPr>
            <w:tcW w:w="46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494.5</w:t>
            </w:r>
          </w:p>
        </w:tc>
        <w:tc>
          <w:tcPr>
            <w:tcW w:w="46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452.5</w:t>
            </w:r>
          </w:p>
        </w:tc>
      </w:tr>
      <w:tr>
        <w:trPr>
          <w:trHeight w:val="215"/>
        </w:trPr>
        <w:tc>
          <w:tcPr>
            <w:tcW w:w="6360" w:type="dxa"/>
            <w:vAlign w:val="bottom"/>
            <w:tcBorders>
              <w:right w:val="single" w:sz="8" w:color="007CBA"/>
            </w:tcBorders>
          </w:tcPr>
          <w:p>
            <w:pPr>
              <w:ind w:left="300"/>
              <w:spacing w:after="0" w:line="215" w:lineRule="exact"/>
              <w:rPr>
                <w:sz w:val="20"/>
                <w:szCs w:val="20"/>
                <w:color w:val="auto"/>
              </w:rPr>
            </w:pPr>
            <w:r>
              <w:rPr>
                <w:rFonts w:ascii="Calibri" w:cs="Calibri" w:eastAsia="Calibri" w:hAnsi="Calibri"/>
                <w:sz w:val="18"/>
                <w:szCs w:val="18"/>
                <w:color w:val="auto"/>
              </w:rPr>
              <w:t>Ready mixed concrete</w:t>
            </w:r>
          </w:p>
        </w:tc>
        <w:tc>
          <w:tcPr>
            <w:tcW w:w="480" w:type="dxa"/>
            <w:vAlign w:val="bottom"/>
          </w:tcPr>
          <w:p>
            <w:pPr>
              <w:spacing w:after="0"/>
              <w:rPr>
                <w:sz w:val="18"/>
                <w:szCs w:val="18"/>
                <w:color w:val="auto"/>
              </w:rPr>
            </w:pPr>
          </w:p>
        </w:tc>
        <w:tc>
          <w:tcPr>
            <w:tcW w:w="11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951.3</w:t>
            </w:r>
          </w:p>
        </w:tc>
        <w:tc>
          <w:tcPr>
            <w:tcW w:w="460" w:type="dxa"/>
            <w:vAlign w:val="bottom"/>
          </w:tcPr>
          <w:p>
            <w:pPr>
              <w:spacing w:after="0"/>
              <w:rPr>
                <w:sz w:val="18"/>
                <w:szCs w:val="18"/>
                <w:color w:val="auto"/>
              </w:rPr>
            </w:pPr>
          </w:p>
        </w:tc>
        <w:tc>
          <w:tcPr>
            <w:tcW w:w="11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1,145.8</w:t>
            </w:r>
          </w:p>
        </w:tc>
        <w:tc>
          <w:tcPr>
            <w:tcW w:w="460" w:type="dxa"/>
            <w:vAlign w:val="bottom"/>
          </w:tcPr>
          <w:p>
            <w:pPr>
              <w:spacing w:after="0"/>
              <w:rPr>
                <w:sz w:val="18"/>
                <w:szCs w:val="18"/>
                <w:color w:val="auto"/>
              </w:rPr>
            </w:pPr>
          </w:p>
        </w:tc>
        <w:tc>
          <w:tcPr>
            <w:tcW w:w="11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952.1</w:t>
            </w:r>
          </w:p>
        </w:tc>
      </w:tr>
      <w:tr>
        <w:trPr>
          <w:trHeight w:val="28"/>
        </w:trPr>
        <w:tc>
          <w:tcPr>
            <w:tcW w:w="63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6360" w:type="dxa"/>
            <w:vAlign w:val="bottom"/>
            <w:tcBorders>
              <w:bottom w:val="single" w:sz="8" w:color="E5F1F8"/>
              <w:right w:val="single" w:sz="8" w:color="007CBA"/>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Asphalt and paving</w:t>
            </w:r>
          </w:p>
        </w:tc>
        <w:tc>
          <w:tcPr>
            <w:tcW w:w="48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775.4</w:t>
            </w:r>
          </w:p>
        </w:tc>
        <w:tc>
          <w:tcPr>
            <w:tcW w:w="46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514.2</w:t>
            </w:r>
          </w:p>
        </w:tc>
        <w:tc>
          <w:tcPr>
            <w:tcW w:w="46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331.7</w:t>
            </w:r>
          </w:p>
        </w:tc>
      </w:tr>
      <w:tr>
        <w:trPr>
          <w:trHeight w:val="215"/>
        </w:trPr>
        <w:tc>
          <w:tcPr>
            <w:tcW w:w="6360" w:type="dxa"/>
            <w:vAlign w:val="bottom"/>
          </w:tcPr>
          <w:p>
            <w:pPr>
              <w:ind w:left="300"/>
              <w:spacing w:after="0" w:line="215" w:lineRule="exact"/>
              <w:rPr>
                <w:sz w:val="20"/>
                <w:szCs w:val="20"/>
                <w:color w:val="auto"/>
              </w:rPr>
            </w:pPr>
            <w:r>
              <w:rPr>
                <w:rFonts w:ascii="Calibri" w:cs="Calibri" w:eastAsia="Calibri" w:hAnsi="Calibri"/>
                <w:sz w:val="18"/>
                <w:szCs w:val="18"/>
                <w:color w:val="auto"/>
              </w:rPr>
              <w:t>Less: interproduct revenues</w:t>
            </w:r>
          </w:p>
        </w:tc>
        <w:tc>
          <w:tcPr>
            <w:tcW w:w="48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(382.5 )</w:t>
            </w:r>
          </w:p>
        </w:tc>
        <w:tc>
          <w:tcPr>
            <w:tcW w:w="46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(403.0 )</w:t>
            </w:r>
          </w:p>
        </w:tc>
        <w:tc>
          <w:tcPr>
            <w:tcW w:w="46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(294.4 )</w:t>
            </w:r>
          </w:p>
        </w:tc>
      </w:tr>
      <w:tr>
        <w:trPr>
          <w:trHeight w:val="28"/>
        </w:trPr>
        <w:tc>
          <w:tcPr>
            <w:tcW w:w="6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6360" w:type="dxa"/>
            <w:vAlign w:val="bottom"/>
            <w:tcBorders>
              <w:bottom w:val="single" w:sz="8" w:color="E5F1F8"/>
              <w:right w:val="single" w:sz="8" w:color="007CBA"/>
            </w:tcBorders>
            <w:shd w:val="clear" w:color="auto" w:fill="E5F1F8"/>
          </w:tcPr>
          <w:p>
            <w:pPr>
              <w:ind w:left="200"/>
              <w:spacing w:after="0" w:line="208" w:lineRule="exact"/>
              <w:rPr>
                <w:sz w:val="20"/>
                <w:szCs w:val="20"/>
                <w:color w:val="auto"/>
              </w:rPr>
            </w:pPr>
            <w:r>
              <w:rPr>
                <w:rFonts w:ascii="Calibri" w:cs="Calibri" w:eastAsia="Calibri" w:hAnsi="Calibri"/>
                <w:sz w:val="18"/>
                <w:szCs w:val="18"/>
                <w:color w:val="auto"/>
              </w:rPr>
              <w:t>Products and services</w:t>
            </w:r>
          </w:p>
        </w:tc>
        <w:tc>
          <w:tcPr>
            <w:tcW w:w="480" w:type="dxa"/>
            <w:vAlign w:val="bottom"/>
            <w:tcBorders>
              <w:bottom w:val="single" w:sz="8" w:color="E5F1F8"/>
            </w:tcBorders>
            <w:shd w:val="clear" w:color="auto" w:fill="E5F1F8"/>
          </w:tcPr>
          <w:p>
            <w:pPr>
              <w:spacing w:after="0"/>
              <w:rPr>
                <w:sz w:val="18"/>
                <w:szCs w:val="18"/>
                <w:color w:val="auto"/>
              </w:rPr>
            </w:pPr>
          </w:p>
        </w:tc>
        <w:tc>
          <w:tcPr>
            <w:tcW w:w="1160" w:type="dxa"/>
            <w:vAlign w:val="bottom"/>
            <w:tcBorders>
              <w:bottom w:val="single" w:sz="8" w:color="E5F1F8"/>
              <w:right w:val="single" w:sz="8" w:color="007CBA"/>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b w:val="1"/>
                <w:bCs w:val="1"/>
                <w:color w:val="auto"/>
              </w:rPr>
              <w:t>5,452.5</w:t>
            </w:r>
          </w:p>
        </w:tc>
        <w:tc>
          <w:tcPr>
            <w:tcW w:w="460" w:type="dxa"/>
            <w:vAlign w:val="bottom"/>
            <w:tcBorders>
              <w:bottom w:val="single" w:sz="8" w:color="E5F1F8"/>
            </w:tcBorders>
            <w:shd w:val="clear" w:color="auto" w:fill="E5F1F8"/>
          </w:tcPr>
          <w:p>
            <w:pPr>
              <w:spacing w:after="0"/>
              <w:rPr>
                <w:sz w:val="18"/>
                <w:szCs w:val="18"/>
                <w:color w:val="auto"/>
              </w:rPr>
            </w:pPr>
          </w:p>
        </w:tc>
        <w:tc>
          <w:tcPr>
            <w:tcW w:w="1160" w:type="dxa"/>
            <w:vAlign w:val="bottom"/>
            <w:tcBorders>
              <w:bottom w:val="single" w:sz="8" w:color="E5F1F8"/>
              <w:right w:val="single" w:sz="8" w:color="007CBA"/>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4,810.0</w:t>
            </w:r>
          </w:p>
        </w:tc>
        <w:tc>
          <w:tcPr>
            <w:tcW w:w="460" w:type="dxa"/>
            <w:vAlign w:val="bottom"/>
            <w:tcBorders>
              <w:bottom w:val="single" w:sz="8" w:color="E5F1F8"/>
            </w:tcBorders>
            <w:shd w:val="clear" w:color="auto" w:fill="E5F1F8"/>
          </w:tcPr>
          <w:p>
            <w:pPr>
              <w:spacing w:after="0"/>
              <w:rPr>
                <w:sz w:val="18"/>
                <w:szCs w:val="18"/>
                <w:color w:val="auto"/>
              </w:rPr>
            </w:pPr>
          </w:p>
        </w:tc>
        <w:tc>
          <w:tcPr>
            <w:tcW w:w="116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4,211.2</w:t>
            </w:r>
          </w:p>
        </w:tc>
      </w:tr>
      <w:tr>
        <w:trPr>
          <w:trHeight w:val="215"/>
        </w:trPr>
        <w:tc>
          <w:tcPr>
            <w:tcW w:w="6360" w:type="dxa"/>
            <w:vAlign w:val="bottom"/>
          </w:tcPr>
          <w:p>
            <w:pPr>
              <w:ind w:left="200"/>
              <w:spacing w:after="0" w:line="215" w:lineRule="exact"/>
              <w:rPr>
                <w:sz w:val="20"/>
                <w:szCs w:val="20"/>
                <w:color w:val="auto"/>
              </w:rPr>
            </w:pPr>
            <w:r>
              <w:rPr>
                <w:rFonts w:ascii="Calibri" w:cs="Calibri" w:eastAsia="Calibri" w:hAnsi="Calibri"/>
                <w:sz w:val="18"/>
                <w:szCs w:val="18"/>
                <w:color w:val="auto"/>
              </w:rPr>
              <w:t>Freight</w:t>
            </w:r>
          </w:p>
        </w:tc>
        <w:tc>
          <w:tcPr>
            <w:tcW w:w="480" w:type="dxa"/>
            <w:vAlign w:val="bottom"/>
          </w:tcPr>
          <w:p>
            <w:pPr>
              <w:spacing w:after="0"/>
              <w:rPr>
                <w:sz w:val="18"/>
                <w:szCs w:val="18"/>
                <w:color w:val="auto"/>
              </w:rPr>
            </w:pPr>
          </w:p>
        </w:tc>
        <w:tc>
          <w:tcPr>
            <w:tcW w:w="116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404.2</w:t>
            </w:r>
          </w:p>
        </w:tc>
        <w:tc>
          <w:tcPr>
            <w:tcW w:w="460" w:type="dxa"/>
            <w:vAlign w:val="bottom"/>
          </w:tcPr>
          <w:p>
            <w:pPr>
              <w:spacing w:after="0"/>
              <w:rPr>
                <w:sz w:val="18"/>
                <w:szCs w:val="18"/>
                <w:color w:val="auto"/>
              </w:rPr>
            </w:pPr>
          </w:p>
        </w:tc>
        <w:tc>
          <w:tcPr>
            <w:tcW w:w="11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305.3</w:t>
            </w:r>
          </w:p>
        </w:tc>
        <w:tc>
          <w:tcPr>
            <w:tcW w:w="460" w:type="dxa"/>
            <w:vAlign w:val="bottom"/>
          </w:tcPr>
          <w:p>
            <w:pPr>
              <w:spacing w:after="0"/>
              <w:rPr>
                <w:sz w:val="18"/>
                <w:szCs w:val="18"/>
                <w:color w:val="auto"/>
              </w:rPr>
            </w:pPr>
          </w:p>
        </w:tc>
        <w:tc>
          <w:tcPr>
            <w:tcW w:w="11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276.0</w:t>
            </w:r>
          </w:p>
        </w:tc>
      </w:tr>
      <w:tr>
        <w:trPr>
          <w:trHeight w:val="28"/>
        </w:trPr>
        <w:tc>
          <w:tcPr>
            <w:tcW w:w="6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2"/>
        </w:trPr>
        <w:tc>
          <w:tcPr>
            <w:tcW w:w="636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Total Building Materials business</w:t>
            </w:r>
          </w:p>
        </w:tc>
        <w:tc>
          <w:tcPr>
            <w:tcW w:w="480" w:type="dxa"/>
            <w:vAlign w:val="bottom"/>
            <w:tcBorders>
              <w:bottom w:val="single" w:sz="8" w:color="E5F1F8"/>
            </w:tcBorders>
            <w:shd w:val="clear" w:color="auto" w:fill="E5F1F8"/>
          </w:tcPr>
          <w:p>
            <w:pPr>
              <w:spacing w:after="0"/>
              <w:rPr>
                <w:sz w:val="20"/>
                <w:szCs w:val="20"/>
                <w:color w:val="auto"/>
              </w:rPr>
            </w:pPr>
          </w:p>
        </w:tc>
        <w:tc>
          <w:tcPr>
            <w:tcW w:w="1160" w:type="dxa"/>
            <w:vAlign w:val="bottom"/>
            <w:tcBorders>
              <w:bottom w:val="single" w:sz="8" w:color="E5F1F8"/>
              <w:right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b w:val="1"/>
                <w:bCs w:val="1"/>
                <w:color w:val="auto"/>
              </w:rPr>
              <w:t>5,856.7</w:t>
            </w:r>
          </w:p>
        </w:tc>
        <w:tc>
          <w:tcPr>
            <w:tcW w:w="460" w:type="dxa"/>
            <w:vAlign w:val="bottom"/>
            <w:tcBorders>
              <w:bottom w:val="single" w:sz="8" w:color="E5F1F8"/>
            </w:tcBorders>
            <w:shd w:val="clear" w:color="auto" w:fill="E5F1F8"/>
          </w:tcPr>
          <w:p>
            <w:pPr>
              <w:spacing w:after="0"/>
              <w:rPr>
                <w:sz w:val="20"/>
                <w:szCs w:val="20"/>
                <w:color w:val="auto"/>
              </w:rPr>
            </w:pPr>
          </w:p>
        </w:tc>
        <w:tc>
          <w:tcPr>
            <w:tcW w:w="1160" w:type="dxa"/>
            <w:vAlign w:val="bottom"/>
            <w:tcBorders>
              <w:bottom w:val="single" w:sz="8" w:color="E5F1F8"/>
              <w:right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5,115.3</w:t>
            </w:r>
          </w:p>
        </w:tc>
        <w:tc>
          <w:tcPr>
            <w:tcW w:w="460" w:type="dxa"/>
            <w:vAlign w:val="bottom"/>
            <w:tcBorders>
              <w:bottom w:val="single" w:sz="8" w:color="E5F1F8"/>
            </w:tcBorders>
            <w:shd w:val="clear" w:color="auto" w:fill="E5F1F8"/>
          </w:tcPr>
          <w:p>
            <w:pPr>
              <w:spacing w:after="0"/>
              <w:rPr>
                <w:sz w:val="20"/>
                <w:szCs w:val="20"/>
                <w:color w:val="auto"/>
              </w:rPr>
            </w:pPr>
          </w:p>
        </w:tc>
        <w:tc>
          <w:tcPr>
            <w:tcW w:w="116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4,487.2</w:t>
            </w:r>
          </w:p>
        </w:tc>
      </w:tr>
      <w:tr>
        <w:trPr>
          <w:trHeight w:val="208"/>
        </w:trPr>
        <w:tc>
          <w:tcPr>
            <w:tcW w:w="636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color w:val="auto"/>
              </w:rPr>
              <w:t>Magnesia Specialtes:</w:t>
            </w:r>
          </w:p>
        </w:tc>
        <w:tc>
          <w:tcPr>
            <w:tcW w:w="480" w:type="dxa"/>
            <w:vAlign w:val="bottom"/>
            <w:tcBorders>
              <w:top w:val="single" w:sz="8" w:color="auto"/>
            </w:tcBorders>
          </w:tcPr>
          <w:p>
            <w:pPr>
              <w:spacing w:after="0"/>
              <w:rPr>
                <w:sz w:val="18"/>
                <w:szCs w:val="18"/>
                <w:color w:val="auto"/>
              </w:rPr>
            </w:pPr>
          </w:p>
        </w:tc>
        <w:tc>
          <w:tcPr>
            <w:tcW w:w="1160" w:type="dxa"/>
            <w:vAlign w:val="bottom"/>
            <w:tcBorders>
              <w:top w:val="single" w:sz="8" w:color="auto"/>
              <w:right w:val="single" w:sz="8" w:color="007CBA"/>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60" w:type="dxa"/>
            <w:vAlign w:val="bottom"/>
            <w:tcBorders>
              <w:top w:val="single" w:sz="8" w:color="auto"/>
              <w:right w:val="single" w:sz="8" w:color="007CBA"/>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8"/>
        </w:trPr>
        <w:tc>
          <w:tcPr>
            <w:tcW w:w="63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6360" w:type="dxa"/>
            <w:vAlign w:val="bottom"/>
            <w:tcBorders>
              <w:bottom w:val="single" w:sz="8" w:color="E5F1F8"/>
              <w:right w:val="single" w:sz="8" w:color="007CBA"/>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Products and services</w:t>
            </w:r>
          </w:p>
        </w:tc>
        <w:tc>
          <w:tcPr>
            <w:tcW w:w="48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278.0</w:t>
            </w:r>
          </w:p>
        </w:tc>
        <w:tc>
          <w:tcPr>
            <w:tcW w:w="46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274.7</w:t>
            </w:r>
          </w:p>
        </w:tc>
        <w:tc>
          <w:tcPr>
            <w:tcW w:w="46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220.9</w:t>
            </w:r>
          </w:p>
        </w:tc>
      </w:tr>
      <w:tr>
        <w:trPr>
          <w:trHeight w:val="215"/>
        </w:trPr>
        <w:tc>
          <w:tcPr>
            <w:tcW w:w="6360" w:type="dxa"/>
            <w:vAlign w:val="bottom"/>
          </w:tcPr>
          <w:p>
            <w:pPr>
              <w:ind w:left="200"/>
              <w:spacing w:after="0" w:line="215" w:lineRule="exact"/>
              <w:rPr>
                <w:sz w:val="20"/>
                <w:szCs w:val="20"/>
                <w:color w:val="auto"/>
              </w:rPr>
            </w:pPr>
            <w:r>
              <w:rPr>
                <w:rFonts w:ascii="Calibri" w:cs="Calibri" w:eastAsia="Calibri" w:hAnsi="Calibri"/>
                <w:sz w:val="18"/>
                <w:szCs w:val="18"/>
                <w:color w:val="auto"/>
              </w:rPr>
              <w:t>Freight</w:t>
            </w:r>
          </w:p>
        </w:tc>
        <w:tc>
          <w:tcPr>
            <w:tcW w:w="480" w:type="dxa"/>
            <w:vAlign w:val="bottom"/>
          </w:tcPr>
          <w:p>
            <w:pPr>
              <w:spacing w:after="0"/>
              <w:rPr>
                <w:sz w:val="18"/>
                <w:szCs w:val="18"/>
                <w:color w:val="auto"/>
              </w:rPr>
            </w:pPr>
          </w:p>
        </w:tc>
        <w:tc>
          <w:tcPr>
            <w:tcW w:w="116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26.0</w:t>
            </w:r>
          </w:p>
        </w:tc>
        <w:tc>
          <w:tcPr>
            <w:tcW w:w="460" w:type="dxa"/>
            <w:vAlign w:val="bottom"/>
          </w:tcPr>
          <w:p>
            <w:pPr>
              <w:spacing w:after="0"/>
              <w:rPr>
                <w:sz w:val="18"/>
                <w:szCs w:val="18"/>
                <w:color w:val="auto"/>
              </w:rPr>
            </w:pPr>
          </w:p>
        </w:tc>
        <w:tc>
          <w:tcPr>
            <w:tcW w:w="11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24.0</w:t>
            </w:r>
          </w:p>
        </w:tc>
        <w:tc>
          <w:tcPr>
            <w:tcW w:w="460" w:type="dxa"/>
            <w:vAlign w:val="bottom"/>
          </w:tcPr>
          <w:p>
            <w:pPr>
              <w:spacing w:after="0"/>
              <w:rPr>
                <w:sz w:val="18"/>
                <w:szCs w:val="18"/>
                <w:color w:val="auto"/>
              </w:rPr>
            </w:pPr>
          </w:p>
        </w:tc>
        <w:tc>
          <w:tcPr>
            <w:tcW w:w="11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21.8</w:t>
            </w:r>
          </w:p>
        </w:tc>
      </w:tr>
      <w:tr>
        <w:trPr>
          <w:trHeight w:val="28"/>
        </w:trPr>
        <w:tc>
          <w:tcPr>
            <w:tcW w:w="6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2"/>
        </w:trPr>
        <w:tc>
          <w:tcPr>
            <w:tcW w:w="636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Total Magnesia Specialtes</w:t>
            </w:r>
          </w:p>
        </w:tc>
        <w:tc>
          <w:tcPr>
            <w:tcW w:w="480" w:type="dxa"/>
            <w:vAlign w:val="bottom"/>
            <w:tcBorders>
              <w:bottom w:val="single" w:sz="8" w:color="E5F1F8"/>
            </w:tcBorders>
            <w:shd w:val="clear" w:color="auto" w:fill="E5F1F8"/>
          </w:tcPr>
          <w:p>
            <w:pPr>
              <w:spacing w:after="0"/>
              <w:rPr>
                <w:sz w:val="20"/>
                <w:szCs w:val="20"/>
                <w:color w:val="auto"/>
              </w:rPr>
            </w:pPr>
          </w:p>
        </w:tc>
        <w:tc>
          <w:tcPr>
            <w:tcW w:w="1160" w:type="dxa"/>
            <w:vAlign w:val="bottom"/>
            <w:tcBorders>
              <w:bottom w:val="single" w:sz="8" w:color="E5F1F8"/>
              <w:right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b w:val="1"/>
                <w:bCs w:val="1"/>
                <w:color w:val="auto"/>
              </w:rPr>
              <w:t>304.0</w:t>
            </w:r>
          </w:p>
        </w:tc>
        <w:tc>
          <w:tcPr>
            <w:tcW w:w="460" w:type="dxa"/>
            <w:vAlign w:val="bottom"/>
            <w:tcBorders>
              <w:bottom w:val="single" w:sz="8" w:color="E5F1F8"/>
            </w:tcBorders>
            <w:shd w:val="clear" w:color="auto" w:fill="E5F1F8"/>
          </w:tcPr>
          <w:p>
            <w:pPr>
              <w:spacing w:after="0"/>
              <w:rPr>
                <w:sz w:val="20"/>
                <w:szCs w:val="20"/>
                <w:color w:val="auto"/>
              </w:rPr>
            </w:pPr>
          </w:p>
        </w:tc>
        <w:tc>
          <w:tcPr>
            <w:tcW w:w="1160" w:type="dxa"/>
            <w:vAlign w:val="bottom"/>
            <w:tcBorders>
              <w:bottom w:val="single" w:sz="8" w:color="E5F1F8"/>
              <w:right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298.7</w:t>
            </w:r>
          </w:p>
        </w:tc>
        <w:tc>
          <w:tcPr>
            <w:tcW w:w="460" w:type="dxa"/>
            <w:vAlign w:val="bottom"/>
            <w:tcBorders>
              <w:bottom w:val="single" w:sz="8" w:color="E5F1F8"/>
            </w:tcBorders>
            <w:shd w:val="clear" w:color="auto" w:fill="E5F1F8"/>
          </w:tcPr>
          <w:p>
            <w:pPr>
              <w:spacing w:after="0"/>
              <w:rPr>
                <w:sz w:val="20"/>
                <w:szCs w:val="20"/>
                <w:color w:val="auto"/>
              </w:rPr>
            </w:pPr>
          </w:p>
        </w:tc>
        <w:tc>
          <w:tcPr>
            <w:tcW w:w="116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242.7</w:t>
            </w:r>
          </w:p>
        </w:tc>
      </w:tr>
      <w:tr>
        <w:trPr>
          <w:trHeight w:val="208"/>
        </w:trPr>
        <w:tc>
          <w:tcPr>
            <w:tcW w:w="636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Consolidated total revenues</w:t>
            </w:r>
          </w:p>
        </w:tc>
        <w:tc>
          <w:tcPr>
            <w:tcW w:w="48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6,160.7</w:t>
            </w:r>
          </w:p>
        </w:tc>
        <w:tc>
          <w:tcPr>
            <w:tcW w:w="46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5,414.0</w:t>
            </w:r>
          </w:p>
        </w:tc>
        <w:tc>
          <w:tcPr>
            <w:tcW w:w="46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4,729.9</w:t>
            </w:r>
          </w:p>
        </w:tc>
      </w:tr>
      <w:tr>
        <w:trPr>
          <w:trHeight w:val="28"/>
        </w:trPr>
        <w:tc>
          <w:tcPr>
            <w:tcW w:w="6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4"/>
        </w:trPr>
        <w:tc>
          <w:tcPr>
            <w:tcW w:w="6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636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b w:val="1"/>
                <w:bCs w:val="1"/>
                <w:color w:val="FFFFFF"/>
              </w:rPr>
              <w:t>Gross proft (loss)</w:t>
            </w:r>
          </w:p>
        </w:tc>
        <w:tc>
          <w:tcPr>
            <w:tcW w:w="480" w:type="dxa"/>
            <w:vAlign w:val="bottom"/>
            <w:tcBorders>
              <w:bottom w:val="single" w:sz="8" w:color="007CBA"/>
            </w:tcBorders>
            <w:shd w:val="clear" w:color="auto" w:fill="007CBA"/>
          </w:tcPr>
          <w:p>
            <w:pPr>
              <w:spacing w:after="0"/>
              <w:rPr>
                <w:sz w:val="19"/>
                <w:szCs w:val="19"/>
                <w:color w:val="auto"/>
              </w:rPr>
            </w:pPr>
          </w:p>
        </w:tc>
        <w:tc>
          <w:tcPr>
            <w:tcW w:w="1160" w:type="dxa"/>
            <w:vAlign w:val="bottom"/>
            <w:tcBorders>
              <w:bottom w:val="single" w:sz="8" w:color="007CBA"/>
              <w:right w:val="single" w:sz="8" w:color="007CBA"/>
            </w:tcBorders>
            <w:shd w:val="clear" w:color="auto" w:fill="007CBA"/>
          </w:tcPr>
          <w:p>
            <w:pPr>
              <w:spacing w:after="0"/>
              <w:rPr>
                <w:sz w:val="19"/>
                <w:szCs w:val="19"/>
                <w:color w:val="auto"/>
              </w:rPr>
            </w:pPr>
          </w:p>
        </w:tc>
        <w:tc>
          <w:tcPr>
            <w:tcW w:w="460" w:type="dxa"/>
            <w:vAlign w:val="bottom"/>
            <w:tcBorders>
              <w:bottom w:val="single" w:sz="8" w:color="007CBA"/>
            </w:tcBorders>
            <w:shd w:val="clear" w:color="auto" w:fill="007CBA"/>
          </w:tcPr>
          <w:p>
            <w:pPr>
              <w:spacing w:after="0"/>
              <w:rPr>
                <w:sz w:val="19"/>
                <w:szCs w:val="19"/>
                <w:color w:val="auto"/>
              </w:rPr>
            </w:pPr>
          </w:p>
        </w:tc>
        <w:tc>
          <w:tcPr>
            <w:tcW w:w="1160" w:type="dxa"/>
            <w:vAlign w:val="bottom"/>
            <w:tcBorders>
              <w:bottom w:val="single" w:sz="8" w:color="007CBA"/>
              <w:right w:val="single" w:sz="8" w:color="007CBA"/>
            </w:tcBorders>
            <w:shd w:val="clear" w:color="auto" w:fill="007CBA"/>
          </w:tcPr>
          <w:p>
            <w:pPr>
              <w:spacing w:after="0"/>
              <w:rPr>
                <w:sz w:val="19"/>
                <w:szCs w:val="19"/>
                <w:color w:val="auto"/>
              </w:rPr>
            </w:pPr>
          </w:p>
        </w:tc>
        <w:tc>
          <w:tcPr>
            <w:tcW w:w="460" w:type="dxa"/>
            <w:vAlign w:val="bottom"/>
            <w:tcBorders>
              <w:bottom w:val="single" w:sz="8" w:color="007CBA"/>
            </w:tcBorders>
            <w:shd w:val="clear" w:color="auto" w:fill="007CBA"/>
          </w:tcPr>
          <w:p>
            <w:pPr>
              <w:spacing w:after="0"/>
              <w:rPr>
                <w:sz w:val="19"/>
                <w:szCs w:val="19"/>
                <w:color w:val="auto"/>
              </w:rPr>
            </w:pPr>
          </w:p>
        </w:tc>
        <w:tc>
          <w:tcPr>
            <w:tcW w:w="1160" w:type="dxa"/>
            <w:vAlign w:val="bottom"/>
            <w:tcBorders>
              <w:bottom w:val="single" w:sz="8" w:color="007CBA"/>
            </w:tcBorders>
            <w:shd w:val="clear" w:color="auto" w:fill="007CBA"/>
          </w:tcPr>
          <w:p>
            <w:pPr>
              <w:spacing w:after="0"/>
              <w:rPr>
                <w:sz w:val="19"/>
                <w:szCs w:val="19"/>
                <w:color w:val="auto"/>
              </w:rPr>
            </w:pPr>
          </w:p>
        </w:tc>
      </w:tr>
      <w:tr>
        <w:trPr>
          <w:trHeight w:val="215"/>
        </w:trPr>
        <w:tc>
          <w:tcPr>
            <w:tcW w:w="63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Building Materials business:</w:t>
            </w:r>
          </w:p>
        </w:tc>
        <w:tc>
          <w:tcPr>
            <w:tcW w:w="480" w:type="dxa"/>
            <w:vAlign w:val="bottom"/>
          </w:tcPr>
          <w:p>
            <w:pPr>
              <w:spacing w:after="0"/>
              <w:rPr>
                <w:sz w:val="18"/>
                <w:szCs w:val="18"/>
                <w:color w:val="auto"/>
              </w:rPr>
            </w:pPr>
          </w:p>
        </w:tc>
        <w:tc>
          <w:tcPr>
            <w:tcW w:w="1160" w:type="dxa"/>
            <w:vAlign w:val="bottom"/>
            <w:tcBorders>
              <w:right w:val="single" w:sz="8" w:color="007CBA"/>
            </w:tcBorders>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Borders>
              <w:right w:val="single" w:sz="8" w:color="007CBA"/>
            </w:tcBorders>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8"/>
        </w:trPr>
        <w:tc>
          <w:tcPr>
            <w:tcW w:w="63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6360" w:type="dxa"/>
            <w:vAlign w:val="bottom"/>
            <w:tcBorders>
              <w:bottom w:val="single" w:sz="8" w:color="E5F1F8"/>
              <w:right w:val="single" w:sz="8" w:color="007CBA"/>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Products and services:</w:t>
            </w:r>
          </w:p>
        </w:tc>
        <w:tc>
          <w:tcPr>
            <w:tcW w:w="48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spacing w:after="0"/>
              <w:rPr>
                <w:sz w:val="19"/>
                <w:szCs w:val="19"/>
                <w:color w:val="auto"/>
              </w:rPr>
            </w:pPr>
          </w:p>
        </w:tc>
        <w:tc>
          <w:tcPr>
            <w:tcW w:w="46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spacing w:after="0"/>
              <w:rPr>
                <w:sz w:val="19"/>
                <w:szCs w:val="19"/>
                <w:color w:val="auto"/>
              </w:rPr>
            </w:pPr>
          </w:p>
        </w:tc>
        <w:tc>
          <w:tcPr>
            <w:tcW w:w="46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tcBorders>
            <w:shd w:val="clear" w:color="auto" w:fill="E5F1F8"/>
          </w:tcPr>
          <w:p>
            <w:pPr>
              <w:spacing w:after="0"/>
              <w:rPr>
                <w:sz w:val="19"/>
                <w:szCs w:val="19"/>
                <w:color w:val="auto"/>
              </w:rPr>
            </w:pPr>
          </w:p>
        </w:tc>
      </w:tr>
      <w:tr>
        <w:trPr>
          <w:trHeight w:val="215"/>
        </w:trPr>
        <w:tc>
          <w:tcPr>
            <w:tcW w:w="6360" w:type="dxa"/>
            <w:vAlign w:val="bottom"/>
            <w:tcBorders>
              <w:right w:val="single" w:sz="8" w:color="007CBA"/>
            </w:tcBorders>
          </w:tcPr>
          <w:p>
            <w:pPr>
              <w:ind w:left="300"/>
              <w:spacing w:after="0" w:line="215" w:lineRule="exact"/>
              <w:rPr>
                <w:sz w:val="20"/>
                <w:szCs w:val="20"/>
                <w:color w:val="auto"/>
              </w:rPr>
            </w:pPr>
            <w:r>
              <w:rPr>
                <w:rFonts w:ascii="Calibri" w:cs="Calibri" w:eastAsia="Calibri" w:hAnsi="Calibri"/>
                <w:sz w:val="18"/>
                <w:szCs w:val="18"/>
                <w:color w:val="auto"/>
              </w:rPr>
              <w:t>Aggregates</w:t>
            </w:r>
          </w:p>
        </w:tc>
        <w:tc>
          <w:tcPr>
            <w:tcW w:w="480" w:type="dxa"/>
            <w:vAlign w:val="bottom"/>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980.3</w:t>
            </w:r>
          </w:p>
        </w:tc>
        <w:tc>
          <w:tcPr>
            <w:tcW w:w="46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904.8</w:t>
            </w:r>
          </w:p>
        </w:tc>
        <w:tc>
          <w:tcPr>
            <w:tcW w:w="46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848.5</w:t>
            </w:r>
          </w:p>
        </w:tc>
      </w:tr>
      <w:tr>
        <w:trPr>
          <w:trHeight w:val="28"/>
        </w:trPr>
        <w:tc>
          <w:tcPr>
            <w:tcW w:w="63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6360" w:type="dxa"/>
            <w:vAlign w:val="bottom"/>
            <w:tcBorders>
              <w:bottom w:val="single" w:sz="8" w:color="E5F1F8"/>
              <w:right w:val="single" w:sz="8" w:color="007CBA"/>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Cement</w:t>
            </w:r>
          </w:p>
        </w:tc>
        <w:tc>
          <w:tcPr>
            <w:tcW w:w="48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204.4</w:t>
            </w:r>
          </w:p>
        </w:tc>
        <w:tc>
          <w:tcPr>
            <w:tcW w:w="46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157.0</w:t>
            </w:r>
          </w:p>
        </w:tc>
        <w:tc>
          <w:tcPr>
            <w:tcW w:w="46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170.9</w:t>
            </w:r>
          </w:p>
        </w:tc>
      </w:tr>
      <w:tr>
        <w:trPr>
          <w:trHeight w:val="243"/>
        </w:trPr>
        <w:tc>
          <w:tcPr>
            <w:tcW w:w="6360" w:type="dxa"/>
            <w:vAlign w:val="bottom"/>
            <w:tcBorders>
              <w:right w:val="single" w:sz="8" w:color="007CBA"/>
            </w:tcBorders>
          </w:tcPr>
          <w:p>
            <w:pPr>
              <w:ind w:left="300"/>
              <w:spacing w:after="0" w:line="215" w:lineRule="exact"/>
              <w:rPr>
                <w:sz w:val="20"/>
                <w:szCs w:val="20"/>
                <w:color w:val="auto"/>
              </w:rPr>
            </w:pPr>
            <w:r>
              <w:rPr>
                <w:rFonts w:ascii="Calibri" w:cs="Calibri" w:eastAsia="Calibri" w:hAnsi="Calibri"/>
                <w:sz w:val="18"/>
                <w:szCs w:val="18"/>
                <w:color w:val="auto"/>
              </w:rPr>
              <w:t>Ready mixed concrete</w:t>
            </w:r>
          </w:p>
        </w:tc>
        <w:tc>
          <w:tcPr>
            <w:tcW w:w="480" w:type="dxa"/>
            <w:vAlign w:val="bottom"/>
          </w:tcPr>
          <w:p>
            <w:pPr>
              <w:spacing w:after="0"/>
              <w:rPr>
                <w:sz w:val="21"/>
                <w:szCs w:val="21"/>
                <w:color w:val="auto"/>
              </w:rPr>
            </w:pPr>
          </w:p>
        </w:tc>
        <w:tc>
          <w:tcPr>
            <w:tcW w:w="11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69.6</w:t>
            </w:r>
          </w:p>
        </w:tc>
        <w:tc>
          <w:tcPr>
            <w:tcW w:w="460" w:type="dxa"/>
            <w:vAlign w:val="bottom"/>
          </w:tcPr>
          <w:p>
            <w:pPr>
              <w:spacing w:after="0"/>
              <w:rPr>
                <w:sz w:val="21"/>
                <w:szCs w:val="21"/>
                <w:color w:val="auto"/>
              </w:rPr>
            </w:pPr>
          </w:p>
        </w:tc>
        <w:tc>
          <w:tcPr>
            <w:tcW w:w="11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95.6</w:t>
            </w:r>
          </w:p>
        </w:tc>
        <w:tc>
          <w:tcPr>
            <w:tcW w:w="460" w:type="dxa"/>
            <w:vAlign w:val="bottom"/>
          </w:tcPr>
          <w:p>
            <w:pPr>
              <w:spacing w:after="0"/>
              <w:rPr>
                <w:sz w:val="21"/>
                <w:szCs w:val="21"/>
                <w:color w:val="auto"/>
              </w:rPr>
            </w:pPr>
          </w:p>
        </w:tc>
        <w:tc>
          <w:tcPr>
            <w:tcW w:w="11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79.6</w:t>
            </w:r>
          </w:p>
        </w:tc>
      </w:tr>
      <w:tr>
        <w:trPr>
          <w:trHeight w:val="248"/>
        </w:trPr>
        <w:tc>
          <w:tcPr>
            <w:tcW w:w="6360" w:type="dxa"/>
            <w:vAlign w:val="bottom"/>
            <w:tcBorders>
              <w:bottom w:val="single" w:sz="8" w:color="E5F1F8"/>
              <w:right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Asphalt and paving</w:t>
            </w:r>
          </w:p>
        </w:tc>
        <w:tc>
          <w:tcPr>
            <w:tcW w:w="48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81.9</w:t>
            </w:r>
          </w:p>
        </w:tc>
        <w:tc>
          <w:tcPr>
            <w:tcW w:w="46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79.2</w:t>
            </w:r>
          </w:p>
        </w:tc>
        <w:tc>
          <w:tcPr>
            <w:tcW w:w="46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60.4</w:t>
            </w:r>
          </w:p>
        </w:tc>
      </w:tr>
      <w:tr>
        <w:trPr>
          <w:trHeight w:val="237"/>
        </w:trPr>
        <w:tc>
          <w:tcPr>
            <w:tcW w:w="6360" w:type="dxa"/>
            <w:vAlign w:val="bottom"/>
            <w:tcBorders>
              <w:top w:val="single" w:sz="8" w:color="auto"/>
              <w:right w:val="single" w:sz="8" w:color="007CBA"/>
            </w:tcBorders>
          </w:tcPr>
          <w:p>
            <w:pPr>
              <w:ind w:left="200"/>
              <w:spacing w:after="0" w:line="208" w:lineRule="exact"/>
              <w:rPr>
                <w:sz w:val="20"/>
                <w:szCs w:val="20"/>
                <w:color w:val="auto"/>
              </w:rPr>
            </w:pPr>
            <w:r>
              <w:rPr>
                <w:rFonts w:ascii="Calibri" w:cs="Calibri" w:eastAsia="Calibri" w:hAnsi="Calibri"/>
                <w:sz w:val="18"/>
                <w:szCs w:val="18"/>
                <w:color w:val="auto"/>
              </w:rPr>
              <w:t>Products and services</w:t>
            </w:r>
          </w:p>
        </w:tc>
        <w:tc>
          <w:tcPr>
            <w:tcW w:w="480" w:type="dxa"/>
            <w:vAlign w:val="bottom"/>
            <w:tcBorders>
              <w:top w:val="single" w:sz="8" w:color="auto"/>
            </w:tcBorders>
          </w:tcPr>
          <w:p>
            <w:pPr>
              <w:spacing w:after="0"/>
              <w:rPr>
                <w:sz w:val="20"/>
                <w:szCs w:val="20"/>
                <w:color w:val="auto"/>
              </w:rPr>
            </w:pPr>
          </w:p>
        </w:tc>
        <w:tc>
          <w:tcPr>
            <w:tcW w:w="116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1,336.2</w:t>
            </w:r>
          </w:p>
        </w:tc>
        <w:tc>
          <w:tcPr>
            <w:tcW w:w="460" w:type="dxa"/>
            <w:vAlign w:val="bottom"/>
            <w:tcBorders>
              <w:top w:val="single" w:sz="8" w:color="auto"/>
            </w:tcBorders>
          </w:tcPr>
          <w:p>
            <w:pPr>
              <w:spacing w:after="0"/>
              <w:rPr>
                <w:sz w:val="20"/>
                <w:szCs w:val="20"/>
                <w:color w:val="auto"/>
              </w:rPr>
            </w:pPr>
          </w:p>
        </w:tc>
        <w:tc>
          <w:tcPr>
            <w:tcW w:w="116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color w:val="auto"/>
              </w:rPr>
              <w:t>1,236.6</w:t>
            </w:r>
          </w:p>
        </w:tc>
        <w:tc>
          <w:tcPr>
            <w:tcW w:w="4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1,159.4</w:t>
            </w:r>
          </w:p>
        </w:tc>
      </w:tr>
      <w:tr>
        <w:trPr>
          <w:trHeight w:val="248"/>
        </w:trPr>
        <w:tc>
          <w:tcPr>
            <w:tcW w:w="6360" w:type="dxa"/>
            <w:vAlign w:val="bottom"/>
            <w:tcBorders>
              <w:bottom w:val="single" w:sz="8" w:color="E5F1F8"/>
              <w:right w:val="single" w:sz="8" w:color="E5F1F8"/>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Freight</w:t>
            </w:r>
          </w:p>
        </w:tc>
        <w:tc>
          <w:tcPr>
            <w:tcW w:w="48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2.0</w:t>
            </w:r>
          </w:p>
        </w:tc>
        <w:tc>
          <w:tcPr>
            <w:tcW w:w="46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3.3</w:t>
            </w:r>
          </w:p>
        </w:tc>
        <w:tc>
          <w:tcPr>
            <w:tcW w:w="46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0.4</w:t>
            </w:r>
          </w:p>
        </w:tc>
      </w:tr>
      <w:tr>
        <w:trPr>
          <w:trHeight w:val="208"/>
        </w:trPr>
        <w:tc>
          <w:tcPr>
            <w:tcW w:w="636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 Building Materials business</w:t>
            </w:r>
          </w:p>
        </w:tc>
        <w:tc>
          <w:tcPr>
            <w:tcW w:w="4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1,338.2</w:t>
            </w:r>
          </w:p>
        </w:tc>
        <w:tc>
          <w:tcPr>
            <w:tcW w:w="4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1,239.9</w:t>
            </w:r>
          </w:p>
        </w:tc>
        <w:tc>
          <w:tcPr>
            <w:tcW w:w="4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1,159.8</w:t>
            </w:r>
          </w:p>
        </w:tc>
      </w:tr>
      <w:tr>
        <w:trPr>
          <w:trHeight w:val="28"/>
        </w:trPr>
        <w:tc>
          <w:tcPr>
            <w:tcW w:w="6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6"/>
        </w:trPr>
        <w:tc>
          <w:tcPr>
            <w:tcW w:w="6360" w:type="dxa"/>
            <w:vAlign w:val="bottom"/>
            <w:tcBorders>
              <w:bottom w:val="single" w:sz="8" w:color="E5F1F8"/>
              <w:right w:val="single" w:sz="8" w:color="007CBA"/>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Magnesia Specialtes:</w:t>
            </w:r>
          </w:p>
        </w:tc>
        <w:tc>
          <w:tcPr>
            <w:tcW w:w="480" w:type="dxa"/>
            <w:vAlign w:val="bottom"/>
            <w:tcBorders>
              <w:bottom w:val="single" w:sz="8" w:color="E5F1F8"/>
            </w:tcBorders>
            <w:shd w:val="clear" w:color="auto" w:fill="E5F1F8"/>
          </w:tcPr>
          <w:p>
            <w:pPr>
              <w:spacing w:after="0"/>
              <w:rPr>
                <w:sz w:val="18"/>
                <w:szCs w:val="18"/>
                <w:color w:val="auto"/>
              </w:rPr>
            </w:pPr>
          </w:p>
        </w:tc>
        <w:tc>
          <w:tcPr>
            <w:tcW w:w="1160" w:type="dxa"/>
            <w:vAlign w:val="bottom"/>
            <w:tcBorders>
              <w:bottom w:val="single" w:sz="8" w:color="E5F1F8"/>
              <w:right w:val="single" w:sz="8" w:color="007CBA"/>
            </w:tcBorders>
            <w:shd w:val="clear" w:color="auto" w:fill="E5F1F8"/>
          </w:tcPr>
          <w:p>
            <w:pPr>
              <w:spacing w:after="0"/>
              <w:rPr>
                <w:sz w:val="18"/>
                <w:szCs w:val="18"/>
                <w:color w:val="auto"/>
              </w:rPr>
            </w:pPr>
          </w:p>
        </w:tc>
        <w:tc>
          <w:tcPr>
            <w:tcW w:w="460" w:type="dxa"/>
            <w:vAlign w:val="bottom"/>
            <w:tcBorders>
              <w:bottom w:val="single" w:sz="8" w:color="E5F1F8"/>
            </w:tcBorders>
            <w:shd w:val="clear" w:color="auto" w:fill="E5F1F8"/>
          </w:tcPr>
          <w:p>
            <w:pPr>
              <w:spacing w:after="0"/>
              <w:rPr>
                <w:sz w:val="18"/>
                <w:szCs w:val="18"/>
                <w:color w:val="auto"/>
              </w:rPr>
            </w:pPr>
          </w:p>
        </w:tc>
        <w:tc>
          <w:tcPr>
            <w:tcW w:w="1160" w:type="dxa"/>
            <w:vAlign w:val="bottom"/>
            <w:tcBorders>
              <w:bottom w:val="single" w:sz="8" w:color="E5F1F8"/>
              <w:right w:val="single" w:sz="8" w:color="007CBA"/>
            </w:tcBorders>
            <w:shd w:val="clear" w:color="auto" w:fill="E5F1F8"/>
          </w:tcPr>
          <w:p>
            <w:pPr>
              <w:spacing w:after="0"/>
              <w:rPr>
                <w:sz w:val="18"/>
                <w:szCs w:val="18"/>
                <w:color w:val="auto"/>
              </w:rPr>
            </w:pPr>
          </w:p>
        </w:tc>
        <w:tc>
          <w:tcPr>
            <w:tcW w:w="460" w:type="dxa"/>
            <w:vAlign w:val="bottom"/>
            <w:tcBorders>
              <w:bottom w:val="single" w:sz="8" w:color="E5F1F8"/>
            </w:tcBorders>
            <w:shd w:val="clear" w:color="auto" w:fill="E5F1F8"/>
          </w:tcPr>
          <w:p>
            <w:pPr>
              <w:spacing w:after="0"/>
              <w:rPr>
                <w:sz w:val="18"/>
                <w:szCs w:val="18"/>
                <w:color w:val="auto"/>
              </w:rPr>
            </w:pPr>
          </w:p>
        </w:tc>
        <w:tc>
          <w:tcPr>
            <w:tcW w:w="1160" w:type="dxa"/>
            <w:vAlign w:val="bottom"/>
            <w:tcBorders>
              <w:bottom w:val="single" w:sz="8" w:color="E5F1F8"/>
            </w:tcBorders>
            <w:shd w:val="clear" w:color="auto" w:fill="E5F1F8"/>
          </w:tcPr>
          <w:p>
            <w:pPr>
              <w:spacing w:after="0"/>
              <w:rPr>
                <w:sz w:val="18"/>
                <w:szCs w:val="18"/>
                <w:color w:val="auto"/>
              </w:rPr>
            </w:pPr>
          </w:p>
        </w:tc>
      </w:tr>
      <w:tr>
        <w:trPr>
          <w:trHeight w:val="243"/>
        </w:trPr>
        <w:tc>
          <w:tcPr>
            <w:tcW w:w="6360" w:type="dxa"/>
            <w:vAlign w:val="bottom"/>
            <w:tcBorders>
              <w:right w:val="single" w:sz="8" w:color="007CBA"/>
            </w:tcBorders>
          </w:tcPr>
          <w:p>
            <w:pPr>
              <w:ind w:left="200"/>
              <w:spacing w:after="0" w:line="215" w:lineRule="exact"/>
              <w:rPr>
                <w:sz w:val="20"/>
                <w:szCs w:val="20"/>
                <w:color w:val="auto"/>
              </w:rPr>
            </w:pPr>
            <w:r>
              <w:rPr>
                <w:rFonts w:ascii="Calibri" w:cs="Calibri" w:eastAsia="Calibri" w:hAnsi="Calibri"/>
                <w:sz w:val="18"/>
                <w:szCs w:val="18"/>
                <w:color w:val="auto"/>
              </w:rPr>
              <w:t>Products and services</w:t>
            </w:r>
          </w:p>
        </w:tc>
        <w:tc>
          <w:tcPr>
            <w:tcW w:w="480" w:type="dxa"/>
            <w:vAlign w:val="bottom"/>
          </w:tcPr>
          <w:p>
            <w:pPr>
              <w:spacing w:after="0"/>
              <w:rPr>
                <w:sz w:val="21"/>
                <w:szCs w:val="21"/>
                <w:color w:val="auto"/>
              </w:rPr>
            </w:pPr>
          </w:p>
        </w:tc>
        <w:tc>
          <w:tcPr>
            <w:tcW w:w="11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95.5</w:t>
            </w:r>
          </w:p>
        </w:tc>
        <w:tc>
          <w:tcPr>
            <w:tcW w:w="460" w:type="dxa"/>
            <w:vAlign w:val="bottom"/>
          </w:tcPr>
          <w:p>
            <w:pPr>
              <w:spacing w:after="0"/>
              <w:rPr>
                <w:sz w:val="21"/>
                <w:szCs w:val="21"/>
                <w:color w:val="auto"/>
              </w:rPr>
            </w:pPr>
          </w:p>
        </w:tc>
        <w:tc>
          <w:tcPr>
            <w:tcW w:w="11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110.4</w:t>
            </w:r>
          </w:p>
        </w:tc>
        <w:tc>
          <w:tcPr>
            <w:tcW w:w="460" w:type="dxa"/>
            <w:vAlign w:val="bottom"/>
          </w:tcPr>
          <w:p>
            <w:pPr>
              <w:spacing w:after="0"/>
              <w:rPr>
                <w:sz w:val="21"/>
                <w:szCs w:val="21"/>
                <w:color w:val="auto"/>
              </w:rPr>
            </w:pPr>
          </w:p>
        </w:tc>
        <w:tc>
          <w:tcPr>
            <w:tcW w:w="11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89.6</w:t>
            </w:r>
          </w:p>
        </w:tc>
      </w:tr>
      <w:tr>
        <w:trPr>
          <w:trHeight w:val="248"/>
        </w:trPr>
        <w:tc>
          <w:tcPr>
            <w:tcW w:w="6360" w:type="dxa"/>
            <w:vAlign w:val="bottom"/>
            <w:tcBorders>
              <w:bottom w:val="single" w:sz="8" w:color="E5F1F8"/>
              <w:right w:val="single" w:sz="8" w:color="E5F1F8"/>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Freight</w:t>
            </w:r>
          </w:p>
        </w:tc>
        <w:tc>
          <w:tcPr>
            <w:tcW w:w="48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(4.6 )</w:t>
            </w:r>
          </w:p>
        </w:tc>
        <w:tc>
          <w:tcPr>
            <w:tcW w:w="46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(3.9 )</w:t>
            </w:r>
          </w:p>
        </w:tc>
        <w:tc>
          <w:tcPr>
            <w:tcW w:w="46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(4.1 )</w:t>
            </w:r>
          </w:p>
        </w:tc>
      </w:tr>
      <w:tr>
        <w:trPr>
          <w:trHeight w:val="208"/>
        </w:trPr>
        <w:tc>
          <w:tcPr>
            <w:tcW w:w="636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 Magnesia Specialtes</w:t>
            </w:r>
          </w:p>
        </w:tc>
        <w:tc>
          <w:tcPr>
            <w:tcW w:w="4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90.9</w:t>
            </w:r>
          </w:p>
        </w:tc>
        <w:tc>
          <w:tcPr>
            <w:tcW w:w="4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106.5</w:t>
            </w:r>
          </w:p>
        </w:tc>
        <w:tc>
          <w:tcPr>
            <w:tcW w:w="4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85.5</w:t>
            </w:r>
          </w:p>
        </w:tc>
      </w:tr>
      <w:tr>
        <w:trPr>
          <w:trHeight w:val="28"/>
        </w:trPr>
        <w:tc>
          <w:tcPr>
            <w:tcW w:w="6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2"/>
        </w:trPr>
        <w:tc>
          <w:tcPr>
            <w:tcW w:w="636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Corporate</w:t>
            </w:r>
          </w:p>
        </w:tc>
        <w:tc>
          <w:tcPr>
            <w:tcW w:w="480" w:type="dxa"/>
            <w:vAlign w:val="bottom"/>
            <w:tcBorders>
              <w:bottom w:val="single" w:sz="8" w:color="E5F1F8"/>
            </w:tcBorders>
            <w:shd w:val="clear" w:color="auto" w:fill="E5F1F8"/>
          </w:tcPr>
          <w:p>
            <w:pPr>
              <w:spacing w:after="0"/>
              <w:rPr>
                <w:sz w:val="20"/>
                <w:szCs w:val="20"/>
                <w:color w:val="auto"/>
              </w:rPr>
            </w:pPr>
          </w:p>
        </w:tc>
        <w:tc>
          <w:tcPr>
            <w:tcW w:w="1160" w:type="dxa"/>
            <w:vAlign w:val="bottom"/>
            <w:tcBorders>
              <w:bottom w:val="single" w:sz="8" w:color="E5F1F8"/>
              <w:right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b w:val="1"/>
                <w:bCs w:val="1"/>
                <w:color w:val="auto"/>
              </w:rPr>
              <w:t>(5.8 )</w:t>
            </w:r>
          </w:p>
        </w:tc>
        <w:tc>
          <w:tcPr>
            <w:tcW w:w="460" w:type="dxa"/>
            <w:vAlign w:val="bottom"/>
            <w:tcBorders>
              <w:bottom w:val="single" w:sz="8" w:color="E5F1F8"/>
            </w:tcBorders>
            <w:shd w:val="clear" w:color="auto" w:fill="E5F1F8"/>
          </w:tcPr>
          <w:p>
            <w:pPr>
              <w:spacing w:after="0"/>
              <w:rPr>
                <w:sz w:val="20"/>
                <w:szCs w:val="20"/>
                <w:color w:val="auto"/>
              </w:rPr>
            </w:pPr>
          </w:p>
        </w:tc>
        <w:tc>
          <w:tcPr>
            <w:tcW w:w="1160" w:type="dxa"/>
            <w:vAlign w:val="bottom"/>
            <w:tcBorders>
              <w:bottom w:val="single" w:sz="8" w:color="E5F1F8"/>
              <w:right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2.0</w:t>
            </w:r>
          </w:p>
        </w:tc>
        <w:tc>
          <w:tcPr>
            <w:tcW w:w="460" w:type="dxa"/>
            <w:vAlign w:val="bottom"/>
            <w:tcBorders>
              <w:bottom w:val="single" w:sz="8" w:color="E5F1F8"/>
            </w:tcBorders>
            <w:shd w:val="clear" w:color="auto" w:fill="E5F1F8"/>
          </w:tcPr>
          <w:p>
            <w:pPr>
              <w:spacing w:after="0"/>
              <w:rPr>
                <w:sz w:val="20"/>
                <w:szCs w:val="20"/>
                <w:color w:val="auto"/>
              </w:rPr>
            </w:pPr>
          </w:p>
        </w:tc>
        <w:tc>
          <w:tcPr>
            <w:tcW w:w="116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7.5</w:t>
            </w:r>
          </w:p>
        </w:tc>
      </w:tr>
      <w:tr>
        <w:trPr>
          <w:trHeight w:val="208"/>
        </w:trPr>
        <w:tc>
          <w:tcPr>
            <w:tcW w:w="636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Consolidated gross proft</w:t>
            </w:r>
          </w:p>
        </w:tc>
        <w:tc>
          <w:tcPr>
            <w:tcW w:w="48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1,423.3</w:t>
            </w:r>
          </w:p>
        </w:tc>
        <w:tc>
          <w:tcPr>
            <w:tcW w:w="46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1,348.4</w:t>
            </w:r>
          </w:p>
        </w:tc>
        <w:tc>
          <w:tcPr>
            <w:tcW w:w="46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1,252.8</w:t>
            </w:r>
          </w:p>
        </w:tc>
      </w:tr>
      <w:tr>
        <w:trPr>
          <w:trHeight w:val="28"/>
        </w:trPr>
        <w:tc>
          <w:tcPr>
            <w:tcW w:w="6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62"/>
        </w:trPr>
        <w:tc>
          <w:tcPr>
            <w:tcW w:w="6360" w:type="dxa"/>
            <w:vAlign w:val="bottom"/>
          </w:tcPr>
          <w:p>
            <w:pPr>
              <w:spacing w:after="0"/>
              <w:rPr>
                <w:sz w:val="20"/>
                <w:szCs w:val="20"/>
                <w:color w:val="auto"/>
              </w:rPr>
            </w:pPr>
            <w:r>
              <w:rPr>
                <w:rFonts w:ascii="Calibri" w:cs="Calibri" w:eastAsia="Calibri" w:hAnsi="Calibri"/>
                <w:sz w:val="18"/>
                <w:szCs w:val="18"/>
                <w:color w:val="auto"/>
              </w:rPr>
              <w:t>Domestc and foreign total revenues are as follows:</w:t>
            </w: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31"/>
        </w:trPr>
        <w:tc>
          <w:tcPr>
            <w:tcW w:w="6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207"/>
        </w:trPr>
        <w:tc>
          <w:tcPr>
            <w:tcW w:w="6360" w:type="dxa"/>
            <w:vAlign w:val="bottom"/>
            <w:tcBorders>
              <w:right w:val="single" w:sz="8" w:color="007CBA"/>
            </w:tcBorders>
            <w:shd w:val="clear" w:color="auto" w:fill="007CBA"/>
          </w:tcPr>
          <w:p>
            <w:pPr>
              <w:ind w:left="120"/>
              <w:spacing w:after="0" w:line="207" w:lineRule="exact"/>
              <w:rPr>
                <w:sz w:val="20"/>
                <w:szCs w:val="20"/>
                <w:color w:val="auto"/>
              </w:rPr>
            </w:pPr>
            <w:r>
              <w:rPr>
                <w:rFonts w:ascii="Calibri" w:cs="Calibri" w:eastAsia="Calibri" w:hAnsi="Calibri"/>
                <w:sz w:val="18"/>
                <w:szCs w:val="18"/>
                <w:i w:val="1"/>
                <w:iCs w:val="1"/>
                <w:color w:val="FFFFFF"/>
              </w:rPr>
              <w:t>years ended December 31</w:t>
            </w:r>
          </w:p>
        </w:tc>
        <w:tc>
          <w:tcPr>
            <w:tcW w:w="48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6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60" w:type="dxa"/>
            <w:vAlign w:val="bottom"/>
            <w:shd w:val="clear" w:color="auto" w:fill="007CBA"/>
          </w:tcPr>
          <w:p>
            <w:pPr>
              <w:spacing w:after="0"/>
              <w:rPr>
                <w:sz w:val="18"/>
                <w:szCs w:val="18"/>
                <w:color w:val="auto"/>
              </w:rPr>
            </w:pPr>
          </w:p>
        </w:tc>
        <w:tc>
          <w:tcPr>
            <w:tcW w:w="1160" w:type="dxa"/>
            <w:vAlign w:val="bottom"/>
            <w:shd w:val="clear" w:color="auto" w:fill="007CBA"/>
          </w:tcPr>
          <w:p>
            <w:pPr>
              <w:spacing w:after="0"/>
              <w:rPr>
                <w:sz w:val="18"/>
                <w:szCs w:val="18"/>
                <w:color w:val="auto"/>
              </w:rPr>
            </w:pPr>
          </w:p>
        </w:tc>
      </w:tr>
      <w:tr>
        <w:trPr>
          <w:trHeight w:val="232"/>
        </w:trPr>
        <w:tc>
          <w:tcPr>
            <w:tcW w:w="636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480" w:type="dxa"/>
            <w:vAlign w:val="bottom"/>
            <w:tcBorders>
              <w:bottom w:val="single" w:sz="8" w:color="007CBA"/>
            </w:tcBorders>
            <w:shd w:val="clear" w:color="auto" w:fill="007CBA"/>
          </w:tcPr>
          <w:p>
            <w:pPr>
              <w:spacing w:after="0"/>
              <w:rPr>
                <w:sz w:val="20"/>
                <w:szCs w:val="20"/>
                <w:color w:val="auto"/>
              </w:rPr>
            </w:pPr>
          </w:p>
        </w:tc>
        <w:tc>
          <w:tcPr>
            <w:tcW w:w="1160" w:type="dxa"/>
            <w:vAlign w:val="bottom"/>
            <w:tcBorders>
              <w:bottom w:val="single" w:sz="8" w:color="007CBA"/>
              <w:right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b w:val="1"/>
                <w:bCs w:val="1"/>
                <w:color w:val="FFFFFF"/>
              </w:rPr>
              <w:t>2022</w:t>
            </w:r>
          </w:p>
        </w:tc>
        <w:tc>
          <w:tcPr>
            <w:tcW w:w="460" w:type="dxa"/>
            <w:vAlign w:val="bottom"/>
            <w:tcBorders>
              <w:bottom w:val="single" w:sz="8" w:color="007CBA"/>
            </w:tcBorders>
            <w:shd w:val="clear" w:color="auto" w:fill="007CBA"/>
          </w:tcPr>
          <w:p>
            <w:pPr>
              <w:spacing w:after="0"/>
              <w:rPr>
                <w:sz w:val="20"/>
                <w:szCs w:val="20"/>
                <w:color w:val="auto"/>
              </w:rPr>
            </w:pPr>
          </w:p>
        </w:tc>
        <w:tc>
          <w:tcPr>
            <w:tcW w:w="1160" w:type="dxa"/>
            <w:vAlign w:val="bottom"/>
            <w:tcBorders>
              <w:bottom w:val="single" w:sz="8" w:color="007CBA"/>
              <w:right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color w:val="FFFFFF"/>
              </w:rPr>
              <w:t>2021</w:t>
            </w:r>
          </w:p>
        </w:tc>
        <w:tc>
          <w:tcPr>
            <w:tcW w:w="460" w:type="dxa"/>
            <w:vAlign w:val="bottom"/>
            <w:tcBorders>
              <w:bottom w:val="single" w:sz="8" w:color="007CBA"/>
            </w:tcBorders>
            <w:shd w:val="clear" w:color="auto" w:fill="007CBA"/>
          </w:tcPr>
          <w:p>
            <w:pPr>
              <w:spacing w:after="0"/>
              <w:rPr>
                <w:sz w:val="20"/>
                <w:szCs w:val="20"/>
                <w:color w:val="auto"/>
              </w:rPr>
            </w:pPr>
          </w:p>
        </w:tc>
        <w:tc>
          <w:tcPr>
            <w:tcW w:w="1160" w:type="dxa"/>
            <w:vAlign w:val="bottom"/>
            <w:tcBorders>
              <w:bottom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color w:val="FFFFFF"/>
              </w:rPr>
              <w:t>2020</w:t>
            </w:r>
          </w:p>
        </w:tc>
      </w:tr>
      <w:tr>
        <w:trPr>
          <w:trHeight w:val="243"/>
        </w:trPr>
        <w:tc>
          <w:tcPr>
            <w:tcW w:w="63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Domestc</w:t>
            </w:r>
          </w:p>
        </w:tc>
        <w:tc>
          <w:tcPr>
            <w:tcW w:w="480" w:type="dxa"/>
            <w:vAlign w:val="bottom"/>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6,077.6</w:t>
            </w:r>
          </w:p>
        </w:tc>
        <w:tc>
          <w:tcPr>
            <w:tcW w:w="46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5,338.5</w:t>
            </w:r>
          </w:p>
        </w:tc>
        <w:tc>
          <w:tcPr>
            <w:tcW w:w="46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4,674.4</w:t>
            </w:r>
          </w:p>
        </w:tc>
      </w:tr>
      <w:tr>
        <w:trPr>
          <w:trHeight w:val="248"/>
        </w:trPr>
        <w:tc>
          <w:tcPr>
            <w:tcW w:w="636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Foreign</w:t>
            </w:r>
          </w:p>
        </w:tc>
        <w:tc>
          <w:tcPr>
            <w:tcW w:w="48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83.1</w:t>
            </w:r>
          </w:p>
        </w:tc>
        <w:tc>
          <w:tcPr>
            <w:tcW w:w="46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75.5</w:t>
            </w:r>
          </w:p>
        </w:tc>
        <w:tc>
          <w:tcPr>
            <w:tcW w:w="46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55.5</w:t>
            </w:r>
          </w:p>
        </w:tc>
      </w:tr>
      <w:tr>
        <w:trPr>
          <w:trHeight w:val="208"/>
        </w:trPr>
        <w:tc>
          <w:tcPr>
            <w:tcW w:w="636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Consolidated total revenues</w:t>
            </w:r>
          </w:p>
        </w:tc>
        <w:tc>
          <w:tcPr>
            <w:tcW w:w="48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6,160.7</w:t>
            </w:r>
          </w:p>
        </w:tc>
        <w:tc>
          <w:tcPr>
            <w:tcW w:w="46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5,414.0</w:t>
            </w:r>
          </w:p>
        </w:tc>
        <w:tc>
          <w:tcPr>
            <w:tcW w:w="46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4,729.9</w:t>
            </w:r>
          </w:p>
        </w:tc>
      </w:tr>
      <w:tr>
        <w:trPr>
          <w:trHeight w:val="28"/>
        </w:trPr>
        <w:tc>
          <w:tcPr>
            <w:tcW w:w="6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4012565</wp:posOffset>
            </wp:positionH>
            <wp:positionV relativeFrom="paragraph">
              <wp:posOffset>-5283835</wp:posOffset>
            </wp:positionV>
            <wp:extent cx="3124200" cy="18859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1">
                      <a:extLst>
                        <a:ext uri="{28A0092B-C50C-407E-A947-70E740481C1C}"/>
                      </a:extLst>
                    </a:blip>
                    <a:srcRect/>
                    <a:stretch>
                      <a:fillRect/>
                    </a:stretch>
                  </pic:blipFill>
                  <pic:spPr bwMode="auto">
                    <a:xfrm>
                      <a:off x="0" y="0"/>
                      <a:ext cx="312420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-4966970</wp:posOffset>
            </wp:positionV>
            <wp:extent cx="7132320" cy="49276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2">
                      <a:extLst>
                        <a:ext uri="{28A0092B-C50C-407E-A947-70E740481C1C}"/>
                      </a:extLst>
                    </a:blip>
                    <a:srcRect/>
                    <a:stretch>
                      <a:fillRect/>
                    </a:stretch>
                  </pic:blipFill>
                  <pic:spPr bwMode="auto">
                    <a:xfrm>
                      <a:off x="0" y="0"/>
                      <a:ext cx="7132320" cy="492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-4332605</wp:posOffset>
            </wp:positionV>
            <wp:extent cx="7132320" cy="67246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3">
                      <a:extLst>
                        <a:ext uri="{28A0092B-C50C-407E-A947-70E740481C1C}"/>
                      </a:extLst>
                    </a:blip>
                    <a:srcRect/>
                    <a:stretch>
                      <a:fillRect/>
                    </a:stretch>
                  </pic:blipFill>
                  <pic:spPr bwMode="auto">
                    <a:xfrm>
                      <a:off x="0" y="0"/>
                      <a:ext cx="7132320" cy="672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-2746375</wp:posOffset>
            </wp:positionV>
            <wp:extent cx="7132320" cy="6686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4">
                      <a:extLst>
                        <a:ext uri="{28A0092B-C50C-407E-A947-70E740481C1C}"/>
                      </a:extLst>
                    </a:blip>
                    <a:srcRect/>
                    <a:stretch>
                      <a:fillRect/>
                    </a:stretch>
                  </pic:blipFill>
                  <pic:spPr bwMode="auto">
                    <a:xfrm>
                      <a:off x="0" y="0"/>
                      <a:ext cx="7132320" cy="6686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-1795145</wp:posOffset>
            </wp:positionV>
            <wp:extent cx="7132320" cy="6940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5">
                      <a:extLst>
                        <a:ext uri="{28A0092B-C50C-407E-A947-70E740481C1C}"/>
                      </a:extLst>
                    </a:blip>
                    <a:srcRect/>
                    <a:stretch>
                      <a:fillRect/>
                    </a:stretch>
                  </pic:blipFill>
                  <pic:spPr bwMode="auto">
                    <a:xfrm>
                      <a:off x="0" y="0"/>
                      <a:ext cx="7132320" cy="6940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3683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6">
                      <a:extLst>
                        <a:ext uri="{28A0092B-C50C-407E-A947-70E740481C1C}"/>
                      </a:extLst>
                    </a:blip>
                    <a:srcRect/>
                    <a:stretch>
                      <a:fillRect/>
                    </a:stretch>
                  </pic:blipFill>
                  <pic:spPr bwMode="auto">
                    <a:xfrm>
                      <a:off x="0" y="0"/>
                      <a:ext cx="7132320" cy="36830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213995</wp:posOffset>
            </wp:positionV>
            <wp:extent cx="325755" cy="19685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7">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34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3" w:name="page114"/>
    <w:bookmarkEnd w:id="113"/>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8 – Financial Statements and Supplementary Data</w:t>
      </w:r>
    </w:p>
    <w:p>
      <w:pPr>
        <w:spacing w:after="0" w:line="21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R: Supplemental Cash Flow Informaton</w:t>
      </w:r>
    </w:p>
    <w:p>
      <w:pPr>
        <w:spacing w:after="0" w:line="54" w:lineRule="exact"/>
        <w:rPr>
          <w:sz w:val="20"/>
          <w:szCs w:val="20"/>
          <w:color w:val="auto"/>
        </w:rPr>
      </w:pPr>
    </w:p>
    <w:p>
      <w:pPr>
        <w:spacing w:after="0"/>
        <w:rPr>
          <w:sz w:val="20"/>
          <w:szCs w:val="20"/>
          <w:color w:val="auto"/>
        </w:rPr>
      </w:pPr>
      <w:r>
        <w:rPr>
          <w:rFonts w:ascii="Calibri" w:cs="Calibri" w:eastAsia="Calibri" w:hAnsi="Calibri"/>
          <w:sz w:val="18"/>
          <w:szCs w:val="18"/>
          <w:color w:val="auto"/>
        </w:rPr>
        <w:t>Noncash investng and fnancing actvites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4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1060" w:type="dxa"/>
            <w:vAlign w:val="bottom"/>
            <w:shd w:val="clear" w:color="auto" w:fill="007CBA"/>
          </w:tcPr>
          <w:p>
            <w:pPr>
              <w:spacing w:after="0"/>
              <w:rPr>
                <w:sz w:val="20"/>
                <w:szCs w:val="20"/>
                <w:color w:val="auto"/>
              </w:rPr>
            </w:pPr>
          </w:p>
        </w:tc>
        <w:tc>
          <w:tcPr>
            <w:tcW w:w="580" w:type="dxa"/>
            <w:vAlign w:val="bottom"/>
            <w:tcBorders>
              <w:right w:val="single" w:sz="8" w:color="007CBA"/>
            </w:tcBorders>
            <w:shd w:val="clear" w:color="auto" w:fill="007CBA"/>
          </w:tcPr>
          <w:p>
            <w:pPr>
              <w:spacing w:after="0"/>
              <w:rPr>
                <w:sz w:val="20"/>
                <w:szCs w:val="20"/>
                <w:color w:val="auto"/>
              </w:rPr>
            </w:pPr>
          </w:p>
        </w:tc>
        <w:tc>
          <w:tcPr>
            <w:tcW w:w="440" w:type="dxa"/>
            <w:vAlign w:val="bottom"/>
            <w:shd w:val="clear" w:color="auto" w:fill="007CBA"/>
          </w:tcPr>
          <w:p>
            <w:pPr>
              <w:spacing w:after="0"/>
              <w:rPr>
                <w:sz w:val="20"/>
                <w:szCs w:val="20"/>
                <w:color w:val="auto"/>
              </w:rPr>
            </w:pPr>
          </w:p>
        </w:tc>
        <w:tc>
          <w:tcPr>
            <w:tcW w:w="1140" w:type="dxa"/>
            <w:vAlign w:val="bottom"/>
            <w:tcBorders>
              <w:right w:val="single" w:sz="8" w:color="007CBA"/>
            </w:tcBorders>
            <w:shd w:val="clear" w:color="auto" w:fill="007CBA"/>
          </w:tcPr>
          <w:p>
            <w:pPr>
              <w:spacing w:after="0"/>
              <w:rPr>
                <w:sz w:val="20"/>
                <w:szCs w:val="20"/>
                <w:color w:val="auto"/>
              </w:rPr>
            </w:pPr>
          </w:p>
        </w:tc>
        <w:tc>
          <w:tcPr>
            <w:tcW w:w="440" w:type="dxa"/>
            <w:vAlign w:val="bottom"/>
            <w:shd w:val="clear" w:color="auto" w:fill="007CBA"/>
          </w:tcPr>
          <w:p>
            <w:pPr>
              <w:spacing w:after="0"/>
              <w:rPr>
                <w:sz w:val="20"/>
                <w:szCs w:val="20"/>
                <w:color w:val="auto"/>
              </w:rPr>
            </w:pPr>
          </w:p>
        </w:tc>
        <w:tc>
          <w:tcPr>
            <w:tcW w:w="1140" w:type="dxa"/>
            <w:vAlign w:val="bottom"/>
            <w:shd w:val="clear" w:color="auto" w:fill="007CBA"/>
          </w:tcPr>
          <w:p>
            <w:pPr>
              <w:spacing w:after="0"/>
              <w:rPr>
                <w:sz w:val="20"/>
                <w:szCs w:val="20"/>
                <w:color w:val="auto"/>
              </w:rPr>
            </w:pPr>
          </w:p>
        </w:tc>
      </w:tr>
      <w:tr>
        <w:trPr>
          <w:trHeight w:val="231"/>
        </w:trPr>
        <w:tc>
          <w:tcPr>
            <w:tcW w:w="644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1060" w:type="dxa"/>
            <w:vAlign w:val="bottom"/>
            <w:tcBorders>
              <w:bottom w:val="single" w:sz="8" w:color="007CBA"/>
            </w:tcBorders>
            <w:shd w:val="clear" w:color="auto" w:fill="007CBA"/>
          </w:tcPr>
          <w:p>
            <w:pPr>
              <w:jc w:val="right"/>
              <w:spacing w:after="0" w:line="215" w:lineRule="exact"/>
              <w:rPr>
                <w:sz w:val="20"/>
                <w:szCs w:val="20"/>
                <w:color w:val="auto"/>
              </w:rPr>
            </w:pPr>
            <w:r>
              <w:rPr>
                <w:rFonts w:ascii="Calibri" w:cs="Calibri" w:eastAsia="Calibri" w:hAnsi="Calibri"/>
                <w:sz w:val="18"/>
                <w:szCs w:val="18"/>
                <w:b w:val="1"/>
                <w:bCs w:val="1"/>
                <w:color w:val="FFFFFF"/>
              </w:rPr>
              <w:t>2022</w:t>
            </w:r>
          </w:p>
        </w:tc>
        <w:tc>
          <w:tcPr>
            <w:tcW w:w="580" w:type="dxa"/>
            <w:vAlign w:val="bottom"/>
            <w:tcBorders>
              <w:bottom w:val="single" w:sz="8" w:color="007CBA"/>
              <w:right w:val="single" w:sz="8" w:color="007CBA"/>
            </w:tcBorders>
            <w:shd w:val="clear" w:color="auto" w:fill="007CBA"/>
          </w:tcPr>
          <w:p>
            <w:pPr>
              <w:spacing w:after="0"/>
              <w:rPr>
                <w:sz w:val="20"/>
                <w:szCs w:val="20"/>
                <w:color w:val="auto"/>
              </w:rPr>
            </w:pPr>
          </w:p>
        </w:tc>
        <w:tc>
          <w:tcPr>
            <w:tcW w:w="44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right w:val="single" w:sz="8" w:color="007CBA"/>
            </w:tcBorders>
            <w:shd w:val="clear" w:color="auto" w:fill="007CBA"/>
          </w:tcPr>
          <w:p>
            <w:pPr>
              <w:jc w:val="right"/>
              <w:ind w:right="490"/>
              <w:spacing w:after="0" w:line="215" w:lineRule="exact"/>
              <w:rPr>
                <w:sz w:val="20"/>
                <w:szCs w:val="20"/>
                <w:color w:val="auto"/>
              </w:rPr>
            </w:pPr>
            <w:r>
              <w:rPr>
                <w:rFonts w:ascii="Calibri" w:cs="Calibri" w:eastAsia="Calibri" w:hAnsi="Calibri"/>
                <w:sz w:val="18"/>
                <w:szCs w:val="18"/>
                <w:color w:val="FFFFFF"/>
              </w:rPr>
              <w:t>2021</w:t>
            </w:r>
          </w:p>
        </w:tc>
        <w:tc>
          <w:tcPr>
            <w:tcW w:w="44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tcBorders>
            <w:shd w:val="clear" w:color="auto" w:fill="007CBA"/>
          </w:tcPr>
          <w:p>
            <w:pPr>
              <w:jc w:val="right"/>
              <w:ind w:right="490"/>
              <w:spacing w:after="0" w:line="215" w:lineRule="exact"/>
              <w:rPr>
                <w:sz w:val="20"/>
                <w:szCs w:val="20"/>
                <w:color w:val="auto"/>
              </w:rPr>
            </w:pPr>
            <w:r>
              <w:rPr>
                <w:rFonts w:ascii="Calibri" w:cs="Calibri" w:eastAsia="Calibri" w:hAnsi="Calibri"/>
                <w:sz w:val="18"/>
                <w:szCs w:val="18"/>
                <w:color w:val="FFFFFF"/>
              </w:rPr>
              <w:t>2020</w:t>
            </w:r>
          </w:p>
        </w:tc>
      </w:tr>
      <w:tr>
        <w:trPr>
          <w:trHeight w:val="215"/>
        </w:trPr>
        <w:tc>
          <w:tcPr>
            <w:tcW w:w="64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Accrued liabilites for purchases of property, plant and equipment</w:t>
            </w:r>
          </w:p>
        </w:tc>
        <w:tc>
          <w:tcPr>
            <w:tcW w:w="1060" w:type="dxa"/>
            <w:vAlign w:val="bottom"/>
          </w:tcPr>
          <w:p>
            <w:pPr>
              <w:jc w:val="right"/>
              <w:ind w:right="710"/>
              <w:spacing w:after="0" w:line="215" w:lineRule="exact"/>
              <w:rPr>
                <w:sz w:val="20"/>
                <w:szCs w:val="20"/>
                <w:color w:val="auto"/>
              </w:rPr>
            </w:pPr>
            <w:r>
              <w:rPr>
                <w:rFonts w:ascii="Calibri" w:cs="Calibri" w:eastAsia="Calibri" w:hAnsi="Calibri"/>
                <w:sz w:val="18"/>
                <w:szCs w:val="18"/>
                <w:b w:val="1"/>
                <w:bCs w:val="1"/>
                <w:color w:val="auto"/>
              </w:rPr>
              <w:t>$</w:t>
            </w:r>
          </w:p>
        </w:tc>
        <w:tc>
          <w:tcPr>
            <w:tcW w:w="5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152.4</w:t>
            </w:r>
          </w:p>
        </w:tc>
        <w:tc>
          <w:tcPr>
            <w:tcW w:w="44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92.4</w:t>
            </w:r>
          </w:p>
        </w:tc>
        <w:tc>
          <w:tcPr>
            <w:tcW w:w="44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61.5</w:t>
            </w:r>
          </w:p>
        </w:tc>
      </w:tr>
      <w:tr>
        <w:trPr>
          <w:trHeight w:val="28"/>
        </w:trPr>
        <w:tc>
          <w:tcPr>
            <w:tcW w:w="6440" w:type="dxa"/>
            <w:vAlign w:val="bottom"/>
            <w:tcBorders>
              <w:right w:val="single" w:sz="8" w:color="007CBA"/>
            </w:tcBorders>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Borders>
              <w:right w:val="single" w:sz="8" w:color="007CBA"/>
            </w:tcBorders>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Borders>
              <w:right w:val="single" w:sz="8" w:color="007CBA"/>
            </w:tcBorders>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644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Remeasurement of operatng lease right-of-use assets</w:t>
            </w:r>
          </w:p>
        </w:tc>
        <w:tc>
          <w:tcPr>
            <w:tcW w:w="1060" w:type="dxa"/>
            <w:vAlign w:val="bottom"/>
            <w:tcBorders>
              <w:bottom w:val="single" w:sz="8" w:color="E5F1F8"/>
            </w:tcBorders>
            <w:shd w:val="clear" w:color="auto" w:fill="E5F1F8"/>
          </w:tcPr>
          <w:p>
            <w:pPr>
              <w:jc w:val="right"/>
              <w:ind w:right="710"/>
              <w:spacing w:after="0" w:line="215" w:lineRule="exact"/>
              <w:rPr>
                <w:sz w:val="20"/>
                <w:szCs w:val="20"/>
                <w:color w:val="auto"/>
              </w:rPr>
            </w:pPr>
            <w:r>
              <w:rPr>
                <w:rFonts w:ascii="Calibri" w:cs="Calibri" w:eastAsia="Calibri" w:hAnsi="Calibri"/>
                <w:sz w:val="18"/>
                <w:szCs w:val="18"/>
                <w:b w:val="1"/>
                <w:bCs w:val="1"/>
                <w:color w:val="auto"/>
              </w:rPr>
              <w:t>$</w:t>
            </w:r>
          </w:p>
        </w:tc>
        <w:tc>
          <w:tcPr>
            <w:tcW w:w="580" w:type="dxa"/>
            <w:vAlign w:val="bottom"/>
            <w:tcBorders>
              <w:bottom w:val="single" w:sz="8" w:color="E5F1F8"/>
              <w:right w:val="single" w:sz="8" w:color="007CBA"/>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(2.9 )</w:t>
            </w:r>
          </w:p>
        </w:tc>
        <w:tc>
          <w:tcPr>
            <w:tcW w:w="440" w:type="dxa"/>
            <w:vAlign w:val="bottom"/>
            <w:tcBorders>
              <w:bottom w:val="single" w:sz="8" w:color="E5F1F8"/>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E5F1F8"/>
              <w:right w:val="single" w:sz="8" w:color="007CBA"/>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(12.8 )</w:t>
            </w:r>
          </w:p>
        </w:tc>
        <w:tc>
          <w:tcPr>
            <w:tcW w:w="440" w:type="dxa"/>
            <w:vAlign w:val="bottom"/>
            <w:tcBorders>
              <w:bottom w:val="single" w:sz="8" w:color="E5F1F8"/>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2.2</w:t>
            </w:r>
          </w:p>
        </w:tc>
      </w:tr>
      <w:tr>
        <w:trPr>
          <w:trHeight w:val="215"/>
        </w:trPr>
        <w:tc>
          <w:tcPr>
            <w:tcW w:w="64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Remeasurement of fnance lease right-of-use assets</w:t>
            </w:r>
          </w:p>
        </w:tc>
        <w:tc>
          <w:tcPr>
            <w:tcW w:w="1060" w:type="dxa"/>
            <w:vAlign w:val="bottom"/>
          </w:tcPr>
          <w:p>
            <w:pPr>
              <w:jc w:val="right"/>
              <w:ind w:right="710"/>
              <w:spacing w:after="0" w:line="215" w:lineRule="exact"/>
              <w:rPr>
                <w:sz w:val="20"/>
                <w:szCs w:val="20"/>
                <w:color w:val="auto"/>
              </w:rPr>
            </w:pPr>
            <w:r>
              <w:rPr>
                <w:rFonts w:ascii="Calibri" w:cs="Calibri" w:eastAsia="Calibri" w:hAnsi="Calibri"/>
                <w:sz w:val="18"/>
                <w:szCs w:val="18"/>
                <w:b w:val="1"/>
                <w:bCs w:val="1"/>
                <w:color w:val="auto"/>
              </w:rPr>
              <w:t>$</w:t>
            </w:r>
          </w:p>
        </w:tc>
        <w:tc>
          <w:tcPr>
            <w:tcW w:w="58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b w:val="1"/>
                <w:bCs w:val="1"/>
                <w:color w:val="auto"/>
              </w:rPr>
              <w:t>(12.6 )</w:t>
            </w:r>
          </w:p>
        </w:tc>
        <w:tc>
          <w:tcPr>
            <w:tcW w:w="44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44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6440" w:type="dxa"/>
            <w:vAlign w:val="bottom"/>
            <w:tcBorders>
              <w:right w:val="single" w:sz="8" w:color="007CBA"/>
            </w:tcBorders>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Borders>
              <w:right w:val="single" w:sz="8" w:color="007CBA"/>
            </w:tcBorders>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Borders>
              <w:right w:val="single" w:sz="8" w:color="007CBA"/>
            </w:tcBorders>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7"/>
        </w:trPr>
        <w:tc>
          <w:tcPr>
            <w:tcW w:w="6440" w:type="dxa"/>
            <w:vAlign w:val="bottom"/>
            <w:tcBorders>
              <w:right w:val="single" w:sz="8" w:color="007CBA"/>
            </w:tcBorders>
            <w:shd w:val="clear" w:color="auto" w:fill="E5F1F8"/>
          </w:tcPr>
          <w:p>
            <w:pPr>
              <w:ind w:left="120"/>
              <w:spacing w:after="0" w:line="207" w:lineRule="exact"/>
              <w:rPr>
                <w:sz w:val="20"/>
                <w:szCs w:val="20"/>
                <w:color w:val="auto"/>
              </w:rPr>
            </w:pPr>
            <w:r>
              <w:rPr>
                <w:rFonts w:ascii="Calibri" w:cs="Calibri" w:eastAsia="Calibri" w:hAnsi="Calibri"/>
                <w:sz w:val="18"/>
                <w:szCs w:val="18"/>
                <w:color w:val="auto"/>
              </w:rPr>
              <w:t>Right-of-use assets obtained in exchange for new operatng lease</w:t>
            </w:r>
          </w:p>
        </w:tc>
        <w:tc>
          <w:tcPr>
            <w:tcW w:w="1060" w:type="dxa"/>
            <w:vAlign w:val="bottom"/>
            <w:shd w:val="clear" w:color="auto" w:fill="E5F1F8"/>
          </w:tcPr>
          <w:p>
            <w:pPr>
              <w:spacing w:after="0"/>
              <w:rPr>
                <w:sz w:val="18"/>
                <w:szCs w:val="18"/>
                <w:color w:val="auto"/>
              </w:rPr>
            </w:pPr>
          </w:p>
        </w:tc>
        <w:tc>
          <w:tcPr>
            <w:tcW w:w="580" w:type="dxa"/>
            <w:vAlign w:val="bottom"/>
            <w:tcBorders>
              <w:right w:val="single" w:sz="8" w:color="007CBA"/>
            </w:tcBorders>
            <w:shd w:val="clear" w:color="auto" w:fill="E5F1F8"/>
          </w:tcPr>
          <w:p>
            <w:pPr>
              <w:spacing w:after="0"/>
              <w:rPr>
                <w:sz w:val="18"/>
                <w:szCs w:val="18"/>
                <w:color w:val="auto"/>
              </w:rPr>
            </w:pPr>
          </w:p>
        </w:tc>
        <w:tc>
          <w:tcPr>
            <w:tcW w:w="440" w:type="dxa"/>
            <w:vAlign w:val="bottom"/>
            <w:shd w:val="clear" w:color="auto" w:fill="E5F1F8"/>
          </w:tcPr>
          <w:p>
            <w:pPr>
              <w:spacing w:after="0"/>
              <w:rPr>
                <w:sz w:val="18"/>
                <w:szCs w:val="18"/>
                <w:color w:val="auto"/>
              </w:rPr>
            </w:pPr>
          </w:p>
        </w:tc>
        <w:tc>
          <w:tcPr>
            <w:tcW w:w="1140" w:type="dxa"/>
            <w:vAlign w:val="bottom"/>
            <w:tcBorders>
              <w:right w:val="single" w:sz="8" w:color="007CBA"/>
            </w:tcBorders>
            <w:shd w:val="clear" w:color="auto" w:fill="E5F1F8"/>
          </w:tcPr>
          <w:p>
            <w:pPr>
              <w:spacing w:after="0"/>
              <w:rPr>
                <w:sz w:val="18"/>
                <w:szCs w:val="18"/>
                <w:color w:val="auto"/>
              </w:rPr>
            </w:pPr>
          </w:p>
        </w:tc>
        <w:tc>
          <w:tcPr>
            <w:tcW w:w="440" w:type="dxa"/>
            <w:vAlign w:val="bottom"/>
            <w:shd w:val="clear" w:color="auto" w:fill="E5F1F8"/>
          </w:tcPr>
          <w:p>
            <w:pPr>
              <w:spacing w:after="0"/>
              <w:rPr>
                <w:sz w:val="18"/>
                <w:szCs w:val="18"/>
                <w:color w:val="auto"/>
              </w:rPr>
            </w:pPr>
          </w:p>
        </w:tc>
        <w:tc>
          <w:tcPr>
            <w:tcW w:w="1140" w:type="dxa"/>
            <w:vAlign w:val="bottom"/>
            <w:shd w:val="clear" w:color="auto" w:fill="E5F1F8"/>
          </w:tcPr>
          <w:p>
            <w:pPr>
              <w:spacing w:after="0"/>
              <w:rPr>
                <w:sz w:val="18"/>
                <w:szCs w:val="18"/>
                <w:color w:val="auto"/>
              </w:rPr>
            </w:pPr>
          </w:p>
        </w:tc>
      </w:tr>
      <w:tr>
        <w:trPr>
          <w:trHeight w:val="232"/>
        </w:trPr>
        <w:tc>
          <w:tcPr>
            <w:tcW w:w="6440" w:type="dxa"/>
            <w:vAlign w:val="bottom"/>
            <w:tcBorders>
              <w:bottom w:val="single" w:sz="8" w:color="E5F1F8"/>
              <w:right w:val="single" w:sz="8" w:color="007CBA"/>
            </w:tcBorders>
            <w:shd w:val="clear" w:color="auto" w:fill="E5F1F8"/>
          </w:tcPr>
          <w:p>
            <w:pPr>
              <w:ind w:left="240"/>
              <w:spacing w:after="0" w:line="215" w:lineRule="exact"/>
              <w:rPr>
                <w:sz w:val="20"/>
                <w:szCs w:val="20"/>
                <w:color w:val="auto"/>
              </w:rPr>
            </w:pPr>
            <w:r>
              <w:rPr>
                <w:rFonts w:ascii="Calibri" w:cs="Calibri" w:eastAsia="Calibri" w:hAnsi="Calibri"/>
                <w:sz w:val="18"/>
                <w:szCs w:val="18"/>
                <w:color w:val="auto"/>
              </w:rPr>
              <w:t>liabilites</w:t>
            </w:r>
          </w:p>
        </w:tc>
        <w:tc>
          <w:tcPr>
            <w:tcW w:w="1060" w:type="dxa"/>
            <w:vAlign w:val="bottom"/>
            <w:tcBorders>
              <w:bottom w:val="single" w:sz="8" w:color="E5F1F8"/>
            </w:tcBorders>
            <w:shd w:val="clear" w:color="auto" w:fill="E5F1F8"/>
          </w:tcPr>
          <w:p>
            <w:pPr>
              <w:jc w:val="right"/>
              <w:ind w:right="710"/>
              <w:spacing w:after="0" w:line="215" w:lineRule="exact"/>
              <w:rPr>
                <w:sz w:val="20"/>
                <w:szCs w:val="20"/>
                <w:color w:val="auto"/>
              </w:rPr>
            </w:pPr>
            <w:r>
              <w:rPr>
                <w:rFonts w:ascii="Calibri" w:cs="Calibri" w:eastAsia="Calibri" w:hAnsi="Calibri"/>
                <w:sz w:val="18"/>
                <w:szCs w:val="18"/>
                <w:b w:val="1"/>
                <w:bCs w:val="1"/>
                <w:color w:val="auto"/>
              </w:rPr>
              <w:t>$</w:t>
            </w:r>
          </w:p>
        </w:tc>
        <w:tc>
          <w:tcPr>
            <w:tcW w:w="58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27.2</w:t>
            </w:r>
          </w:p>
        </w:tc>
        <w:tc>
          <w:tcPr>
            <w:tcW w:w="440" w:type="dxa"/>
            <w:vAlign w:val="bottom"/>
            <w:tcBorders>
              <w:bottom w:val="single" w:sz="8" w:color="E5F1F8"/>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65.6</w:t>
            </w:r>
          </w:p>
        </w:tc>
        <w:tc>
          <w:tcPr>
            <w:tcW w:w="440" w:type="dxa"/>
            <w:vAlign w:val="bottom"/>
            <w:tcBorders>
              <w:bottom w:val="single" w:sz="8" w:color="E5F1F8"/>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31.9</w:t>
            </w:r>
          </w:p>
        </w:tc>
      </w:tr>
      <w:tr>
        <w:trPr>
          <w:trHeight w:val="207"/>
        </w:trPr>
        <w:tc>
          <w:tcPr>
            <w:tcW w:w="6440" w:type="dxa"/>
            <w:vAlign w:val="bottom"/>
          </w:tcPr>
          <w:p>
            <w:pPr>
              <w:ind w:left="120"/>
              <w:spacing w:after="0" w:line="207" w:lineRule="exact"/>
              <w:rPr>
                <w:sz w:val="20"/>
                <w:szCs w:val="20"/>
                <w:color w:val="auto"/>
              </w:rPr>
            </w:pPr>
            <w:r>
              <w:rPr>
                <w:rFonts w:ascii="Calibri" w:cs="Calibri" w:eastAsia="Calibri" w:hAnsi="Calibri"/>
                <w:sz w:val="18"/>
                <w:szCs w:val="18"/>
                <w:color w:val="auto"/>
              </w:rPr>
              <w:t>Right-of-use assets obtained in exchange for new fnance lease</w:t>
            </w: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5"/>
        </w:trPr>
        <w:tc>
          <w:tcPr>
            <w:tcW w:w="6440" w:type="dxa"/>
            <w:vAlign w:val="bottom"/>
          </w:tcPr>
          <w:p>
            <w:pPr>
              <w:ind w:left="240"/>
              <w:spacing w:after="0" w:line="215" w:lineRule="exact"/>
              <w:rPr>
                <w:sz w:val="20"/>
                <w:szCs w:val="20"/>
                <w:color w:val="auto"/>
              </w:rPr>
            </w:pPr>
            <w:r>
              <w:rPr>
                <w:rFonts w:ascii="Calibri" w:cs="Calibri" w:eastAsia="Calibri" w:hAnsi="Calibri"/>
                <w:sz w:val="18"/>
                <w:szCs w:val="18"/>
                <w:color w:val="auto"/>
              </w:rPr>
              <w:t>liabilites</w:t>
            </w:r>
          </w:p>
        </w:tc>
        <w:tc>
          <w:tcPr>
            <w:tcW w:w="1060" w:type="dxa"/>
            <w:vAlign w:val="bottom"/>
          </w:tcPr>
          <w:p>
            <w:pPr>
              <w:jc w:val="right"/>
              <w:ind w:right="710"/>
              <w:spacing w:after="0" w:line="215" w:lineRule="exact"/>
              <w:rPr>
                <w:sz w:val="20"/>
                <w:szCs w:val="20"/>
                <w:color w:val="auto"/>
              </w:rPr>
            </w:pPr>
            <w:r>
              <w:rPr>
                <w:rFonts w:ascii="Calibri" w:cs="Calibri" w:eastAsia="Calibri" w:hAnsi="Calibri"/>
                <w:sz w:val="18"/>
                <w:szCs w:val="18"/>
                <w:b w:val="1"/>
                <w:bCs w:val="1"/>
                <w:color w:val="auto"/>
              </w:rPr>
              <w:t>$</w:t>
            </w:r>
          </w:p>
        </w:tc>
        <w:tc>
          <w:tcPr>
            <w:tcW w:w="58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11.7</w:t>
            </w:r>
          </w:p>
        </w:tc>
        <w:tc>
          <w:tcPr>
            <w:tcW w:w="44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202.3</w:t>
            </w:r>
          </w:p>
        </w:tc>
        <w:tc>
          <w:tcPr>
            <w:tcW w:w="44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19.4</w:t>
            </w:r>
          </w:p>
        </w:tc>
      </w:tr>
      <w:tr>
        <w:trPr>
          <w:trHeight w:val="37"/>
        </w:trPr>
        <w:tc>
          <w:tcPr>
            <w:tcW w:w="64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362"/>
        </w:trPr>
        <w:tc>
          <w:tcPr>
            <w:tcW w:w="6440" w:type="dxa"/>
            <w:vAlign w:val="bottom"/>
          </w:tcPr>
          <w:p>
            <w:pPr>
              <w:spacing w:after="0"/>
              <w:rPr>
                <w:sz w:val="20"/>
                <w:szCs w:val="20"/>
                <w:color w:val="auto"/>
              </w:rPr>
            </w:pPr>
            <w:r>
              <w:rPr>
                <w:rFonts w:ascii="Calibri" w:cs="Calibri" w:eastAsia="Calibri" w:hAnsi="Calibri"/>
                <w:sz w:val="18"/>
                <w:szCs w:val="18"/>
                <w:color w:val="auto"/>
              </w:rPr>
              <w:t>Supplemental disclosures of cash fow informaton are as follows:</w:t>
            </w: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32"/>
        </w:trPr>
        <w:tc>
          <w:tcPr>
            <w:tcW w:w="64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15"/>
        </w:trPr>
        <w:tc>
          <w:tcPr>
            <w:tcW w:w="644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i w:val="1"/>
                <w:iCs w:val="1"/>
                <w:color w:val="FFFFFF"/>
              </w:rPr>
              <w:t>years ended December 31</w:t>
            </w:r>
          </w:p>
        </w:tc>
        <w:tc>
          <w:tcPr>
            <w:tcW w:w="1060" w:type="dxa"/>
            <w:vAlign w:val="bottom"/>
            <w:shd w:val="clear" w:color="auto" w:fill="007CBA"/>
          </w:tcPr>
          <w:p>
            <w:pPr>
              <w:spacing w:after="0"/>
              <w:rPr>
                <w:sz w:val="18"/>
                <w:szCs w:val="18"/>
                <w:color w:val="auto"/>
              </w:rPr>
            </w:pPr>
          </w:p>
        </w:tc>
        <w:tc>
          <w:tcPr>
            <w:tcW w:w="580" w:type="dxa"/>
            <w:vAlign w:val="bottom"/>
            <w:tcBorders>
              <w:right w:val="single" w:sz="8" w:color="007CBA"/>
            </w:tcBorders>
            <w:shd w:val="clear" w:color="auto" w:fill="007CBA"/>
          </w:tcPr>
          <w:p>
            <w:pPr>
              <w:spacing w:after="0"/>
              <w:rPr>
                <w:sz w:val="18"/>
                <w:szCs w:val="18"/>
                <w:color w:val="auto"/>
              </w:rPr>
            </w:pPr>
          </w:p>
        </w:tc>
        <w:tc>
          <w:tcPr>
            <w:tcW w:w="440" w:type="dxa"/>
            <w:vAlign w:val="bottom"/>
            <w:shd w:val="clear" w:color="auto" w:fill="007CBA"/>
          </w:tcPr>
          <w:p>
            <w:pPr>
              <w:spacing w:after="0"/>
              <w:rPr>
                <w:sz w:val="18"/>
                <w:szCs w:val="18"/>
                <w:color w:val="auto"/>
              </w:rPr>
            </w:pPr>
          </w:p>
        </w:tc>
        <w:tc>
          <w:tcPr>
            <w:tcW w:w="1140" w:type="dxa"/>
            <w:vAlign w:val="bottom"/>
            <w:tcBorders>
              <w:right w:val="single" w:sz="8" w:color="007CBA"/>
            </w:tcBorders>
            <w:shd w:val="clear" w:color="auto" w:fill="007CBA"/>
          </w:tcPr>
          <w:p>
            <w:pPr>
              <w:spacing w:after="0"/>
              <w:rPr>
                <w:sz w:val="18"/>
                <w:szCs w:val="18"/>
                <w:color w:val="auto"/>
              </w:rPr>
            </w:pPr>
          </w:p>
        </w:tc>
        <w:tc>
          <w:tcPr>
            <w:tcW w:w="440" w:type="dxa"/>
            <w:vAlign w:val="bottom"/>
            <w:shd w:val="clear" w:color="auto" w:fill="007CBA"/>
          </w:tcPr>
          <w:p>
            <w:pPr>
              <w:spacing w:after="0"/>
              <w:rPr>
                <w:sz w:val="18"/>
                <w:szCs w:val="18"/>
                <w:color w:val="auto"/>
              </w:rPr>
            </w:pPr>
          </w:p>
        </w:tc>
        <w:tc>
          <w:tcPr>
            <w:tcW w:w="1140" w:type="dxa"/>
            <w:vAlign w:val="bottom"/>
            <w:shd w:val="clear" w:color="auto" w:fill="007CBA"/>
          </w:tcPr>
          <w:p>
            <w:pPr>
              <w:spacing w:after="0"/>
              <w:rPr>
                <w:sz w:val="18"/>
                <w:szCs w:val="18"/>
                <w:color w:val="auto"/>
              </w:rPr>
            </w:pPr>
          </w:p>
        </w:tc>
      </w:tr>
      <w:tr>
        <w:trPr>
          <w:trHeight w:val="251"/>
        </w:trPr>
        <w:tc>
          <w:tcPr>
            <w:tcW w:w="6440" w:type="dxa"/>
            <w:vAlign w:val="bottom"/>
            <w:tcBorders>
              <w:bottom w:val="single" w:sz="8" w:color="007CBA"/>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color w:val="FFFFFF"/>
              </w:rPr>
              <w:t>(in millions)</w:t>
            </w:r>
          </w:p>
        </w:tc>
        <w:tc>
          <w:tcPr>
            <w:tcW w:w="1060" w:type="dxa"/>
            <w:vAlign w:val="bottom"/>
            <w:tcBorders>
              <w:bottom w:val="single" w:sz="8" w:color="007CBA"/>
            </w:tcBorders>
            <w:shd w:val="clear" w:color="auto" w:fill="007CBA"/>
          </w:tcPr>
          <w:p>
            <w:pPr>
              <w:jc w:val="right"/>
              <w:spacing w:after="0"/>
              <w:rPr>
                <w:sz w:val="20"/>
                <w:szCs w:val="20"/>
                <w:color w:val="auto"/>
              </w:rPr>
            </w:pPr>
            <w:r>
              <w:rPr>
                <w:rFonts w:ascii="Calibri" w:cs="Calibri" w:eastAsia="Calibri" w:hAnsi="Calibri"/>
                <w:sz w:val="18"/>
                <w:szCs w:val="18"/>
                <w:b w:val="1"/>
                <w:bCs w:val="1"/>
                <w:color w:val="FFFFFF"/>
              </w:rPr>
              <w:t>2022</w:t>
            </w:r>
          </w:p>
        </w:tc>
        <w:tc>
          <w:tcPr>
            <w:tcW w:w="580" w:type="dxa"/>
            <w:vAlign w:val="bottom"/>
            <w:tcBorders>
              <w:bottom w:val="single" w:sz="8" w:color="007CBA"/>
              <w:right w:val="single" w:sz="8" w:color="007CBA"/>
            </w:tcBorders>
            <w:shd w:val="clear" w:color="auto" w:fill="007CBA"/>
          </w:tcPr>
          <w:p>
            <w:pPr>
              <w:spacing w:after="0"/>
              <w:rPr>
                <w:sz w:val="21"/>
                <w:szCs w:val="21"/>
                <w:color w:val="auto"/>
              </w:rPr>
            </w:pPr>
          </w:p>
        </w:tc>
        <w:tc>
          <w:tcPr>
            <w:tcW w:w="440" w:type="dxa"/>
            <w:vAlign w:val="bottom"/>
            <w:tcBorders>
              <w:bottom w:val="single" w:sz="8" w:color="007CBA"/>
            </w:tcBorders>
            <w:shd w:val="clear" w:color="auto" w:fill="007CBA"/>
          </w:tcPr>
          <w:p>
            <w:pPr>
              <w:spacing w:after="0"/>
              <w:rPr>
                <w:sz w:val="21"/>
                <w:szCs w:val="21"/>
                <w:color w:val="auto"/>
              </w:rPr>
            </w:pPr>
          </w:p>
        </w:tc>
        <w:tc>
          <w:tcPr>
            <w:tcW w:w="1140" w:type="dxa"/>
            <w:vAlign w:val="bottom"/>
            <w:tcBorders>
              <w:bottom w:val="single" w:sz="8" w:color="007CBA"/>
              <w:right w:val="single" w:sz="8" w:color="007CBA"/>
            </w:tcBorders>
            <w:shd w:val="clear" w:color="auto" w:fill="007CBA"/>
          </w:tcPr>
          <w:p>
            <w:pPr>
              <w:jc w:val="right"/>
              <w:ind w:right="490"/>
              <w:spacing w:after="0"/>
              <w:rPr>
                <w:sz w:val="20"/>
                <w:szCs w:val="20"/>
                <w:color w:val="auto"/>
              </w:rPr>
            </w:pPr>
            <w:r>
              <w:rPr>
                <w:rFonts w:ascii="Calibri" w:cs="Calibri" w:eastAsia="Calibri" w:hAnsi="Calibri"/>
                <w:sz w:val="18"/>
                <w:szCs w:val="18"/>
                <w:color w:val="FFFFFF"/>
              </w:rPr>
              <w:t>2021</w:t>
            </w:r>
          </w:p>
        </w:tc>
        <w:tc>
          <w:tcPr>
            <w:tcW w:w="440" w:type="dxa"/>
            <w:vAlign w:val="bottom"/>
            <w:tcBorders>
              <w:bottom w:val="single" w:sz="8" w:color="007CBA"/>
            </w:tcBorders>
            <w:shd w:val="clear" w:color="auto" w:fill="007CBA"/>
          </w:tcPr>
          <w:p>
            <w:pPr>
              <w:spacing w:after="0"/>
              <w:rPr>
                <w:sz w:val="21"/>
                <w:szCs w:val="21"/>
                <w:color w:val="auto"/>
              </w:rPr>
            </w:pPr>
          </w:p>
        </w:tc>
        <w:tc>
          <w:tcPr>
            <w:tcW w:w="1140" w:type="dxa"/>
            <w:vAlign w:val="bottom"/>
            <w:tcBorders>
              <w:bottom w:val="single" w:sz="8" w:color="007CBA"/>
            </w:tcBorders>
            <w:shd w:val="clear" w:color="auto" w:fill="007CBA"/>
          </w:tcPr>
          <w:p>
            <w:pPr>
              <w:jc w:val="right"/>
              <w:ind w:right="490"/>
              <w:spacing w:after="0"/>
              <w:rPr>
                <w:sz w:val="20"/>
                <w:szCs w:val="20"/>
                <w:color w:val="auto"/>
              </w:rPr>
            </w:pPr>
            <w:r>
              <w:rPr>
                <w:rFonts w:ascii="Calibri" w:cs="Calibri" w:eastAsia="Calibri" w:hAnsi="Calibri"/>
                <w:sz w:val="18"/>
                <w:szCs w:val="18"/>
                <w:color w:val="FFFFFF"/>
              </w:rPr>
              <w:t>2020</w:t>
            </w:r>
          </w:p>
        </w:tc>
      </w:tr>
      <w:tr>
        <w:trPr>
          <w:trHeight w:val="215"/>
        </w:trPr>
        <w:tc>
          <w:tcPr>
            <w:tcW w:w="64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Cash paid for interest, net of amount capitalized</w:t>
            </w:r>
          </w:p>
        </w:tc>
        <w:tc>
          <w:tcPr>
            <w:tcW w:w="1060" w:type="dxa"/>
            <w:vAlign w:val="bottom"/>
          </w:tcPr>
          <w:p>
            <w:pPr>
              <w:jc w:val="right"/>
              <w:ind w:right="710"/>
              <w:spacing w:after="0" w:line="215" w:lineRule="exact"/>
              <w:rPr>
                <w:sz w:val="20"/>
                <w:szCs w:val="20"/>
                <w:color w:val="auto"/>
              </w:rPr>
            </w:pPr>
            <w:r>
              <w:rPr>
                <w:rFonts w:ascii="Calibri" w:cs="Calibri" w:eastAsia="Calibri" w:hAnsi="Calibri"/>
                <w:sz w:val="18"/>
                <w:szCs w:val="18"/>
                <w:b w:val="1"/>
                <w:bCs w:val="1"/>
                <w:color w:val="auto"/>
              </w:rPr>
              <w:t>$</w:t>
            </w:r>
          </w:p>
        </w:tc>
        <w:tc>
          <w:tcPr>
            <w:tcW w:w="5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164.7</w:t>
            </w:r>
          </w:p>
        </w:tc>
        <w:tc>
          <w:tcPr>
            <w:tcW w:w="44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104.9</w:t>
            </w:r>
          </w:p>
        </w:tc>
        <w:tc>
          <w:tcPr>
            <w:tcW w:w="44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113.8</w:t>
            </w:r>
          </w:p>
        </w:tc>
      </w:tr>
      <w:tr>
        <w:trPr>
          <w:trHeight w:val="28"/>
        </w:trPr>
        <w:tc>
          <w:tcPr>
            <w:tcW w:w="6440" w:type="dxa"/>
            <w:vAlign w:val="bottom"/>
            <w:tcBorders>
              <w:right w:val="single" w:sz="8" w:color="007CBA"/>
            </w:tcBorders>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Borders>
              <w:right w:val="single" w:sz="8" w:color="007CBA"/>
            </w:tcBorders>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Borders>
              <w:right w:val="single" w:sz="8" w:color="007CBA"/>
            </w:tcBorders>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644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Cash paid for income taxes</w:t>
            </w:r>
          </w:p>
        </w:tc>
        <w:tc>
          <w:tcPr>
            <w:tcW w:w="1060" w:type="dxa"/>
            <w:vAlign w:val="bottom"/>
            <w:tcBorders>
              <w:bottom w:val="single" w:sz="8" w:color="E5F1F8"/>
            </w:tcBorders>
            <w:shd w:val="clear" w:color="auto" w:fill="E5F1F8"/>
          </w:tcPr>
          <w:p>
            <w:pPr>
              <w:jc w:val="right"/>
              <w:ind w:right="710"/>
              <w:spacing w:after="0" w:line="215" w:lineRule="exact"/>
              <w:rPr>
                <w:sz w:val="20"/>
                <w:szCs w:val="20"/>
                <w:color w:val="auto"/>
              </w:rPr>
            </w:pPr>
            <w:r>
              <w:rPr>
                <w:rFonts w:ascii="Calibri" w:cs="Calibri" w:eastAsia="Calibri" w:hAnsi="Calibri"/>
                <w:sz w:val="18"/>
                <w:szCs w:val="18"/>
                <w:b w:val="1"/>
                <w:bCs w:val="1"/>
                <w:color w:val="auto"/>
              </w:rPr>
              <w:t>$</w:t>
            </w:r>
          </w:p>
        </w:tc>
        <w:tc>
          <w:tcPr>
            <w:tcW w:w="58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200.6</w:t>
            </w:r>
          </w:p>
        </w:tc>
        <w:tc>
          <w:tcPr>
            <w:tcW w:w="440" w:type="dxa"/>
            <w:vAlign w:val="bottom"/>
            <w:tcBorders>
              <w:bottom w:val="single" w:sz="8" w:color="E5F1F8"/>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102.9</w:t>
            </w:r>
          </w:p>
        </w:tc>
        <w:tc>
          <w:tcPr>
            <w:tcW w:w="440" w:type="dxa"/>
            <w:vAlign w:val="bottom"/>
            <w:tcBorders>
              <w:bottom w:val="single" w:sz="8" w:color="E5F1F8"/>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114.9</w:t>
            </w:r>
          </w:p>
        </w:tc>
      </w:tr>
      <w:tr>
        <w:trPr>
          <w:trHeight w:val="207"/>
        </w:trPr>
        <w:tc>
          <w:tcPr>
            <w:tcW w:w="6440" w:type="dxa"/>
            <w:vAlign w:val="bottom"/>
            <w:tcBorders>
              <w:right w:val="single" w:sz="8" w:color="007CBA"/>
            </w:tcBorders>
          </w:tcPr>
          <w:p>
            <w:pPr>
              <w:ind w:left="120"/>
              <w:spacing w:after="0" w:line="207" w:lineRule="exact"/>
              <w:rPr>
                <w:sz w:val="20"/>
                <w:szCs w:val="20"/>
                <w:color w:val="auto"/>
              </w:rPr>
            </w:pPr>
            <w:r>
              <w:rPr>
                <w:rFonts w:ascii="Calibri" w:cs="Calibri" w:eastAsia="Calibri" w:hAnsi="Calibri"/>
                <w:sz w:val="18"/>
                <w:szCs w:val="18"/>
                <w:color w:val="auto"/>
              </w:rPr>
              <w:t>Cash paid for amounts included in the measurement of</w:t>
            </w:r>
          </w:p>
        </w:tc>
        <w:tc>
          <w:tcPr>
            <w:tcW w:w="1060" w:type="dxa"/>
            <w:vAlign w:val="bottom"/>
          </w:tcPr>
          <w:p>
            <w:pPr>
              <w:spacing w:after="0"/>
              <w:rPr>
                <w:sz w:val="18"/>
                <w:szCs w:val="18"/>
                <w:color w:val="auto"/>
              </w:rPr>
            </w:pPr>
          </w:p>
        </w:tc>
        <w:tc>
          <w:tcPr>
            <w:tcW w:w="580" w:type="dxa"/>
            <w:vAlign w:val="bottom"/>
            <w:tcBorders>
              <w:right w:val="single" w:sz="8" w:color="007CBA"/>
            </w:tcBorders>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Borders>
              <w:right w:val="single" w:sz="8" w:color="007CBA"/>
            </w:tcBorders>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5"/>
        </w:trPr>
        <w:tc>
          <w:tcPr>
            <w:tcW w:w="6440" w:type="dxa"/>
            <w:vAlign w:val="bottom"/>
            <w:tcBorders>
              <w:right w:val="single" w:sz="8" w:color="007CBA"/>
            </w:tcBorders>
          </w:tcPr>
          <w:p>
            <w:pPr>
              <w:ind w:left="240"/>
              <w:spacing w:after="0" w:line="215" w:lineRule="exact"/>
              <w:rPr>
                <w:sz w:val="20"/>
                <w:szCs w:val="20"/>
                <w:color w:val="auto"/>
              </w:rPr>
            </w:pPr>
            <w:r>
              <w:rPr>
                <w:rFonts w:ascii="Calibri" w:cs="Calibri" w:eastAsia="Calibri" w:hAnsi="Calibri"/>
                <w:sz w:val="18"/>
                <w:szCs w:val="18"/>
                <w:color w:val="auto"/>
              </w:rPr>
              <w:t>lease liabilites:</w:t>
            </w:r>
          </w:p>
        </w:tc>
        <w:tc>
          <w:tcPr>
            <w:tcW w:w="1060" w:type="dxa"/>
            <w:vAlign w:val="bottom"/>
          </w:tcPr>
          <w:p>
            <w:pPr>
              <w:spacing w:after="0"/>
              <w:rPr>
                <w:sz w:val="18"/>
                <w:szCs w:val="18"/>
                <w:color w:val="auto"/>
              </w:rPr>
            </w:pPr>
          </w:p>
        </w:tc>
        <w:tc>
          <w:tcPr>
            <w:tcW w:w="580" w:type="dxa"/>
            <w:vAlign w:val="bottom"/>
            <w:tcBorders>
              <w:right w:val="single" w:sz="8" w:color="007CBA"/>
            </w:tcBorders>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Borders>
              <w:right w:val="single" w:sz="8" w:color="007CBA"/>
            </w:tcBorders>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7"/>
        </w:trPr>
        <w:tc>
          <w:tcPr>
            <w:tcW w:w="6440" w:type="dxa"/>
            <w:vAlign w:val="bottom"/>
            <w:tcBorders>
              <w:right w:val="single" w:sz="8" w:color="007CBA"/>
            </w:tcBorders>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Borders>
              <w:right w:val="single" w:sz="8" w:color="007CBA"/>
            </w:tcBorders>
          </w:tcPr>
          <w:p>
            <w:pPr>
              <w:spacing w:after="0"/>
              <w:rPr>
                <w:sz w:val="3"/>
                <w:szCs w:val="3"/>
                <w:color w:val="auto"/>
              </w:rPr>
            </w:pPr>
          </w:p>
        </w:tc>
        <w:tc>
          <w:tcPr>
            <w:tcW w:w="440" w:type="dxa"/>
            <w:vAlign w:val="bottom"/>
          </w:tcPr>
          <w:p>
            <w:pPr>
              <w:spacing w:after="0"/>
              <w:rPr>
                <w:sz w:val="3"/>
                <w:szCs w:val="3"/>
                <w:color w:val="auto"/>
              </w:rPr>
            </w:pPr>
          </w:p>
        </w:tc>
        <w:tc>
          <w:tcPr>
            <w:tcW w:w="1140" w:type="dxa"/>
            <w:vAlign w:val="bottom"/>
            <w:tcBorders>
              <w:right w:val="single" w:sz="8" w:color="007CBA"/>
            </w:tcBorders>
          </w:tcPr>
          <w:p>
            <w:pPr>
              <w:spacing w:after="0"/>
              <w:rPr>
                <w:sz w:val="3"/>
                <w:szCs w:val="3"/>
                <w:color w:val="auto"/>
              </w:rPr>
            </w:pPr>
          </w:p>
        </w:tc>
        <w:tc>
          <w:tcPr>
            <w:tcW w:w="4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3"/>
        </w:trPr>
        <w:tc>
          <w:tcPr>
            <w:tcW w:w="6440" w:type="dxa"/>
            <w:vAlign w:val="bottom"/>
            <w:tcBorders>
              <w:bottom w:val="single" w:sz="8" w:color="E5F1F8"/>
              <w:right w:val="single" w:sz="8" w:color="007CBA"/>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Operatng cash fows used for operatng leases</w:t>
            </w:r>
          </w:p>
        </w:tc>
        <w:tc>
          <w:tcPr>
            <w:tcW w:w="1060" w:type="dxa"/>
            <w:vAlign w:val="bottom"/>
            <w:tcBorders>
              <w:bottom w:val="single" w:sz="8" w:color="E5F1F8"/>
            </w:tcBorders>
            <w:shd w:val="clear" w:color="auto" w:fill="E5F1F8"/>
          </w:tcPr>
          <w:p>
            <w:pPr>
              <w:jc w:val="right"/>
              <w:ind w:right="710"/>
              <w:spacing w:after="0" w:line="215" w:lineRule="exact"/>
              <w:rPr>
                <w:sz w:val="20"/>
                <w:szCs w:val="20"/>
                <w:color w:val="auto"/>
              </w:rPr>
            </w:pPr>
            <w:r>
              <w:rPr>
                <w:rFonts w:ascii="Calibri" w:cs="Calibri" w:eastAsia="Calibri" w:hAnsi="Calibri"/>
                <w:sz w:val="18"/>
                <w:szCs w:val="18"/>
                <w:b w:val="1"/>
                <w:bCs w:val="1"/>
                <w:color w:val="auto"/>
              </w:rPr>
              <w:t>$</w:t>
            </w:r>
          </w:p>
        </w:tc>
        <w:tc>
          <w:tcPr>
            <w:tcW w:w="58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78.6</w:t>
            </w:r>
          </w:p>
        </w:tc>
        <w:tc>
          <w:tcPr>
            <w:tcW w:w="440" w:type="dxa"/>
            <w:vAlign w:val="bottom"/>
            <w:tcBorders>
              <w:bottom w:val="single" w:sz="8" w:color="E5F1F8"/>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71.8</w:t>
            </w:r>
          </w:p>
        </w:tc>
        <w:tc>
          <w:tcPr>
            <w:tcW w:w="440" w:type="dxa"/>
            <w:vAlign w:val="bottom"/>
            <w:tcBorders>
              <w:bottom w:val="single" w:sz="8" w:color="E5F1F8"/>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77.7</w:t>
            </w:r>
          </w:p>
        </w:tc>
      </w:tr>
      <w:tr>
        <w:trPr>
          <w:trHeight w:val="243"/>
        </w:trPr>
        <w:tc>
          <w:tcPr>
            <w:tcW w:w="6440" w:type="dxa"/>
            <w:vAlign w:val="bottom"/>
            <w:tcBorders>
              <w:right w:val="single" w:sz="8" w:color="007CBA"/>
            </w:tcBorders>
          </w:tcPr>
          <w:p>
            <w:pPr>
              <w:ind w:left="200"/>
              <w:spacing w:after="0" w:line="215" w:lineRule="exact"/>
              <w:rPr>
                <w:sz w:val="20"/>
                <w:szCs w:val="20"/>
                <w:color w:val="auto"/>
              </w:rPr>
            </w:pPr>
            <w:r>
              <w:rPr>
                <w:rFonts w:ascii="Calibri" w:cs="Calibri" w:eastAsia="Calibri" w:hAnsi="Calibri"/>
                <w:sz w:val="18"/>
                <w:szCs w:val="18"/>
                <w:color w:val="auto"/>
              </w:rPr>
              <w:t>Operatng cash fows used for fnance leases</w:t>
            </w:r>
          </w:p>
        </w:tc>
        <w:tc>
          <w:tcPr>
            <w:tcW w:w="1060" w:type="dxa"/>
            <w:vAlign w:val="bottom"/>
          </w:tcPr>
          <w:p>
            <w:pPr>
              <w:jc w:val="right"/>
              <w:ind w:right="710"/>
              <w:spacing w:after="0" w:line="215" w:lineRule="exact"/>
              <w:rPr>
                <w:sz w:val="20"/>
                <w:szCs w:val="20"/>
                <w:color w:val="auto"/>
              </w:rPr>
            </w:pPr>
            <w:r>
              <w:rPr>
                <w:rFonts w:ascii="Calibri" w:cs="Calibri" w:eastAsia="Calibri" w:hAnsi="Calibri"/>
                <w:sz w:val="18"/>
                <w:szCs w:val="18"/>
                <w:b w:val="1"/>
                <w:bCs w:val="1"/>
                <w:color w:val="auto"/>
              </w:rPr>
              <w:t>$</w:t>
            </w:r>
          </w:p>
        </w:tc>
        <w:tc>
          <w:tcPr>
            <w:tcW w:w="5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4.5</w:t>
            </w:r>
          </w:p>
        </w:tc>
        <w:tc>
          <w:tcPr>
            <w:tcW w:w="44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3.5</w:t>
            </w:r>
          </w:p>
        </w:tc>
        <w:tc>
          <w:tcPr>
            <w:tcW w:w="44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0.6</w:t>
            </w:r>
          </w:p>
        </w:tc>
      </w:tr>
      <w:tr>
        <w:trPr>
          <w:trHeight w:val="223"/>
        </w:trPr>
        <w:tc>
          <w:tcPr>
            <w:tcW w:w="6440" w:type="dxa"/>
            <w:vAlign w:val="bottom"/>
            <w:tcBorders>
              <w:bottom w:val="single" w:sz="8" w:color="E5F1F8"/>
              <w:right w:val="single" w:sz="8" w:color="E5F1F8"/>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Financing cash fows used for fnance leases</w:t>
            </w:r>
          </w:p>
        </w:tc>
        <w:tc>
          <w:tcPr>
            <w:tcW w:w="1060" w:type="dxa"/>
            <w:vAlign w:val="bottom"/>
            <w:tcBorders>
              <w:bottom w:val="single" w:sz="8" w:color="E5F1F8"/>
            </w:tcBorders>
            <w:shd w:val="clear" w:color="auto" w:fill="E5F1F8"/>
          </w:tcPr>
          <w:p>
            <w:pPr>
              <w:jc w:val="right"/>
              <w:ind w:right="710"/>
              <w:spacing w:after="0" w:line="215" w:lineRule="exact"/>
              <w:rPr>
                <w:sz w:val="20"/>
                <w:szCs w:val="20"/>
                <w:color w:val="auto"/>
              </w:rPr>
            </w:pPr>
            <w:r>
              <w:rPr>
                <w:rFonts w:ascii="Calibri" w:cs="Calibri" w:eastAsia="Calibri" w:hAnsi="Calibri"/>
                <w:sz w:val="18"/>
                <w:szCs w:val="18"/>
                <w:b w:val="1"/>
                <w:bCs w:val="1"/>
                <w:color w:val="auto"/>
              </w:rPr>
              <w:t>$</w:t>
            </w:r>
          </w:p>
        </w:tc>
        <w:tc>
          <w:tcPr>
            <w:tcW w:w="58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15.0</w:t>
            </w:r>
          </w:p>
        </w:tc>
        <w:tc>
          <w:tcPr>
            <w:tcW w:w="440" w:type="dxa"/>
            <w:vAlign w:val="bottom"/>
            <w:tcBorders>
              <w:bottom w:val="single" w:sz="8" w:color="E5F1F8"/>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11.1</w:t>
            </w:r>
          </w:p>
        </w:tc>
        <w:tc>
          <w:tcPr>
            <w:tcW w:w="440" w:type="dxa"/>
            <w:vAlign w:val="bottom"/>
            <w:tcBorders>
              <w:bottom w:val="single" w:sz="8" w:color="E5F1F8"/>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3.5</w:t>
            </w:r>
          </w:p>
        </w:tc>
      </w:tr>
      <w:tr>
        <w:trPr>
          <w:trHeight w:val="20"/>
        </w:trPr>
        <w:tc>
          <w:tcPr>
            <w:tcW w:w="6440" w:type="dxa"/>
            <w:vAlign w:val="bottom"/>
            <w:tcBorders>
              <w:right w:val="single" w:sz="8" w:color="auto"/>
            </w:tcBorders>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4064000</wp:posOffset>
            </wp:positionH>
            <wp:positionV relativeFrom="paragraph">
              <wp:posOffset>-2009775</wp:posOffset>
            </wp:positionV>
            <wp:extent cx="3072765" cy="3257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9">
                      <a:extLst>
                        <a:ext uri="{28A0092B-C50C-407E-A947-70E740481C1C}"/>
                      </a:extLst>
                    </a:blip>
                    <a:srcRect/>
                    <a:stretch>
                      <a:fillRect/>
                    </a:stretch>
                  </pic:blipFill>
                  <pic:spPr bwMode="auto">
                    <a:xfrm>
                      <a:off x="0" y="0"/>
                      <a:ext cx="3072765" cy="325755"/>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-175260</wp:posOffset>
            </wp:positionV>
            <wp:extent cx="33655" cy="18859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0">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5101590</wp:posOffset>
            </wp:positionH>
            <wp:positionV relativeFrom="paragraph">
              <wp:posOffset>-175260</wp:posOffset>
            </wp:positionV>
            <wp:extent cx="33655" cy="18859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1">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6113145</wp:posOffset>
            </wp:positionH>
            <wp:positionV relativeFrom="paragraph">
              <wp:posOffset>-175260</wp:posOffset>
            </wp:positionV>
            <wp:extent cx="33655" cy="18859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2">
                      <a:extLst>
                        <a:ext uri="{28A0092B-C50C-407E-A947-70E740481C1C}"/>
                      </a:extLst>
                    </a:blip>
                    <a:srcRect/>
                    <a:stretch>
                      <a:fillRect/>
                    </a:stretch>
                  </pic:blipFill>
                  <pic:spPr bwMode="auto">
                    <a:xfrm>
                      <a:off x="0" y="0"/>
                      <a:ext cx="33655" cy="188595"/>
                    </a:xfrm>
                    <a:prstGeom prst="rect">
                      <a:avLst/>
                    </a:prstGeom>
                    <a:noFill/>
                  </pic:spPr>
                </pic:pic>
              </a:graphicData>
            </a:graphic>
          </wp:anchor>
        </w:drawing>
      </w:r>
    </w:p>
    <w:p>
      <w:pPr>
        <w:spacing w:after="0" w:line="1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During the year ended December 31, 2020, the Company repaid $112.3 million of loans related to its company-owned life insurance policies. The repayments are included in </w:t>
      </w:r>
      <w:r>
        <w:rPr>
          <w:rFonts w:ascii="Calibri" w:cs="Calibri" w:eastAsia="Calibri" w:hAnsi="Calibri"/>
          <w:sz w:val="18"/>
          <w:szCs w:val="18"/>
          <w:i w:val="1"/>
          <w:iCs w:val="1"/>
          <w:color w:val="auto"/>
        </w:rPr>
        <w:t>Investments in life insurance contracts, net,</w:t>
      </w:r>
      <w:r>
        <w:rPr>
          <w:rFonts w:ascii="Calibri" w:cs="Calibri" w:eastAsia="Calibri" w:hAnsi="Calibri"/>
          <w:sz w:val="18"/>
          <w:szCs w:val="18"/>
          <w:color w:val="auto"/>
        </w:rPr>
        <w:t xml:space="preserve"> in the investng actvites of the consolidated statement of cash fows. The repayment increased the cash surrender value of the insurance policies, which is included in </w:t>
      </w:r>
      <w:r>
        <w:rPr>
          <w:rFonts w:ascii="Calibri" w:cs="Calibri" w:eastAsia="Calibri" w:hAnsi="Calibri"/>
          <w:sz w:val="18"/>
          <w:szCs w:val="18"/>
          <w:i w:val="1"/>
          <w:iCs w:val="1"/>
          <w:color w:val="auto"/>
        </w:rPr>
        <w:t>Other noncurrent assets</w:t>
      </w:r>
      <w:r>
        <w:rPr>
          <w:rFonts w:ascii="Calibri" w:cs="Calibri" w:eastAsia="Calibri" w:hAnsi="Calibri"/>
          <w:sz w:val="18"/>
          <w:szCs w:val="18"/>
          <w:color w:val="auto"/>
        </w:rPr>
        <w:t xml:space="preserve"> on the consolidated balance sheets.</w:t>
      </w:r>
    </w:p>
    <w:p>
      <w:pPr>
        <w:spacing w:after="0" w:line="21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S: Other Operatng Income, Net</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Other operatng income, net, is comprised generally of gains and losses on the sale of assets; recoveries and losses related to certain customer accounts receivable; rental, royalty and services income; accreton expense; depreciaton expense; and gains and losses related to asset retrement obligatons. These net amounts represented income of $189.2 million, $34.3 million and $59.8 million in 2022, 2021 and 2020, respectvely. In 2022, other operatng income, net, included a $151.9 million pretax gain on the divestture of the Colorado and Central Texas ready mixed concrete operatons. For 2021, other operatng income, net, included $21.6 million of nonrecurring gains on land sales and divested assets, including the Company’s former corporate headquarters. Other operatng income, net, for 2020 included $69.9 million of nonrecurring gains on the sales of investment land and divested assets in Austn, Texas; Riverside, California; and Augusta, Kansas.</w:t>
      </w:r>
    </w:p>
    <w:p>
      <w:pPr>
        <w:spacing w:after="0" w:line="219"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T: Other Nonoperatng Income, Net</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Other nonoperatng income, net, for the year ended December 31, 2022 included a $12.0 million pretax gain related to the repurchase of the Company's debt, $8.2 million of third-party railroad track maintenance expense and a $13.3 million increase in interest income compared with 2021 primarily related to the Company's restricted investments. For the year ended December 31, 2021, other nonoperatng income, net, included $7.7 million of third-party railroad track maintenance expense and refected a $19.4 million reducton in pension expense compared with 2020. Other nonoperatng income, net, for the year ended December 31, 2020 included $11.4 million of third-party railroad track maintenance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6751320</wp:posOffset>
            </wp:positionH>
            <wp:positionV relativeFrom="paragraph">
              <wp:posOffset>93980</wp:posOffset>
            </wp:positionV>
            <wp:extent cx="325755" cy="19685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3">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4" w:name="page115"/>
    <w:bookmarkEnd w:id="114"/>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9 – Changes In and Disagreements with Accountants on Accountng and Financial Disclosure</w:t>
      </w:r>
    </w:p>
    <w:p>
      <w:pPr>
        <w:spacing w:after="0" w:line="214" w:lineRule="exact"/>
        <w:rPr>
          <w:sz w:val="20"/>
          <w:szCs w:val="20"/>
          <w:color w:val="auto"/>
        </w:rPr>
      </w:pPr>
    </w:p>
    <w:p>
      <w:pPr>
        <w:jc w:val="both"/>
        <w:spacing w:after="0"/>
        <w:rPr>
          <w:sz w:val="20"/>
          <w:szCs w:val="20"/>
          <w:color w:val="auto"/>
        </w:rPr>
      </w:pPr>
      <w:r>
        <w:rPr>
          <w:rFonts w:ascii="Calibri" w:cs="Calibri" w:eastAsia="Calibri" w:hAnsi="Calibri"/>
          <w:sz w:val="25"/>
          <w:szCs w:val="25"/>
          <w:b w:val="1"/>
          <w:bCs w:val="1"/>
          <w:color w:val="auto"/>
        </w:rPr>
        <w:t>ITEM 9 – CHANGES IN AND DISAGREEMENTS WITH ACCOUNTANTS ON ACCOUNTING AND FINANCIAL DISCLOSURE</w:t>
      </w:r>
    </w:p>
    <w:p>
      <w:pPr>
        <w:spacing w:after="0" w:line="60"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212"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9A – CONTROLS AND PROCEDURES</w:t>
      </w:r>
    </w:p>
    <w:p>
      <w:pPr>
        <w:spacing w:after="0" w:line="113"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Evaluaton of Disclosure Controls and Procedures</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2022, an evaluaton was performed under the supervision and with the partcipaton of the Company’s management, including the Chief Executve Ofcer (CEO) and Chief Financial Ofcer (CFO), of the efectveness of the design and operaton of the Company’s disclosure controls and procedures. Based on that evaluaton, the Company’s CEO and CFO concluded that the Company’s disclosure controls and procedures were efectve at the reasonable assurance level.</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foregoing evaluaton of the Company’s disclosure controls and procedures was based on the defniton in Exchange Act Rule 13a-15(e), which requires that disclosure controls and procedures are efectvely designed to provide reasonable assurance that informaton required to be disclosed by an issuer in the reports that it fles or submits with the SEC under the Exchange Act is recorded, processed, summarized and reported, within the tme periods specifed in the SEC’s rules and forms, and is accumulated and communicated to the issuer’s management, including its principal executve and principal fnancial ofcers, or persons performing similar functons, as appropriate to allow tmely decisions regarding required disclosure.</w:t>
      </w:r>
    </w:p>
    <w:p>
      <w:pPr>
        <w:spacing w:after="0" w:line="175"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Management’s Report on Internal Control over Financial Reportng</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management’s report on internal control over fnancial reportng is included as the “</w:t>
      </w:r>
      <w:r>
        <w:rPr>
          <w:rFonts w:ascii="Calibri" w:cs="Calibri" w:eastAsia="Calibri" w:hAnsi="Calibri"/>
          <w:sz w:val="18"/>
          <w:szCs w:val="18"/>
          <w:u w:val="single" w:color="auto"/>
          <w:color w:val="007DC6"/>
        </w:rPr>
        <w:t>Statement of Financial Responsibility and Management’s Report on</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007DC6"/>
        </w:rPr>
        <w:t>Internal Controls over Financial Reportng</w:t>
      </w:r>
      <w:r>
        <w:rPr>
          <w:rFonts w:ascii="Calibri" w:cs="Calibri" w:eastAsia="Calibri" w:hAnsi="Calibri"/>
          <w:sz w:val="18"/>
          <w:szCs w:val="18"/>
          <w:color w:val="000000"/>
        </w:rPr>
        <w:t>” in Item 8, “</w:t>
      </w:r>
      <w:r>
        <w:rPr>
          <w:rFonts w:ascii="Calibri" w:cs="Calibri" w:eastAsia="Calibri" w:hAnsi="Calibri"/>
          <w:sz w:val="18"/>
          <w:szCs w:val="18"/>
          <w:u w:val="single" w:color="auto"/>
          <w:color w:val="007DC6"/>
        </w:rPr>
        <w:t>Financial Statements and Supplemental Data</w:t>
      </w:r>
      <w:r>
        <w:rPr>
          <w:rFonts w:ascii="Calibri" w:cs="Calibri" w:eastAsia="Calibri" w:hAnsi="Calibri"/>
          <w:sz w:val="18"/>
          <w:szCs w:val="18"/>
          <w:color w:val="000000"/>
        </w:rPr>
        <w:t>,” of this Form 10-K. The Company’s management</w:t>
      </w:r>
      <w:r>
        <w:rPr>
          <w:rFonts w:ascii="Calibri" w:cs="Calibri" w:eastAsia="Calibri" w:hAnsi="Calibri"/>
          <w:sz w:val="18"/>
          <w:szCs w:val="18"/>
          <w:color w:val="007DC6"/>
        </w:rPr>
        <w:t xml:space="preserve"> </w:t>
      </w:r>
      <w:r>
        <w:rPr>
          <w:rFonts w:ascii="Calibri" w:cs="Calibri" w:eastAsia="Calibri" w:hAnsi="Calibri"/>
          <w:sz w:val="18"/>
          <w:szCs w:val="18"/>
          <w:color w:val="000000"/>
        </w:rPr>
        <w:t>concluded that the Company’s internal control over fnancial reportng was efectve in providing reasonable assurance regarding the reliability of fnancial reportng and the preparaton of the Company’s fnancial statements for external purposes in accordance with generally accepted accountng principles as of December 31, 2022. PricewaterhouseCoopers LLP, the independent registered public accountng frm that audited the Company’s consolidated fnancial statements contained herein, also audited the Company’s internal control over fnancial reportng as of December 31, 2022. The audit report is included in Item 8, “</w:t>
      </w:r>
      <w:r>
        <w:rPr>
          <w:rFonts w:ascii="Calibri" w:cs="Calibri" w:eastAsia="Calibri" w:hAnsi="Calibri"/>
          <w:sz w:val="18"/>
          <w:szCs w:val="18"/>
          <w:u w:val="single" w:color="auto"/>
          <w:color w:val="007DC6"/>
        </w:rPr>
        <w:t>Financial Statements and Supplementary Data</w:t>
      </w:r>
      <w:r>
        <w:rPr>
          <w:rFonts w:ascii="Calibri" w:cs="Calibri" w:eastAsia="Calibri" w:hAnsi="Calibri"/>
          <w:sz w:val="18"/>
          <w:szCs w:val="18"/>
          <w:color w:val="000000"/>
        </w:rPr>
        <w:t>,”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4065270</wp:posOffset>
            </wp:positionH>
            <wp:positionV relativeFrom="paragraph">
              <wp:posOffset>-838835</wp:posOffset>
            </wp:positionV>
            <wp:extent cx="306895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5">
                      <a:extLst>
                        <a:ext uri="{28A0092B-C50C-407E-A947-70E740481C1C}"/>
                      </a:extLst>
                    </a:blip>
                    <a:srcRect/>
                    <a:stretch>
                      <a:fillRect/>
                    </a:stretch>
                  </pic:blipFill>
                  <pic:spPr bwMode="auto">
                    <a:xfrm>
                      <a:off x="0" y="0"/>
                      <a:ext cx="30689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-701675</wp:posOffset>
            </wp:positionV>
            <wp:extent cx="469773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6">
                      <a:extLst>
                        <a:ext uri="{28A0092B-C50C-407E-A947-70E740481C1C}"/>
                      </a:extLst>
                    </a:blip>
                    <a:srcRect/>
                    <a:stretch>
                      <a:fillRect/>
                    </a:stretch>
                  </pic:blipFill>
                  <pic:spPr bwMode="auto">
                    <a:xfrm>
                      <a:off x="0" y="0"/>
                      <a:ext cx="46977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-15875</wp:posOffset>
            </wp:positionV>
            <wp:extent cx="208343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7">
                      <a:extLst>
                        <a:ext uri="{28A0092B-C50C-407E-A947-70E740481C1C}"/>
                      </a:extLst>
                    </a:blip>
                    <a:srcRect/>
                    <a:stretch>
                      <a:fillRect/>
                    </a:stretch>
                  </pic:blipFill>
                  <pic:spPr bwMode="auto">
                    <a:xfrm>
                      <a:off x="0" y="0"/>
                      <a:ext cx="2083435"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Changes in Internal Control over Financial Reportng</w:t>
      </w:r>
    </w:p>
    <w:p>
      <w:pPr>
        <w:spacing w:after="0" w:line="6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There were no changes in the Company’s internal control over fnancial reportng during the most recently completed fscal quarter ended December 31, 2022 that materially afected, or are reasonably likely to materially afect, the Company’s internal control over fnancial reportng.</w:t>
      </w:r>
    </w:p>
    <w:p>
      <w:pPr>
        <w:spacing w:after="0" w:line="172"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Limitatons on the Efectveness of Controls</w:t>
      </w:r>
    </w:p>
    <w:p>
      <w:pPr>
        <w:spacing w:after="0" w:line="64"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The Company's management, including the CEO and CFO, does not expect that the Company’s control system will prevent all error and all fraud. A control system, no mater how well conceived and operated, can provide only reasonable, not absolute, assurance that the objectves of the control system are met. Further, the design of a control system must refect the fact that there are resource constraints, and the benefts of controls must be considered relatve to their costs. Because of the inherent limitatons in all control systems, no evaluaton of controls can provide absolute assurance that all control issues and instances of fraud, if any, within the Company have been detected. These inherent limitatons include the realites that judgments in decision making can be faulty and that breakdowns can occur because of simple error or mistake. Additonally, controls can be circumvented by the individual acts of some persons, by collusion of two or more people, or by management override of the control. The design of any system of controls is based in part upon certain assumptons about the likelihood of future events, and there can be no assurance that any design will succeed in achieving its stated goals under all potental future conditons. Over tme, controls may become inadequate because of changes in conditons, or the degree of compliance with the policies or procedures may deteriorate. Because of the inherent limitatons in a cost-efectve control system, misstatements due to error or fraud may occur and not be detected.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6751320</wp:posOffset>
            </wp:positionH>
            <wp:positionV relativeFrom="paragraph">
              <wp:posOffset>90170</wp:posOffset>
            </wp:positionV>
            <wp:extent cx="325755" cy="19685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8">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5"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5" w:name="page116"/>
    <w:bookmarkEnd w:id="115"/>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9 – Changes In and Disagreements with Accountants on Accountng and Financial Disclosure</w:t>
      </w:r>
    </w:p>
    <w:p>
      <w:pPr>
        <w:spacing w:after="0" w:line="169"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CEO and CFO Certfcatons</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Included among the exhibits to this Form 10-K are forms of “Certfcatons” of the Company’s CEO and CFO as required in accordance with Secton 302 of the Sarbanes-Oxley Act of 2002 (the “Secton 302 Certfcaton”). The Secton 302 Certfcatons refer to this evaluaton of the Company’s disclosure policies and procedures and internal control over fnancial reportng. The informaton in this secton should be read in conjuncton with the Secton 302 Certfcatons for a more complete understanding of the topics presented.</w:t>
      </w:r>
    </w:p>
    <w:p>
      <w:pPr>
        <w:spacing w:after="0" w:line="215"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9B – OTHER INFORMATION</w:t>
      </w:r>
    </w:p>
    <w:p>
      <w:pPr>
        <w:spacing w:after="0" w:line="59"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212"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9C – DISCLOSURE REGARDING FOREIGN JURISDICTIONS THAT PREVENT INSPECTIONS</w:t>
      </w:r>
    </w:p>
    <w:p>
      <w:pPr>
        <w:spacing w:after="0" w:line="59" w:lineRule="exact"/>
        <w:rPr>
          <w:sz w:val="20"/>
          <w:szCs w:val="20"/>
          <w:color w:val="auto"/>
        </w:rPr>
      </w:pPr>
    </w:p>
    <w:p>
      <w:pPr>
        <w:spacing w:after="0"/>
        <w:rPr>
          <w:sz w:val="20"/>
          <w:szCs w:val="20"/>
          <w:color w:val="auto"/>
        </w:rPr>
      </w:pPr>
      <w:r>
        <w:rPr>
          <w:rFonts w:ascii="Calibri" w:cs="Calibri" w:eastAsia="Calibri" w:hAnsi="Calibri"/>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6751320</wp:posOffset>
            </wp:positionH>
            <wp:positionV relativeFrom="paragraph">
              <wp:posOffset>92075</wp:posOffset>
            </wp:positionV>
            <wp:extent cx="325755" cy="19748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0">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6" w:name="page117"/>
    <w:bookmarkEnd w:id="116"/>
    <w:p>
      <w:pPr>
        <w:ind w:left="5840"/>
        <w:spacing w:after="0"/>
        <w:rPr>
          <w:sz w:val="20"/>
          <w:szCs w:val="20"/>
          <w:color w:val="auto"/>
        </w:rPr>
      </w:pPr>
      <w:r>
        <w:rPr>
          <w:rFonts w:ascii="MS PGothic" w:cs="MS PGothic" w:eastAsia="MS PGothic" w:hAnsi="MS PGothic"/>
          <w:sz w:val="17"/>
          <w:szCs w:val="17"/>
          <w:color w:val="auto"/>
        </w:rPr>
        <w:t xml:space="preserve">Part III </w:t>
      </w:r>
      <w:r>
        <w:rPr>
          <w:rFonts w:ascii="Arial" w:cs="Arial" w:eastAsia="Arial" w:hAnsi="Arial"/>
          <w:sz w:val="22"/>
          <w:szCs w:val="22"/>
          <w:color w:val="0070C0"/>
        </w:rPr>
        <w:t>♦</w:t>
      </w:r>
      <w:r>
        <w:rPr>
          <w:rFonts w:ascii="MS PGothic" w:cs="MS PGothic" w:eastAsia="MS PGothic" w:hAnsi="MS PGothic"/>
          <w:sz w:val="17"/>
          <w:szCs w:val="17"/>
          <w:color w:val="auto"/>
        </w:rPr>
        <w:t xml:space="preserve"> Item 10 – Directors, Executve Ofcers and Corporate Governance</w:t>
      </w:r>
    </w:p>
    <w:p>
      <w:pPr>
        <w:spacing w:after="0" w:line="183" w:lineRule="exact"/>
        <w:rPr>
          <w:sz w:val="20"/>
          <w:szCs w:val="20"/>
          <w:color w:val="auto"/>
        </w:rPr>
      </w:pPr>
    </w:p>
    <w:p>
      <w:pPr>
        <w:jc w:val="center"/>
        <w:ind w:right="80"/>
        <w:spacing w:after="0"/>
        <w:rPr>
          <w:sz w:val="20"/>
          <w:szCs w:val="20"/>
          <w:color w:val="auto"/>
        </w:rPr>
      </w:pPr>
      <w:r>
        <w:rPr>
          <w:rFonts w:ascii="Calibri" w:cs="Calibri" w:eastAsia="Calibri" w:hAnsi="Calibri"/>
          <w:sz w:val="36"/>
          <w:szCs w:val="36"/>
          <w:color w:val="auto"/>
        </w:rPr>
        <w:t>PART III</w:t>
      </w:r>
    </w:p>
    <w:p>
      <w:pPr>
        <w:spacing w:after="0" w:line="209"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10 – DIRECTORS, EXECUTIVE OFFICERS AND CORPORATE GOVERNANCE</w:t>
      </w:r>
    </w:p>
    <w:p>
      <w:pPr>
        <w:spacing w:after="0" w:line="64" w:lineRule="exact"/>
        <w:rPr>
          <w:sz w:val="20"/>
          <w:szCs w:val="20"/>
          <w:color w:val="auto"/>
        </w:rPr>
      </w:pPr>
    </w:p>
    <w:p>
      <w:pPr>
        <w:jc w:val="both"/>
        <w:spacing w:after="0" w:line="294" w:lineRule="auto"/>
        <w:rPr>
          <w:sz w:val="20"/>
          <w:szCs w:val="20"/>
          <w:color w:val="auto"/>
        </w:rPr>
      </w:pPr>
      <w:r>
        <w:rPr>
          <w:rFonts w:ascii="MS PGothic" w:cs="MS PGothic" w:eastAsia="MS PGothic" w:hAnsi="MS PGothic"/>
          <w:sz w:val="18"/>
          <w:szCs w:val="18"/>
          <w:color w:val="auto"/>
        </w:rPr>
        <w:t>The informaton concerning directors of the Company, the Audit Commitee of the Board of Directors, and the Audit Commitee fnancial expert serving on the Audit Commitee, all as required in response to this Item 10, is included under the captons “Corporate Governance Maters” in the Company’s defnitve proxy statement to be fled with the SEC pursuant to Regulaton 14A within 120 days afer the close of the Company’s fscal year ended December 31, 2022 (the “2023 Proxy Statement”), and that informaton is hereby incorporated by reference in this Form 10-K. Informaton concerning Secton 16(a) reportng compliance is incorporated by reference to the informaton appearing under the capton “Secton 16(a) Reports” in the 2023 Proxy Statement. Informaton concerning executve ofcers of the Company required in response to this Item 10 is included in Part I, under the heading “</w:t>
      </w:r>
      <w:r>
        <w:rPr>
          <w:rFonts w:ascii="MS PGothic" w:cs="MS PGothic" w:eastAsia="MS PGothic" w:hAnsi="MS PGothic"/>
          <w:sz w:val="18"/>
          <w:szCs w:val="18"/>
          <w:u w:val="single" w:color="auto"/>
          <w:color w:val="007DC6"/>
        </w:rPr>
        <w:t>Informaton about our Executve</w:t>
      </w:r>
      <w:r>
        <w:rPr>
          <w:rFonts w:ascii="MS PGothic" w:cs="MS PGothic" w:eastAsia="MS PGothic" w:hAnsi="MS PGothic"/>
          <w:sz w:val="18"/>
          <w:szCs w:val="18"/>
          <w:color w:val="auto"/>
        </w:rPr>
        <w:t xml:space="preserve"> </w:t>
      </w:r>
      <w:r>
        <w:rPr>
          <w:rFonts w:ascii="MS PGothic" w:cs="MS PGothic" w:eastAsia="MS PGothic" w:hAnsi="MS PGothic"/>
          <w:sz w:val="18"/>
          <w:szCs w:val="18"/>
          <w:u w:val="single" w:color="auto"/>
          <w:color w:val="007DC6"/>
        </w:rPr>
        <w:t>Ofcers</w:t>
      </w:r>
      <w:r>
        <w:rPr>
          <w:rFonts w:ascii="MS PGothic" w:cs="MS PGothic" w:eastAsia="MS PGothic" w:hAnsi="MS PGothic"/>
          <w:sz w:val="18"/>
          <w:szCs w:val="18"/>
          <w:color w:val="000000"/>
        </w:rPr>
        <w:t>,” of this Form 10-K. The informaton concerning the Company’s code of ethics required in response to this Item 10 is included in Part I, under the</w:t>
      </w:r>
      <w:r>
        <w:rPr>
          <w:rFonts w:ascii="MS PGothic" w:cs="MS PGothic" w:eastAsia="MS PGothic" w:hAnsi="MS PGothic"/>
          <w:sz w:val="18"/>
          <w:szCs w:val="18"/>
          <w:color w:val="007DC6"/>
        </w:rPr>
        <w:t xml:space="preserve"> </w:t>
      </w:r>
      <w:r>
        <w:rPr>
          <w:rFonts w:ascii="MS PGothic" w:cs="MS PGothic" w:eastAsia="MS PGothic" w:hAnsi="MS PGothic"/>
          <w:sz w:val="18"/>
          <w:szCs w:val="18"/>
          <w:color w:val="000000"/>
        </w:rPr>
        <w:t>heading “</w:t>
      </w:r>
      <w:r>
        <w:rPr>
          <w:rFonts w:ascii="MS PGothic" w:cs="MS PGothic" w:eastAsia="MS PGothic" w:hAnsi="MS PGothic"/>
          <w:sz w:val="18"/>
          <w:szCs w:val="18"/>
          <w:u w:val="single" w:color="auto"/>
          <w:color w:val="007DC6"/>
        </w:rPr>
        <w:t>Available Informaton</w:t>
      </w:r>
      <w:r>
        <w:rPr>
          <w:rFonts w:ascii="MS PGothic" w:cs="MS PGothic" w:eastAsia="MS PGothic" w:hAnsi="MS PGothic"/>
          <w:sz w:val="18"/>
          <w:szCs w:val="18"/>
          <w:color w:val="000000"/>
        </w:rPr>
        <w:t>,”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5650230</wp:posOffset>
            </wp:positionH>
            <wp:positionV relativeFrom="paragraph">
              <wp:posOffset>-316865</wp:posOffset>
            </wp:positionV>
            <wp:extent cx="147891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2">
                      <a:extLst>
                        <a:ext uri="{28A0092B-C50C-407E-A947-70E740481C1C}"/>
                      </a:extLst>
                    </a:blip>
                    <a:srcRect/>
                    <a:stretch>
                      <a:fillRect/>
                    </a:stretch>
                  </pic:blipFill>
                  <pic:spPr bwMode="auto">
                    <a:xfrm>
                      <a:off x="0" y="0"/>
                      <a:ext cx="14789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34671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3">
                      <a:extLst>
                        <a:ext uri="{28A0092B-C50C-407E-A947-70E740481C1C}"/>
                      </a:extLst>
                    </a:blip>
                    <a:srcRect/>
                    <a:stretch>
                      <a:fillRect/>
                    </a:stretch>
                  </pic:blipFill>
                  <pic:spPr bwMode="auto">
                    <a:xfrm>
                      <a:off x="0" y="0"/>
                      <a:ext cx="34671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wp:posOffset>
            </wp:positionH>
            <wp:positionV relativeFrom="paragraph">
              <wp:posOffset>-42545</wp:posOffset>
            </wp:positionV>
            <wp:extent cx="96964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4">
                      <a:extLst>
                        <a:ext uri="{28A0092B-C50C-407E-A947-70E740481C1C}"/>
                      </a:extLst>
                    </a:blip>
                    <a:srcRect/>
                    <a:stretch>
                      <a:fillRect/>
                    </a:stretch>
                  </pic:blipFill>
                  <pic:spPr bwMode="auto">
                    <a:xfrm>
                      <a:off x="0" y="0"/>
                      <a:ext cx="96964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11 – EXECUTIVE COMPENSATION</w:t>
      </w:r>
    </w:p>
    <w:p>
      <w:pPr>
        <w:spacing w:after="0" w:line="118" w:lineRule="exact"/>
        <w:rPr>
          <w:sz w:val="20"/>
          <w:szCs w:val="20"/>
          <w:color w:val="auto"/>
        </w:rPr>
      </w:pPr>
    </w:p>
    <w:p>
      <w:pPr>
        <w:jc w:val="both"/>
        <w:spacing w:after="0" w:line="336" w:lineRule="auto"/>
        <w:rPr>
          <w:sz w:val="20"/>
          <w:szCs w:val="20"/>
          <w:color w:val="auto"/>
        </w:rPr>
      </w:pPr>
      <w:r>
        <w:rPr>
          <w:rFonts w:ascii="MS PGothic" w:cs="MS PGothic" w:eastAsia="MS PGothic" w:hAnsi="MS PGothic"/>
          <w:sz w:val="17"/>
          <w:szCs w:val="17"/>
          <w:color w:val="auto"/>
        </w:rPr>
        <w:t>The informaton required in response to this Item 11 is included under the captons “Executve Compensaton,” “Compensaton Discussion and Analysis,” “Pay Versus Performance,” “Corporate Governance Maters,” “Management Development and Compensaton Commitee Report,” and “Compensaton Commitee Interlocks and Insider Partcipaton” in the Company’s 2023 Proxy Statement, and that informaton is hereby incorporated by reference in this Form 10-K.</w:t>
      </w:r>
    </w:p>
    <w:p>
      <w:pPr>
        <w:spacing w:after="0" w:line="150" w:lineRule="exact"/>
        <w:rPr>
          <w:sz w:val="20"/>
          <w:szCs w:val="20"/>
          <w:color w:val="auto"/>
        </w:rPr>
      </w:pPr>
    </w:p>
    <w:p>
      <w:pPr>
        <w:jc w:val="both"/>
        <w:spacing w:after="0"/>
        <w:rPr>
          <w:sz w:val="20"/>
          <w:szCs w:val="20"/>
          <w:color w:val="auto"/>
        </w:rPr>
      </w:pPr>
      <w:r>
        <w:rPr>
          <w:rFonts w:ascii="Calibri" w:cs="Calibri" w:eastAsia="Calibri" w:hAnsi="Calibri"/>
          <w:sz w:val="25"/>
          <w:szCs w:val="25"/>
          <w:b w:val="1"/>
          <w:bCs w:val="1"/>
          <w:color w:val="auto"/>
        </w:rPr>
        <w:t>ITEM 12 – SECURITY OWNERSHIP OF CERTAIN BENEFICIAL OWNERS AND MANAGEMENT AND RELATED STOCKHOLDER MATTERS</w:t>
      </w:r>
    </w:p>
    <w:p>
      <w:pPr>
        <w:spacing w:after="0" w:line="65" w:lineRule="exact"/>
        <w:rPr>
          <w:sz w:val="20"/>
          <w:szCs w:val="20"/>
          <w:color w:val="auto"/>
        </w:rPr>
      </w:pPr>
    </w:p>
    <w:p>
      <w:pPr>
        <w:jc w:val="both"/>
        <w:spacing w:after="0" w:line="311" w:lineRule="auto"/>
        <w:rPr>
          <w:sz w:val="20"/>
          <w:szCs w:val="20"/>
          <w:color w:val="auto"/>
        </w:rPr>
      </w:pPr>
      <w:r>
        <w:rPr>
          <w:rFonts w:ascii="MS PGothic" w:cs="MS PGothic" w:eastAsia="MS PGothic" w:hAnsi="MS PGothic"/>
          <w:sz w:val="18"/>
          <w:szCs w:val="18"/>
          <w:color w:val="auto"/>
        </w:rPr>
        <w:t>The informaton required in response to this Item 12 is included under the captons “General Informaton,” “Security Ownership of Certain Benefcial Owners and Management,” and “Securites Authorized for Issuance Under Equity Compensaton Plans” in the Company’s 2023 Proxy Statement, and that informaton is hereby incorporated by reference in this Form 10-K.</w:t>
      </w:r>
    </w:p>
    <w:p>
      <w:pPr>
        <w:spacing w:after="0" w:line="160"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13 – CERTAIN RELATIONSHIPS AND RELATED TRANSACTIONS, AND DIRECTOR INDEPENDENCE</w:t>
      </w:r>
    </w:p>
    <w:p>
      <w:pPr>
        <w:spacing w:after="0" w:line="64" w:lineRule="exact"/>
        <w:rPr>
          <w:sz w:val="20"/>
          <w:szCs w:val="20"/>
          <w:color w:val="auto"/>
        </w:rPr>
      </w:pPr>
    </w:p>
    <w:p>
      <w:pPr>
        <w:jc w:val="both"/>
        <w:spacing w:after="0" w:line="311" w:lineRule="auto"/>
        <w:rPr>
          <w:sz w:val="20"/>
          <w:szCs w:val="20"/>
          <w:color w:val="auto"/>
        </w:rPr>
      </w:pPr>
      <w:r>
        <w:rPr>
          <w:rFonts w:ascii="MS PGothic" w:cs="MS PGothic" w:eastAsia="MS PGothic" w:hAnsi="MS PGothic"/>
          <w:sz w:val="18"/>
          <w:szCs w:val="18"/>
          <w:color w:val="auto"/>
        </w:rPr>
        <w:t>The informaton required in response to this Item 13 is included under the captons “Compensaton Commitee Interlocks and Insider Partcipaton in Compensaton Decisions” and “Corporate Governance Maters” in the Company’s 2023 Proxy Statement, and that informaton is hereby incorporated by reference in this Form 10-K.</w:t>
      </w:r>
    </w:p>
    <w:p>
      <w:pPr>
        <w:spacing w:after="0" w:line="160"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14 – PRINCIPAL ACCOUNTANT FEES AND SERVICES</w:t>
      </w:r>
    </w:p>
    <w:p>
      <w:pPr>
        <w:spacing w:after="0" w:line="64" w:lineRule="exact"/>
        <w:rPr>
          <w:sz w:val="20"/>
          <w:szCs w:val="20"/>
          <w:color w:val="auto"/>
        </w:rPr>
      </w:pPr>
    </w:p>
    <w:p>
      <w:pPr>
        <w:jc w:val="both"/>
        <w:spacing w:after="0" w:line="334" w:lineRule="auto"/>
        <w:rPr>
          <w:sz w:val="20"/>
          <w:szCs w:val="20"/>
          <w:color w:val="auto"/>
        </w:rPr>
      </w:pPr>
      <w:r>
        <w:rPr>
          <w:rFonts w:ascii="MS PGothic" w:cs="MS PGothic" w:eastAsia="MS PGothic" w:hAnsi="MS PGothic"/>
          <w:sz w:val="18"/>
          <w:szCs w:val="18"/>
          <w:color w:val="auto"/>
        </w:rPr>
        <w:t>The informaton required in response to this Item 14 is included under the capton “Independent Auditors” in the Company’s 2023 Proxy Statement, and that informaton is hereby incorporated by reference in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47625</wp:posOffset>
            </wp:positionV>
            <wp:extent cx="325755" cy="19685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5">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78" w:lineRule="exact"/>
        <w:rPr>
          <w:sz w:val="20"/>
          <w:szCs w:val="20"/>
          <w:color w:val="auto"/>
        </w:rPr>
      </w:pPr>
    </w:p>
    <w:p>
      <w:pPr>
        <w:ind w:left="20"/>
        <w:spacing w:after="0"/>
        <w:rPr>
          <w:sz w:val="20"/>
          <w:szCs w:val="20"/>
          <w:color w:val="auto"/>
        </w:rPr>
      </w:pPr>
      <w:r>
        <w:rPr>
          <w:rFonts w:ascii="MS PGothic" w:cs="MS PGothic" w:eastAsia="MS PGothic" w:hAnsi="MS PGothic"/>
          <w:sz w:val="18"/>
          <w:szCs w:val="18"/>
          <w:color w:val="auto"/>
        </w:rPr>
        <w:t xml:space="preserve">Form 10-K </w:t>
      </w:r>
      <w:r>
        <w:rPr>
          <w:rFonts w:ascii="Arial" w:cs="Arial" w:eastAsia="Arial" w:hAnsi="Arial"/>
          <w:sz w:val="23"/>
          <w:szCs w:val="23"/>
          <w:color w:val="0070C0"/>
        </w:rPr>
        <w:t>♦</w:t>
      </w:r>
      <w:r>
        <w:rPr>
          <w:rFonts w:ascii="MS PGothic" w:cs="MS PGothic" w:eastAsia="MS PGothic" w:hAnsi="MS PGothic"/>
          <w:sz w:val="18"/>
          <w:szCs w:val="18"/>
          <w:color w:val="auto"/>
        </w:rPr>
        <w:t xml:space="preserve"> 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7" w:name="page118"/>
    <w:bookmarkEnd w:id="117"/>
    <w:p>
      <w:pPr>
        <w:jc w:val="right"/>
        <w:spacing w:after="0"/>
        <w:rPr>
          <w:sz w:val="20"/>
          <w:szCs w:val="20"/>
          <w:color w:val="auto"/>
        </w:rPr>
      </w:pPr>
      <w:r>
        <w:rPr>
          <w:rFonts w:ascii="Calibri" w:cs="Calibri" w:eastAsia="Calibri" w:hAnsi="Calibri"/>
          <w:sz w:val="18"/>
          <w:szCs w:val="18"/>
          <w:color w:val="auto"/>
        </w:rPr>
        <w:t xml:space="preserve">Part IV </w:t>
      </w:r>
      <w:r>
        <w:rPr>
          <w:rFonts w:ascii="Arial" w:cs="Arial" w:eastAsia="Arial" w:hAnsi="Arial"/>
          <w:sz w:val="23"/>
          <w:szCs w:val="23"/>
          <w:color w:val="0070C0"/>
        </w:rPr>
        <w:t>♦</w:t>
      </w:r>
      <w:r>
        <w:rPr>
          <w:rFonts w:ascii="Calibri" w:cs="Calibri" w:eastAsia="Calibri" w:hAnsi="Calibri"/>
          <w:sz w:val="18"/>
          <w:szCs w:val="18"/>
          <w:color w:val="auto"/>
        </w:rPr>
        <w:t xml:space="preserve"> Item 15 – Exhibits and Financial Statement Schedules</w:t>
      </w:r>
    </w:p>
    <w:p>
      <w:pPr>
        <w:spacing w:after="0" w:line="155" w:lineRule="exact"/>
        <w:rPr>
          <w:sz w:val="20"/>
          <w:szCs w:val="20"/>
          <w:color w:val="auto"/>
        </w:rPr>
      </w:pPr>
    </w:p>
    <w:p>
      <w:pPr>
        <w:jc w:val="center"/>
        <w:spacing w:after="0"/>
        <w:rPr>
          <w:sz w:val="20"/>
          <w:szCs w:val="20"/>
          <w:color w:val="auto"/>
        </w:rPr>
      </w:pPr>
      <w:r>
        <w:rPr>
          <w:rFonts w:ascii="Calibri" w:cs="Calibri" w:eastAsia="Calibri" w:hAnsi="Calibri"/>
          <w:sz w:val="36"/>
          <w:szCs w:val="36"/>
          <w:color w:val="auto"/>
        </w:rPr>
        <w:t>PART IV</w:t>
      </w:r>
    </w:p>
    <w:p>
      <w:pPr>
        <w:spacing w:after="0" w:line="209"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15 – EXHIBITS AND FINANCIAL STATEMENT SCHEDULES</w:t>
      </w:r>
    </w:p>
    <w:p>
      <w:pPr>
        <w:spacing w:after="0" w:line="113"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(a) (1) List of fnancial statements fled as part of this Form 10-K</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consolidated fnancial statements of Martn Marieta and consolidated subsidiaries, and related notes, appear in Item 8, “Financial Statements and Supplemental Data,” of this Form 10-K.</w:t>
      </w:r>
    </w:p>
    <w:p>
      <w:pPr>
        <w:spacing w:after="0" w:line="172"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(2) List of fnancial statement schedules fled as part of this Form 10-K</w:t>
      </w:r>
    </w:p>
    <w:p>
      <w:pPr>
        <w:spacing w:after="0" w:line="64" w:lineRule="exact"/>
        <w:rPr>
          <w:sz w:val="20"/>
          <w:szCs w:val="20"/>
          <w:color w:val="auto"/>
        </w:rPr>
      </w:pPr>
    </w:p>
    <w:p>
      <w:pPr>
        <w:ind w:right="1660"/>
        <w:spacing w:after="0" w:line="348" w:lineRule="auto"/>
        <w:rPr>
          <w:sz w:val="20"/>
          <w:szCs w:val="20"/>
          <w:color w:val="auto"/>
        </w:rPr>
      </w:pPr>
      <w:r>
        <w:rPr>
          <w:rFonts w:ascii="Calibri" w:cs="Calibri" w:eastAsia="Calibri" w:hAnsi="Calibri"/>
          <w:sz w:val="18"/>
          <w:szCs w:val="18"/>
          <w:color w:val="auto"/>
        </w:rPr>
        <w:t>The following fnancial statement schedule of Martn Marieta and consolidated subsidiaries is included in Item 15(c) of this Form 10-K. Schedule II - Valuaton and Qualifying Accounts</w:t>
      </w:r>
    </w:p>
    <w:p>
      <w:pPr>
        <w:spacing w:after="0" w:line="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All other schedules have been omited because they are not applicable, not required, or the informaton has been otherwise supplied in the fnancial statements or notes to the fnancial statements.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report of the Company’s independent registered public accountng frm with respect to the above-referenced fnancial statements is included in Item 8, “Financial Statements and Supplemental Data,” of this Form 10-K. The consent of the Company’s independent registered public accountng frm is atached as Exhibit 23.01 to this Form 10-K.</w:t>
      </w:r>
    </w:p>
    <w:p>
      <w:pPr>
        <w:spacing w:after="0" w:line="173"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(3) Exhibits</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list of Exhibits on the accompanying Index of Exhibits included in Item 15(b) of this Form 10-K is hereby incorporated by reference. Each management contract or compensatory plan or arrangement required to be fled as an exhibit is indicated by asterisks.</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965F6E"/>
        </w:rPr>
        <w:t>(b) Index of Exhibits</w:t>
      </w:r>
    </w:p>
    <w:p>
      <w:pPr>
        <w:spacing w:after="0" w:line="112" w:lineRule="exact"/>
        <w:rPr>
          <w:sz w:val="20"/>
          <w:szCs w:val="20"/>
          <w:color w:val="auto"/>
        </w:rPr>
      </w:pPr>
    </w:p>
    <w:tbl>
      <w:tblPr>
        <w:tblLayout w:type="fixed"/>
        <w:tblInd w:w="10" w:type="dxa"/>
        <w:tblCellMar>
          <w:top w:w="0" w:type="dxa"/>
          <w:left w:w="0" w:type="dxa"/>
          <w:bottom w:w="0" w:type="dxa"/>
          <w:right w:w="0" w:type="dxa"/>
        </w:tblCellMar>
      </w:tblPr>
      <w:tr>
        <w:trPr>
          <w:trHeight w:val="481"/>
        </w:trPr>
        <w:tc>
          <w:tcPr>
            <w:tcW w:w="1680" w:type="dxa"/>
            <w:vAlign w:val="bottom"/>
            <w:tcBorders>
              <w:top w:val="single" w:sz="8" w:color="91BBD3"/>
              <w:left w:val="single" w:sz="8" w:color="91BBD3"/>
              <w:bottom w:val="single" w:sz="8" w:color="007DC6"/>
              <w:right w:val="single" w:sz="8" w:color="91BBD3"/>
            </w:tcBorders>
            <w:shd w:val="clear" w:color="auto" w:fill="007DC6"/>
          </w:tcPr>
          <w:p>
            <w:pPr>
              <w:jc w:val="right"/>
              <w:ind w:right="350"/>
              <w:spacing w:after="0"/>
              <w:rPr>
                <w:sz w:val="20"/>
                <w:szCs w:val="20"/>
                <w:color w:val="auto"/>
              </w:rPr>
            </w:pPr>
            <w:r>
              <w:rPr>
                <w:rFonts w:ascii="Calibri" w:cs="Calibri" w:eastAsia="Calibri" w:hAnsi="Calibri"/>
                <w:sz w:val="18"/>
                <w:szCs w:val="18"/>
                <w:b w:val="1"/>
                <w:bCs w:val="1"/>
                <w:color w:val="FFFFFF"/>
              </w:rPr>
              <w:t>Exhibit No.</w:t>
            </w:r>
          </w:p>
        </w:tc>
        <w:tc>
          <w:tcPr>
            <w:tcW w:w="100" w:type="dxa"/>
            <w:vAlign w:val="bottom"/>
            <w:tcBorders>
              <w:top w:val="single" w:sz="8" w:color="007DC6"/>
              <w:bottom w:val="single" w:sz="8" w:color="007DC6"/>
            </w:tcBorders>
            <w:shd w:val="clear" w:color="auto" w:fill="007DC6"/>
          </w:tcPr>
          <w:p>
            <w:pPr>
              <w:spacing w:after="0"/>
              <w:rPr>
                <w:sz w:val="24"/>
                <w:szCs w:val="24"/>
                <w:color w:val="auto"/>
              </w:rPr>
            </w:pPr>
          </w:p>
        </w:tc>
        <w:tc>
          <w:tcPr>
            <w:tcW w:w="2180" w:type="dxa"/>
            <w:vAlign w:val="bottom"/>
            <w:tcBorders>
              <w:top w:val="single" w:sz="8" w:color="007DC6"/>
              <w:bottom w:val="single" w:sz="8" w:color="007DC6"/>
            </w:tcBorders>
            <w:shd w:val="clear" w:color="auto" w:fill="007DC6"/>
          </w:tcPr>
          <w:p>
            <w:pPr>
              <w:spacing w:after="0"/>
              <w:rPr>
                <w:sz w:val="24"/>
                <w:szCs w:val="24"/>
                <w:color w:val="auto"/>
              </w:rPr>
            </w:pPr>
          </w:p>
        </w:tc>
        <w:tc>
          <w:tcPr>
            <w:tcW w:w="720" w:type="dxa"/>
            <w:vAlign w:val="bottom"/>
            <w:tcBorders>
              <w:top w:val="single" w:sz="8" w:color="007DC6"/>
              <w:bottom w:val="single" w:sz="8" w:color="007DC6"/>
            </w:tcBorders>
            <w:shd w:val="clear" w:color="auto" w:fill="007DC6"/>
          </w:tcPr>
          <w:p>
            <w:pPr>
              <w:spacing w:after="0"/>
              <w:rPr>
                <w:sz w:val="24"/>
                <w:szCs w:val="24"/>
                <w:color w:val="auto"/>
              </w:rPr>
            </w:pPr>
          </w:p>
        </w:tc>
        <w:tc>
          <w:tcPr>
            <w:tcW w:w="2420" w:type="dxa"/>
            <w:vAlign w:val="bottom"/>
            <w:tcBorders>
              <w:top w:val="single" w:sz="8" w:color="007DC6"/>
              <w:bottom w:val="single" w:sz="8" w:color="007DC6"/>
            </w:tcBorders>
            <w:shd w:val="clear" w:color="auto" w:fill="007DC6"/>
          </w:tcPr>
          <w:p>
            <w:pPr>
              <w:spacing w:after="0"/>
              <w:rPr>
                <w:sz w:val="24"/>
                <w:szCs w:val="24"/>
                <w:color w:val="auto"/>
              </w:rPr>
            </w:pPr>
          </w:p>
        </w:tc>
        <w:tc>
          <w:tcPr>
            <w:tcW w:w="420" w:type="dxa"/>
            <w:vAlign w:val="bottom"/>
            <w:tcBorders>
              <w:top w:val="single" w:sz="8" w:color="007DC6"/>
              <w:bottom w:val="single" w:sz="8" w:color="007DC6"/>
            </w:tcBorders>
            <w:shd w:val="clear" w:color="auto" w:fill="007DC6"/>
          </w:tcPr>
          <w:p>
            <w:pPr>
              <w:spacing w:after="0"/>
              <w:rPr>
                <w:sz w:val="24"/>
                <w:szCs w:val="24"/>
                <w:color w:val="auto"/>
              </w:rPr>
            </w:pPr>
          </w:p>
        </w:tc>
        <w:tc>
          <w:tcPr>
            <w:tcW w:w="1640" w:type="dxa"/>
            <w:vAlign w:val="bottom"/>
            <w:tcBorders>
              <w:top w:val="single" w:sz="8" w:color="007DC6"/>
              <w:bottom w:val="single" w:sz="8" w:color="007DC6"/>
            </w:tcBorders>
            <w:shd w:val="clear" w:color="auto" w:fill="007DC6"/>
          </w:tcPr>
          <w:p>
            <w:pPr>
              <w:spacing w:after="0"/>
              <w:rPr>
                <w:sz w:val="24"/>
                <w:szCs w:val="24"/>
                <w:color w:val="auto"/>
              </w:rPr>
            </w:pPr>
          </w:p>
        </w:tc>
        <w:tc>
          <w:tcPr>
            <w:tcW w:w="1620" w:type="dxa"/>
            <w:vAlign w:val="bottom"/>
            <w:tcBorders>
              <w:top w:val="single" w:sz="8" w:color="007DC6"/>
              <w:bottom w:val="single" w:sz="8" w:color="007DC6"/>
            </w:tcBorders>
            <w:shd w:val="clear" w:color="auto" w:fill="007DC6"/>
          </w:tcPr>
          <w:p>
            <w:pPr>
              <w:spacing w:after="0"/>
              <w:rPr>
                <w:sz w:val="24"/>
                <w:szCs w:val="24"/>
                <w:color w:val="auto"/>
              </w:rPr>
            </w:pPr>
          </w:p>
        </w:tc>
        <w:tc>
          <w:tcPr>
            <w:tcW w:w="20" w:type="dxa"/>
            <w:vAlign w:val="bottom"/>
            <w:tcBorders>
              <w:top w:val="single" w:sz="8" w:color="007DC6"/>
              <w:bottom w:val="single" w:sz="8" w:color="007DC6"/>
            </w:tcBorders>
            <w:shd w:val="clear" w:color="auto" w:fill="007DC6"/>
          </w:tcPr>
          <w:p>
            <w:pPr>
              <w:spacing w:after="0"/>
              <w:rPr>
                <w:sz w:val="24"/>
                <w:szCs w:val="24"/>
                <w:color w:val="auto"/>
              </w:rPr>
            </w:pPr>
          </w:p>
        </w:tc>
        <w:tc>
          <w:tcPr>
            <w:tcW w:w="100" w:type="dxa"/>
            <w:vAlign w:val="bottom"/>
            <w:tcBorders>
              <w:top w:val="single" w:sz="8" w:color="007DC6"/>
              <w:bottom w:val="single" w:sz="8" w:color="007DC6"/>
              <w:right w:val="single" w:sz="8" w:color="91BBD3"/>
            </w:tcBorders>
            <w:shd w:val="clear" w:color="auto" w:fill="007DC6"/>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91BBD3"/>
              <w:left w:val="single" w:sz="8" w:color="91BBD3"/>
              <w:right w:val="single" w:sz="8" w:color="91BBD3"/>
            </w:tcBorders>
            <w:vMerge w:val="restart"/>
            <w:shd w:val="clear" w:color="auto" w:fill="DAE8F0"/>
          </w:tcPr>
          <w:p>
            <w:pPr>
              <w:jc w:val="right"/>
              <w:ind w:right="1150"/>
              <w:spacing w:after="0" w:line="169" w:lineRule="exact"/>
              <w:rPr>
                <w:sz w:val="20"/>
                <w:szCs w:val="20"/>
                <w:color w:val="auto"/>
              </w:rPr>
            </w:pPr>
            <w:r>
              <w:rPr>
                <w:rFonts w:ascii="Calibri" w:cs="Calibri" w:eastAsia="Calibri" w:hAnsi="Calibri"/>
                <w:sz w:val="18"/>
                <w:szCs w:val="18"/>
                <w:b w:val="1"/>
                <w:bCs w:val="1"/>
                <w:color w:val="auto"/>
              </w:rPr>
              <w:t>3.01</w:t>
            </w:r>
          </w:p>
        </w:tc>
        <w:tc>
          <w:tcPr>
            <w:tcW w:w="100" w:type="dxa"/>
            <w:vAlign w:val="bottom"/>
            <w:tcBorders>
              <w:top w:val="single" w:sz="8" w:color="91BBD3"/>
            </w:tcBorders>
            <w:vMerge w:val="restart"/>
            <w:shd w:val="clear" w:color="auto" w:fill="DAE8F0"/>
          </w:tcPr>
          <w:p>
            <w:pPr>
              <w:spacing w:after="0" w:line="20" w:lineRule="exact"/>
              <w:rPr>
                <w:sz w:val="1"/>
                <w:szCs w:val="1"/>
                <w:color w:val="auto"/>
              </w:rPr>
            </w:pPr>
          </w:p>
        </w:tc>
        <w:tc>
          <w:tcPr>
            <w:tcW w:w="9000" w:type="dxa"/>
            <w:vAlign w:val="bottom"/>
            <w:tcBorders>
              <w:top w:val="single" w:sz="8" w:color="91BBD3"/>
            </w:tcBorders>
            <w:gridSpan w:val="6"/>
            <w:vMerge w:val="restart"/>
            <w:shd w:val="clear" w:color="auto" w:fill="DAE8F0"/>
          </w:tcPr>
          <w:p>
            <w:pPr>
              <w:spacing w:after="0" w:line="169" w:lineRule="exact"/>
              <w:rPr>
                <w:rFonts w:ascii="Calibri" w:cs="Calibri" w:eastAsia="Calibri" w:hAnsi="Calibri"/>
                <w:sz w:val="18"/>
                <w:szCs w:val="18"/>
                <w:color w:val="0563C1"/>
              </w:rPr>
            </w:pPr>
            <w:hyperlink r:id="rId477">
              <w:r>
                <w:rPr>
                  <w:rFonts w:ascii="Calibri" w:cs="Calibri" w:eastAsia="Calibri" w:hAnsi="Calibri"/>
                  <w:sz w:val="18"/>
                  <w:szCs w:val="18"/>
                  <w:color w:val="0563C1"/>
                </w:rPr>
                <w:t>Restated Artcles of Incorporaton of the Company, as amended (incorporated by reference to Exhibit 3.01 to the Martn</w:t>
              </w:r>
            </w:hyperlink>
          </w:p>
        </w:tc>
        <w:tc>
          <w:tcPr>
            <w:tcW w:w="120" w:type="dxa"/>
            <w:vAlign w:val="bottom"/>
            <w:tcBorders>
              <w:top w:val="single" w:sz="8" w:color="91BBD3"/>
              <w:right w:val="single" w:sz="8" w:color="91BBD3"/>
            </w:tcBorders>
            <w:gridSpan w:val="2"/>
            <w:vMerge w:val="restart"/>
            <w:shd w:val="clear" w:color="auto" w:fill="DAE8F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680" w:type="dxa"/>
            <w:vAlign w:val="bottom"/>
            <w:tcBorders>
              <w:left w:val="single" w:sz="8" w:color="91BBD3"/>
              <w:bottom w:val="single" w:sz="8" w:color="DAE8F0"/>
              <w:right w:val="single" w:sz="8" w:color="91BBD3"/>
            </w:tcBorders>
            <w:vMerge w:val="continue"/>
            <w:shd w:val="clear" w:color="auto" w:fill="DAE8F0"/>
          </w:tcPr>
          <w:p>
            <w:pPr>
              <w:spacing w:after="0"/>
              <w:rPr>
                <w:sz w:val="12"/>
                <w:szCs w:val="12"/>
                <w:color w:val="auto"/>
              </w:rPr>
            </w:pPr>
          </w:p>
        </w:tc>
        <w:tc>
          <w:tcPr>
            <w:tcW w:w="100" w:type="dxa"/>
            <w:vAlign w:val="bottom"/>
            <w:tcBorders>
              <w:bottom w:val="single" w:sz="8" w:color="DAE8F0"/>
            </w:tcBorders>
            <w:vMerge w:val="continue"/>
            <w:shd w:val="clear" w:color="auto" w:fill="DAE8F0"/>
          </w:tcPr>
          <w:p>
            <w:pPr>
              <w:spacing w:after="0"/>
              <w:rPr>
                <w:sz w:val="12"/>
                <w:szCs w:val="12"/>
                <w:color w:val="auto"/>
              </w:rPr>
            </w:pPr>
          </w:p>
        </w:tc>
        <w:tc>
          <w:tcPr>
            <w:tcW w:w="9000" w:type="dxa"/>
            <w:vAlign w:val="bottom"/>
            <w:tcBorders>
              <w:bottom w:val="single" w:sz="8" w:color="0563C1"/>
            </w:tcBorders>
            <w:gridSpan w:val="6"/>
            <w:vMerge w:val="continue"/>
            <w:shd w:val="clear" w:color="auto" w:fill="DAE8F0"/>
          </w:tcPr>
          <w:p>
            <w:pPr>
              <w:spacing w:after="0"/>
              <w:rPr>
                <w:sz w:val="12"/>
                <w:szCs w:val="12"/>
                <w:color w:val="auto"/>
              </w:rPr>
            </w:pPr>
          </w:p>
        </w:tc>
        <w:tc>
          <w:tcPr>
            <w:tcW w:w="120" w:type="dxa"/>
            <w:vAlign w:val="bottom"/>
            <w:tcBorders>
              <w:bottom w:val="single" w:sz="8" w:color="DAE8F0"/>
              <w:right w:val="single" w:sz="8" w:color="91BBD3"/>
            </w:tcBorders>
            <w:gridSpan w:val="2"/>
            <w:vMerge w:val="continue"/>
            <w:shd w:val="clear" w:color="auto" w:fill="DAE8F0"/>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9020" w:type="dxa"/>
            <w:vAlign w:val="bottom"/>
            <w:tcBorders>
              <w:bottom w:val="single" w:sz="8" w:color="0563C1"/>
            </w:tcBorders>
            <w:gridSpan w:val="7"/>
            <w:shd w:val="clear" w:color="auto" w:fill="DAE8F0"/>
          </w:tcPr>
          <w:p>
            <w:pPr>
              <w:spacing w:after="0" w:line="196" w:lineRule="exact"/>
              <w:rPr>
                <w:rFonts w:ascii="Calibri" w:cs="Calibri" w:eastAsia="Calibri" w:hAnsi="Calibri"/>
                <w:sz w:val="18"/>
                <w:szCs w:val="18"/>
                <w:color w:val="0563C1"/>
                <w:w w:val="99"/>
              </w:rPr>
            </w:pPr>
            <w:hyperlink r:id="rId477">
              <w:r>
                <w:rPr>
                  <w:rFonts w:ascii="Calibri" w:cs="Calibri" w:eastAsia="Calibri" w:hAnsi="Calibri"/>
                  <w:sz w:val="18"/>
                  <w:szCs w:val="18"/>
                  <w:color w:val="0563C1"/>
                  <w:w w:val="99"/>
                </w:rPr>
                <w:t>Marieta Materials, Inc. Annual Report on Form 10-K for the fscal year ended December 31, 2016, fled on February 24, 2017)</w:t>
              </w:r>
            </w:hyperlink>
          </w:p>
        </w:tc>
        <w:tc>
          <w:tcPr>
            <w:tcW w:w="100" w:type="dxa"/>
            <w:vAlign w:val="bottom"/>
            <w:tcBorders>
              <w:bottom w:val="single" w:sz="8" w:color="DAE8F0"/>
              <w:right w:val="single" w:sz="8" w:color="91BBD3"/>
            </w:tcBorders>
            <w:shd w:val="clear" w:color="auto" w:fill="DAE8F0"/>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680" w:type="dxa"/>
            <w:vAlign w:val="bottom"/>
            <w:tcBorders>
              <w:left w:val="single" w:sz="8" w:color="91BBD3"/>
              <w:right w:val="single" w:sz="8" w:color="91BBD3"/>
            </w:tcBorders>
            <w:shd w:val="clear" w:color="auto" w:fill="DAE8F0"/>
          </w:tcPr>
          <w:p>
            <w:pPr>
              <w:spacing w:after="0"/>
              <w:rPr>
                <w:sz w:val="21"/>
                <w:szCs w:val="21"/>
                <w:color w:val="auto"/>
              </w:rPr>
            </w:pPr>
          </w:p>
        </w:tc>
        <w:tc>
          <w:tcPr>
            <w:tcW w:w="100" w:type="dxa"/>
            <w:vAlign w:val="bottom"/>
            <w:shd w:val="clear" w:color="auto" w:fill="DAE8F0"/>
          </w:tcPr>
          <w:p>
            <w:pPr>
              <w:spacing w:after="0"/>
              <w:rPr>
                <w:sz w:val="21"/>
                <w:szCs w:val="21"/>
                <w:color w:val="auto"/>
              </w:rPr>
            </w:pPr>
          </w:p>
        </w:tc>
        <w:tc>
          <w:tcPr>
            <w:tcW w:w="9120" w:type="dxa"/>
            <w:vAlign w:val="bottom"/>
            <w:tcBorders>
              <w:right w:val="single" w:sz="8" w:color="91BBD3"/>
            </w:tcBorders>
            <w:gridSpan w:val="8"/>
            <w:shd w:val="clear" w:color="auto" w:fill="DAE8F0"/>
          </w:tcPr>
          <w:p>
            <w:pPr>
              <w:spacing w:after="0" w:line="196" w:lineRule="exact"/>
              <w:rPr>
                <w:rFonts w:ascii="Calibri" w:cs="Calibri" w:eastAsia="Calibri" w:hAnsi="Calibri"/>
                <w:sz w:val="18"/>
                <w:szCs w:val="18"/>
                <w:color w:val="0563C1"/>
              </w:rPr>
            </w:pPr>
            <w:hyperlink r:id="rId477">
              <w:r>
                <w:rPr>
                  <w:rFonts w:ascii="Calibri" w:cs="Calibri" w:eastAsia="Calibri" w:hAnsi="Calibri"/>
                  <w:sz w:val="18"/>
                  <w:szCs w:val="18"/>
                  <w:color w:val="0563C1"/>
                </w:rPr>
                <w:t>(Commission File No. 1-12744)</w:t>
              </w:r>
            </w:hyperlink>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2180" w:type="dxa"/>
            <w:vAlign w:val="bottom"/>
            <w:tcBorders>
              <w:top w:val="single" w:sz="8" w:color="0563C1"/>
            </w:tcBorders>
            <w:shd w:val="clear" w:color="auto" w:fill="91BBD3"/>
          </w:tcPr>
          <w:p>
            <w:pPr>
              <w:spacing w:after="0" w:line="20" w:lineRule="exact"/>
              <w:rPr>
                <w:sz w:val="1"/>
                <w:szCs w:val="1"/>
                <w:color w:val="auto"/>
              </w:rPr>
            </w:pPr>
          </w:p>
        </w:tc>
        <w:tc>
          <w:tcPr>
            <w:tcW w:w="720" w:type="dxa"/>
            <w:vAlign w:val="bottom"/>
            <w:tcBorders>
              <w:top w:val="single" w:sz="8" w:color="DAE8F0"/>
            </w:tcBorders>
            <w:shd w:val="clear" w:color="auto" w:fill="91BBD3"/>
          </w:tcPr>
          <w:p>
            <w:pPr>
              <w:spacing w:after="0" w:line="20" w:lineRule="exact"/>
              <w:rPr>
                <w:sz w:val="1"/>
                <w:szCs w:val="1"/>
                <w:color w:val="auto"/>
              </w:rPr>
            </w:pPr>
          </w:p>
        </w:tc>
        <w:tc>
          <w:tcPr>
            <w:tcW w:w="2420" w:type="dxa"/>
            <w:vAlign w:val="bottom"/>
            <w:tcBorders>
              <w:top w:val="single" w:sz="8" w:color="DAE8F0"/>
            </w:tcBorders>
            <w:shd w:val="clear" w:color="auto" w:fill="91BBD3"/>
          </w:tcPr>
          <w:p>
            <w:pPr>
              <w:spacing w:after="0" w:line="20" w:lineRule="exact"/>
              <w:rPr>
                <w:sz w:val="1"/>
                <w:szCs w:val="1"/>
                <w:color w:val="auto"/>
              </w:rPr>
            </w:pPr>
          </w:p>
        </w:tc>
        <w:tc>
          <w:tcPr>
            <w:tcW w:w="420" w:type="dxa"/>
            <w:vAlign w:val="bottom"/>
            <w:tcBorders>
              <w:top w:val="single" w:sz="8" w:color="DAE8F0"/>
            </w:tcBorders>
            <w:shd w:val="clear" w:color="auto" w:fill="91BBD3"/>
          </w:tcPr>
          <w:p>
            <w:pPr>
              <w:spacing w:after="0" w:line="20" w:lineRule="exact"/>
              <w:rPr>
                <w:sz w:val="1"/>
                <w:szCs w:val="1"/>
                <w:color w:val="auto"/>
              </w:rPr>
            </w:pPr>
          </w:p>
        </w:tc>
        <w:tc>
          <w:tcPr>
            <w:tcW w:w="1640" w:type="dxa"/>
            <w:vAlign w:val="bottom"/>
            <w:tcBorders>
              <w:top w:val="single" w:sz="8" w:color="DAE8F0"/>
            </w:tcBorders>
            <w:shd w:val="clear" w:color="auto" w:fill="91BBD3"/>
          </w:tcPr>
          <w:p>
            <w:pPr>
              <w:spacing w:after="0" w:line="20" w:lineRule="exact"/>
              <w:rPr>
                <w:sz w:val="1"/>
                <w:szCs w:val="1"/>
                <w:color w:val="auto"/>
              </w:rPr>
            </w:pPr>
          </w:p>
        </w:tc>
        <w:tc>
          <w:tcPr>
            <w:tcW w:w="16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10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80" w:type="dxa"/>
            <w:vAlign w:val="bottom"/>
            <w:tcBorders>
              <w:left w:val="single" w:sz="8" w:color="91BBD3"/>
              <w:right w:val="single" w:sz="8" w:color="91BBD3"/>
            </w:tcBorders>
          </w:tcPr>
          <w:p>
            <w:pPr>
              <w:jc w:val="right"/>
              <w:ind w:right="1150"/>
              <w:spacing w:after="0" w:line="169" w:lineRule="exact"/>
              <w:rPr>
                <w:sz w:val="20"/>
                <w:szCs w:val="20"/>
                <w:color w:val="auto"/>
              </w:rPr>
            </w:pPr>
            <w:r>
              <w:rPr>
                <w:rFonts w:ascii="Calibri" w:cs="Calibri" w:eastAsia="Calibri" w:hAnsi="Calibri"/>
                <w:sz w:val="18"/>
                <w:szCs w:val="18"/>
                <w:b w:val="1"/>
                <w:bCs w:val="1"/>
                <w:color w:val="auto"/>
              </w:rPr>
              <w:t>3.02</w:t>
            </w:r>
          </w:p>
        </w:tc>
        <w:tc>
          <w:tcPr>
            <w:tcW w:w="100" w:type="dxa"/>
            <w:vAlign w:val="bottom"/>
          </w:tcPr>
          <w:p>
            <w:pPr>
              <w:spacing w:after="0"/>
              <w:rPr>
                <w:sz w:val="14"/>
                <w:szCs w:val="14"/>
                <w:color w:val="auto"/>
              </w:rPr>
            </w:pPr>
          </w:p>
        </w:tc>
        <w:tc>
          <w:tcPr>
            <w:tcW w:w="9020" w:type="dxa"/>
            <w:vAlign w:val="bottom"/>
            <w:tcBorders>
              <w:bottom w:val="single" w:sz="8" w:color="0563C1"/>
            </w:tcBorders>
            <w:gridSpan w:val="7"/>
          </w:tcPr>
          <w:p>
            <w:pPr>
              <w:spacing w:after="0" w:line="169" w:lineRule="exact"/>
              <w:rPr>
                <w:rFonts w:ascii="Calibri" w:cs="Calibri" w:eastAsia="Calibri" w:hAnsi="Calibri"/>
                <w:sz w:val="18"/>
                <w:szCs w:val="18"/>
                <w:color w:val="0563C1"/>
              </w:rPr>
            </w:pPr>
            <w:hyperlink r:id="rId478">
              <w:r>
                <w:rPr>
                  <w:rFonts w:ascii="Calibri" w:cs="Calibri" w:eastAsia="Calibri" w:hAnsi="Calibri"/>
                  <w:sz w:val="18"/>
                  <w:szCs w:val="18"/>
                  <w:color w:val="0563C1"/>
                </w:rPr>
                <w:t>Restated Bylaws of the Company (incorporated by reference to Exhibit 3.1 to the Martn Marieta Materials, Inc.  Current</w:t>
              </w:r>
            </w:hyperlink>
          </w:p>
        </w:tc>
        <w:tc>
          <w:tcPr>
            <w:tcW w:w="100" w:type="dxa"/>
            <w:vAlign w:val="bottom"/>
            <w:tcBorders>
              <w:right w:val="single" w:sz="8" w:color="91BBD3"/>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8"/>
          </w:tcPr>
          <w:p>
            <w:pPr>
              <w:spacing w:after="0" w:line="196" w:lineRule="exact"/>
              <w:rPr>
                <w:rFonts w:ascii="Calibri" w:cs="Calibri" w:eastAsia="Calibri" w:hAnsi="Calibri"/>
                <w:sz w:val="18"/>
                <w:szCs w:val="18"/>
                <w:color w:val="0563C1"/>
              </w:rPr>
            </w:pPr>
            <w:hyperlink r:id="rId478">
              <w:r>
                <w:rPr>
                  <w:rFonts w:ascii="Calibri" w:cs="Calibri" w:eastAsia="Calibri" w:hAnsi="Calibri"/>
                  <w:sz w:val="18"/>
                  <w:szCs w:val="18"/>
                  <w:color w:val="0563C1"/>
                </w:rPr>
                <w:t>Report on Form 8-K, fled on November 14, 2022) (Commission File No. 1-12744)</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680" w:type="dxa"/>
            <w:vAlign w:val="bottom"/>
            <w:tcBorders>
              <w:left w:val="single" w:sz="8" w:color="91BBD3"/>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2180" w:type="dxa"/>
            <w:vAlign w:val="bottom"/>
            <w:tcBorders>
              <w:top w:val="single" w:sz="8" w:color="0563C1"/>
              <w:bottom w:val="single" w:sz="8" w:color="91BBD3"/>
            </w:tcBorders>
          </w:tcPr>
          <w:p>
            <w:pPr>
              <w:spacing w:after="0"/>
              <w:rPr>
                <w:sz w:val="4"/>
                <w:szCs w:val="4"/>
                <w:color w:val="auto"/>
              </w:rPr>
            </w:pPr>
          </w:p>
        </w:tc>
        <w:tc>
          <w:tcPr>
            <w:tcW w:w="720" w:type="dxa"/>
            <w:vAlign w:val="bottom"/>
            <w:tcBorders>
              <w:top w:val="single" w:sz="8" w:color="0563C1"/>
              <w:bottom w:val="single" w:sz="8" w:color="91BBD3"/>
            </w:tcBorders>
          </w:tcPr>
          <w:p>
            <w:pPr>
              <w:spacing w:after="0"/>
              <w:rPr>
                <w:sz w:val="4"/>
                <w:szCs w:val="4"/>
                <w:color w:val="auto"/>
              </w:rPr>
            </w:pPr>
          </w:p>
        </w:tc>
        <w:tc>
          <w:tcPr>
            <w:tcW w:w="2420" w:type="dxa"/>
            <w:vAlign w:val="bottom"/>
            <w:tcBorders>
              <w:top w:val="single" w:sz="8" w:color="0563C1"/>
              <w:bottom w:val="single" w:sz="8" w:color="91BBD3"/>
            </w:tcBorders>
          </w:tcPr>
          <w:p>
            <w:pPr>
              <w:spacing w:after="0"/>
              <w:rPr>
                <w:sz w:val="4"/>
                <w:szCs w:val="4"/>
                <w:color w:val="auto"/>
              </w:rPr>
            </w:pPr>
          </w:p>
        </w:tc>
        <w:tc>
          <w:tcPr>
            <w:tcW w:w="420" w:type="dxa"/>
            <w:vAlign w:val="bottom"/>
            <w:tcBorders>
              <w:top w:val="single" w:sz="8" w:color="0563C1"/>
              <w:bottom w:val="single" w:sz="8" w:color="91BBD3"/>
            </w:tcBorders>
          </w:tcPr>
          <w:p>
            <w:pPr>
              <w:spacing w:after="0"/>
              <w:rPr>
                <w:sz w:val="4"/>
                <w:szCs w:val="4"/>
                <w:color w:val="auto"/>
              </w:rPr>
            </w:pPr>
          </w:p>
        </w:tc>
        <w:tc>
          <w:tcPr>
            <w:tcW w:w="1640" w:type="dxa"/>
            <w:vAlign w:val="bottom"/>
            <w:tcBorders>
              <w:bottom w:val="single" w:sz="8" w:color="91BBD3"/>
            </w:tcBorders>
          </w:tcPr>
          <w:p>
            <w:pPr>
              <w:spacing w:after="0"/>
              <w:rPr>
                <w:sz w:val="4"/>
                <w:szCs w:val="4"/>
                <w:color w:val="auto"/>
              </w:rPr>
            </w:pPr>
          </w:p>
        </w:tc>
        <w:tc>
          <w:tcPr>
            <w:tcW w:w="162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100" w:type="dxa"/>
            <w:vAlign w:val="bottom"/>
            <w:tcBorders>
              <w:bottom w:val="single" w:sz="8" w:color="91BBD3"/>
              <w:right w:val="single" w:sz="8" w:color="91BBD3"/>
            </w:tcBorders>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1680" w:type="dxa"/>
            <w:vAlign w:val="bottom"/>
            <w:tcBorders>
              <w:left w:val="single" w:sz="8" w:color="91BBD3"/>
              <w:right w:val="single" w:sz="8" w:color="91BBD3"/>
            </w:tcBorders>
            <w:shd w:val="clear" w:color="auto" w:fill="DAE8F0"/>
          </w:tcPr>
          <w:p>
            <w:pPr>
              <w:jc w:val="right"/>
              <w:ind w:right="1150"/>
              <w:spacing w:after="0" w:line="201" w:lineRule="exact"/>
              <w:rPr>
                <w:sz w:val="20"/>
                <w:szCs w:val="20"/>
                <w:color w:val="auto"/>
              </w:rPr>
            </w:pPr>
            <w:r>
              <w:rPr>
                <w:rFonts w:ascii="Calibri" w:cs="Calibri" w:eastAsia="Calibri" w:hAnsi="Calibri"/>
                <w:sz w:val="18"/>
                <w:szCs w:val="18"/>
                <w:b w:val="1"/>
                <w:bCs w:val="1"/>
                <w:color w:val="auto"/>
              </w:rPr>
              <w:t>4.01</w:t>
            </w:r>
          </w:p>
        </w:tc>
        <w:tc>
          <w:tcPr>
            <w:tcW w:w="100" w:type="dxa"/>
            <w:vAlign w:val="bottom"/>
            <w:shd w:val="clear" w:color="auto" w:fill="DAE8F0"/>
          </w:tcPr>
          <w:p>
            <w:pPr>
              <w:spacing w:after="0"/>
              <w:rPr>
                <w:sz w:val="17"/>
                <w:szCs w:val="17"/>
                <w:color w:val="auto"/>
              </w:rPr>
            </w:pPr>
          </w:p>
        </w:tc>
        <w:tc>
          <w:tcPr>
            <w:tcW w:w="9120" w:type="dxa"/>
            <w:vAlign w:val="bottom"/>
            <w:tcBorders>
              <w:right w:val="single" w:sz="8" w:color="91BBD3"/>
            </w:tcBorders>
            <w:gridSpan w:val="8"/>
            <w:shd w:val="clear" w:color="auto" w:fill="DAE8F0"/>
          </w:tcPr>
          <w:p>
            <w:pPr>
              <w:spacing w:after="0" w:line="201" w:lineRule="exact"/>
              <w:rPr>
                <w:sz w:val="20"/>
                <w:szCs w:val="20"/>
                <w:color w:val="auto"/>
              </w:rPr>
            </w:pPr>
            <w:r>
              <w:rPr>
                <w:rFonts w:ascii="Calibri" w:cs="Calibri" w:eastAsia="Calibri" w:hAnsi="Calibri"/>
                <w:sz w:val="18"/>
                <w:szCs w:val="18"/>
                <w:color w:val="auto"/>
              </w:rPr>
              <w:t>Specimen Common Stock Certfcate (incorporated by reference to Exhibit 4.01 to the Martn Marieta Materials, Inc.</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680" w:type="dxa"/>
            <w:vAlign w:val="bottom"/>
            <w:tcBorders>
              <w:left w:val="single" w:sz="8" w:color="91BBD3"/>
              <w:bottom w:val="single" w:sz="8" w:color="DAE8F0"/>
              <w:right w:val="single" w:sz="8" w:color="91BBD3"/>
            </w:tcBorders>
            <w:shd w:val="clear" w:color="auto" w:fill="DAE8F0"/>
          </w:tcPr>
          <w:p>
            <w:pPr>
              <w:spacing w:after="0"/>
              <w:rPr>
                <w:sz w:val="21"/>
                <w:szCs w:val="21"/>
                <w:color w:val="auto"/>
              </w:rPr>
            </w:pPr>
          </w:p>
        </w:tc>
        <w:tc>
          <w:tcPr>
            <w:tcW w:w="100" w:type="dxa"/>
            <w:vAlign w:val="bottom"/>
            <w:tcBorders>
              <w:bottom w:val="single" w:sz="8" w:color="DAE8F0"/>
            </w:tcBorders>
            <w:shd w:val="clear" w:color="auto" w:fill="DAE8F0"/>
          </w:tcPr>
          <w:p>
            <w:pPr>
              <w:spacing w:after="0"/>
              <w:rPr>
                <w:sz w:val="21"/>
                <w:szCs w:val="21"/>
                <w:color w:val="auto"/>
              </w:rPr>
            </w:pPr>
          </w:p>
        </w:tc>
        <w:tc>
          <w:tcPr>
            <w:tcW w:w="9120" w:type="dxa"/>
            <w:vAlign w:val="bottom"/>
            <w:tcBorders>
              <w:bottom w:val="single" w:sz="8" w:color="DAE8F0"/>
              <w:right w:val="single" w:sz="8" w:color="91BBD3"/>
            </w:tcBorders>
            <w:gridSpan w:val="8"/>
            <w:shd w:val="clear" w:color="auto" w:fill="DAE8F0"/>
          </w:tcPr>
          <w:p>
            <w:pPr>
              <w:spacing w:after="0" w:line="215" w:lineRule="exact"/>
              <w:rPr>
                <w:sz w:val="20"/>
                <w:szCs w:val="20"/>
                <w:color w:val="auto"/>
              </w:rPr>
            </w:pPr>
            <w:r>
              <w:rPr>
                <w:rFonts w:ascii="Calibri" w:cs="Calibri" w:eastAsia="Calibri" w:hAnsi="Calibri"/>
                <w:sz w:val="18"/>
                <w:szCs w:val="18"/>
                <w:color w:val="auto"/>
              </w:rPr>
              <w:t>registraton statement on Form S-1, fled on December 8, 1993 (SEC Registraton No. 33-72648) (P)</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680" w:type="dxa"/>
            <w:vAlign w:val="bottom"/>
            <w:tcBorders>
              <w:top w:val="single" w:sz="8" w:color="91BBD3"/>
              <w:left w:val="single" w:sz="8" w:color="91BBD3"/>
              <w:right w:val="single" w:sz="8" w:color="91BBD3"/>
            </w:tcBorders>
          </w:tcPr>
          <w:p>
            <w:pPr>
              <w:jc w:val="right"/>
              <w:ind w:right="1150"/>
              <w:spacing w:after="0" w:line="169" w:lineRule="exact"/>
              <w:rPr>
                <w:sz w:val="20"/>
                <w:szCs w:val="20"/>
                <w:color w:val="auto"/>
              </w:rPr>
            </w:pPr>
            <w:r>
              <w:rPr>
                <w:rFonts w:ascii="Calibri" w:cs="Calibri" w:eastAsia="Calibri" w:hAnsi="Calibri"/>
                <w:sz w:val="18"/>
                <w:szCs w:val="18"/>
                <w:b w:val="1"/>
                <w:bCs w:val="1"/>
                <w:color w:val="auto"/>
              </w:rPr>
              <w:t>4.02</w:t>
            </w:r>
          </w:p>
        </w:tc>
        <w:tc>
          <w:tcPr>
            <w:tcW w:w="100" w:type="dxa"/>
            <w:vAlign w:val="bottom"/>
            <w:tcBorders>
              <w:top w:val="single" w:sz="8" w:color="91BBD3"/>
            </w:tcBorders>
          </w:tcPr>
          <w:p>
            <w:pPr>
              <w:spacing w:after="0"/>
              <w:rPr>
                <w:sz w:val="14"/>
                <w:szCs w:val="14"/>
                <w:color w:val="auto"/>
              </w:rPr>
            </w:pPr>
          </w:p>
        </w:tc>
        <w:tc>
          <w:tcPr>
            <w:tcW w:w="9020" w:type="dxa"/>
            <w:vAlign w:val="bottom"/>
            <w:tcBorders>
              <w:top w:val="single" w:sz="8" w:color="91BBD3"/>
              <w:bottom w:val="single" w:sz="8" w:color="0563C1"/>
            </w:tcBorders>
            <w:gridSpan w:val="7"/>
          </w:tcPr>
          <w:p>
            <w:pPr>
              <w:spacing w:after="0" w:line="169" w:lineRule="exact"/>
              <w:rPr>
                <w:rFonts w:ascii="Calibri" w:cs="Calibri" w:eastAsia="Calibri" w:hAnsi="Calibri"/>
                <w:sz w:val="18"/>
                <w:szCs w:val="18"/>
                <w:color w:val="0563C1"/>
              </w:rPr>
            </w:pPr>
            <w:hyperlink r:id="rId477">
              <w:r>
                <w:rPr>
                  <w:rFonts w:ascii="Calibri" w:cs="Calibri" w:eastAsia="Calibri" w:hAnsi="Calibri"/>
                  <w:sz w:val="18"/>
                  <w:szCs w:val="18"/>
                  <w:color w:val="0563C1"/>
                </w:rPr>
                <w:t>Artcle 5 of the Company’s Restated Artcles of Incorporaton, as amended (incorporated by reference to Exhibit 3.01 to the</w:t>
              </w:r>
            </w:hyperlink>
          </w:p>
        </w:tc>
        <w:tc>
          <w:tcPr>
            <w:tcW w:w="100" w:type="dxa"/>
            <w:vAlign w:val="bottom"/>
            <w:tcBorders>
              <w:top w:val="single" w:sz="8" w:color="91BBD3"/>
              <w:right w:val="single" w:sz="8" w:color="91BBD3"/>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00" w:type="dxa"/>
            <w:vAlign w:val="bottom"/>
            <w:tcBorders>
              <w:bottom w:val="single" w:sz="8" w:color="0563C1"/>
            </w:tcBorders>
            <w:gridSpan w:val="6"/>
          </w:tcPr>
          <w:p>
            <w:pPr>
              <w:spacing w:after="0" w:line="196" w:lineRule="exact"/>
              <w:rPr>
                <w:rFonts w:ascii="Calibri" w:cs="Calibri" w:eastAsia="Calibri" w:hAnsi="Calibri"/>
                <w:sz w:val="18"/>
                <w:szCs w:val="18"/>
                <w:color w:val="0563C1"/>
              </w:rPr>
            </w:pPr>
            <w:hyperlink r:id="rId477">
              <w:r>
                <w:rPr>
                  <w:rFonts w:ascii="Calibri" w:cs="Calibri" w:eastAsia="Calibri" w:hAnsi="Calibri"/>
                  <w:sz w:val="18"/>
                  <w:szCs w:val="18"/>
                  <w:color w:val="0563C1"/>
                </w:rPr>
                <w:t>Martn Marieta Materials, Inc. Annual Report on Form 10-K for the fscal year ended December 31, 2016, fled on February</w:t>
              </w:r>
            </w:hyperlink>
          </w:p>
        </w:tc>
        <w:tc>
          <w:tcPr>
            <w:tcW w:w="120" w:type="dxa"/>
            <w:vAlign w:val="bottom"/>
            <w:tcBorders>
              <w:right w:val="single" w:sz="8" w:color="91BBD3"/>
            </w:tcBorders>
            <w:gridSpan w:val="2"/>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8"/>
          </w:tcPr>
          <w:p>
            <w:pPr>
              <w:spacing w:after="0" w:line="196" w:lineRule="exact"/>
              <w:rPr>
                <w:rFonts w:ascii="Calibri" w:cs="Calibri" w:eastAsia="Calibri" w:hAnsi="Calibri"/>
                <w:sz w:val="18"/>
                <w:szCs w:val="18"/>
                <w:color w:val="0563C1"/>
              </w:rPr>
            </w:pPr>
            <w:hyperlink r:id="rId477">
              <w:r>
                <w:rPr>
                  <w:rFonts w:ascii="Calibri" w:cs="Calibri" w:eastAsia="Calibri" w:hAnsi="Calibri"/>
                  <w:sz w:val="18"/>
                  <w:szCs w:val="18"/>
                  <w:color w:val="0563C1"/>
                </w:rPr>
                <w:t>24, 2017) (Commission File No. 1-12744)</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680" w:type="dxa"/>
            <w:vAlign w:val="bottom"/>
            <w:tcBorders>
              <w:left w:val="single" w:sz="8" w:color="91BBD3"/>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2180" w:type="dxa"/>
            <w:vAlign w:val="bottom"/>
            <w:tcBorders>
              <w:top w:val="single" w:sz="8" w:color="0563C1"/>
              <w:bottom w:val="single" w:sz="8" w:color="91BBD3"/>
            </w:tcBorders>
          </w:tcPr>
          <w:p>
            <w:pPr>
              <w:spacing w:after="0"/>
              <w:rPr>
                <w:sz w:val="4"/>
                <w:szCs w:val="4"/>
                <w:color w:val="auto"/>
              </w:rPr>
            </w:pPr>
          </w:p>
        </w:tc>
        <w:tc>
          <w:tcPr>
            <w:tcW w:w="720" w:type="dxa"/>
            <w:vAlign w:val="bottom"/>
            <w:tcBorders>
              <w:top w:val="single" w:sz="8" w:color="0563C1"/>
              <w:bottom w:val="single" w:sz="8" w:color="91BBD3"/>
            </w:tcBorders>
          </w:tcPr>
          <w:p>
            <w:pPr>
              <w:spacing w:after="0"/>
              <w:rPr>
                <w:sz w:val="4"/>
                <w:szCs w:val="4"/>
                <w:color w:val="auto"/>
              </w:rPr>
            </w:pPr>
          </w:p>
        </w:tc>
        <w:tc>
          <w:tcPr>
            <w:tcW w:w="2420" w:type="dxa"/>
            <w:vAlign w:val="bottom"/>
            <w:tcBorders>
              <w:bottom w:val="single" w:sz="8" w:color="91BBD3"/>
            </w:tcBorders>
          </w:tcPr>
          <w:p>
            <w:pPr>
              <w:spacing w:after="0"/>
              <w:rPr>
                <w:sz w:val="4"/>
                <w:szCs w:val="4"/>
                <w:color w:val="auto"/>
              </w:rPr>
            </w:pPr>
          </w:p>
        </w:tc>
        <w:tc>
          <w:tcPr>
            <w:tcW w:w="420" w:type="dxa"/>
            <w:vAlign w:val="bottom"/>
            <w:tcBorders>
              <w:bottom w:val="single" w:sz="8" w:color="91BBD3"/>
            </w:tcBorders>
          </w:tcPr>
          <w:p>
            <w:pPr>
              <w:spacing w:after="0"/>
              <w:rPr>
                <w:sz w:val="4"/>
                <w:szCs w:val="4"/>
                <w:color w:val="auto"/>
              </w:rPr>
            </w:pPr>
          </w:p>
        </w:tc>
        <w:tc>
          <w:tcPr>
            <w:tcW w:w="1640" w:type="dxa"/>
            <w:vAlign w:val="bottom"/>
            <w:tcBorders>
              <w:bottom w:val="single" w:sz="8" w:color="91BBD3"/>
            </w:tcBorders>
          </w:tcPr>
          <w:p>
            <w:pPr>
              <w:spacing w:after="0"/>
              <w:rPr>
                <w:sz w:val="4"/>
                <w:szCs w:val="4"/>
                <w:color w:val="auto"/>
              </w:rPr>
            </w:pPr>
          </w:p>
        </w:tc>
        <w:tc>
          <w:tcPr>
            <w:tcW w:w="162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100" w:type="dxa"/>
            <w:vAlign w:val="bottom"/>
            <w:tcBorders>
              <w:bottom w:val="single" w:sz="8" w:color="91BBD3"/>
              <w:right w:val="single" w:sz="8" w:color="91BBD3"/>
            </w:tcBorders>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bottom w:val="single" w:sz="8" w:color="DAE8F0"/>
              <w:right w:val="single" w:sz="8" w:color="91BBD3"/>
            </w:tcBorders>
            <w:shd w:val="clear" w:color="auto" w:fill="DAE8F0"/>
          </w:tcPr>
          <w:p>
            <w:pPr>
              <w:jc w:val="right"/>
              <w:ind w:right="1150"/>
              <w:spacing w:after="0" w:line="169" w:lineRule="exact"/>
              <w:rPr>
                <w:sz w:val="20"/>
                <w:szCs w:val="20"/>
                <w:color w:val="auto"/>
              </w:rPr>
            </w:pPr>
            <w:r>
              <w:rPr>
                <w:rFonts w:ascii="Calibri" w:cs="Calibri" w:eastAsia="Calibri" w:hAnsi="Calibri"/>
                <w:sz w:val="18"/>
                <w:szCs w:val="18"/>
                <w:b w:val="1"/>
                <w:bCs w:val="1"/>
                <w:color w:val="auto"/>
              </w:rPr>
              <w:t>4.03</w:t>
            </w:r>
          </w:p>
        </w:tc>
        <w:tc>
          <w:tcPr>
            <w:tcW w:w="100" w:type="dxa"/>
            <w:vAlign w:val="bottom"/>
            <w:tcBorders>
              <w:bottom w:val="single" w:sz="8" w:color="DAE8F0"/>
            </w:tcBorders>
            <w:shd w:val="clear" w:color="auto" w:fill="DAE8F0"/>
          </w:tcPr>
          <w:p>
            <w:pPr>
              <w:spacing w:after="0"/>
              <w:rPr>
                <w:sz w:val="14"/>
                <w:szCs w:val="14"/>
                <w:color w:val="auto"/>
              </w:rPr>
            </w:pPr>
          </w:p>
        </w:tc>
        <w:tc>
          <w:tcPr>
            <w:tcW w:w="9020" w:type="dxa"/>
            <w:vAlign w:val="bottom"/>
            <w:tcBorders>
              <w:bottom w:val="single" w:sz="8" w:color="0563C1"/>
            </w:tcBorders>
            <w:gridSpan w:val="7"/>
            <w:shd w:val="clear" w:color="auto" w:fill="DAE8F0"/>
          </w:tcPr>
          <w:p>
            <w:pPr>
              <w:spacing w:after="0" w:line="169" w:lineRule="exact"/>
              <w:rPr>
                <w:rFonts w:ascii="Calibri" w:cs="Calibri" w:eastAsia="Calibri" w:hAnsi="Calibri"/>
                <w:sz w:val="18"/>
                <w:szCs w:val="18"/>
                <w:color w:val="0563C1"/>
              </w:rPr>
            </w:pPr>
            <w:hyperlink r:id="rId478">
              <w:r>
                <w:rPr>
                  <w:rFonts w:ascii="Calibri" w:cs="Calibri" w:eastAsia="Calibri" w:hAnsi="Calibri"/>
                  <w:sz w:val="18"/>
                  <w:szCs w:val="18"/>
                  <w:color w:val="0563C1"/>
                </w:rPr>
                <w:t>Artcle 1 of the Company’s Restated Bylaws, as amended (incorporated by reference to Exhibit 3.1 to the Martn Marieta</w:t>
              </w:r>
            </w:hyperlink>
          </w:p>
        </w:tc>
        <w:tc>
          <w:tcPr>
            <w:tcW w:w="100" w:type="dxa"/>
            <w:vAlign w:val="bottom"/>
            <w:tcBorders>
              <w:bottom w:val="single" w:sz="8" w:color="DAE8F0"/>
              <w:right w:val="single" w:sz="8" w:color="91BBD3"/>
            </w:tcBorders>
            <w:shd w:val="clear" w:color="auto" w:fill="DAE8F0"/>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680" w:type="dxa"/>
            <w:vAlign w:val="bottom"/>
            <w:tcBorders>
              <w:left w:val="single" w:sz="8" w:color="91BBD3"/>
              <w:bottom w:val="single" w:sz="8" w:color="91BBD3"/>
              <w:right w:val="single" w:sz="8" w:color="91BBD3"/>
            </w:tcBorders>
            <w:shd w:val="clear" w:color="auto" w:fill="DAE8F0"/>
          </w:tcPr>
          <w:p>
            <w:pPr>
              <w:spacing w:after="0"/>
              <w:rPr>
                <w:sz w:val="22"/>
                <w:szCs w:val="22"/>
                <w:color w:val="auto"/>
              </w:rPr>
            </w:pPr>
          </w:p>
        </w:tc>
        <w:tc>
          <w:tcPr>
            <w:tcW w:w="100" w:type="dxa"/>
            <w:vAlign w:val="bottom"/>
            <w:tcBorders>
              <w:bottom w:val="single" w:sz="8" w:color="91BBD3"/>
            </w:tcBorders>
            <w:shd w:val="clear" w:color="auto" w:fill="DAE8F0"/>
          </w:tcPr>
          <w:p>
            <w:pPr>
              <w:spacing w:after="0"/>
              <w:rPr>
                <w:sz w:val="22"/>
                <w:szCs w:val="22"/>
                <w:color w:val="auto"/>
              </w:rPr>
            </w:pPr>
          </w:p>
        </w:tc>
        <w:tc>
          <w:tcPr>
            <w:tcW w:w="7380" w:type="dxa"/>
            <w:vAlign w:val="bottom"/>
            <w:tcBorders>
              <w:bottom w:val="single" w:sz="8" w:color="0563C1"/>
            </w:tcBorders>
            <w:gridSpan w:val="5"/>
            <w:shd w:val="clear" w:color="auto" w:fill="DAE8F0"/>
          </w:tcPr>
          <w:p>
            <w:pPr>
              <w:spacing w:after="0" w:line="196" w:lineRule="exact"/>
              <w:rPr>
                <w:rFonts w:ascii="Calibri" w:cs="Calibri" w:eastAsia="Calibri" w:hAnsi="Calibri"/>
                <w:sz w:val="18"/>
                <w:szCs w:val="18"/>
                <w:color w:val="0563C1"/>
                <w:w w:val="97"/>
              </w:rPr>
            </w:pPr>
            <w:hyperlink r:id="rId478">
              <w:r>
                <w:rPr>
                  <w:rFonts w:ascii="Calibri" w:cs="Calibri" w:eastAsia="Calibri" w:hAnsi="Calibri"/>
                  <w:sz w:val="18"/>
                  <w:szCs w:val="18"/>
                  <w:color w:val="0563C1"/>
                  <w:w w:val="97"/>
                </w:rPr>
                <w:t>Materials, Inc. Current Report on Form 8-K, fled on November 14, 2022) (Commission File No. 1-12744)</w:t>
              </w:r>
            </w:hyperlink>
          </w:p>
        </w:tc>
        <w:tc>
          <w:tcPr>
            <w:tcW w:w="1740" w:type="dxa"/>
            <w:vAlign w:val="bottom"/>
            <w:tcBorders>
              <w:bottom w:val="single" w:sz="8" w:color="91BBD3"/>
              <w:right w:val="single" w:sz="8" w:color="91BBD3"/>
            </w:tcBorders>
            <w:gridSpan w:val="3"/>
            <w:shd w:val="clear" w:color="auto" w:fill="DAE8F0"/>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680" w:type="dxa"/>
            <w:vAlign w:val="bottom"/>
            <w:tcBorders>
              <w:left w:val="single" w:sz="8" w:color="91BBD3"/>
              <w:right w:val="single" w:sz="8" w:color="91BBD3"/>
            </w:tcBorders>
          </w:tcPr>
          <w:p>
            <w:pPr>
              <w:jc w:val="right"/>
              <w:ind w:right="1150"/>
              <w:spacing w:after="0" w:line="201" w:lineRule="exact"/>
              <w:rPr>
                <w:sz w:val="20"/>
                <w:szCs w:val="20"/>
                <w:color w:val="auto"/>
              </w:rPr>
            </w:pPr>
            <w:r>
              <w:rPr>
                <w:rFonts w:ascii="Calibri" w:cs="Calibri" w:eastAsia="Calibri" w:hAnsi="Calibri"/>
                <w:sz w:val="18"/>
                <w:szCs w:val="18"/>
                <w:b w:val="1"/>
                <w:bCs w:val="1"/>
                <w:color w:val="auto"/>
              </w:rPr>
              <w:t>4.04</w:t>
            </w:r>
          </w:p>
        </w:tc>
        <w:tc>
          <w:tcPr>
            <w:tcW w:w="100" w:type="dxa"/>
            <w:vAlign w:val="bottom"/>
          </w:tcPr>
          <w:p>
            <w:pPr>
              <w:spacing w:after="0"/>
              <w:rPr>
                <w:sz w:val="17"/>
                <w:szCs w:val="17"/>
                <w:color w:val="auto"/>
              </w:rPr>
            </w:pPr>
          </w:p>
        </w:tc>
        <w:tc>
          <w:tcPr>
            <w:tcW w:w="9120" w:type="dxa"/>
            <w:vAlign w:val="bottom"/>
            <w:tcBorders>
              <w:right w:val="single" w:sz="8" w:color="91BBD3"/>
            </w:tcBorders>
            <w:gridSpan w:val="8"/>
          </w:tcPr>
          <w:p>
            <w:pPr>
              <w:spacing w:after="0" w:line="201" w:lineRule="exact"/>
              <w:rPr>
                <w:sz w:val="20"/>
                <w:szCs w:val="20"/>
                <w:color w:val="auto"/>
              </w:rPr>
            </w:pPr>
            <w:r>
              <w:rPr>
                <w:rFonts w:ascii="Calibri" w:cs="Calibri" w:eastAsia="Calibri" w:hAnsi="Calibri"/>
                <w:sz w:val="18"/>
                <w:szCs w:val="18"/>
                <w:color w:val="auto"/>
              </w:rPr>
              <w:t>Indenture dated as of December 1, 1995 between Martn Marieta Materials, Inc. and First Union Natonal Bank of North</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680" w:type="dxa"/>
            <w:vAlign w:val="bottom"/>
            <w:tcBorders>
              <w:left w:val="single" w:sz="8" w:color="91BBD3"/>
              <w:right w:val="single" w:sz="8" w:color="91BBD3"/>
            </w:tcBorders>
          </w:tcPr>
          <w:p>
            <w:pPr>
              <w:spacing w:after="0"/>
              <w:rPr>
                <w:sz w:val="18"/>
                <w:szCs w:val="18"/>
                <w:color w:val="auto"/>
              </w:rPr>
            </w:pPr>
          </w:p>
        </w:tc>
        <w:tc>
          <w:tcPr>
            <w:tcW w:w="100" w:type="dxa"/>
            <w:vAlign w:val="bottom"/>
          </w:tcPr>
          <w:p>
            <w:pPr>
              <w:spacing w:after="0"/>
              <w:rPr>
                <w:sz w:val="18"/>
                <w:szCs w:val="18"/>
                <w:color w:val="auto"/>
              </w:rPr>
            </w:pPr>
          </w:p>
        </w:tc>
        <w:tc>
          <w:tcPr>
            <w:tcW w:w="9120" w:type="dxa"/>
            <w:vAlign w:val="bottom"/>
            <w:tcBorders>
              <w:right w:val="single" w:sz="8" w:color="91BBD3"/>
            </w:tcBorders>
            <w:gridSpan w:val="8"/>
          </w:tcPr>
          <w:p>
            <w:pPr>
              <w:spacing w:after="0" w:line="215" w:lineRule="exact"/>
              <w:rPr>
                <w:sz w:val="20"/>
                <w:szCs w:val="20"/>
                <w:color w:val="auto"/>
              </w:rPr>
            </w:pPr>
            <w:r>
              <w:rPr>
                <w:rFonts w:ascii="Calibri" w:cs="Calibri" w:eastAsia="Calibri" w:hAnsi="Calibri"/>
                <w:sz w:val="18"/>
                <w:szCs w:val="18"/>
                <w:color w:val="auto"/>
              </w:rPr>
              <w:t>Carolina (incorporated by reference to Exhibit 4(a) to the Martn Marieta Materials, Inc. registraton statement on Form S-3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Borders>
              <w:left w:val="single" w:sz="8" w:color="91BBD3"/>
              <w:right w:val="single" w:sz="8" w:color="91BBD3"/>
            </w:tcBorders>
          </w:tcPr>
          <w:p>
            <w:pPr>
              <w:spacing w:after="0"/>
              <w:rPr>
                <w:sz w:val="18"/>
                <w:szCs w:val="18"/>
                <w:color w:val="auto"/>
              </w:rPr>
            </w:pPr>
          </w:p>
        </w:tc>
        <w:tc>
          <w:tcPr>
            <w:tcW w:w="100" w:type="dxa"/>
            <w:vAlign w:val="bottom"/>
          </w:tcPr>
          <w:p>
            <w:pPr>
              <w:spacing w:after="0"/>
              <w:rPr>
                <w:sz w:val="18"/>
                <w:szCs w:val="18"/>
                <w:color w:val="auto"/>
              </w:rPr>
            </w:pPr>
          </w:p>
        </w:tc>
        <w:tc>
          <w:tcPr>
            <w:tcW w:w="9120" w:type="dxa"/>
            <w:vAlign w:val="bottom"/>
            <w:tcBorders>
              <w:right w:val="single" w:sz="8" w:color="91BBD3"/>
            </w:tcBorders>
            <w:gridSpan w:val="8"/>
          </w:tcPr>
          <w:p>
            <w:pPr>
              <w:spacing w:after="0" w:line="216" w:lineRule="exact"/>
              <w:rPr>
                <w:sz w:val="20"/>
                <w:szCs w:val="20"/>
                <w:color w:val="auto"/>
              </w:rPr>
            </w:pPr>
            <w:r>
              <w:rPr>
                <w:rFonts w:ascii="Calibri" w:cs="Calibri" w:eastAsia="Calibri" w:hAnsi="Calibri"/>
                <w:sz w:val="18"/>
                <w:szCs w:val="18"/>
                <w:color w:val="auto"/>
              </w:rPr>
              <w:t>(SEC Registraton No. 33-99082)) (P)</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1680" w:type="dxa"/>
            <w:vAlign w:val="bottom"/>
            <w:tcBorders>
              <w:left w:val="single" w:sz="8" w:color="91BBD3"/>
              <w:bottom w:val="single" w:sz="8" w:color="91BBD3"/>
              <w:right w:val="single" w:sz="8" w:color="91BBD3"/>
            </w:tcBorders>
          </w:tcPr>
          <w:p>
            <w:pPr>
              <w:spacing w:after="0"/>
              <w:rPr>
                <w:sz w:val="3"/>
                <w:szCs w:val="3"/>
                <w:color w:val="auto"/>
              </w:rPr>
            </w:pPr>
          </w:p>
        </w:tc>
        <w:tc>
          <w:tcPr>
            <w:tcW w:w="100" w:type="dxa"/>
            <w:vAlign w:val="bottom"/>
            <w:tcBorders>
              <w:bottom w:val="single" w:sz="8" w:color="91BBD3"/>
            </w:tcBorders>
          </w:tcPr>
          <w:p>
            <w:pPr>
              <w:spacing w:after="0"/>
              <w:rPr>
                <w:sz w:val="3"/>
                <w:szCs w:val="3"/>
                <w:color w:val="auto"/>
              </w:rPr>
            </w:pPr>
          </w:p>
        </w:tc>
        <w:tc>
          <w:tcPr>
            <w:tcW w:w="2180" w:type="dxa"/>
            <w:vAlign w:val="bottom"/>
            <w:tcBorders>
              <w:bottom w:val="single" w:sz="8" w:color="91BBD3"/>
            </w:tcBorders>
          </w:tcPr>
          <w:p>
            <w:pPr>
              <w:spacing w:after="0"/>
              <w:rPr>
                <w:sz w:val="3"/>
                <w:szCs w:val="3"/>
                <w:color w:val="auto"/>
              </w:rPr>
            </w:pPr>
          </w:p>
        </w:tc>
        <w:tc>
          <w:tcPr>
            <w:tcW w:w="720" w:type="dxa"/>
            <w:vAlign w:val="bottom"/>
            <w:tcBorders>
              <w:bottom w:val="single" w:sz="8" w:color="91BBD3"/>
            </w:tcBorders>
          </w:tcPr>
          <w:p>
            <w:pPr>
              <w:spacing w:after="0"/>
              <w:rPr>
                <w:sz w:val="3"/>
                <w:szCs w:val="3"/>
                <w:color w:val="auto"/>
              </w:rPr>
            </w:pPr>
          </w:p>
        </w:tc>
        <w:tc>
          <w:tcPr>
            <w:tcW w:w="2420" w:type="dxa"/>
            <w:vAlign w:val="bottom"/>
            <w:tcBorders>
              <w:bottom w:val="single" w:sz="8" w:color="91BBD3"/>
            </w:tcBorders>
          </w:tcPr>
          <w:p>
            <w:pPr>
              <w:spacing w:after="0"/>
              <w:rPr>
                <w:sz w:val="3"/>
                <w:szCs w:val="3"/>
                <w:color w:val="auto"/>
              </w:rPr>
            </w:pPr>
          </w:p>
        </w:tc>
        <w:tc>
          <w:tcPr>
            <w:tcW w:w="420" w:type="dxa"/>
            <w:vAlign w:val="bottom"/>
            <w:tcBorders>
              <w:bottom w:val="single" w:sz="8" w:color="91BBD3"/>
            </w:tcBorders>
          </w:tcPr>
          <w:p>
            <w:pPr>
              <w:spacing w:after="0"/>
              <w:rPr>
                <w:sz w:val="3"/>
                <w:szCs w:val="3"/>
                <w:color w:val="auto"/>
              </w:rPr>
            </w:pPr>
          </w:p>
        </w:tc>
        <w:tc>
          <w:tcPr>
            <w:tcW w:w="1640" w:type="dxa"/>
            <w:vAlign w:val="bottom"/>
            <w:tcBorders>
              <w:bottom w:val="single" w:sz="8" w:color="91BBD3"/>
            </w:tcBorders>
          </w:tcPr>
          <w:p>
            <w:pPr>
              <w:spacing w:after="0"/>
              <w:rPr>
                <w:sz w:val="3"/>
                <w:szCs w:val="3"/>
                <w:color w:val="auto"/>
              </w:rPr>
            </w:pPr>
          </w:p>
        </w:tc>
        <w:tc>
          <w:tcPr>
            <w:tcW w:w="1620" w:type="dxa"/>
            <w:vAlign w:val="bottom"/>
            <w:tcBorders>
              <w:bottom w:val="single" w:sz="8" w:color="91BBD3"/>
            </w:tcBorders>
          </w:tcPr>
          <w:p>
            <w:pPr>
              <w:spacing w:after="0"/>
              <w:rPr>
                <w:sz w:val="3"/>
                <w:szCs w:val="3"/>
                <w:color w:val="auto"/>
              </w:rPr>
            </w:pPr>
          </w:p>
        </w:tc>
        <w:tc>
          <w:tcPr>
            <w:tcW w:w="20" w:type="dxa"/>
            <w:vAlign w:val="bottom"/>
            <w:tcBorders>
              <w:bottom w:val="single" w:sz="8" w:color="91BBD3"/>
            </w:tcBorders>
          </w:tcPr>
          <w:p>
            <w:pPr>
              <w:spacing w:after="0"/>
              <w:rPr>
                <w:sz w:val="3"/>
                <w:szCs w:val="3"/>
                <w:color w:val="auto"/>
              </w:rPr>
            </w:pPr>
          </w:p>
        </w:tc>
        <w:tc>
          <w:tcPr>
            <w:tcW w:w="100" w:type="dxa"/>
            <w:vAlign w:val="bottom"/>
            <w:tcBorders>
              <w:bottom w:val="single" w:sz="8" w:color="91BBD3"/>
              <w:right w:val="single" w:sz="8" w:color="91BBD3"/>
            </w:tcBorders>
          </w:tcPr>
          <w:p>
            <w:pPr>
              <w:spacing w:after="0"/>
              <w:rPr>
                <w:sz w:val="3"/>
                <w:szCs w:val="3"/>
                <w:color w:val="auto"/>
              </w:rPr>
            </w:pPr>
          </w:p>
        </w:tc>
        <w:tc>
          <w:tcPr>
            <w:tcW w:w="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1680" w:type="dxa"/>
            <w:vAlign w:val="bottom"/>
            <w:tcBorders>
              <w:left w:val="single" w:sz="8" w:color="91BBD3"/>
              <w:right w:val="single" w:sz="8" w:color="91BBD3"/>
            </w:tcBorders>
            <w:shd w:val="clear" w:color="auto" w:fill="DAE8F0"/>
          </w:tcPr>
          <w:p>
            <w:pPr>
              <w:jc w:val="right"/>
              <w:ind w:right="1150"/>
              <w:spacing w:after="0" w:line="201" w:lineRule="exact"/>
              <w:rPr>
                <w:sz w:val="20"/>
                <w:szCs w:val="20"/>
                <w:color w:val="auto"/>
              </w:rPr>
            </w:pPr>
            <w:r>
              <w:rPr>
                <w:rFonts w:ascii="Calibri" w:cs="Calibri" w:eastAsia="Calibri" w:hAnsi="Calibri"/>
                <w:sz w:val="18"/>
                <w:szCs w:val="18"/>
                <w:b w:val="1"/>
                <w:bCs w:val="1"/>
                <w:color w:val="auto"/>
              </w:rPr>
              <w:t>4.05</w:t>
            </w:r>
          </w:p>
        </w:tc>
        <w:tc>
          <w:tcPr>
            <w:tcW w:w="100" w:type="dxa"/>
            <w:vAlign w:val="bottom"/>
            <w:shd w:val="clear" w:color="auto" w:fill="DAE8F0"/>
          </w:tcPr>
          <w:p>
            <w:pPr>
              <w:spacing w:after="0"/>
              <w:rPr>
                <w:sz w:val="17"/>
                <w:szCs w:val="17"/>
                <w:color w:val="auto"/>
              </w:rPr>
            </w:pPr>
          </w:p>
        </w:tc>
        <w:tc>
          <w:tcPr>
            <w:tcW w:w="9120" w:type="dxa"/>
            <w:vAlign w:val="bottom"/>
            <w:tcBorders>
              <w:right w:val="single" w:sz="8" w:color="91BBD3"/>
            </w:tcBorders>
            <w:gridSpan w:val="8"/>
            <w:shd w:val="clear" w:color="auto" w:fill="DAE8F0"/>
          </w:tcPr>
          <w:p>
            <w:pPr>
              <w:spacing w:after="0" w:line="201" w:lineRule="exact"/>
              <w:rPr>
                <w:sz w:val="20"/>
                <w:szCs w:val="20"/>
                <w:color w:val="auto"/>
              </w:rPr>
            </w:pPr>
            <w:r>
              <w:rPr>
                <w:rFonts w:ascii="Calibri" w:cs="Calibri" w:eastAsia="Calibri" w:hAnsi="Calibri"/>
                <w:sz w:val="18"/>
                <w:szCs w:val="18"/>
                <w:color w:val="auto"/>
              </w:rPr>
              <w:t>Form of Martn Marieta Materials, Inc. 7% Debenture due 2025 (incorporated by reference to Exhibit 4(a)(i) to the Martn</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680" w:type="dxa"/>
            <w:vAlign w:val="bottom"/>
            <w:tcBorders>
              <w:left w:val="single" w:sz="8" w:color="91BBD3"/>
              <w:bottom w:val="single" w:sz="8" w:color="DAE8F0"/>
              <w:right w:val="single" w:sz="8" w:color="91BBD3"/>
            </w:tcBorders>
            <w:shd w:val="clear" w:color="auto" w:fill="DAE8F0"/>
          </w:tcPr>
          <w:p>
            <w:pPr>
              <w:spacing w:after="0"/>
              <w:rPr>
                <w:sz w:val="21"/>
                <w:szCs w:val="21"/>
                <w:color w:val="auto"/>
              </w:rPr>
            </w:pPr>
          </w:p>
        </w:tc>
        <w:tc>
          <w:tcPr>
            <w:tcW w:w="100" w:type="dxa"/>
            <w:vAlign w:val="bottom"/>
            <w:tcBorders>
              <w:bottom w:val="single" w:sz="8" w:color="DAE8F0"/>
            </w:tcBorders>
            <w:shd w:val="clear" w:color="auto" w:fill="DAE8F0"/>
          </w:tcPr>
          <w:p>
            <w:pPr>
              <w:spacing w:after="0"/>
              <w:rPr>
                <w:sz w:val="21"/>
                <w:szCs w:val="21"/>
                <w:color w:val="auto"/>
              </w:rPr>
            </w:pPr>
          </w:p>
        </w:tc>
        <w:tc>
          <w:tcPr>
            <w:tcW w:w="9120" w:type="dxa"/>
            <w:vAlign w:val="bottom"/>
            <w:tcBorders>
              <w:bottom w:val="single" w:sz="8" w:color="DAE8F0"/>
              <w:right w:val="single" w:sz="8" w:color="91BBD3"/>
            </w:tcBorders>
            <w:gridSpan w:val="8"/>
            <w:shd w:val="clear" w:color="auto" w:fill="DAE8F0"/>
          </w:tcPr>
          <w:p>
            <w:pPr>
              <w:spacing w:after="0" w:line="215" w:lineRule="exact"/>
              <w:rPr>
                <w:sz w:val="20"/>
                <w:szCs w:val="20"/>
                <w:color w:val="auto"/>
              </w:rPr>
            </w:pPr>
            <w:r>
              <w:rPr>
                <w:rFonts w:ascii="Calibri" w:cs="Calibri" w:eastAsia="Calibri" w:hAnsi="Calibri"/>
                <w:sz w:val="18"/>
                <w:szCs w:val="18"/>
                <w:color w:val="auto"/>
              </w:rPr>
              <w:t>Marieta Materials, Inc. registraton statement on Form S-3 (SEC Registraton No. 33-99082)) (P)</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680" w:type="dxa"/>
            <w:vAlign w:val="bottom"/>
            <w:tcBorders>
              <w:top w:val="single" w:sz="8" w:color="91BBD3"/>
              <w:left w:val="single" w:sz="8" w:color="91BBD3"/>
              <w:right w:val="single" w:sz="8" w:color="91BBD3"/>
            </w:tcBorders>
          </w:tcPr>
          <w:p>
            <w:pPr>
              <w:jc w:val="right"/>
              <w:ind w:right="1150"/>
              <w:spacing w:after="0" w:line="169" w:lineRule="exact"/>
              <w:rPr>
                <w:sz w:val="20"/>
                <w:szCs w:val="20"/>
                <w:color w:val="auto"/>
              </w:rPr>
            </w:pPr>
            <w:r>
              <w:rPr>
                <w:rFonts w:ascii="Calibri" w:cs="Calibri" w:eastAsia="Calibri" w:hAnsi="Calibri"/>
                <w:sz w:val="18"/>
                <w:szCs w:val="18"/>
                <w:b w:val="1"/>
                <w:bCs w:val="1"/>
                <w:color w:val="auto"/>
              </w:rPr>
              <w:t>4.06</w:t>
            </w:r>
          </w:p>
        </w:tc>
        <w:tc>
          <w:tcPr>
            <w:tcW w:w="100" w:type="dxa"/>
            <w:vAlign w:val="bottom"/>
            <w:tcBorders>
              <w:top w:val="single" w:sz="8" w:color="91BBD3"/>
            </w:tcBorders>
          </w:tcPr>
          <w:p>
            <w:pPr>
              <w:spacing w:after="0"/>
              <w:rPr>
                <w:sz w:val="14"/>
                <w:szCs w:val="14"/>
                <w:color w:val="auto"/>
              </w:rPr>
            </w:pPr>
          </w:p>
        </w:tc>
        <w:tc>
          <w:tcPr>
            <w:tcW w:w="9120" w:type="dxa"/>
            <w:vAlign w:val="bottom"/>
            <w:tcBorders>
              <w:top w:val="single" w:sz="8" w:color="91BBD3"/>
              <w:right w:val="single" w:sz="8" w:color="91BBD3"/>
            </w:tcBorders>
            <w:gridSpan w:val="8"/>
          </w:tcPr>
          <w:p>
            <w:pPr>
              <w:spacing w:after="0" w:line="169" w:lineRule="exact"/>
              <w:rPr>
                <w:rFonts w:ascii="Calibri" w:cs="Calibri" w:eastAsia="Calibri" w:hAnsi="Calibri"/>
                <w:sz w:val="18"/>
                <w:szCs w:val="18"/>
                <w:color w:val="0563C1"/>
              </w:rPr>
            </w:pPr>
            <w:hyperlink r:id="rId479">
              <w:r>
                <w:rPr>
                  <w:rFonts w:ascii="Calibri" w:cs="Calibri" w:eastAsia="Calibri" w:hAnsi="Calibri"/>
                  <w:sz w:val="18"/>
                  <w:szCs w:val="18"/>
                  <w:color w:val="0563C1"/>
                </w:rPr>
                <w:t>Indenture dated as of April 30, 2007 between Martn Marieta Materials, Inc. and Truist Bank (as successor by merger to</w:t>
              </w:r>
            </w:hyperlink>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00" w:type="dxa"/>
            <w:vAlign w:val="bottom"/>
            <w:tcBorders>
              <w:top w:val="single" w:sz="8" w:color="0563C1"/>
            </w:tcBorders>
            <w:gridSpan w:val="6"/>
          </w:tcPr>
          <w:p>
            <w:pPr>
              <w:spacing w:after="0" w:line="196" w:lineRule="exact"/>
              <w:rPr>
                <w:rFonts w:ascii="Calibri" w:cs="Calibri" w:eastAsia="Calibri" w:hAnsi="Calibri"/>
                <w:sz w:val="18"/>
                <w:szCs w:val="18"/>
                <w:color w:val="0563C1"/>
              </w:rPr>
            </w:pPr>
            <w:hyperlink r:id="rId479">
              <w:r>
                <w:rPr>
                  <w:rFonts w:ascii="Calibri" w:cs="Calibri" w:eastAsia="Calibri" w:hAnsi="Calibri"/>
                  <w:sz w:val="18"/>
                  <w:szCs w:val="18"/>
                  <w:color w:val="0563C1"/>
                </w:rPr>
                <w:t>SunTrust Bank and formerly known as Branch Banking and Trust Company,</w:t>
              </w:r>
            </w:hyperlink>
          </w:p>
        </w:tc>
        <w:tc>
          <w:tcPr>
            <w:tcW w:w="120" w:type="dxa"/>
            <w:vAlign w:val="bottom"/>
            <w:tcBorders>
              <w:right w:val="single" w:sz="8" w:color="91BBD3"/>
            </w:tcBorders>
            <w:gridSpan w:val="2"/>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680" w:type="dxa"/>
            <w:vAlign w:val="bottom"/>
            <w:tcBorders>
              <w:left w:val="single" w:sz="8" w:color="91BBD3"/>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2180" w:type="dxa"/>
            <w:vAlign w:val="bottom"/>
            <w:tcBorders>
              <w:top w:val="single" w:sz="8" w:color="0000EE"/>
              <w:bottom w:val="single" w:sz="8" w:color="91BBD3"/>
            </w:tcBorders>
          </w:tcPr>
          <w:p>
            <w:pPr>
              <w:spacing w:after="0"/>
              <w:rPr>
                <w:sz w:val="4"/>
                <w:szCs w:val="4"/>
                <w:color w:val="auto"/>
              </w:rPr>
            </w:pPr>
          </w:p>
        </w:tc>
        <w:tc>
          <w:tcPr>
            <w:tcW w:w="720" w:type="dxa"/>
            <w:vAlign w:val="bottom"/>
            <w:tcBorders>
              <w:top w:val="single" w:sz="8" w:color="0000EE"/>
              <w:bottom w:val="single" w:sz="8" w:color="91BBD3"/>
            </w:tcBorders>
          </w:tcPr>
          <w:p>
            <w:pPr>
              <w:spacing w:after="0"/>
              <w:rPr>
                <w:sz w:val="4"/>
                <w:szCs w:val="4"/>
                <w:color w:val="auto"/>
              </w:rPr>
            </w:pPr>
          </w:p>
        </w:tc>
        <w:tc>
          <w:tcPr>
            <w:tcW w:w="2420" w:type="dxa"/>
            <w:vAlign w:val="bottom"/>
            <w:tcBorders>
              <w:top w:val="single" w:sz="8" w:color="0000EE"/>
              <w:bottom w:val="single" w:sz="8" w:color="91BBD3"/>
            </w:tcBorders>
          </w:tcPr>
          <w:p>
            <w:pPr>
              <w:spacing w:after="0"/>
              <w:rPr>
                <w:sz w:val="4"/>
                <w:szCs w:val="4"/>
                <w:color w:val="auto"/>
              </w:rPr>
            </w:pPr>
          </w:p>
        </w:tc>
        <w:tc>
          <w:tcPr>
            <w:tcW w:w="420" w:type="dxa"/>
            <w:vAlign w:val="bottom"/>
            <w:tcBorders>
              <w:bottom w:val="single" w:sz="8" w:color="91BBD3"/>
            </w:tcBorders>
          </w:tcPr>
          <w:p>
            <w:pPr>
              <w:spacing w:after="0"/>
              <w:rPr>
                <w:sz w:val="4"/>
                <w:szCs w:val="4"/>
                <w:color w:val="auto"/>
              </w:rPr>
            </w:pPr>
          </w:p>
        </w:tc>
        <w:tc>
          <w:tcPr>
            <w:tcW w:w="1640" w:type="dxa"/>
            <w:vAlign w:val="bottom"/>
            <w:tcBorders>
              <w:bottom w:val="single" w:sz="8" w:color="91BBD3"/>
            </w:tcBorders>
          </w:tcPr>
          <w:p>
            <w:pPr>
              <w:spacing w:after="0"/>
              <w:rPr>
                <w:sz w:val="4"/>
                <w:szCs w:val="4"/>
                <w:color w:val="auto"/>
              </w:rPr>
            </w:pPr>
          </w:p>
        </w:tc>
        <w:tc>
          <w:tcPr>
            <w:tcW w:w="162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100" w:type="dxa"/>
            <w:vAlign w:val="bottom"/>
            <w:tcBorders>
              <w:bottom w:val="single" w:sz="8" w:color="91BBD3"/>
              <w:right w:val="single" w:sz="8" w:color="91BBD3"/>
            </w:tcBorders>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5"/>
        </w:trPr>
        <w:tc>
          <w:tcPr>
            <w:tcW w:w="1680" w:type="dxa"/>
            <w:vAlign w:val="bottom"/>
          </w:tcPr>
          <w:p>
            <w:pPr>
              <w:jc w:val="right"/>
              <w:ind w:right="29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116</w:t>
            </w: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-402590</wp:posOffset>
            </wp:positionV>
            <wp:extent cx="325755" cy="19748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2">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8" w:name="page119"/>
    <w:bookmarkEnd w:id="118"/>
    <w:tbl>
      <w:tblPr>
        <w:tblLayout w:type="fixed"/>
        <w:tblInd w:w="10" w:type="dxa"/>
        <w:tblCellMar>
          <w:top w:w="0" w:type="dxa"/>
          <w:left w:w="0" w:type="dxa"/>
          <w:bottom w:w="0" w:type="dxa"/>
          <w:right w:w="0" w:type="dxa"/>
        </w:tblCellMar>
      </w:tblPr>
      <w:tr>
        <w:trPr>
          <w:trHeight w:val="308"/>
        </w:trPr>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60" w:type="dxa"/>
            <w:vAlign w:val="bottom"/>
            <w:gridSpan w:val="7"/>
          </w:tcPr>
          <w:p>
            <w:pPr>
              <w:ind w:left="240"/>
              <w:spacing w:after="0"/>
              <w:rPr>
                <w:sz w:val="20"/>
                <w:szCs w:val="20"/>
                <w:color w:val="auto"/>
              </w:rPr>
            </w:pPr>
            <w:r>
              <w:rPr>
                <w:rFonts w:ascii="Calibri" w:cs="Calibri" w:eastAsia="Calibri" w:hAnsi="Calibri"/>
                <w:sz w:val="18"/>
                <w:szCs w:val="18"/>
                <w:color w:val="auto"/>
                <w:w w:val="98"/>
              </w:rPr>
              <w:t xml:space="preserve">Part IV </w:t>
            </w:r>
            <w:r>
              <w:rPr>
                <w:rFonts w:ascii="Arial" w:cs="Arial" w:eastAsia="Arial" w:hAnsi="Arial"/>
                <w:sz w:val="23"/>
                <w:szCs w:val="23"/>
                <w:color w:val="0070C0"/>
                <w:w w:val="98"/>
              </w:rPr>
              <w:t>♦</w:t>
            </w:r>
            <w:r>
              <w:rPr>
                <w:rFonts w:ascii="Calibri" w:cs="Calibri" w:eastAsia="Calibri" w:hAnsi="Calibri"/>
                <w:sz w:val="18"/>
                <w:szCs w:val="18"/>
                <w:color w:val="auto"/>
                <w:w w:val="98"/>
              </w:rPr>
              <w:t xml:space="preserve"> Item 15 – Exhibits and Financial Statement Schedules</w:t>
            </w:r>
          </w:p>
        </w:tc>
        <w:tc>
          <w:tcPr>
            <w:tcW w:w="0" w:type="dxa"/>
            <w:vAlign w:val="bottom"/>
          </w:tcPr>
          <w:p>
            <w:pPr>
              <w:spacing w:after="0"/>
              <w:rPr>
                <w:sz w:val="1"/>
                <w:szCs w:val="1"/>
                <w:color w:val="auto"/>
              </w:rPr>
            </w:pPr>
          </w:p>
        </w:tc>
      </w:tr>
      <w:tr>
        <w:trPr>
          <w:trHeight w:val="166"/>
        </w:trPr>
        <w:tc>
          <w:tcPr>
            <w:tcW w:w="1680" w:type="dxa"/>
            <w:vAlign w:val="bottom"/>
            <w:tcBorders>
              <w:bottom w:val="single" w:sz="8" w:color="91BBD3"/>
            </w:tcBorders>
          </w:tcPr>
          <w:p>
            <w:pPr>
              <w:spacing w:after="0"/>
              <w:rPr>
                <w:sz w:val="14"/>
                <w:szCs w:val="14"/>
                <w:color w:val="auto"/>
              </w:rPr>
            </w:pPr>
          </w:p>
        </w:tc>
        <w:tc>
          <w:tcPr>
            <w:tcW w:w="100" w:type="dxa"/>
            <w:vAlign w:val="bottom"/>
            <w:tcBorders>
              <w:bottom w:val="single" w:sz="8" w:color="007DC6"/>
            </w:tcBorders>
          </w:tcPr>
          <w:p>
            <w:pPr>
              <w:spacing w:after="0"/>
              <w:rPr>
                <w:sz w:val="14"/>
                <w:szCs w:val="14"/>
                <w:color w:val="auto"/>
              </w:rPr>
            </w:pPr>
          </w:p>
        </w:tc>
        <w:tc>
          <w:tcPr>
            <w:tcW w:w="980" w:type="dxa"/>
            <w:vAlign w:val="bottom"/>
            <w:tcBorders>
              <w:bottom w:val="single" w:sz="8" w:color="007DC6"/>
            </w:tcBorders>
          </w:tcPr>
          <w:p>
            <w:pPr>
              <w:spacing w:after="0"/>
              <w:rPr>
                <w:sz w:val="14"/>
                <w:szCs w:val="14"/>
                <w:color w:val="auto"/>
              </w:rPr>
            </w:pPr>
          </w:p>
        </w:tc>
        <w:tc>
          <w:tcPr>
            <w:tcW w:w="1200" w:type="dxa"/>
            <w:vAlign w:val="bottom"/>
            <w:tcBorders>
              <w:bottom w:val="single" w:sz="8" w:color="007DC6"/>
            </w:tcBorders>
          </w:tcPr>
          <w:p>
            <w:pPr>
              <w:spacing w:after="0"/>
              <w:rPr>
                <w:sz w:val="14"/>
                <w:szCs w:val="14"/>
                <w:color w:val="auto"/>
              </w:rPr>
            </w:pPr>
          </w:p>
        </w:tc>
        <w:tc>
          <w:tcPr>
            <w:tcW w:w="1100" w:type="dxa"/>
            <w:vAlign w:val="bottom"/>
            <w:tcBorders>
              <w:bottom w:val="single" w:sz="8" w:color="007DC6"/>
            </w:tcBorders>
          </w:tcPr>
          <w:p>
            <w:pPr>
              <w:spacing w:after="0"/>
              <w:rPr>
                <w:sz w:val="14"/>
                <w:szCs w:val="14"/>
                <w:color w:val="auto"/>
              </w:rPr>
            </w:pPr>
          </w:p>
        </w:tc>
        <w:tc>
          <w:tcPr>
            <w:tcW w:w="560" w:type="dxa"/>
            <w:vAlign w:val="bottom"/>
            <w:tcBorders>
              <w:bottom w:val="single" w:sz="8" w:color="007DC6"/>
            </w:tcBorders>
          </w:tcPr>
          <w:p>
            <w:pPr>
              <w:spacing w:after="0"/>
              <w:rPr>
                <w:sz w:val="14"/>
                <w:szCs w:val="14"/>
                <w:color w:val="auto"/>
              </w:rPr>
            </w:pPr>
          </w:p>
        </w:tc>
        <w:tc>
          <w:tcPr>
            <w:tcW w:w="74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100" w:type="dxa"/>
            <w:vAlign w:val="bottom"/>
            <w:tcBorders>
              <w:bottom w:val="single" w:sz="8" w:color="007DC6"/>
            </w:tcBorders>
          </w:tcPr>
          <w:p>
            <w:pPr>
              <w:spacing w:after="0"/>
              <w:rPr>
                <w:sz w:val="14"/>
                <w:szCs w:val="14"/>
                <w:color w:val="auto"/>
              </w:rPr>
            </w:pPr>
          </w:p>
        </w:tc>
        <w:tc>
          <w:tcPr>
            <w:tcW w:w="1340" w:type="dxa"/>
            <w:vAlign w:val="bottom"/>
            <w:tcBorders>
              <w:bottom w:val="single" w:sz="8" w:color="007DC6"/>
            </w:tcBorders>
          </w:tcPr>
          <w:p>
            <w:pPr>
              <w:spacing w:after="0"/>
              <w:rPr>
                <w:sz w:val="14"/>
                <w:szCs w:val="14"/>
                <w:color w:val="auto"/>
              </w:rPr>
            </w:pPr>
          </w:p>
        </w:tc>
        <w:tc>
          <w:tcPr>
            <w:tcW w:w="1500" w:type="dxa"/>
            <w:vAlign w:val="bottom"/>
            <w:tcBorders>
              <w:bottom w:val="single" w:sz="8" w:color="007DC6"/>
            </w:tcBorders>
          </w:tcPr>
          <w:p>
            <w:pPr>
              <w:spacing w:after="0"/>
              <w:rPr>
                <w:sz w:val="14"/>
                <w:szCs w:val="14"/>
                <w:color w:val="auto"/>
              </w:rPr>
            </w:pPr>
          </w:p>
        </w:tc>
        <w:tc>
          <w:tcPr>
            <w:tcW w:w="1180" w:type="dxa"/>
            <w:vAlign w:val="bottom"/>
            <w:tcBorders>
              <w:bottom w:val="single" w:sz="8" w:color="007DC6"/>
            </w:tcBorders>
          </w:tcPr>
          <w:p>
            <w:pPr>
              <w:spacing w:after="0"/>
              <w:rPr>
                <w:sz w:val="14"/>
                <w:szCs w:val="14"/>
                <w:color w:val="auto"/>
              </w:rPr>
            </w:pPr>
          </w:p>
        </w:tc>
        <w:tc>
          <w:tcPr>
            <w:tcW w:w="140" w:type="dxa"/>
            <w:vAlign w:val="bottom"/>
            <w:tcBorders>
              <w:bottom w:val="single" w:sz="8" w:color="007DC6"/>
            </w:tcBorders>
          </w:tcPr>
          <w:p>
            <w:pPr>
              <w:spacing w:after="0"/>
              <w:rPr>
                <w:sz w:val="14"/>
                <w:szCs w:val="14"/>
                <w:color w:val="auto"/>
              </w:rPr>
            </w:pPr>
          </w:p>
        </w:tc>
        <w:tc>
          <w:tcPr>
            <w:tcW w:w="140" w:type="dxa"/>
            <w:vAlign w:val="bottom"/>
            <w:tcBorders>
              <w:bottom w:val="single" w:sz="8" w:color="007DC6"/>
            </w:tcBorders>
          </w:tcPr>
          <w:p>
            <w:pPr>
              <w:spacing w:after="0"/>
              <w:rPr>
                <w:sz w:val="14"/>
                <w:szCs w:val="14"/>
                <w:color w:val="auto"/>
              </w:rPr>
            </w:pPr>
          </w:p>
        </w:tc>
        <w:tc>
          <w:tcPr>
            <w:tcW w:w="120" w:type="dxa"/>
            <w:vAlign w:val="bottom"/>
            <w:tcBorders>
              <w:bottom w:val="single" w:sz="8" w:color="007DC6"/>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1"/>
        </w:trPr>
        <w:tc>
          <w:tcPr>
            <w:tcW w:w="1680" w:type="dxa"/>
            <w:vAlign w:val="bottom"/>
            <w:tcBorders>
              <w:left w:val="single" w:sz="8" w:color="91BBD3"/>
              <w:bottom w:val="single" w:sz="8" w:color="007DC6"/>
              <w:right w:val="single" w:sz="8" w:color="007DC6"/>
            </w:tcBorders>
            <w:shd w:val="clear" w:color="auto" w:fill="007DC6"/>
          </w:tcPr>
          <w:p>
            <w:pPr>
              <w:jc w:val="right"/>
              <w:ind w:right="350"/>
              <w:spacing w:after="0"/>
              <w:rPr>
                <w:sz w:val="20"/>
                <w:szCs w:val="20"/>
                <w:color w:val="auto"/>
              </w:rPr>
            </w:pPr>
            <w:r>
              <w:rPr>
                <w:rFonts w:ascii="Calibri" w:cs="Calibri" w:eastAsia="Calibri" w:hAnsi="Calibri"/>
                <w:sz w:val="18"/>
                <w:szCs w:val="18"/>
                <w:b w:val="1"/>
                <w:bCs w:val="1"/>
                <w:color w:val="FFFFFF"/>
              </w:rPr>
              <w:t>Exhibit No.</w:t>
            </w:r>
          </w:p>
        </w:tc>
        <w:tc>
          <w:tcPr>
            <w:tcW w:w="100" w:type="dxa"/>
            <w:vAlign w:val="bottom"/>
            <w:tcBorders>
              <w:bottom w:val="single" w:sz="8" w:color="007DC6"/>
            </w:tcBorders>
            <w:shd w:val="clear" w:color="auto" w:fill="007DC6"/>
          </w:tcPr>
          <w:p>
            <w:pPr>
              <w:spacing w:after="0"/>
              <w:rPr>
                <w:sz w:val="24"/>
                <w:szCs w:val="24"/>
                <w:color w:val="auto"/>
              </w:rPr>
            </w:pPr>
          </w:p>
        </w:tc>
        <w:tc>
          <w:tcPr>
            <w:tcW w:w="980" w:type="dxa"/>
            <w:vAlign w:val="bottom"/>
            <w:tcBorders>
              <w:bottom w:val="single" w:sz="8" w:color="007DC6"/>
            </w:tcBorders>
            <w:shd w:val="clear" w:color="auto" w:fill="007DC6"/>
          </w:tcPr>
          <w:p>
            <w:pPr>
              <w:spacing w:after="0"/>
              <w:rPr>
                <w:sz w:val="24"/>
                <w:szCs w:val="24"/>
                <w:color w:val="auto"/>
              </w:rPr>
            </w:pPr>
          </w:p>
        </w:tc>
        <w:tc>
          <w:tcPr>
            <w:tcW w:w="1200" w:type="dxa"/>
            <w:vAlign w:val="bottom"/>
            <w:tcBorders>
              <w:bottom w:val="single" w:sz="8" w:color="007DC6"/>
            </w:tcBorders>
            <w:shd w:val="clear" w:color="auto" w:fill="007DC6"/>
          </w:tcPr>
          <w:p>
            <w:pPr>
              <w:spacing w:after="0"/>
              <w:rPr>
                <w:sz w:val="24"/>
                <w:szCs w:val="24"/>
                <w:color w:val="auto"/>
              </w:rPr>
            </w:pPr>
          </w:p>
        </w:tc>
        <w:tc>
          <w:tcPr>
            <w:tcW w:w="1100" w:type="dxa"/>
            <w:vAlign w:val="bottom"/>
            <w:tcBorders>
              <w:bottom w:val="single" w:sz="8" w:color="007DC6"/>
            </w:tcBorders>
            <w:shd w:val="clear" w:color="auto" w:fill="007DC6"/>
          </w:tcPr>
          <w:p>
            <w:pPr>
              <w:spacing w:after="0"/>
              <w:rPr>
                <w:sz w:val="24"/>
                <w:szCs w:val="24"/>
                <w:color w:val="auto"/>
              </w:rPr>
            </w:pPr>
          </w:p>
        </w:tc>
        <w:tc>
          <w:tcPr>
            <w:tcW w:w="560" w:type="dxa"/>
            <w:vAlign w:val="bottom"/>
            <w:tcBorders>
              <w:bottom w:val="single" w:sz="8" w:color="007DC6"/>
            </w:tcBorders>
            <w:shd w:val="clear" w:color="auto" w:fill="007DC6"/>
          </w:tcPr>
          <w:p>
            <w:pPr>
              <w:spacing w:after="0"/>
              <w:rPr>
                <w:sz w:val="24"/>
                <w:szCs w:val="24"/>
                <w:color w:val="auto"/>
              </w:rPr>
            </w:pPr>
          </w:p>
        </w:tc>
        <w:tc>
          <w:tcPr>
            <w:tcW w:w="740" w:type="dxa"/>
            <w:vAlign w:val="bottom"/>
            <w:tcBorders>
              <w:bottom w:val="single" w:sz="8" w:color="007DC6"/>
            </w:tcBorders>
            <w:shd w:val="clear" w:color="auto" w:fill="007DC6"/>
          </w:tcPr>
          <w:p>
            <w:pPr>
              <w:spacing w:after="0"/>
              <w:rPr>
                <w:sz w:val="24"/>
                <w:szCs w:val="24"/>
                <w:color w:val="auto"/>
              </w:rPr>
            </w:pPr>
          </w:p>
        </w:tc>
        <w:tc>
          <w:tcPr>
            <w:tcW w:w="20" w:type="dxa"/>
            <w:vAlign w:val="bottom"/>
            <w:tcBorders>
              <w:bottom w:val="single" w:sz="8" w:color="007DC6"/>
            </w:tcBorders>
            <w:shd w:val="clear" w:color="auto" w:fill="007DC6"/>
          </w:tcPr>
          <w:p>
            <w:pPr>
              <w:spacing w:after="0"/>
              <w:rPr>
                <w:sz w:val="24"/>
                <w:szCs w:val="24"/>
                <w:color w:val="auto"/>
              </w:rPr>
            </w:pPr>
          </w:p>
        </w:tc>
        <w:tc>
          <w:tcPr>
            <w:tcW w:w="100" w:type="dxa"/>
            <w:vAlign w:val="bottom"/>
            <w:tcBorders>
              <w:bottom w:val="single" w:sz="8" w:color="007DC6"/>
            </w:tcBorders>
            <w:shd w:val="clear" w:color="auto" w:fill="007DC6"/>
          </w:tcPr>
          <w:p>
            <w:pPr>
              <w:spacing w:after="0"/>
              <w:rPr>
                <w:sz w:val="24"/>
                <w:szCs w:val="24"/>
                <w:color w:val="auto"/>
              </w:rPr>
            </w:pPr>
          </w:p>
        </w:tc>
        <w:tc>
          <w:tcPr>
            <w:tcW w:w="1340" w:type="dxa"/>
            <w:vAlign w:val="bottom"/>
            <w:tcBorders>
              <w:bottom w:val="single" w:sz="8" w:color="007DC6"/>
            </w:tcBorders>
            <w:shd w:val="clear" w:color="auto" w:fill="007DC6"/>
          </w:tcPr>
          <w:p>
            <w:pPr>
              <w:spacing w:after="0"/>
              <w:rPr>
                <w:sz w:val="24"/>
                <w:szCs w:val="24"/>
                <w:color w:val="auto"/>
              </w:rPr>
            </w:pPr>
          </w:p>
        </w:tc>
        <w:tc>
          <w:tcPr>
            <w:tcW w:w="1500" w:type="dxa"/>
            <w:vAlign w:val="bottom"/>
            <w:tcBorders>
              <w:bottom w:val="single" w:sz="8" w:color="007DC6"/>
            </w:tcBorders>
            <w:shd w:val="clear" w:color="auto" w:fill="007DC6"/>
          </w:tcPr>
          <w:p>
            <w:pPr>
              <w:spacing w:after="0"/>
              <w:rPr>
                <w:sz w:val="24"/>
                <w:szCs w:val="24"/>
                <w:color w:val="auto"/>
              </w:rPr>
            </w:pPr>
          </w:p>
        </w:tc>
        <w:tc>
          <w:tcPr>
            <w:tcW w:w="1180" w:type="dxa"/>
            <w:vAlign w:val="bottom"/>
            <w:tcBorders>
              <w:bottom w:val="single" w:sz="8" w:color="007DC6"/>
            </w:tcBorders>
            <w:shd w:val="clear" w:color="auto" w:fill="007DC6"/>
          </w:tcPr>
          <w:p>
            <w:pPr>
              <w:spacing w:after="0"/>
              <w:rPr>
                <w:sz w:val="24"/>
                <w:szCs w:val="24"/>
                <w:color w:val="auto"/>
              </w:rPr>
            </w:pPr>
          </w:p>
        </w:tc>
        <w:tc>
          <w:tcPr>
            <w:tcW w:w="140" w:type="dxa"/>
            <w:vAlign w:val="bottom"/>
            <w:tcBorders>
              <w:bottom w:val="single" w:sz="8" w:color="007DC6"/>
            </w:tcBorders>
            <w:shd w:val="clear" w:color="auto" w:fill="007DC6"/>
          </w:tcPr>
          <w:p>
            <w:pPr>
              <w:spacing w:after="0"/>
              <w:rPr>
                <w:sz w:val="24"/>
                <w:szCs w:val="24"/>
                <w:color w:val="auto"/>
              </w:rPr>
            </w:pPr>
          </w:p>
        </w:tc>
        <w:tc>
          <w:tcPr>
            <w:tcW w:w="140" w:type="dxa"/>
            <w:vAlign w:val="bottom"/>
            <w:tcBorders>
              <w:bottom w:val="single" w:sz="8" w:color="007DC6"/>
              <w:right w:val="single" w:sz="8" w:color="007DC6"/>
            </w:tcBorders>
            <w:shd w:val="clear" w:color="auto" w:fill="007DC6"/>
          </w:tcPr>
          <w:p>
            <w:pPr>
              <w:spacing w:after="0"/>
              <w:rPr>
                <w:sz w:val="24"/>
                <w:szCs w:val="24"/>
                <w:color w:val="auto"/>
              </w:rPr>
            </w:pPr>
          </w:p>
        </w:tc>
        <w:tc>
          <w:tcPr>
            <w:tcW w:w="120" w:type="dxa"/>
            <w:vAlign w:val="bottom"/>
            <w:tcBorders>
              <w:left w:val="single" w:sz="8" w:color="007DC6"/>
              <w:bottom w:val="single" w:sz="8" w:color="007DC6"/>
              <w:right w:val="single" w:sz="8" w:color="91BBD3"/>
            </w:tcBorders>
            <w:shd w:val="clear" w:color="auto" w:fill="007DC6"/>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680" w:type="dxa"/>
            <w:vAlign w:val="bottom"/>
            <w:tcBorders>
              <w:top w:val="single" w:sz="8" w:color="91BBD3"/>
              <w:left w:val="single" w:sz="8" w:color="91BBD3"/>
              <w:right w:val="single" w:sz="8" w:color="91BBD3"/>
            </w:tcBorders>
          </w:tcPr>
          <w:p>
            <w:pPr>
              <w:spacing w:after="0"/>
              <w:rPr>
                <w:sz w:val="12"/>
                <w:szCs w:val="12"/>
                <w:color w:val="auto"/>
              </w:rPr>
            </w:pPr>
          </w:p>
        </w:tc>
        <w:tc>
          <w:tcPr>
            <w:tcW w:w="100" w:type="dxa"/>
            <w:vAlign w:val="bottom"/>
            <w:tcBorders>
              <w:top w:val="single" w:sz="8" w:color="91BBD3"/>
            </w:tcBorders>
          </w:tcPr>
          <w:p>
            <w:pPr>
              <w:spacing w:after="0"/>
              <w:rPr>
                <w:sz w:val="12"/>
                <w:szCs w:val="12"/>
                <w:color w:val="auto"/>
              </w:rPr>
            </w:pPr>
          </w:p>
        </w:tc>
        <w:tc>
          <w:tcPr>
            <w:tcW w:w="9000" w:type="dxa"/>
            <w:vAlign w:val="bottom"/>
            <w:tcBorders>
              <w:top w:val="single" w:sz="8" w:color="91BBD3"/>
              <w:bottom w:val="single" w:sz="8" w:color="0563C1"/>
            </w:tcBorders>
            <w:gridSpan w:val="12"/>
          </w:tcPr>
          <w:p>
            <w:pPr>
              <w:spacing w:after="0" w:line="149" w:lineRule="exact"/>
              <w:rPr>
                <w:rFonts w:ascii="Calibri" w:cs="Calibri" w:eastAsia="Calibri" w:hAnsi="Calibri"/>
                <w:sz w:val="16"/>
                <w:szCs w:val="16"/>
                <w:color w:val="0563C1"/>
              </w:rPr>
            </w:pPr>
            <w:hyperlink r:id="rId479">
              <w:r>
                <w:rPr>
                  <w:rFonts w:ascii="Calibri" w:cs="Calibri" w:eastAsia="Calibri" w:hAnsi="Calibri"/>
                  <w:sz w:val="16"/>
                  <w:szCs w:val="16"/>
                  <w:color w:val="0563C1"/>
                </w:rPr>
                <w:t>Inc.), as trustee (incorporated by reference to Exhibit 4.1 to the Martn Marieta Materials, Inc. Current Report on Form 8-K,</w:t>
              </w:r>
            </w:hyperlink>
          </w:p>
        </w:tc>
        <w:tc>
          <w:tcPr>
            <w:tcW w:w="120" w:type="dxa"/>
            <w:vAlign w:val="bottom"/>
            <w:tcBorders>
              <w:top w:val="single" w:sz="8" w:color="91BBD3"/>
              <w:right w:val="single" w:sz="8" w:color="91BBD3"/>
            </w:tcBorders>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3"/>
          </w:tcPr>
          <w:p>
            <w:pPr>
              <w:spacing w:after="0" w:line="196" w:lineRule="exact"/>
              <w:rPr>
                <w:rFonts w:ascii="Calibri" w:cs="Calibri" w:eastAsia="Calibri" w:hAnsi="Calibri"/>
                <w:sz w:val="18"/>
                <w:szCs w:val="18"/>
                <w:color w:val="0563C1"/>
              </w:rPr>
            </w:pPr>
            <w:hyperlink r:id="rId479">
              <w:r>
                <w:rPr>
                  <w:rFonts w:ascii="Calibri" w:cs="Calibri" w:eastAsia="Calibri" w:hAnsi="Calibri"/>
                  <w:sz w:val="18"/>
                  <w:szCs w:val="18"/>
                  <w:color w:val="0563C1"/>
                </w:rPr>
                <w:t>fled on April 30, 2007 (Commission File No. 1-12744))</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680" w:type="dxa"/>
            <w:vAlign w:val="bottom"/>
            <w:tcBorders>
              <w:left w:val="single" w:sz="8" w:color="91BBD3"/>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980" w:type="dxa"/>
            <w:vAlign w:val="bottom"/>
            <w:tcBorders>
              <w:top w:val="single" w:sz="8" w:color="0563C1"/>
              <w:bottom w:val="single" w:sz="8" w:color="91BBD3"/>
            </w:tcBorders>
          </w:tcPr>
          <w:p>
            <w:pPr>
              <w:spacing w:after="0"/>
              <w:rPr>
                <w:sz w:val="4"/>
                <w:szCs w:val="4"/>
                <w:color w:val="auto"/>
              </w:rPr>
            </w:pPr>
          </w:p>
        </w:tc>
        <w:tc>
          <w:tcPr>
            <w:tcW w:w="1200" w:type="dxa"/>
            <w:vAlign w:val="bottom"/>
            <w:tcBorders>
              <w:top w:val="single" w:sz="8" w:color="0563C1"/>
              <w:bottom w:val="single" w:sz="8" w:color="91BBD3"/>
            </w:tcBorders>
          </w:tcPr>
          <w:p>
            <w:pPr>
              <w:spacing w:after="0"/>
              <w:rPr>
                <w:sz w:val="4"/>
                <w:szCs w:val="4"/>
                <w:color w:val="auto"/>
              </w:rPr>
            </w:pPr>
          </w:p>
        </w:tc>
        <w:tc>
          <w:tcPr>
            <w:tcW w:w="1100" w:type="dxa"/>
            <w:vAlign w:val="bottom"/>
            <w:tcBorders>
              <w:top w:val="single" w:sz="8" w:color="0563C1"/>
              <w:bottom w:val="single" w:sz="8" w:color="91BBD3"/>
            </w:tcBorders>
          </w:tcPr>
          <w:p>
            <w:pPr>
              <w:spacing w:after="0"/>
              <w:rPr>
                <w:sz w:val="4"/>
                <w:szCs w:val="4"/>
                <w:color w:val="auto"/>
              </w:rPr>
            </w:pPr>
          </w:p>
        </w:tc>
        <w:tc>
          <w:tcPr>
            <w:tcW w:w="560" w:type="dxa"/>
            <w:vAlign w:val="bottom"/>
            <w:tcBorders>
              <w:top w:val="single" w:sz="8" w:color="0563C1"/>
              <w:bottom w:val="single" w:sz="8" w:color="91BBD3"/>
            </w:tcBorders>
          </w:tcPr>
          <w:p>
            <w:pPr>
              <w:spacing w:after="0"/>
              <w:rPr>
                <w:sz w:val="4"/>
                <w:szCs w:val="4"/>
                <w:color w:val="auto"/>
              </w:rPr>
            </w:pPr>
          </w:p>
        </w:tc>
        <w:tc>
          <w:tcPr>
            <w:tcW w:w="74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1340" w:type="dxa"/>
            <w:vAlign w:val="bottom"/>
            <w:tcBorders>
              <w:bottom w:val="single" w:sz="8" w:color="91BBD3"/>
            </w:tcBorders>
          </w:tcPr>
          <w:p>
            <w:pPr>
              <w:spacing w:after="0"/>
              <w:rPr>
                <w:sz w:val="4"/>
                <w:szCs w:val="4"/>
                <w:color w:val="auto"/>
              </w:rPr>
            </w:pPr>
          </w:p>
        </w:tc>
        <w:tc>
          <w:tcPr>
            <w:tcW w:w="1500" w:type="dxa"/>
            <w:vAlign w:val="bottom"/>
            <w:tcBorders>
              <w:bottom w:val="single" w:sz="8" w:color="91BBD3"/>
            </w:tcBorders>
          </w:tcPr>
          <w:p>
            <w:pPr>
              <w:spacing w:after="0"/>
              <w:rPr>
                <w:sz w:val="4"/>
                <w:szCs w:val="4"/>
                <w:color w:val="auto"/>
              </w:rPr>
            </w:pPr>
          </w:p>
        </w:tc>
        <w:tc>
          <w:tcPr>
            <w:tcW w:w="1180" w:type="dxa"/>
            <w:vAlign w:val="bottom"/>
            <w:tcBorders>
              <w:bottom w:val="single" w:sz="8" w:color="91BBD3"/>
            </w:tcBorders>
          </w:tcPr>
          <w:p>
            <w:pPr>
              <w:spacing w:after="0"/>
              <w:rPr>
                <w:sz w:val="4"/>
                <w:szCs w:val="4"/>
                <w:color w:val="auto"/>
              </w:rPr>
            </w:pPr>
          </w:p>
        </w:tc>
        <w:tc>
          <w:tcPr>
            <w:tcW w:w="140" w:type="dxa"/>
            <w:vAlign w:val="bottom"/>
            <w:tcBorders>
              <w:bottom w:val="single" w:sz="8" w:color="91BBD3"/>
            </w:tcBorders>
          </w:tcPr>
          <w:p>
            <w:pPr>
              <w:spacing w:after="0"/>
              <w:rPr>
                <w:sz w:val="4"/>
                <w:szCs w:val="4"/>
                <w:color w:val="auto"/>
              </w:rPr>
            </w:pPr>
          </w:p>
        </w:tc>
        <w:tc>
          <w:tcPr>
            <w:tcW w:w="140" w:type="dxa"/>
            <w:vAlign w:val="bottom"/>
            <w:tcBorders>
              <w:bottom w:val="single" w:sz="8" w:color="91BBD3"/>
            </w:tcBorders>
          </w:tcPr>
          <w:p>
            <w:pPr>
              <w:spacing w:after="0"/>
              <w:rPr>
                <w:sz w:val="4"/>
                <w:szCs w:val="4"/>
                <w:color w:val="auto"/>
              </w:rPr>
            </w:pPr>
          </w:p>
        </w:tc>
        <w:tc>
          <w:tcPr>
            <w:tcW w:w="120" w:type="dxa"/>
            <w:vAlign w:val="bottom"/>
            <w:tcBorders>
              <w:bottom w:val="single" w:sz="8" w:color="91BBD3"/>
              <w:right w:val="single" w:sz="8" w:color="91BBD3"/>
            </w:tcBorders>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bottom w:val="single" w:sz="8" w:color="DAE8F0"/>
              <w:right w:val="single" w:sz="8" w:color="91BBD3"/>
            </w:tcBorders>
            <w:shd w:val="clear" w:color="auto" w:fill="DAE8F0"/>
          </w:tcPr>
          <w:p>
            <w:pPr>
              <w:jc w:val="right"/>
              <w:ind w:right="1150"/>
              <w:spacing w:after="0" w:line="169" w:lineRule="exact"/>
              <w:rPr>
                <w:sz w:val="20"/>
                <w:szCs w:val="20"/>
                <w:color w:val="auto"/>
              </w:rPr>
            </w:pPr>
            <w:r>
              <w:rPr>
                <w:rFonts w:ascii="Calibri" w:cs="Calibri" w:eastAsia="Calibri" w:hAnsi="Calibri"/>
                <w:sz w:val="18"/>
                <w:szCs w:val="18"/>
                <w:b w:val="1"/>
                <w:bCs w:val="1"/>
                <w:color w:val="auto"/>
              </w:rPr>
              <w:t>4.07</w:t>
            </w:r>
          </w:p>
        </w:tc>
        <w:tc>
          <w:tcPr>
            <w:tcW w:w="100" w:type="dxa"/>
            <w:vAlign w:val="bottom"/>
            <w:tcBorders>
              <w:bottom w:val="single" w:sz="8" w:color="DAE8F0"/>
            </w:tcBorders>
            <w:shd w:val="clear" w:color="auto" w:fill="DAE8F0"/>
          </w:tcPr>
          <w:p>
            <w:pPr>
              <w:spacing w:after="0"/>
              <w:rPr>
                <w:sz w:val="14"/>
                <w:szCs w:val="14"/>
                <w:color w:val="auto"/>
              </w:rPr>
            </w:pPr>
          </w:p>
        </w:tc>
        <w:tc>
          <w:tcPr>
            <w:tcW w:w="9000" w:type="dxa"/>
            <w:vAlign w:val="bottom"/>
            <w:tcBorders>
              <w:bottom w:val="single" w:sz="8" w:color="0563C1"/>
              <w:right w:val="single" w:sz="8" w:color="DAE8F0"/>
            </w:tcBorders>
            <w:gridSpan w:val="12"/>
            <w:shd w:val="clear" w:color="auto" w:fill="DAE8F0"/>
          </w:tcPr>
          <w:p>
            <w:pPr>
              <w:spacing w:after="0" w:line="169" w:lineRule="exact"/>
              <w:rPr>
                <w:rFonts w:ascii="Calibri" w:cs="Calibri" w:eastAsia="Calibri" w:hAnsi="Calibri"/>
                <w:sz w:val="18"/>
                <w:szCs w:val="18"/>
                <w:color w:val="0563C1"/>
              </w:rPr>
            </w:pPr>
            <w:hyperlink r:id="rId483">
              <w:r>
                <w:rPr>
                  <w:rFonts w:ascii="Calibri" w:cs="Calibri" w:eastAsia="Calibri" w:hAnsi="Calibri"/>
                  <w:sz w:val="18"/>
                  <w:szCs w:val="18"/>
                  <w:color w:val="0563C1"/>
                </w:rPr>
                <w:t>Second Supplemental Indenture, dated as of April 30, 2007, between Martn Marieta Materials, Inc. and Truist Bank, as</w:t>
              </w:r>
            </w:hyperlink>
          </w:p>
        </w:tc>
        <w:tc>
          <w:tcPr>
            <w:tcW w:w="120" w:type="dxa"/>
            <w:vAlign w:val="bottom"/>
            <w:tcBorders>
              <w:left w:val="single" w:sz="8" w:color="DAE8F0"/>
              <w:bottom w:val="single" w:sz="8" w:color="DAE8F0"/>
              <w:right w:val="single" w:sz="8" w:color="91BBD3"/>
            </w:tcBorders>
            <w:shd w:val="clear" w:color="auto" w:fill="DAE8F0"/>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shd w:val="clear" w:color="auto" w:fill="DAE8F0"/>
          </w:tcPr>
          <w:p>
            <w:pPr>
              <w:spacing w:after="0"/>
              <w:rPr>
                <w:sz w:val="17"/>
                <w:szCs w:val="17"/>
                <w:color w:val="auto"/>
              </w:rPr>
            </w:pPr>
          </w:p>
        </w:tc>
        <w:tc>
          <w:tcPr>
            <w:tcW w:w="100" w:type="dxa"/>
            <w:vAlign w:val="bottom"/>
            <w:shd w:val="clear" w:color="auto" w:fill="DAE8F0"/>
          </w:tcPr>
          <w:p>
            <w:pPr>
              <w:spacing w:after="0"/>
              <w:rPr>
                <w:sz w:val="17"/>
                <w:szCs w:val="17"/>
                <w:color w:val="auto"/>
              </w:rPr>
            </w:pPr>
          </w:p>
        </w:tc>
        <w:tc>
          <w:tcPr>
            <w:tcW w:w="9120" w:type="dxa"/>
            <w:vAlign w:val="bottom"/>
            <w:tcBorders>
              <w:right w:val="single" w:sz="8" w:color="91BBD3"/>
            </w:tcBorders>
            <w:gridSpan w:val="13"/>
            <w:shd w:val="clear" w:color="auto" w:fill="DAE8F0"/>
          </w:tcPr>
          <w:p>
            <w:pPr>
              <w:spacing w:after="0" w:line="196" w:lineRule="exact"/>
              <w:rPr>
                <w:rFonts w:ascii="Calibri" w:cs="Calibri" w:eastAsia="Calibri" w:hAnsi="Calibri"/>
                <w:sz w:val="18"/>
                <w:szCs w:val="18"/>
                <w:color w:val="0563C1"/>
              </w:rPr>
            </w:pPr>
            <w:hyperlink r:id="rId483">
              <w:r>
                <w:rPr>
                  <w:rFonts w:ascii="Calibri" w:cs="Calibri" w:eastAsia="Calibri" w:hAnsi="Calibri"/>
                  <w:sz w:val="18"/>
                  <w:szCs w:val="18"/>
                  <w:color w:val="0563C1"/>
                </w:rPr>
                <w:t>trustee, to that certain Indenture dated as of April 30, 2007 between Martn Marieta Materials, Inc. and Truist Bank, as</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top w:val="single" w:sz="8" w:color="DAE8F0"/>
              <w:left w:val="single" w:sz="8" w:color="91BBD3"/>
              <w:bottom w:val="single" w:sz="8" w:color="DAE8F0"/>
              <w:right w:val="single" w:sz="8" w:color="91BBD3"/>
            </w:tcBorders>
            <w:shd w:val="clear" w:color="auto" w:fill="DAE8F0"/>
          </w:tcPr>
          <w:p>
            <w:pPr>
              <w:spacing w:after="0"/>
              <w:rPr>
                <w:sz w:val="17"/>
                <w:szCs w:val="17"/>
                <w:color w:val="auto"/>
              </w:rPr>
            </w:pPr>
          </w:p>
        </w:tc>
        <w:tc>
          <w:tcPr>
            <w:tcW w:w="100" w:type="dxa"/>
            <w:vAlign w:val="bottom"/>
            <w:tcBorders>
              <w:top w:val="single" w:sz="8" w:color="DAE8F0"/>
              <w:bottom w:val="single" w:sz="8" w:color="DAE8F0"/>
            </w:tcBorders>
            <w:shd w:val="clear" w:color="auto" w:fill="DAE8F0"/>
          </w:tcPr>
          <w:p>
            <w:pPr>
              <w:spacing w:after="0"/>
              <w:rPr>
                <w:sz w:val="17"/>
                <w:szCs w:val="17"/>
                <w:color w:val="auto"/>
              </w:rPr>
            </w:pPr>
          </w:p>
        </w:tc>
        <w:tc>
          <w:tcPr>
            <w:tcW w:w="9000" w:type="dxa"/>
            <w:vAlign w:val="bottom"/>
            <w:tcBorders>
              <w:top w:val="single" w:sz="8" w:color="0563C1"/>
              <w:bottom w:val="single" w:sz="8" w:color="0563C1"/>
              <w:right w:val="single" w:sz="8" w:color="DAE8F0"/>
            </w:tcBorders>
            <w:gridSpan w:val="12"/>
            <w:shd w:val="clear" w:color="auto" w:fill="DAE8F0"/>
          </w:tcPr>
          <w:p>
            <w:pPr>
              <w:spacing w:after="0" w:line="196" w:lineRule="exact"/>
              <w:rPr>
                <w:rFonts w:ascii="Calibri" w:cs="Calibri" w:eastAsia="Calibri" w:hAnsi="Calibri"/>
                <w:sz w:val="18"/>
                <w:szCs w:val="18"/>
                <w:color w:val="0563C1"/>
              </w:rPr>
            </w:pPr>
            <w:hyperlink r:id="rId483">
              <w:r>
                <w:rPr>
                  <w:rFonts w:ascii="Calibri" w:cs="Calibri" w:eastAsia="Calibri" w:hAnsi="Calibri"/>
                  <w:sz w:val="18"/>
                  <w:szCs w:val="18"/>
                  <w:color w:val="0563C1"/>
                </w:rPr>
                <w:t xml:space="preserve">trustee, pursuant to which were issued </w:t>
              </w:r>
              <w:r>
                <w:rPr>
                  <w:rFonts w:ascii="Calibri" w:cs="Calibri" w:eastAsia="Calibri" w:hAnsi="Calibri"/>
                  <w:sz w:val="18"/>
                  <w:szCs w:val="18"/>
                  <w:u w:val="single" w:color="auto"/>
                  <w:color w:val="0563C1"/>
                </w:rPr>
                <w:t>$</w:t>
              </w:r>
              <w:r>
                <w:rPr>
                  <w:rFonts w:ascii="Calibri" w:cs="Calibri" w:eastAsia="Calibri" w:hAnsi="Calibri"/>
                  <w:sz w:val="18"/>
                  <w:szCs w:val="18"/>
                  <w:color w:val="0563C1"/>
                </w:rPr>
                <w:t>250,000,000 aggregate principal amount of 6</w:t>
              </w:r>
              <w:r>
                <w:rPr>
                  <w:rFonts w:ascii="Calibri" w:cs="Calibri" w:eastAsia="Calibri" w:hAnsi="Calibri"/>
                  <w:sz w:val="18"/>
                  <w:szCs w:val="18"/>
                  <w:i w:val="1"/>
                  <w:iCs w:val="1"/>
                  <w:color w:val="0563C1"/>
                </w:rPr>
                <w:t>¼%</w:t>
              </w:r>
              <w:r>
                <w:rPr>
                  <w:rFonts w:ascii="Calibri" w:cs="Calibri" w:eastAsia="Calibri" w:hAnsi="Calibri"/>
                  <w:sz w:val="18"/>
                  <w:szCs w:val="18"/>
                  <w:color w:val="0563C1"/>
                </w:rPr>
                <w:t xml:space="preserve"> Senior Notes due 2037 of Martn</w:t>
              </w:r>
            </w:hyperlink>
          </w:p>
        </w:tc>
        <w:tc>
          <w:tcPr>
            <w:tcW w:w="120" w:type="dxa"/>
            <w:vAlign w:val="bottom"/>
            <w:tcBorders>
              <w:top w:val="single" w:sz="8" w:color="DAE8F0"/>
              <w:left w:val="single" w:sz="8" w:color="DAE8F0"/>
              <w:bottom w:val="single" w:sz="8" w:color="DAE8F0"/>
              <w:right w:val="single" w:sz="8" w:color="91BBD3"/>
            </w:tcBorders>
            <w:shd w:val="clear" w:color="auto" w:fill="DAE8F0"/>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9000" w:type="dxa"/>
            <w:vAlign w:val="bottom"/>
            <w:tcBorders>
              <w:bottom w:val="single" w:sz="8" w:color="0563C1"/>
              <w:right w:val="single" w:sz="8" w:color="DAE8F0"/>
            </w:tcBorders>
            <w:gridSpan w:val="12"/>
            <w:shd w:val="clear" w:color="auto" w:fill="DAE8F0"/>
          </w:tcPr>
          <w:p>
            <w:pPr>
              <w:spacing w:after="0" w:line="196" w:lineRule="exact"/>
              <w:rPr>
                <w:rFonts w:ascii="Calibri" w:cs="Calibri" w:eastAsia="Calibri" w:hAnsi="Calibri"/>
                <w:sz w:val="18"/>
                <w:szCs w:val="18"/>
                <w:color w:val="0563C1"/>
              </w:rPr>
            </w:pPr>
            <w:hyperlink r:id="rId483">
              <w:r>
                <w:rPr>
                  <w:rFonts w:ascii="Calibri" w:cs="Calibri" w:eastAsia="Calibri" w:hAnsi="Calibri"/>
                  <w:sz w:val="18"/>
                  <w:szCs w:val="18"/>
                  <w:color w:val="0563C1"/>
                </w:rPr>
                <w:t>Marieta Materials, Inc. (incorporated by reference to Exhibit 4.3 to the Martn Marieta Materials, Inc. Current Report on</w:t>
              </w:r>
            </w:hyperlink>
          </w:p>
        </w:tc>
        <w:tc>
          <w:tcPr>
            <w:tcW w:w="120" w:type="dxa"/>
            <w:vAlign w:val="bottom"/>
            <w:tcBorders>
              <w:left w:val="single" w:sz="8" w:color="DAE8F0"/>
              <w:bottom w:val="single" w:sz="8" w:color="DAE8F0"/>
              <w:right w:val="single" w:sz="8" w:color="91BBD3"/>
            </w:tcBorders>
            <w:shd w:val="clear" w:color="auto" w:fill="DAE8F0"/>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680" w:type="dxa"/>
            <w:vAlign w:val="bottom"/>
            <w:tcBorders>
              <w:left w:val="single" w:sz="8" w:color="91BBD3"/>
              <w:bottom w:val="single" w:sz="8" w:color="91BBD3"/>
              <w:right w:val="single" w:sz="8" w:color="91BBD3"/>
            </w:tcBorders>
            <w:shd w:val="clear" w:color="auto" w:fill="DAE8F0"/>
          </w:tcPr>
          <w:p>
            <w:pPr>
              <w:spacing w:after="0"/>
              <w:rPr>
                <w:sz w:val="22"/>
                <w:szCs w:val="22"/>
                <w:color w:val="auto"/>
              </w:rPr>
            </w:pPr>
          </w:p>
        </w:tc>
        <w:tc>
          <w:tcPr>
            <w:tcW w:w="100" w:type="dxa"/>
            <w:vAlign w:val="bottom"/>
            <w:tcBorders>
              <w:bottom w:val="single" w:sz="8" w:color="91BBD3"/>
            </w:tcBorders>
            <w:shd w:val="clear" w:color="auto" w:fill="DAE8F0"/>
          </w:tcPr>
          <w:p>
            <w:pPr>
              <w:spacing w:after="0"/>
              <w:rPr>
                <w:sz w:val="22"/>
                <w:szCs w:val="22"/>
                <w:color w:val="auto"/>
              </w:rPr>
            </w:pPr>
          </w:p>
        </w:tc>
        <w:tc>
          <w:tcPr>
            <w:tcW w:w="4580" w:type="dxa"/>
            <w:vAlign w:val="bottom"/>
            <w:tcBorders>
              <w:bottom w:val="single" w:sz="8" w:color="0563C1"/>
            </w:tcBorders>
            <w:gridSpan w:val="5"/>
            <w:shd w:val="clear" w:color="auto" w:fill="DAE8F0"/>
          </w:tcPr>
          <w:p>
            <w:pPr>
              <w:spacing w:after="0" w:line="196" w:lineRule="exact"/>
              <w:rPr>
                <w:rFonts w:ascii="Calibri" w:cs="Calibri" w:eastAsia="Calibri" w:hAnsi="Calibri"/>
                <w:sz w:val="18"/>
                <w:szCs w:val="18"/>
                <w:color w:val="0563C1"/>
                <w:w w:val="98"/>
              </w:rPr>
            </w:pPr>
            <w:hyperlink r:id="rId483">
              <w:r>
                <w:rPr>
                  <w:rFonts w:ascii="Calibri" w:cs="Calibri" w:eastAsia="Calibri" w:hAnsi="Calibri"/>
                  <w:sz w:val="18"/>
                  <w:szCs w:val="18"/>
                  <w:color w:val="0563C1"/>
                  <w:w w:val="98"/>
                </w:rPr>
                <w:t>Form 8-K, fled on April 30, 2007 (Commission File No. 1-12744))</w:t>
              </w:r>
            </w:hyperlink>
          </w:p>
        </w:tc>
        <w:tc>
          <w:tcPr>
            <w:tcW w:w="4540" w:type="dxa"/>
            <w:vAlign w:val="bottom"/>
            <w:tcBorders>
              <w:bottom w:val="single" w:sz="8" w:color="91BBD3"/>
              <w:right w:val="single" w:sz="8" w:color="91BBD3"/>
            </w:tcBorders>
            <w:gridSpan w:val="8"/>
            <w:shd w:val="clear" w:color="auto" w:fill="DAE8F0"/>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right w:val="single" w:sz="8" w:color="91BBD3"/>
            </w:tcBorders>
          </w:tcPr>
          <w:p>
            <w:pPr>
              <w:jc w:val="right"/>
              <w:ind w:right="1150"/>
              <w:spacing w:after="0" w:line="169" w:lineRule="exact"/>
              <w:rPr>
                <w:sz w:val="20"/>
                <w:szCs w:val="20"/>
                <w:color w:val="auto"/>
              </w:rPr>
            </w:pPr>
            <w:r>
              <w:rPr>
                <w:rFonts w:ascii="Calibri" w:cs="Calibri" w:eastAsia="Calibri" w:hAnsi="Calibri"/>
                <w:sz w:val="18"/>
                <w:szCs w:val="18"/>
                <w:b w:val="1"/>
                <w:bCs w:val="1"/>
                <w:color w:val="auto"/>
              </w:rPr>
              <w:t>4.08</w:t>
            </w:r>
          </w:p>
        </w:tc>
        <w:tc>
          <w:tcPr>
            <w:tcW w:w="100" w:type="dxa"/>
            <w:vAlign w:val="bottom"/>
          </w:tcPr>
          <w:p>
            <w:pPr>
              <w:spacing w:after="0"/>
              <w:rPr>
                <w:sz w:val="14"/>
                <w:szCs w:val="14"/>
                <w:color w:val="auto"/>
              </w:rPr>
            </w:pPr>
          </w:p>
        </w:tc>
        <w:tc>
          <w:tcPr>
            <w:tcW w:w="9120" w:type="dxa"/>
            <w:vAlign w:val="bottom"/>
            <w:tcBorders>
              <w:right w:val="single" w:sz="8" w:color="91BBD3"/>
            </w:tcBorders>
            <w:gridSpan w:val="13"/>
          </w:tcPr>
          <w:p>
            <w:pPr>
              <w:spacing w:after="0" w:line="169" w:lineRule="exact"/>
              <w:rPr>
                <w:rFonts w:ascii="Calibri" w:cs="Calibri" w:eastAsia="Calibri" w:hAnsi="Calibri"/>
                <w:sz w:val="18"/>
                <w:szCs w:val="18"/>
                <w:color w:val="0563C1"/>
              </w:rPr>
            </w:pPr>
            <w:hyperlink r:id="rId484">
              <w:r>
                <w:rPr>
                  <w:rFonts w:ascii="Calibri" w:cs="Calibri" w:eastAsia="Calibri" w:hAnsi="Calibri"/>
                  <w:sz w:val="18"/>
                  <w:szCs w:val="18"/>
                  <w:color w:val="0563C1"/>
                </w:rPr>
                <w:t>Purchase Agreement dated as of June 23, 2014 among Martn Marieta Materials, Inc. and Deutsche Bank Securites Inc. and</w:t>
              </w:r>
            </w:hyperlink>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80" w:type="dxa"/>
            <w:vAlign w:val="bottom"/>
            <w:tcBorders>
              <w:left w:val="single" w:sz="8" w:color="91BBD3"/>
              <w:right w:val="single" w:sz="8" w:color="91BBD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563C1"/>
          </w:tcPr>
          <w:p>
            <w:pPr>
              <w:spacing w:after="0" w:line="20" w:lineRule="exact"/>
              <w:rPr>
                <w:sz w:val="1"/>
                <w:szCs w:val="1"/>
                <w:color w:val="auto"/>
              </w:rPr>
            </w:pPr>
          </w:p>
        </w:tc>
        <w:tc>
          <w:tcPr>
            <w:tcW w:w="1200" w:type="dxa"/>
            <w:vAlign w:val="bottom"/>
            <w:shd w:val="clear" w:color="auto" w:fill="0563C1"/>
          </w:tcPr>
          <w:p>
            <w:pPr>
              <w:spacing w:after="0" w:line="20" w:lineRule="exact"/>
              <w:rPr>
                <w:sz w:val="1"/>
                <w:szCs w:val="1"/>
                <w:color w:val="auto"/>
              </w:rPr>
            </w:pPr>
          </w:p>
        </w:tc>
        <w:tc>
          <w:tcPr>
            <w:tcW w:w="1100" w:type="dxa"/>
            <w:vAlign w:val="bottom"/>
            <w:shd w:val="clear" w:color="auto" w:fill="0563C1"/>
          </w:tcPr>
          <w:p>
            <w:pPr>
              <w:spacing w:after="0" w:line="20" w:lineRule="exact"/>
              <w:rPr>
                <w:sz w:val="1"/>
                <w:szCs w:val="1"/>
                <w:color w:val="auto"/>
              </w:rPr>
            </w:pPr>
          </w:p>
        </w:tc>
        <w:tc>
          <w:tcPr>
            <w:tcW w:w="1320" w:type="dxa"/>
            <w:vAlign w:val="bottom"/>
            <w:gridSpan w:val="3"/>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340" w:type="dxa"/>
            <w:vAlign w:val="bottom"/>
            <w:shd w:val="clear" w:color="auto" w:fill="0563C1"/>
          </w:tcPr>
          <w:p>
            <w:pPr>
              <w:spacing w:after="0" w:line="20" w:lineRule="exact"/>
              <w:rPr>
                <w:sz w:val="1"/>
                <w:szCs w:val="1"/>
                <w:color w:val="auto"/>
              </w:rPr>
            </w:pPr>
          </w:p>
        </w:tc>
        <w:tc>
          <w:tcPr>
            <w:tcW w:w="1500" w:type="dxa"/>
            <w:vAlign w:val="bottom"/>
            <w:shd w:val="clear" w:color="auto" w:fill="0563C1"/>
          </w:tcPr>
          <w:p>
            <w:pPr>
              <w:spacing w:after="0" w:line="20" w:lineRule="exact"/>
              <w:rPr>
                <w:sz w:val="1"/>
                <w:szCs w:val="1"/>
                <w:color w:val="auto"/>
              </w:rPr>
            </w:pPr>
          </w:p>
        </w:tc>
        <w:tc>
          <w:tcPr>
            <w:tcW w:w="11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120" w:type="dxa"/>
            <w:vAlign w:val="bottom"/>
            <w:tcBorders>
              <w:left w:val="single" w:sz="8" w:color="0000EE"/>
              <w:right w:val="single" w:sz="8" w:color="91BBD3"/>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3"/>
          </w:tcPr>
          <w:p>
            <w:pPr>
              <w:spacing w:after="0" w:line="196" w:lineRule="exact"/>
              <w:rPr>
                <w:rFonts w:ascii="Calibri" w:cs="Calibri" w:eastAsia="Calibri" w:hAnsi="Calibri"/>
                <w:sz w:val="18"/>
                <w:szCs w:val="18"/>
                <w:color w:val="0563C1"/>
              </w:rPr>
            </w:pPr>
            <w:hyperlink r:id="rId484">
              <w:r>
                <w:rPr>
                  <w:rFonts w:ascii="Calibri" w:cs="Calibri" w:eastAsia="Calibri" w:hAnsi="Calibri"/>
                  <w:sz w:val="18"/>
                  <w:szCs w:val="18"/>
                  <w:color w:val="0563C1"/>
                </w:rPr>
                <w:t>J.P. Morgan Securites LLC, as representatves of the several inital purchasers named in Schedule 1 thereto (incorporated by</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00" w:type="dxa"/>
            <w:vAlign w:val="bottom"/>
            <w:tcBorders>
              <w:top w:val="single" w:sz="8" w:color="0563C1"/>
            </w:tcBorders>
            <w:gridSpan w:val="12"/>
          </w:tcPr>
          <w:p>
            <w:pPr>
              <w:spacing w:after="0" w:line="196" w:lineRule="exact"/>
              <w:rPr>
                <w:rFonts w:ascii="Calibri" w:cs="Calibri" w:eastAsia="Calibri" w:hAnsi="Calibri"/>
                <w:sz w:val="18"/>
                <w:szCs w:val="18"/>
                <w:color w:val="0563C1"/>
                <w:w w:val="97"/>
              </w:rPr>
            </w:pPr>
            <w:hyperlink r:id="rId484">
              <w:r>
                <w:rPr>
                  <w:rFonts w:ascii="Calibri" w:cs="Calibri" w:eastAsia="Calibri" w:hAnsi="Calibri"/>
                  <w:sz w:val="18"/>
                  <w:szCs w:val="18"/>
                  <w:color w:val="0563C1"/>
                  <w:w w:val="97"/>
                </w:rPr>
                <w:t>reference to Exhibit 10.1 of the Company’s Current Report on Form 8-K, fled on June 24, 2014) (Commission File No. 1-12744)</w:t>
              </w:r>
            </w:hyperlink>
          </w:p>
        </w:tc>
        <w:tc>
          <w:tcPr>
            <w:tcW w:w="120" w:type="dxa"/>
            <w:vAlign w:val="bottom"/>
            <w:tcBorders>
              <w:right w:val="single" w:sz="8" w:color="91BBD3"/>
            </w:tcBorders>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680" w:type="dxa"/>
            <w:vAlign w:val="bottom"/>
            <w:tcBorders>
              <w:left w:val="single" w:sz="8" w:color="91BBD3"/>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980" w:type="dxa"/>
            <w:vAlign w:val="bottom"/>
            <w:tcBorders>
              <w:top w:val="single" w:sz="8" w:color="0563C1"/>
              <w:bottom w:val="single" w:sz="8" w:color="91BBD3"/>
            </w:tcBorders>
          </w:tcPr>
          <w:p>
            <w:pPr>
              <w:spacing w:after="0"/>
              <w:rPr>
                <w:sz w:val="4"/>
                <w:szCs w:val="4"/>
                <w:color w:val="auto"/>
              </w:rPr>
            </w:pPr>
          </w:p>
        </w:tc>
        <w:tc>
          <w:tcPr>
            <w:tcW w:w="1200" w:type="dxa"/>
            <w:vAlign w:val="bottom"/>
            <w:tcBorders>
              <w:top w:val="single" w:sz="8" w:color="0563C1"/>
              <w:bottom w:val="single" w:sz="8" w:color="91BBD3"/>
            </w:tcBorders>
          </w:tcPr>
          <w:p>
            <w:pPr>
              <w:spacing w:after="0"/>
              <w:rPr>
                <w:sz w:val="4"/>
                <w:szCs w:val="4"/>
                <w:color w:val="auto"/>
              </w:rPr>
            </w:pPr>
          </w:p>
        </w:tc>
        <w:tc>
          <w:tcPr>
            <w:tcW w:w="1100" w:type="dxa"/>
            <w:vAlign w:val="bottom"/>
            <w:tcBorders>
              <w:top w:val="single" w:sz="8" w:color="0563C1"/>
              <w:bottom w:val="single" w:sz="8" w:color="91BBD3"/>
            </w:tcBorders>
          </w:tcPr>
          <w:p>
            <w:pPr>
              <w:spacing w:after="0"/>
              <w:rPr>
                <w:sz w:val="4"/>
                <w:szCs w:val="4"/>
                <w:color w:val="auto"/>
              </w:rPr>
            </w:pPr>
          </w:p>
        </w:tc>
        <w:tc>
          <w:tcPr>
            <w:tcW w:w="560" w:type="dxa"/>
            <w:vAlign w:val="bottom"/>
            <w:tcBorders>
              <w:top w:val="single" w:sz="8" w:color="0563C1"/>
              <w:bottom w:val="single" w:sz="8" w:color="91BBD3"/>
            </w:tcBorders>
          </w:tcPr>
          <w:p>
            <w:pPr>
              <w:spacing w:after="0"/>
              <w:rPr>
                <w:sz w:val="4"/>
                <w:szCs w:val="4"/>
                <w:color w:val="auto"/>
              </w:rPr>
            </w:pPr>
          </w:p>
        </w:tc>
        <w:tc>
          <w:tcPr>
            <w:tcW w:w="740" w:type="dxa"/>
            <w:vAlign w:val="bottom"/>
            <w:tcBorders>
              <w:top w:val="single" w:sz="8" w:color="0563C1"/>
              <w:bottom w:val="single" w:sz="8" w:color="91BBD3"/>
            </w:tcBorders>
          </w:tcPr>
          <w:p>
            <w:pPr>
              <w:spacing w:after="0"/>
              <w:rPr>
                <w:sz w:val="4"/>
                <w:szCs w:val="4"/>
                <w:color w:val="auto"/>
              </w:rPr>
            </w:pPr>
          </w:p>
        </w:tc>
        <w:tc>
          <w:tcPr>
            <w:tcW w:w="20" w:type="dxa"/>
            <w:vAlign w:val="bottom"/>
            <w:tcBorders>
              <w:top w:val="single" w:sz="8" w:color="0563C1"/>
              <w:bottom w:val="single" w:sz="8" w:color="91BBD3"/>
            </w:tcBorders>
          </w:tcPr>
          <w:p>
            <w:pPr>
              <w:spacing w:after="0"/>
              <w:rPr>
                <w:sz w:val="4"/>
                <w:szCs w:val="4"/>
                <w:color w:val="auto"/>
              </w:rPr>
            </w:pPr>
          </w:p>
        </w:tc>
        <w:tc>
          <w:tcPr>
            <w:tcW w:w="100" w:type="dxa"/>
            <w:vAlign w:val="bottom"/>
            <w:tcBorders>
              <w:top w:val="single" w:sz="8" w:color="0563C1"/>
              <w:bottom w:val="single" w:sz="8" w:color="91BBD3"/>
            </w:tcBorders>
          </w:tcPr>
          <w:p>
            <w:pPr>
              <w:spacing w:after="0"/>
              <w:rPr>
                <w:sz w:val="4"/>
                <w:szCs w:val="4"/>
                <w:color w:val="auto"/>
              </w:rPr>
            </w:pPr>
          </w:p>
        </w:tc>
        <w:tc>
          <w:tcPr>
            <w:tcW w:w="1340" w:type="dxa"/>
            <w:vAlign w:val="bottom"/>
            <w:tcBorders>
              <w:top w:val="single" w:sz="8" w:color="0563C1"/>
              <w:bottom w:val="single" w:sz="8" w:color="91BBD3"/>
            </w:tcBorders>
          </w:tcPr>
          <w:p>
            <w:pPr>
              <w:spacing w:after="0"/>
              <w:rPr>
                <w:sz w:val="4"/>
                <w:szCs w:val="4"/>
                <w:color w:val="auto"/>
              </w:rPr>
            </w:pPr>
          </w:p>
        </w:tc>
        <w:tc>
          <w:tcPr>
            <w:tcW w:w="1500" w:type="dxa"/>
            <w:vAlign w:val="bottom"/>
            <w:tcBorders>
              <w:top w:val="single" w:sz="8" w:color="0563C1"/>
              <w:bottom w:val="single" w:sz="8" w:color="91BBD3"/>
            </w:tcBorders>
          </w:tcPr>
          <w:p>
            <w:pPr>
              <w:spacing w:after="0"/>
              <w:rPr>
                <w:sz w:val="4"/>
                <w:szCs w:val="4"/>
                <w:color w:val="auto"/>
              </w:rPr>
            </w:pPr>
          </w:p>
        </w:tc>
        <w:tc>
          <w:tcPr>
            <w:tcW w:w="1180" w:type="dxa"/>
            <w:vAlign w:val="bottom"/>
            <w:tcBorders>
              <w:top w:val="single" w:sz="8" w:color="0563C1"/>
              <w:bottom w:val="single" w:sz="8" w:color="91BBD3"/>
            </w:tcBorders>
          </w:tcPr>
          <w:p>
            <w:pPr>
              <w:spacing w:after="0"/>
              <w:rPr>
                <w:sz w:val="4"/>
                <w:szCs w:val="4"/>
                <w:color w:val="auto"/>
              </w:rPr>
            </w:pPr>
          </w:p>
        </w:tc>
        <w:tc>
          <w:tcPr>
            <w:tcW w:w="140" w:type="dxa"/>
            <w:vAlign w:val="bottom"/>
            <w:tcBorders>
              <w:top w:val="single" w:sz="8" w:color="0563C1"/>
              <w:bottom w:val="single" w:sz="8" w:color="91BBD3"/>
            </w:tcBorders>
          </w:tcPr>
          <w:p>
            <w:pPr>
              <w:spacing w:after="0"/>
              <w:rPr>
                <w:sz w:val="4"/>
                <w:szCs w:val="4"/>
                <w:color w:val="auto"/>
              </w:rPr>
            </w:pPr>
          </w:p>
        </w:tc>
        <w:tc>
          <w:tcPr>
            <w:tcW w:w="140" w:type="dxa"/>
            <w:vAlign w:val="bottom"/>
            <w:tcBorders>
              <w:top w:val="single" w:sz="8" w:color="0563C1"/>
              <w:bottom w:val="single" w:sz="8" w:color="91BBD3"/>
            </w:tcBorders>
          </w:tcPr>
          <w:p>
            <w:pPr>
              <w:spacing w:after="0"/>
              <w:rPr>
                <w:sz w:val="4"/>
                <w:szCs w:val="4"/>
                <w:color w:val="auto"/>
              </w:rPr>
            </w:pPr>
          </w:p>
        </w:tc>
        <w:tc>
          <w:tcPr>
            <w:tcW w:w="120" w:type="dxa"/>
            <w:vAlign w:val="bottom"/>
            <w:tcBorders>
              <w:bottom w:val="single" w:sz="8" w:color="91BBD3"/>
              <w:right w:val="single" w:sz="8" w:color="91BBD3"/>
            </w:tcBorders>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right w:val="single" w:sz="8" w:color="91BBD3"/>
            </w:tcBorders>
            <w:shd w:val="clear" w:color="auto" w:fill="DAE8F0"/>
          </w:tcPr>
          <w:p>
            <w:pPr>
              <w:jc w:val="right"/>
              <w:ind w:right="1150"/>
              <w:spacing w:after="0" w:line="169" w:lineRule="exact"/>
              <w:rPr>
                <w:sz w:val="20"/>
                <w:szCs w:val="20"/>
                <w:color w:val="auto"/>
              </w:rPr>
            </w:pPr>
            <w:r>
              <w:rPr>
                <w:rFonts w:ascii="Calibri" w:cs="Calibri" w:eastAsia="Calibri" w:hAnsi="Calibri"/>
                <w:sz w:val="18"/>
                <w:szCs w:val="18"/>
                <w:b w:val="1"/>
                <w:bCs w:val="1"/>
                <w:color w:val="auto"/>
              </w:rPr>
              <w:t>4.09</w:t>
            </w:r>
          </w:p>
        </w:tc>
        <w:tc>
          <w:tcPr>
            <w:tcW w:w="100" w:type="dxa"/>
            <w:vAlign w:val="bottom"/>
            <w:shd w:val="clear" w:color="auto" w:fill="DAE8F0"/>
          </w:tcPr>
          <w:p>
            <w:pPr>
              <w:spacing w:after="0"/>
              <w:rPr>
                <w:sz w:val="14"/>
                <w:szCs w:val="14"/>
                <w:color w:val="auto"/>
              </w:rPr>
            </w:pPr>
          </w:p>
        </w:tc>
        <w:tc>
          <w:tcPr>
            <w:tcW w:w="9120" w:type="dxa"/>
            <w:vAlign w:val="bottom"/>
            <w:tcBorders>
              <w:right w:val="single" w:sz="8" w:color="91BBD3"/>
            </w:tcBorders>
            <w:gridSpan w:val="13"/>
            <w:shd w:val="clear" w:color="auto" w:fill="DAE8F0"/>
          </w:tcPr>
          <w:p>
            <w:pPr>
              <w:spacing w:after="0" w:line="169" w:lineRule="exact"/>
              <w:rPr>
                <w:rFonts w:ascii="Calibri" w:cs="Calibri" w:eastAsia="Calibri" w:hAnsi="Calibri"/>
                <w:sz w:val="18"/>
                <w:szCs w:val="18"/>
                <w:color w:val="0563C1"/>
              </w:rPr>
            </w:pPr>
            <w:hyperlink r:id="rId485">
              <w:r>
                <w:rPr>
                  <w:rFonts w:ascii="Calibri" w:cs="Calibri" w:eastAsia="Calibri" w:hAnsi="Calibri"/>
                  <w:sz w:val="18"/>
                  <w:szCs w:val="18"/>
                  <w:color w:val="0563C1"/>
                </w:rPr>
                <w:t>Indenture, dated as of July 2, 2014, between Martn Marieta Materials, Inc. and Regions Bank, as trustee (incorporated by</w:t>
              </w:r>
            </w:hyperlink>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680" w:type="dxa"/>
            <w:vAlign w:val="bottom"/>
            <w:tcBorders>
              <w:top w:val="single" w:sz="8" w:color="DAE8F0"/>
              <w:left w:val="single" w:sz="8" w:color="91BBD3"/>
              <w:right w:val="single" w:sz="8" w:color="91BBD3"/>
            </w:tcBorders>
            <w:shd w:val="clear" w:color="auto" w:fill="DAE8F0"/>
          </w:tcPr>
          <w:p>
            <w:pPr>
              <w:spacing w:after="0"/>
              <w:rPr>
                <w:sz w:val="22"/>
                <w:szCs w:val="22"/>
                <w:color w:val="auto"/>
              </w:rPr>
            </w:pPr>
          </w:p>
        </w:tc>
        <w:tc>
          <w:tcPr>
            <w:tcW w:w="100" w:type="dxa"/>
            <w:vAlign w:val="bottom"/>
            <w:tcBorders>
              <w:top w:val="single" w:sz="8" w:color="DAE8F0"/>
            </w:tcBorders>
            <w:shd w:val="clear" w:color="auto" w:fill="DAE8F0"/>
          </w:tcPr>
          <w:p>
            <w:pPr>
              <w:spacing w:after="0"/>
              <w:rPr>
                <w:sz w:val="22"/>
                <w:szCs w:val="22"/>
                <w:color w:val="auto"/>
              </w:rPr>
            </w:pPr>
          </w:p>
        </w:tc>
        <w:tc>
          <w:tcPr>
            <w:tcW w:w="9000" w:type="dxa"/>
            <w:vAlign w:val="bottom"/>
            <w:tcBorders>
              <w:top w:val="single" w:sz="8" w:color="0563C1"/>
              <w:right w:val="single" w:sz="8" w:color="DAE8F0"/>
            </w:tcBorders>
            <w:gridSpan w:val="12"/>
            <w:shd w:val="clear" w:color="auto" w:fill="DAE8F0"/>
          </w:tcPr>
          <w:p>
            <w:pPr>
              <w:spacing w:after="0" w:line="196" w:lineRule="exact"/>
              <w:rPr>
                <w:rFonts w:ascii="Calibri" w:cs="Calibri" w:eastAsia="Calibri" w:hAnsi="Calibri"/>
                <w:sz w:val="18"/>
                <w:szCs w:val="18"/>
                <w:color w:val="0563C1"/>
              </w:rPr>
            </w:pPr>
            <w:hyperlink r:id="rId485">
              <w:r>
                <w:rPr>
                  <w:rFonts w:ascii="Calibri" w:cs="Calibri" w:eastAsia="Calibri" w:hAnsi="Calibri"/>
                  <w:sz w:val="18"/>
                  <w:szCs w:val="18"/>
                  <w:color w:val="0563C1"/>
                </w:rPr>
                <w:t>reference to Exhibit 4.1 of the Company’s Current Report on Form 8-K, fled on July 2, 2014) (Commission File No. 1-12744)</w:t>
              </w:r>
            </w:hyperlink>
          </w:p>
        </w:tc>
        <w:tc>
          <w:tcPr>
            <w:tcW w:w="120" w:type="dxa"/>
            <w:vAlign w:val="bottom"/>
            <w:tcBorders>
              <w:top w:val="single" w:sz="8" w:color="DAE8F0"/>
              <w:left w:val="single" w:sz="8" w:color="DAE8F0"/>
              <w:right w:val="single" w:sz="8" w:color="91BBD3"/>
            </w:tcBorders>
            <w:shd w:val="clear" w:color="auto" w:fill="DAE8F0"/>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680" w:type="dxa"/>
            <w:vAlign w:val="bottom"/>
            <w:tcBorders>
              <w:top w:val="single" w:sz="8" w:color="91BBD3"/>
              <w:left w:val="single" w:sz="8" w:color="91BBD3"/>
              <w:right w:val="single" w:sz="8" w:color="91BBD3"/>
            </w:tcBorders>
          </w:tcPr>
          <w:p>
            <w:pPr>
              <w:jc w:val="right"/>
              <w:ind w:right="1150"/>
              <w:spacing w:after="0" w:line="169" w:lineRule="exact"/>
              <w:rPr>
                <w:sz w:val="20"/>
                <w:szCs w:val="20"/>
                <w:color w:val="auto"/>
              </w:rPr>
            </w:pPr>
            <w:r>
              <w:rPr>
                <w:rFonts w:ascii="Calibri" w:cs="Calibri" w:eastAsia="Calibri" w:hAnsi="Calibri"/>
                <w:sz w:val="18"/>
                <w:szCs w:val="18"/>
                <w:b w:val="1"/>
                <w:bCs w:val="1"/>
                <w:color w:val="auto"/>
              </w:rPr>
              <w:t>4.10</w:t>
            </w:r>
          </w:p>
        </w:tc>
        <w:tc>
          <w:tcPr>
            <w:tcW w:w="100" w:type="dxa"/>
            <w:vAlign w:val="bottom"/>
            <w:tcBorders>
              <w:top w:val="single" w:sz="8" w:color="91BBD3"/>
            </w:tcBorders>
          </w:tcPr>
          <w:p>
            <w:pPr>
              <w:spacing w:after="0"/>
              <w:rPr>
                <w:sz w:val="14"/>
                <w:szCs w:val="14"/>
                <w:color w:val="auto"/>
              </w:rPr>
            </w:pPr>
          </w:p>
        </w:tc>
        <w:tc>
          <w:tcPr>
            <w:tcW w:w="8720" w:type="dxa"/>
            <w:vAlign w:val="bottom"/>
            <w:tcBorders>
              <w:top w:val="single" w:sz="8" w:color="0563C1"/>
            </w:tcBorders>
            <w:gridSpan w:val="10"/>
          </w:tcPr>
          <w:p>
            <w:pPr>
              <w:spacing w:after="0" w:line="169" w:lineRule="exact"/>
              <w:rPr>
                <w:rFonts w:ascii="Calibri" w:cs="Calibri" w:eastAsia="Calibri" w:hAnsi="Calibri"/>
                <w:sz w:val="18"/>
                <w:szCs w:val="18"/>
                <w:color w:val="0563C1"/>
              </w:rPr>
            </w:pPr>
            <w:hyperlink r:id="rId485">
              <w:r>
                <w:rPr>
                  <w:rFonts w:ascii="Calibri" w:cs="Calibri" w:eastAsia="Calibri" w:hAnsi="Calibri"/>
                  <w:sz w:val="18"/>
                  <w:szCs w:val="18"/>
                  <w:color w:val="0563C1"/>
                </w:rPr>
                <w:t>Form of 4.250% Senior Notes due 2024 (included in Exhibit 4.09)</w:t>
              </w:r>
            </w:hyperlink>
          </w:p>
        </w:tc>
        <w:tc>
          <w:tcPr>
            <w:tcW w:w="400" w:type="dxa"/>
            <w:vAlign w:val="bottom"/>
            <w:tcBorders>
              <w:top w:val="single" w:sz="8" w:color="91BBD3"/>
              <w:right w:val="single" w:sz="8" w:color="91BBD3"/>
            </w:tcBorders>
            <w:gridSpan w:val="3"/>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680" w:type="dxa"/>
            <w:vAlign w:val="bottom"/>
            <w:tcBorders>
              <w:left w:val="single" w:sz="8" w:color="91BBD3"/>
              <w:bottom w:val="single" w:sz="8" w:color="91BBD3"/>
              <w:right w:val="single" w:sz="8" w:color="91BBD3"/>
            </w:tcBorders>
          </w:tcPr>
          <w:p>
            <w:pPr>
              <w:spacing w:after="0"/>
              <w:rPr>
                <w:sz w:val="5"/>
                <w:szCs w:val="5"/>
                <w:color w:val="auto"/>
              </w:rPr>
            </w:pPr>
          </w:p>
        </w:tc>
        <w:tc>
          <w:tcPr>
            <w:tcW w:w="100" w:type="dxa"/>
            <w:vAlign w:val="bottom"/>
            <w:tcBorders>
              <w:bottom w:val="single" w:sz="8" w:color="91BBD3"/>
            </w:tcBorders>
          </w:tcPr>
          <w:p>
            <w:pPr>
              <w:spacing w:after="0"/>
              <w:rPr>
                <w:sz w:val="5"/>
                <w:szCs w:val="5"/>
                <w:color w:val="auto"/>
              </w:rPr>
            </w:pPr>
          </w:p>
        </w:tc>
        <w:tc>
          <w:tcPr>
            <w:tcW w:w="980" w:type="dxa"/>
            <w:vAlign w:val="bottom"/>
            <w:tcBorders>
              <w:top w:val="single" w:sz="8" w:color="0563C1"/>
              <w:bottom w:val="single" w:sz="8" w:color="91BBD3"/>
            </w:tcBorders>
          </w:tcPr>
          <w:p>
            <w:pPr>
              <w:spacing w:after="0"/>
              <w:rPr>
                <w:sz w:val="5"/>
                <w:szCs w:val="5"/>
                <w:color w:val="auto"/>
              </w:rPr>
            </w:pPr>
          </w:p>
        </w:tc>
        <w:tc>
          <w:tcPr>
            <w:tcW w:w="1200" w:type="dxa"/>
            <w:vAlign w:val="bottom"/>
            <w:tcBorders>
              <w:top w:val="single" w:sz="8" w:color="0563C1"/>
              <w:bottom w:val="single" w:sz="8" w:color="91BBD3"/>
            </w:tcBorders>
          </w:tcPr>
          <w:p>
            <w:pPr>
              <w:spacing w:after="0"/>
              <w:rPr>
                <w:sz w:val="5"/>
                <w:szCs w:val="5"/>
                <w:color w:val="auto"/>
              </w:rPr>
            </w:pPr>
          </w:p>
        </w:tc>
        <w:tc>
          <w:tcPr>
            <w:tcW w:w="1100" w:type="dxa"/>
            <w:vAlign w:val="bottom"/>
            <w:tcBorders>
              <w:top w:val="single" w:sz="8" w:color="0563C1"/>
              <w:bottom w:val="single" w:sz="8" w:color="91BBD3"/>
            </w:tcBorders>
          </w:tcPr>
          <w:p>
            <w:pPr>
              <w:spacing w:after="0"/>
              <w:rPr>
                <w:sz w:val="5"/>
                <w:szCs w:val="5"/>
                <w:color w:val="auto"/>
              </w:rPr>
            </w:pPr>
          </w:p>
        </w:tc>
        <w:tc>
          <w:tcPr>
            <w:tcW w:w="560" w:type="dxa"/>
            <w:vAlign w:val="bottom"/>
            <w:tcBorders>
              <w:top w:val="single" w:sz="8" w:color="0563C1"/>
              <w:bottom w:val="single" w:sz="8" w:color="91BBD3"/>
            </w:tcBorders>
          </w:tcPr>
          <w:p>
            <w:pPr>
              <w:spacing w:after="0"/>
              <w:rPr>
                <w:sz w:val="5"/>
                <w:szCs w:val="5"/>
                <w:color w:val="auto"/>
              </w:rPr>
            </w:pPr>
          </w:p>
        </w:tc>
        <w:tc>
          <w:tcPr>
            <w:tcW w:w="740" w:type="dxa"/>
            <w:vAlign w:val="bottom"/>
            <w:tcBorders>
              <w:top w:val="single" w:sz="8" w:color="0563C1"/>
              <w:bottom w:val="single" w:sz="8" w:color="91BBD3"/>
            </w:tcBorders>
          </w:tcPr>
          <w:p>
            <w:pPr>
              <w:spacing w:after="0"/>
              <w:rPr>
                <w:sz w:val="5"/>
                <w:szCs w:val="5"/>
                <w:color w:val="auto"/>
              </w:rPr>
            </w:pPr>
          </w:p>
        </w:tc>
        <w:tc>
          <w:tcPr>
            <w:tcW w:w="20" w:type="dxa"/>
            <w:vAlign w:val="bottom"/>
            <w:tcBorders>
              <w:top w:val="single" w:sz="8" w:color="0563C1"/>
              <w:bottom w:val="single" w:sz="8" w:color="91BBD3"/>
            </w:tcBorders>
          </w:tcPr>
          <w:p>
            <w:pPr>
              <w:spacing w:after="0"/>
              <w:rPr>
                <w:sz w:val="5"/>
                <w:szCs w:val="5"/>
                <w:color w:val="auto"/>
              </w:rPr>
            </w:pPr>
          </w:p>
        </w:tc>
        <w:tc>
          <w:tcPr>
            <w:tcW w:w="100" w:type="dxa"/>
            <w:vAlign w:val="bottom"/>
            <w:tcBorders>
              <w:bottom w:val="single" w:sz="8" w:color="91BBD3"/>
            </w:tcBorders>
          </w:tcPr>
          <w:p>
            <w:pPr>
              <w:spacing w:after="0"/>
              <w:rPr>
                <w:sz w:val="5"/>
                <w:szCs w:val="5"/>
                <w:color w:val="auto"/>
              </w:rPr>
            </w:pPr>
          </w:p>
        </w:tc>
        <w:tc>
          <w:tcPr>
            <w:tcW w:w="1340" w:type="dxa"/>
            <w:vAlign w:val="bottom"/>
            <w:tcBorders>
              <w:bottom w:val="single" w:sz="8" w:color="91BBD3"/>
            </w:tcBorders>
          </w:tcPr>
          <w:p>
            <w:pPr>
              <w:spacing w:after="0"/>
              <w:rPr>
                <w:sz w:val="5"/>
                <w:szCs w:val="5"/>
                <w:color w:val="auto"/>
              </w:rPr>
            </w:pPr>
          </w:p>
        </w:tc>
        <w:tc>
          <w:tcPr>
            <w:tcW w:w="1500" w:type="dxa"/>
            <w:vAlign w:val="bottom"/>
            <w:tcBorders>
              <w:bottom w:val="single" w:sz="8" w:color="91BBD3"/>
            </w:tcBorders>
          </w:tcPr>
          <w:p>
            <w:pPr>
              <w:spacing w:after="0"/>
              <w:rPr>
                <w:sz w:val="5"/>
                <w:szCs w:val="5"/>
                <w:color w:val="auto"/>
              </w:rPr>
            </w:pPr>
          </w:p>
        </w:tc>
        <w:tc>
          <w:tcPr>
            <w:tcW w:w="1180" w:type="dxa"/>
            <w:vAlign w:val="bottom"/>
            <w:tcBorders>
              <w:bottom w:val="single" w:sz="8" w:color="91BBD3"/>
            </w:tcBorders>
          </w:tcPr>
          <w:p>
            <w:pPr>
              <w:spacing w:after="0"/>
              <w:rPr>
                <w:sz w:val="5"/>
                <w:szCs w:val="5"/>
                <w:color w:val="auto"/>
              </w:rPr>
            </w:pPr>
          </w:p>
        </w:tc>
        <w:tc>
          <w:tcPr>
            <w:tcW w:w="140" w:type="dxa"/>
            <w:vAlign w:val="bottom"/>
            <w:tcBorders>
              <w:bottom w:val="single" w:sz="8" w:color="91BBD3"/>
            </w:tcBorders>
          </w:tcPr>
          <w:p>
            <w:pPr>
              <w:spacing w:after="0"/>
              <w:rPr>
                <w:sz w:val="5"/>
                <w:szCs w:val="5"/>
                <w:color w:val="auto"/>
              </w:rPr>
            </w:pPr>
          </w:p>
        </w:tc>
        <w:tc>
          <w:tcPr>
            <w:tcW w:w="140" w:type="dxa"/>
            <w:vAlign w:val="bottom"/>
            <w:tcBorders>
              <w:bottom w:val="single" w:sz="8" w:color="91BBD3"/>
            </w:tcBorders>
          </w:tcPr>
          <w:p>
            <w:pPr>
              <w:spacing w:after="0"/>
              <w:rPr>
                <w:sz w:val="5"/>
                <w:szCs w:val="5"/>
                <w:color w:val="auto"/>
              </w:rPr>
            </w:pPr>
          </w:p>
        </w:tc>
        <w:tc>
          <w:tcPr>
            <w:tcW w:w="120" w:type="dxa"/>
            <w:vAlign w:val="bottom"/>
            <w:tcBorders>
              <w:bottom w:val="single" w:sz="8" w:color="91BBD3"/>
              <w:right w:val="single" w:sz="8" w:color="91BBD3"/>
            </w:tcBorders>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bottom w:val="single" w:sz="8" w:color="DAE8F0"/>
              <w:right w:val="single" w:sz="8" w:color="91BBD3"/>
            </w:tcBorders>
            <w:shd w:val="clear" w:color="auto" w:fill="DAE8F0"/>
          </w:tcPr>
          <w:p>
            <w:pPr>
              <w:jc w:val="right"/>
              <w:ind w:right="1150"/>
              <w:spacing w:after="0" w:line="169" w:lineRule="exact"/>
              <w:rPr>
                <w:sz w:val="20"/>
                <w:szCs w:val="20"/>
                <w:color w:val="auto"/>
              </w:rPr>
            </w:pPr>
            <w:r>
              <w:rPr>
                <w:rFonts w:ascii="Calibri" w:cs="Calibri" w:eastAsia="Calibri" w:hAnsi="Calibri"/>
                <w:sz w:val="18"/>
                <w:szCs w:val="18"/>
                <w:b w:val="1"/>
                <w:bCs w:val="1"/>
                <w:color w:val="auto"/>
              </w:rPr>
              <w:t>4.11</w:t>
            </w:r>
          </w:p>
        </w:tc>
        <w:tc>
          <w:tcPr>
            <w:tcW w:w="100" w:type="dxa"/>
            <w:vAlign w:val="bottom"/>
            <w:tcBorders>
              <w:bottom w:val="single" w:sz="8" w:color="DAE8F0"/>
            </w:tcBorders>
            <w:shd w:val="clear" w:color="auto" w:fill="DAE8F0"/>
          </w:tcPr>
          <w:p>
            <w:pPr>
              <w:spacing w:after="0"/>
              <w:rPr>
                <w:sz w:val="14"/>
                <w:szCs w:val="14"/>
                <w:color w:val="auto"/>
              </w:rPr>
            </w:pPr>
          </w:p>
        </w:tc>
        <w:tc>
          <w:tcPr>
            <w:tcW w:w="9000" w:type="dxa"/>
            <w:vAlign w:val="bottom"/>
            <w:tcBorders>
              <w:bottom w:val="single" w:sz="8" w:color="0563C1"/>
              <w:right w:val="single" w:sz="8" w:color="DAE8F0"/>
            </w:tcBorders>
            <w:gridSpan w:val="12"/>
            <w:shd w:val="clear" w:color="auto" w:fill="DAE8F0"/>
          </w:tcPr>
          <w:p>
            <w:pPr>
              <w:spacing w:after="0" w:line="169" w:lineRule="exact"/>
              <w:rPr>
                <w:rFonts w:ascii="Calibri" w:cs="Calibri" w:eastAsia="Calibri" w:hAnsi="Calibri"/>
                <w:sz w:val="18"/>
                <w:szCs w:val="18"/>
                <w:color w:val="0563C1"/>
                <w:w w:val="99"/>
              </w:rPr>
            </w:pPr>
            <w:hyperlink r:id="rId486">
              <w:r>
                <w:rPr>
                  <w:rFonts w:ascii="Calibri" w:cs="Calibri" w:eastAsia="Calibri" w:hAnsi="Calibri"/>
                  <w:sz w:val="18"/>
                  <w:szCs w:val="18"/>
                  <w:color w:val="0563C1"/>
                  <w:w w:val="99"/>
                </w:rPr>
                <w:t>Indenture, dated as of May 22, 2017, between Martn Marieta Materials, Inc. and Regions Bank, as trustee (incorporated by</w:t>
              </w:r>
            </w:hyperlink>
          </w:p>
        </w:tc>
        <w:tc>
          <w:tcPr>
            <w:tcW w:w="120" w:type="dxa"/>
            <w:vAlign w:val="bottom"/>
            <w:tcBorders>
              <w:left w:val="single" w:sz="8" w:color="DAE8F0"/>
              <w:bottom w:val="single" w:sz="8" w:color="DAE8F0"/>
              <w:right w:val="single" w:sz="8" w:color="91BBD3"/>
            </w:tcBorders>
            <w:shd w:val="clear" w:color="auto" w:fill="DAE8F0"/>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680" w:type="dxa"/>
            <w:vAlign w:val="bottom"/>
            <w:tcBorders>
              <w:left w:val="single" w:sz="8" w:color="91BBD3"/>
              <w:right w:val="single" w:sz="8" w:color="91BBD3"/>
            </w:tcBorders>
            <w:shd w:val="clear" w:color="auto" w:fill="DAE8F0"/>
          </w:tcPr>
          <w:p>
            <w:pPr>
              <w:spacing w:after="0"/>
              <w:rPr>
                <w:sz w:val="21"/>
                <w:szCs w:val="21"/>
                <w:color w:val="auto"/>
              </w:rPr>
            </w:pPr>
          </w:p>
        </w:tc>
        <w:tc>
          <w:tcPr>
            <w:tcW w:w="100" w:type="dxa"/>
            <w:vAlign w:val="bottom"/>
            <w:shd w:val="clear" w:color="auto" w:fill="DAE8F0"/>
          </w:tcPr>
          <w:p>
            <w:pPr>
              <w:spacing w:after="0"/>
              <w:rPr>
                <w:sz w:val="21"/>
                <w:szCs w:val="21"/>
                <w:color w:val="auto"/>
              </w:rPr>
            </w:pPr>
          </w:p>
        </w:tc>
        <w:tc>
          <w:tcPr>
            <w:tcW w:w="9120" w:type="dxa"/>
            <w:vAlign w:val="bottom"/>
            <w:tcBorders>
              <w:right w:val="single" w:sz="8" w:color="91BBD3"/>
            </w:tcBorders>
            <w:gridSpan w:val="13"/>
            <w:shd w:val="clear" w:color="auto" w:fill="DAE8F0"/>
          </w:tcPr>
          <w:p>
            <w:pPr>
              <w:spacing w:after="0" w:line="196" w:lineRule="exact"/>
              <w:rPr>
                <w:rFonts w:ascii="Calibri" w:cs="Calibri" w:eastAsia="Calibri" w:hAnsi="Calibri"/>
                <w:sz w:val="18"/>
                <w:szCs w:val="18"/>
                <w:color w:val="0563C1"/>
              </w:rPr>
            </w:pPr>
            <w:hyperlink r:id="rId486">
              <w:r>
                <w:rPr>
                  <w:rFonts w:ascii="Calibri" w:cs="Calibri" w:eastAsia="Calibri" w:hAnsi="Calibri"/>
                  <w:sz w:val="18"/>
                  <w:szCs w:val="18"/>
                  <w:color w:val="0563C1"/>
                </w:rPr>
                <w:t>reference to Exhibit 4.1 of the Company’s Current Report on Form 8-K, fled on May 22, 2017) (Commission File No. 1-12744)</w:t>
              </w:r>
            </w:hyperlink>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980" w:type="dxa"/>
            <w:vAlign w:val="bottom"/>
            <w:tcBorders>
              <w:top w:val="single" w:sz="8" w:color="0563C1"/>
            </w:tcBorders>
            <w:shd w:val="clear" w:color="auto" w:fill="91BBD3"/>
          </w:tcPr>
          <w:p>
            <w:pPr>
              <w:spacing w:after="0" w:line="20" w:lineRule="exact"/>
              <w:rPr>
                <w:sz w:val="1"/>
                <w:szCs w:val="1"/>
                <w:color w:val="auto"/>
              </w:rPr>
            </w:pPr>
          </w:p>
        </w:tc>
        <w:tc>
          <w:tcPr>
            <w:tcW w:w="1200" w:type="dxa"/>
            <w:vAlign w:val="bottom"/>
            <w:tcBorders>
              <w:top w:val="single" w:sz="8" w:color="0563C1"/>
            </w:tcBorders>
            <w:shd w:val="clear" w:color="auto" w:fill="91BBD3"/>
          </w:tcPr>
          <w:p>
            <w:pPr>
              <w:spacing w:after="0" w:line="20" w:lineRule="exact"/>
              <w:rPr>
                <w:sz w:val="1"/>
                <w:szCs w:val="1"/>
                <w:color w:val="auto"/>
              </w:rPr>
            </w:pPr>
          </w:p>
        </w:tc>
        <w:tc>
          <w:tcPr>
            <w:tcW w:w="1100" w:type="dxa"/>
            <w:vAlign w:val="bottom"/>
            <w:tcBorders>
              <w:top w:val="single" w:sz="8" w:color="0563C1"/>
            </w:tcBorders>
            <w:shd w:val="clear" w:color="auto" w:fill="91BBD3"/>
          </w:tcPr>
          <w:p>
            <w:pPr>
              <w:spacing w:after="0" w:line="20" w:lineRule="exact"/>
              <w:rPr>
                <w:sz w:val="1"/>
                <w:szCs w:val="1"/>
                <w:color w:val="auto"/>
              </w:rPr>
            </w:pPr>
          </w:p>
        </w:tc>
        <w:tc>
          <w:tcPr>
            <w:tcW w:w="560" w:type="dxa"/>
            <w:vAlign w:val="bottom"/>
            <w:tcBorders>
              <w:top w:val="single" w:sz="8" w:color="0563C1"/>
            </w:tcBorders>
            <w:shd w:val="clear" w:color="auto" w:fill="91BBD3"/>
          </w:tcPr>
          <w:p>
            <w:pPr>
              <w:spacing w:after="0" w:line="20" w:lineRule="exact"/>
              <w:rPr>
                <w:sz w:val="1"/>
                <w:szCs w:val="1"/>
                <w:color w:val="auto"/>
              </w:rPr>
            </w:pPr>
          </w:p>
        </w:tc>
        <w:tc>
          <w:tcPr>
            <w:tcW w:w="740" w:type="dxa"/>
            <w:vAlign w:val="bottom"/>
            <w:tcBorders>
              <w:top w:val="single" w:sz="8" w:color="0563C1"/>
            </w:tcBorders>
            <w:shd w:val="clear" w:color="auto" w:fill="91BBD3"/>
          </w:tcPr>
          <w:p>
            <w:pPr>
              <w:spacing w:after="0" w:line="20" w:lineRule="exact"/>
              <w:rPr>
                <w:sz w:val="1"/>
                <w:szCs w:val="1"/>
                <w:color w:val="auto"/>
              </w:rPr>
            </w:pPr>
          </w:p>
        </w:tc>
        <w:tc>
          <w:tcPr>
            <w:tcW w:w="20" w:type="dxa"/>
            <w:vAlign w:val="bottom"/>
            <w:tcBorders>
              <w:top w:val="single" w:sz="8" w:color="0563C1"/>
            </w:tcBorders>
            <w:shd w:val="clear" w:color="auto" w:fill="91BBD3"/>
          </w:tcPr>
          <w:p>
            <w:pPr>
              <w:spacing w:after="0" w:line="20" w:lineRule="exact"/>
              <w:rPr>
                <w:sz w:val="1"/>
                <w:szCs w:val="1"/>
                <w:color w:val="auto"/>
              </w:rPr>
            </w:pPr>
          </w:p>
        </w:tc>
        <w:tc>
          <w:tcPr>
            <w:tcW w:w="100" w:type="dxa"/>
            <w:vAlign w:val="bottom"/>
            <w:tcBorders>
              <w:top w:val="single" w:sz="8" w:color="0563C1"/>
            </w:tcBorders>
            <w:shd w:val="clear" w:color="auto" w:fill="91BBD3"/>
          </w:tcPr>
          <w:p>
            <w:pPr>
              <w:spacing w:after="0" w:line="20" w:lineRule="exact"/>
              <w:rPr>
                <w:sz w:val="1"/>
                <w:szCs w:val="1"/>
                <w:color w:val="auto"/>
              </w:rPr>
            </w:pPr>
          </w:p>
        </w:tc>
        <w:tc>
          <w:tcPr>
            <w:tcW w:w="1340" w:type="dxa"/>
            <w:vAlign w:val="bottom"/>
            <w:tcBorders>
              <w:top w:val="single" w:sz="8" w:color="0563C1"/>
            </w:tcBorders>
            <w:shd w:val="clear" w:color="auto" w:fill="91BBD3"/>
          </w:tcPr>
          <w:p>
            <w:pPr>
              <w:spacing w:after="0" w:line="20" w:lineRule="exact"/>
              <w:rPr>
                <w:sz w:val="1"/>
                <w:szCs w:val="1"/>
                <w:color w:val="auto"/>
              </w:rPr>
            </w:pPr>
          </w:p>
        </w:tc>
        <w:tc>
          <w:tcPr>
            <w:tcW w:w="1500" w:type="dxa"/>
            <w:vAlign w:val="bottom"/>
            <w:tcBorders>
              <w:top w:val="single" w:sz="8" w:color="0563C1"/>
            </w:tcBorders>
            <w:shd w:val="clear" w:color="auto" w:fill="91BBD3"/>
          </w:tcPr>
          <w:p>
            <w:pPr>
              <w:spacing w:after="0" w:line="20" w:lineRule="exact"/>
              <w:rPr>
                <w:sz w:val="1"/>
                <w:szCs w:val="1"/>
                <w:color w:val="auto"/>
              </w:rPr>
            </w:pPr>
          </w:p>
        </w:tc>
        <w:tc>
          <w:tcPr>
            <w:tcW w:w="1180" w:type="dxa"/>
            <w:vAlign w:val="bottom"/>
            <w:tcBorders>
              <w:top w:val="single" w:sz="8" w:color="0563C1"/>
            </w:tcBorders>
            <w:shd w:val="clear" w:color="auto" w:fill="91BBD3"/>
          </w:tcPr>
          <w:p>
            <w:pPr>
              <w:spacing w:after="0" w:line="20" w:lineRule="exact"/>
              <w:rPr>
                <w:sz w:val="1"/>
                <w:szCs w:val="1"/>
                <w:color w:val="auto"/>
              </w:rPr>
            </w:pPr>
          </w:p>
        </w:tc>
        <w:tc>
          <w:tcPr>
            <w:tcW w:w="140" w:type="dxa"/>
            <w:vAlign w:val="bottom"/>
            <w:tcBorders>
              <w:top w:val="single" w:sz="8" w:color="0563C1"/>
            </w:tcBorders>
            <w:shd w:val="clear" w:color="auto" w:fill="91BBD3"/>
          </w:tcPr>
          <w:p>
            <w:pPr>
              <w:spacing w:after="0" w:line="20" w:lineRule="exact"/>
              <w:rPr>
                <w:sz w:val="1"/>
                <w:szCs w:val="1"/>
                <w:color w:val="auto"/>
              </w:rPr>
            </w:pPr>
          </w:p>
        </w:tc>
        <w:tc>
          <w:tcPr>
            <w:tcW w:w="14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2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80" w:type="dxa"/>
            <w:vAlign w:val="bottom"/>
            <w:tcBorders>
              <w:left w:val="single" w:sz="8" w:color="91BBD3"/>
              <w:right w:val="single" w:sz="8" w:color="91BBD3"/>
            </w:tcBorders>
          </w:tcPr>
          <w:p>
            <w:pPr>
              <w:jc w:val="right"/>
              <w:ind w:right="1150"/>
              <w:spacing w:after="0" w:line="169" w:lineRule="exact"/>
              <w:rPr>
                <w:sz w:val="20"/>
                <w:szCs w:val="20"/>
                <w:color w:val="auto"/>
              </w:rPr>
            </w:pPr>
            <w:r>
              <w:rPr>
                <w:rFonts w:ascii="Calibri" w:cs="Calibri" w:eastAsia="Calibri" w:hAnsi="Calibri"/>
                <w:sz w:val="18"/>
                <w:szCs w:val="18"/>
                <w:b w:val="1"/>
                <w:bCs w:val="1"/>
                <w:color w:val="auto"/>
              </w:rPr>
              <w:t>4.12</w:t>
            </w:r>
          </w:p>
        </w:tc>
        <w:tc>
          <w:tcPr>
            <w:tcW w:w="100" w:type="dxa"/>
            <w:vAlign w:val="bottom"/>
          </w:tcPr>
          <w:p>
            <w:pPr>
              <w:spacing w:after="0"/>
              <w:rPr>
                <w:sz w:val="14"/>
                <w:szCs w:val="14"/>
                <w:color w:val="auto"/>
              </w:rPr>
            </w:pPr>
          </w:p>
        </w:tc>
        <w:tc>
          <w:tcPr>
            <w:tcW w:w="9000" w:type="dxa"/>
            <w:vAlign w:val="bottom"/>
            <w:tcBorders>
              <w:bottom w:val="single" w:sz="8" w:color="0563C1"/>
            </w:tcBorders>
            <w:gridSpan w:val="12"/>
          </w:tcPr>
          <w:p>
            <w:pPr>
              <w:spacing w:after="0" w:line="169" w:lineRule="exact"/>
              <w:rPr>
                <w:rFonts w:ascii="Calibri" w:cs="Calibri" w:eastAsia="Calibri" w:hAnsi="Calibri"/>
                <w:sz w:val="18"/>
                <w:szCs w:val="18"/>
                <w:color w:val="0563C1"/>
              </w:rPr>
            </w:pPr>
            <w:hyperlink r:id="rId487">
              <w:r>
                <w:rPr>
                  <w:rFonts w:ascii="Calibri" w:cs="Calibri" w:eastAsia="Calibri" w:hAnsi="Calibri"/>
                  <w:sz w:val="18"/>
                  <w:szCs w:val="18"/>
                  <w:color w:val="0563C1"/>
                </w:rPr>
                <w:t>First Supplemental Indenture, dated as of May 22, 2017, between Martn Marieta Materials, Inc. and Regions Bank, as</w:t>
              </w:r>
            </w:hyperlink>
          </w:p>
        </w:tc>
        <w:tc>
          <w:tcPr>
            <w:tcW w:w="120" w:type="dxa"/>
            <w:vAlign w:val="bottom"/>
            <w:tcBorders>
              <w:right w:val="single" w:sz="8" w:color="91BBD3"/>
            </w:tcBorders>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3"/>
          </w:tcPr>
          <w:p>
            <w:pPr>
              <w:spacing w:after="0" w:line="196" w:lineRule="exact"/>
              <w:rPr>
                <w:rFonts w:ascii="Calibri" w:cs="Calibri" w:eastAsia="Calibri" w:hAnsi="Calibri"/>
                <w:sz w:val="18"/>
                <w:szCs w:val="18"/>
                <w:color w:val="0563C1"/>
              </w:rPr>
            </w:pPr>
            <w:hyperlink r:id="rId487">
              <w:r>
                <w:rPr>
                  <w:rFonts w:ascii="Calibri" w:cs="Calibri" w:eastAsia="Calibri" w:hAnsi="Calibri"/>
                  <w:sz w:val="18"/>
                  <w:szCs w:val="18"/>
                  <w:color w:val="0563C1"/>
                </w:rPr>
                <w:t xml:space="preserve">trustee, governing the Senior Notes issued by the Company on May 22, 2017, in the form of the </w:t>
              </w:r>
              <w:r>
                <w:rPr>
                  <w:rFonts w:ascii="Calibri" w:cs="Calibri" w:eastAsia="Calibri" w:hAnsi="Calibri"/>
                  <w:sz w:val="18"/>
                  <w:szCs w:val="18"/>
                  <w:u w:val="single" w:color="auto"/>
                  <w:color w:val="0563C1"/>
                </w:rPr>
                <w:t>$</w:t>
              </w:r>
              <w:r>
                <w:rPr>
                  <w:rFonts w:ascii="Calibri" w:cs="Calibri" w:eastAsia="Calibri" w:hAnsi="Calibri"/>
                  <w:sz w:val="18"/>
                  <w:szCs w:val="18"/>
                  <w:color w:val="0563C1"/>
                </w:rPr>
                <w:t>300  million aggregate</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80" w:type="dxa"/>
            <w:vAlign w:val="bottom"/>
            <w:tcBorders>
              <w:left w:val="single" w:sz="8" w:color="91BBD3"/>
              <w:right w:val="single" w:sz="8" w:color="91BBD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563C1"/>
          </w:tcPr>
          <w:p>
            <w:pPr>
              <w:spacing w:after="0" w:line="20" w:lineRule="exact"/>
              <w:rPr>
                <w:sz w:val="1"/>
                <w:szCs w:val="1"/>
                <w:color w:val="auto"/>
              </w:rPr>
            </w:pPr>
          </w:p>
        </w:tc>
        <w:tc>
          <w:tcPr>
            <w:tcW w:w="1200" w:type="dxa"/>
            <w:vAlign w:val="bottom"/>
            <w:shd w:val="clear" w:color="auto" w:fill="0563C1"/>
          </w:tcPr>
          <w:p>
            <w:pPr>
              <w:spacing w:after="0" w:line="20" w:lineRule="exact"/>
              <w:rPr>
                <w:sz w:val="1"/>
                <w:szCs w:val="1"/>
                <w:color w:val="auto"/>
              </w:rPr>
            </w:pPr>
          </w:p>
        </w:tc>
        <w:tc>
          <w:tcPr>
            <w:tcW w:w="1100" w:type="dxa"/>
            <w:vAlign w:val="bottom"/>
            <w:shd w:val="clear" w:color="auto" w:fill="0563C1"/>
          </w:tcPr>
          <w:p>
            <w:pPr>
              <w:spacing w:after="0" w:line="20" w:lineRule="exact"/>
              <w:rPr>
                <w:sz w:val="1"/>
                <w:szCs w:val="1"/>
                <w:color w:val="auto"/>
              </w:rPr>
            </w:pPr>
          </w:p>
        </w:tc>
        <w:tc>
          <w:tcPr>
            <w:tcW w:w="1420" w:type="dxa"/>
            <w:vAlign w:val="bottom"/>
            <w:gridSpan w:val="4"/>
            <w:shd w:val="clear" w:color="auto" w:fill="0563C1"/>
          </w:tcPr>
          <w:p>
            <w:pPr>
              <w:spacing w:after="0" w:line="20" w:lineRule="exact"/>
              <w:rPr>
                <w:sz w:val="1"/>
                <w:szCs w:val="1"/>
                <w:color w:val="auto"/>
              </w:rPr>
            </w:pPr>
          </w:p>
        </w:tc>
        <w:tc>
          <w:tcPr>
            <w:tcW w:w="1340" w:type="dxa"/>
            <w:vAlign w:val="bottom"/>
            <w:shd w:val="clear" w:color="auto" w:fill="0563C1"/>
          </w:tcPr>
          <w:p>
            <w:pPr>
              <w:spacing w:after="0" w:line="20" w:lineRule="exact"/>
              <w:rPr>
                <w:sz w:val="1"/>
                <w:szCs w:val="1"/>
                <w:color w:val="auto"/>
              </w:rPr>
            </w:pPr>
          </w:p>
        </w:tc>
        <w:tc>
          <w:tcPr>
            <w:tcW w:w="1500" w:type="dxa"/>
            <w:vAlign w:val="bottom"/>
            <w:shd w:val="clear" w:color="auto" w:fill="0563C1"/>
          </w:tcPr>
          <w:p>
            <w:pPr>
              <w:spacing w:after="0" w:line="20" w:lineRule="exact"/>
              <w:rPr>
                <w:sz w:val="1"/>
                <w:szCs w:val="1"/>
                <w:color w:val="auto"/>
              </w:rPr>
            </w:pPr>
          </w:p>
        </w:tc>
        <w:tc>
          <w:tcPr>
            <w:tcW w:w="1460" w:type="dxa"/>
            <w:vAlign w:val="bottom"/>
            <w:tcBorders>
              <w:right w:val="single" w:sz="8" w:color="0563C1"/>
            </w:tcBorders>
            <w:gridSpan w:val="3"/>
            <w:shd w:val="clear" w:color="auto" w:fill="0563C1"/>
          </w:tcPr>
          <w:p>
            <w:pPr>
              <w:spacing w:after="0" w:line="20" w:lineRule="exact"/>
              <w:rPr>
                <w:sz w:val="1"/>
                <w:szCs w:val="1"/>
                <w:color w:val="auto"/>
              </w:rPr>
            </w:pPr>
          </w:p>
        </w:tc>
        <w:tc>
          <w:tcPr>
            <w:tcW w:w="120" w:type="dxa"/>
            <w:vAlign w:val="bottom"/>
            <w:tcBorders>
              <w:right w:val="single" w:sz="8" w:color="91BBD3"/>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00" w:type="dxa"/>
            <w:vAlign w:val="bottom"/>
            <w:tcBorders>
              <w:bottom w:val="single" w:sz="8" w:color="0563C1"/>
            </w:tcBorders>
            <w:gridSpan w:val="12"/>
          </w:tcPr>
          <w:p>
            <w:pPr>
              <w:spacing w:after="0" w:line="196" w:lineRule="exact"/>
              <w:rPr>
                <w:rFonts w:ascii="Calibri" w:cs="Calibri" w:eastAsia="Calibri" w:hAnsi="Calibri"/>
                <w:sz w:val="18"/>
                <w:szCs w:val="18"/>
                <w:color w:val="0563C1"/>
                <w:w w:val="97"/>
              </w:rPr>
            </w:pPr>
            <w:hyperlink r:id="rId487">
              <w:r>
                <w:rPr>
                  <w:rFonts w:ascii="Calibri" w:cs="Calibri" w:eastAsia="Calibri" w:hAnsi="Calibri"/>
                  <w:sz w:val="18"/>
                  <w:szCs w:val="18"/>
                  <w:color w:val="0563C1"/>
                  <w:w w:val="97"/>
                </w:rPr>
                <w:t xml:space="preserve">principal amount of Floatng Rate Senior Notes due 2020 and </w:t>
              </w:r>
              <w:r>
                <w:rPr>
                  <w:rFonts w:ascii="Calibri" w:cs="Calibri" w:eastAsia="Calibri" w:hAnsi="Calibri"/>
                  <w:sz w:val="18"/>
                  <w:szCs w:val="18"/>
                  <w:u w:val="single" w:color="auto"/>
                  <w:color w:val="0563C1"/>
                  <w:w w:val="97"/>
                </w:rPr>
                <w:t>$</w:t>
              </w:r>
              <w:r>
                <w:rPr>
                  <w:rFonts w:ascii="Calibri" w:cs="Calibri" w:eastAsia="Calibri" w:hAnsi="Calibri"/>
                  <w:sz w:val="18"/>
                  <w:szCs w:val="18"/>
                  <w:color w:val="0563C1"/>
                  <w:w w:val="97"/>
                </w:rPr>
                <w:t>300 million aggregate principal amount of 3.450% Senior Notes</w:t>
              </w:r>
            </w:hyperlink>
          </w:p>
        </w:tc>
        <w:tc>
          <w:tcPr>
            <w:tcW w:w="120" w:type="dxa"/>
            <w:vAlign w:val="bottom"/>
            <w:tcBorders>
              <w:right w:val="single" w:sz="8" w:color="91BBD3"/>
            </w:tcBorders>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00" w:type="dxa"/>
            <w:vAlign w:val="bottom"/>
            <w:tcBorders>
              <w:bottom w:val="single" w:sz="8" w:color="0563C1"/>
            </w:tcBorders>
            <w:gridSpan w:val="12"/>
          </w:tcPr>
          <w:p>
            <w:pPr>
              <w:spacing w:after="0" w:line="196" w:lineRule="exact"/>
              <w:rPr>
                <w:rFonts w:ascii="Calibri" w:cs="Calibri" w:eastAsia="Calibri" w:hAnsi="Calibri"/>
                <w:sz w:val="18"/>
                <w:szCs w:val="18"/>
                <w:color w:val="0563C1"/>
                <w:w w:val="98"/>
              </w:rPr>
            </w:pPr>
            <w:hyperlink r:id="rId487">
              <w:r>
                <w:rPr>
                  <w:rFonts w:ascii="Calibri" w:cs="Calibri" w:eastAsia="Calibri" w:hAnsi="Calibri"/>
                  <w:sz w:val="18"/>
                  <w:szCs w:val="18"/>
                  <w:color w:val="0563C1"/>
                  <w:w w:val="98"/>
                </w:rPr>
                <w:t>due 2027 (incorporated by reference to Exhibit 4.2 to the Martn Marieta Materials, Inc. Current Report on Form 8-K, fled on</w:t>
              </w:r>
            </w:hyperlink>
          </w:p>
        </w:tc>
        <w:tc>
          <w:tcPr>
            <w:tcW w:w="120" w:type="dxa"/>
            <w:vAlign w:val="bottom"/>
            <w:tcBorders>
              <w:right w:val="single" w:sz="8" w:color="91BBD3"/>
            </w:tcBorders>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3"/>
          </w:tcPr>
          <w:p>
            <w:pPr>
              <w:spacing w:after="0" w:line="196" w:lineRule="exact"/>
              <w:rPr>
                <w:rFonts w:ascii="Calibri" w:cs="Calibri" w:eastAsia="Calibri" w:hAnsi="Calibri"/>
                <w:sz w:val="18"/>
                <w:szCs w:val="18"/>
                <w:color w:val="0563C1"/>
              </w:rPr>
            </w:pPr>
            <w:hyperlink r:id="rId487">
              <w:r>
                <w:rPr>
                  <w:rFonts w:ascii="Calibri" w:cs="Calibri" w:eastAsia="Calibri" w:hAnsi="Calibri"/>
                  <w:sz w:val="18"/>
                  <w:szCs w:val="18"/>
                  <w:color w:val="0563C1"/>
                </w:rPr>
                <w:t>May 22, 2017 (Commission File No. 1-12744))</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680" w:type="dxa"/>
            <w:vAlign w:val="bottom"/>
            <w:tcBorders>
              <w:left w:val="single" w:sz="8" w:color="91BBD3"/>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980" w:type="dxa"/>
            <w:vAlign w:val="bottom"/>
            <w:tcBorders>
              <w:top w:val="single" w:sz="8" w:color="0563C1"/>
              <w:bottom w:val="single" w:sz="8" w:color="91BBD3"/>
            </w:tcBorders>
          </w:tcPr>
          <w:p>
            <w:pPr>
              <w:spacing w:after="0"/>
              <w:rPr>
                <w:sz w:val="4"/>
                <w:szCs w:val="4"/>
                <w:color w:val="auto"/>
              </w:rPr>
            </w:pPr>
          </w:p>
        </w:tc>
        <w:tc>
          <w:tcPr>
            <w:tcW w:w="1200" w:type="dxa"/>
            <w:vAlign w:val="bottom"/>
            <w:tcBorders>
              <w:top w:val="single" w:sz="8" w:color="0563C1"/>
              <w:bottom w:val="single" w:sz="8" w:color="91BBD3"/>
            </w:tcBorders>
          </w:tcPr>
          <w:p>
            <w:pPr>
              <w:spacing w:after="0"/>
              <w:rPr>
                <w:sz w:val="4"/>
                <w:szCs w:val="4"/>
                <w:color w:val="auto"/>
              </w:rPr>
            </w:pPr>
          </w:p>
        </w:tc>
        <w:tc>
          <w:tcPr>
            <w:tcW w:w="1100" w:type="dxa"/>
            <w:vAlign w:val="bottom"/>
            <w:tcBorders>
              <w:top w:val="single" w:sz="8" w:color="0563C1"/>
              <w:bottom w:val="single" w:sz="8" w:color="91BBD3"/>
            </w:tcBorders>
          </w:tcPr>
          <w:p>
            <w:pPr>
              <w:spacing w:after="0"/>
              <w:rPr>
                <w:sz w:val="4"/>
                <w:szCs w:val="4"/>
                <w:color w:val="auto"/>
              </w:rPr>
            </w:pPr>
          </w:p>
        </w:tc>
        <w:tc>
          <w:tcPr>
            <w:tcW w:w="560" w:type="dxa"/>
            <w:vAlign w:val="bottom"/>
            <w:tcBorders>
              <w:bottom w:val="single" w:sz="8" w:color="91BBD3"/>
            </w:tcBorders>
          </w:tcPr>
          <w:p>
            <w:pPr>
              <w:spacing w:after="0"/>
              <w:rPr>
                <w:sz w:val="4"/>
                <w:szCs w:val="4"/>
                <w:color w:val="auto"/>
              </w:rPr>
            </w:pPr>
          </w:p>
        </w:tc>
        <w:tc>
          <w:tcPr>
            <w:tcW w:w="74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1340" w:type="dxa"/>
            <w:vAlign w:val="bottom"/>
            <w:tcBorders>
              <w:bottom w:val="single" w:sz="8" w:color="91BBD3"/>
            </w:tcBorders>
          </w:tcPr>
          <w:p>
            <w:pPr>
              <w:spacing w:after="0"/>
              <w:rPr>
                <w:sz w:val="4"/>
                <w:szCs w:val="4"/>
                <w:color w:val="auto"/>
              </w:rPr>
            </w:pPr>
          </w:p>
        </w:tc>
        <w:tc>
          <w:tcPr>
            <w:tcW w:w="1500" w:type="dxa"/>
            <w:vAlign w:val="bottom"/>
            <w:tcBorders>
              <w:bottom w:val="single" w:sz="8" w:color="91BBD3"/>
            </w:tcBorders>
          </w:tcPr>
          <w:p>
            <w:pPr>
              <w:spacing w:after="0"/>
              <w:rPr>
                <w:sz w:val="4"/>
                <w:szCs w:val="4"/>
                <w:color w:val="auto"/>
              </w:rPr>
            </w:pPr>
          </w:p>
        </w:tc>
        <w:tc>
          <w:tcPr>
            <w:tcW w:w="1180" w:type="dxa"/>
            <w:vAlign w:val="bottom"/>
            <w:tcBorders>
              <w:bottom w:val="single" w:sz="8" w:color="91BBD3"/>
            </w:tcBorders>
          </w:tcPr>
          <w:p>
            <w:pPr>
              <w:spacing w:after="0"/>
              <w:rPr>
                <w:sz w:val="4"/>
                <w:szCs w:val="4"/>
                <w:color w:val="auto"/>
              </w:rPr>
            </w:pPr>
          </w:p>
        </w:tc>
        <w:tc>
          <w:tcPr>
            <w:tcW w:w="140" w:type="dxa"/>
            <w:vAlign w:val="bottom"/>
            <w:tcBorders>
              <w:bottom w:val="single" w:sz="8" w:color="91BBD3"/>
            </w:tcBorders>
          </w:tcPr>
          <w:p>
            <w:pPr>
              <w:spacing w:after="0"/>
              <w:rPr>
                <w:sz w:val="4"/>
                <w:szCs w:val="4"/>
                <w:color w:val="auto"/>
              </w:rPr>
            </w:pPr>
          </w:p>
        </w:tc>
        <w:tc>
          <w:tcPr>
            <w:tcW w:w="140" w:type="dxa"/>
            <w:vAlign w:val="bottom"/>
            <w:tcBorders>
              <w:bottom w:val="single" w:sz="8" w:color="91BBD3"/>
            </w:tcBorders>
          </w:tcPr>
          <w:p>
            <w:pPr>
              <w:spacing w:after="0"/>
              <w:rPr>
                <w:sz w:val="4"/>
                <w:szCs w:val="4"/>
                <w:color w:val="auto"/>
              </w:rPr>
            </w:pPr>
          </w:p>
        </w:tc>
        <w:tc>
          <w:tcPr>
            <w:tcW w:w="120" w:type="dxa"/>
            <w:vAlign w:val="bottom"/>
            <w:tcBorders>
              <w:bottom w:val="single" w:sz="8" w:color="91BBD3"/>
              <w:right w:val="single" w:sz="8" w:color="91BBD3"/>
            </w:tcBorders>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right w:val="single" w:sz="8" w:color="91BBD3"/>
            </w:tcBorders>
            <w:shd w:val="clear" w:color="auto" w:fill="DAE8F0"/>
          </w:tcPr>
          <w:p>
            <w:pPr>
              <w:jc w:val="right"/>
              <w:ind w:right="1150"/>
              <w:spacing w:after="0" w:line="169" w:lineRule="exact"/>
              <w:rPr>
                <w:sz w:val="20"/>
                <w:szCs w:val="20"/>
                <w:color w:val="auto"/>
              </w:rPr>
            </w:pPr>
            <w:r>
              <w:rPr>
                <w:rFonts w:ascii="Calibri" w:cs="Calibri" w:eastAsia="Calibri" w:hAnsi="Calibri"/>
                <w:sz w:val="18"/>
                <w:szCs w:val="18"/>
                <w:b w:val="1"/>
                <w:bCs w:val="1"/>
                <w:color w:val="auto"/>
              </w:rPr>
              <w:t>4.13</w:t>
            </w:r>
          </w:p>
        </w:tc>
        <w:tc>
          <w:tcPr>
            <w:tcW w:w="100" w:type="dxa"/>
            <w:vAlign w:val="bottom"/>
            <w:shd w:val="clear" w:color="auto" w:fill="DAE8F0"/>
          </w:tcPr>
          <w:p>
            <w:pPr>
              <w:spacing w:after="0"/>
              <w:rPr>
                <w:sz w:val="14"/>
                <w:szCs w:val="14"/>
                <w:color w:val="auto"/>
              </w:rPr>
            </w:pPr>
          </w:p>
        </w:tc>
        <w:tc>
          <w:tcPr>
            <w:tcW w:w="9120" w:type="dxa"/>
            <w:vAlign w:val="bottom"/>
            <w:tcBorders>
              <w:right w:val="single" w:sz="8" w:color="91BBD3"/>
            </w:tcBorders>
            <w:gridSpan w:val="13"/>
            <w:shd w:val="clear" w:color="auto" w:fill="DAE8F0"/>
          </w:tcPr>
          <w:p>
            <w:pPr>
              <w:spacing w:after="0" w:line="169" w:lineRule="exact"/>
              <w:rPr>
                <w:rFonts w:ascii="Calibri" w:cs="Calibri" w:eastAsia="Calibri" w:hAnsi="Calibri"/>
                <w:sz w:val="18"/>
                <w:szCs w:val="18"/>
                <w:color w:val="0563C1"/>
              </w:rPr>
            </w:pPr>
            <w:hyperlink r:id="rId487">
              <w:r>
                <w:rPr>
                  <w:rFonts w:ascii="Calibri" w:cs="Calibri" w:eastAsia="Calibri" w:hAnsi="Calibri"/>
                  <w:sz w:val="18"/>
                  <w:szCs w:val="18"/>
                  <w:color w:val="0563C1"/>
                </w:rPr>
                <w:t>Form of 3.450% Senior Notes due 2027 (included in Exhibit 4.12)</w:t>
              </w:r>
            </w:hyperlink>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680" w:type="dxa"/>
            <w:vAlign w:val="bottom"/>
            <w:tcBorders>
              <w:top w:val="single" w:sz="8" w:color="DAE8F0"/>
              <w:left w:val="single" w:sz="8" w:color="91BBD3"/>
              <w:bottom w:val="single" w:sz="8" w:color="91BBD3"/>
              <w:right w:val="single" w:sz="8" w:color="91BBD3"/>
            </w:tcBorders>
            <w:shd w:val="clear" w:color="auto" w:fill="DAE8F0"/>
          </w:tcPr>
          <w:p>
            <w:pPr>
              <w:spacing w:after="0"/>
              <w:rPr>
                <w:sz w:val="5"/>
                <w:szCs w:val="5"/>
                <w:color w:val="auto"/>
              </w:rPr>
            </w:pPr>
          </w:p>
        </w:tc>
        <w:tc>
          <w:tcPr>
            <w:tcW w:w="100" w:type="dxa"/>
            <w:vAlign w:val="bottom"/>
            <w:tcBorders>
              <w:top w:val="single" w:sz="8" w:color="DAE8F0"/>
              <w:bottom w:val="single" w:sz="8" w:color="91BBD3"/>
            </w:tcBorders>
            <w:shd w:val="clear" w:color="auto" w:fill="DAE8F0"/>
          </w:tcPr>
          <w:p>
            <w:pPr>
              <w:spacing w:after="0"/>
              <w:rPr>
                <w:sz w:val="5"/>
                <w:szCs w:val="5"/>
                <w:color w:val="auto"/>
              </w:rPr>
            </w:pPr>
          </w:p>
        </w:tc>
        <w:tc>
          <w:tcPr>
            <w:tcW w:w="980" w:type="dxa"/>
            <w:vAlign w:val="bottom"/>
            <w:tcBorders>
              <w:top w:val="single" w:sz="8" w:color="0563C1"/>
              <w:bottom w:val="single" w:sz="8" w:color="91BBD3"/>
            </w:tcBorders>
            <w:shd w:val="clear" w:color="auto" w:fill="DAE8F0"/>
          </w:tcPr>
          <w:p>
            <w:pPr>
              <w:spacing w:after="0"/>
              <w:rPr>
                <w:sz w:val="5"/>
                <w:szCs w:val="5"/>
                <w:color w:val="auto"/>
              </w:rPr>
            </w:pPr>
          </w:p>
        </w:tc>
        <w:tc>
          <w:tcPr>
            <w:tcW w:w="1200" w:type="dxa"/>
            <w:vAlign w:val="bottom"/>
            <w:tcBorders>
              <w:top w:val="single" w:sz="8" w:color="0563C1"/>
              <w:bottom w:val="single" w:sz="8" w:color="91BBD3"/>
            </w:tcBorders>
            <w:shd w:val="clear" w:color="auto" w:fill="DAE8F0"/>
          </w:tcPr>
          <w:p>
            <w:pPr>
              <w:spacing w:after="0"/>
              <w:rPr>
                <w:sz w:val="5"/>
                <w:szCs w:val="5"/>
                <w:color w:val="auto"/>
              </w:rPr>
            </w:pPr>
          </w:p>
        </w:tc>
        <w:tc>
          <w:tcPr>
            <w:tcW w:w="1100" w:type="dxa"/>
            <w:vAlign w:val="bottom"/>
            <w:tcBorders>
              <w:top w:val="single" w:sz="8" w:color="0563C1"/>
              <w:bottom w:val="single" w:sz="8" w:color="91BBD3"/>
            </w:tcBorders>
            <w:shd w:val="clear" w:color="auto" w:fill="DAE8F0"/>
          </w:tcPr>
          <w:p>
            <w:pPr>
              <w:spacing w:after="0"/>
              <w:rPr>
                <w:sz w:val="5"/>
                <w:szCs w:val="5"/>
                <w:color w:val="auto"/>
              </w:rPr>
            </w:pPr>
          </w:p>
        </w:tc>
        <w:tc>
          <w:tcPr>
            <w:tcW w:w="560" w:type="dxa"/>
            <w:vAlign w:val="bottom"/>
            <w:tcBorders>
              <w:top w:val="single" w:sz="8" w:color="0563C1"/>
              <w:bottom w:val="single" w:sz="8" w:color="91BBD3"/>
            </w:tcBorders>
            <w:shd w:val="clear" w:color="auto" w:fill="DAE8F0"/>
          </w:tcPr>
          <w:p>
            <w:pPr>
              <w:spacing w:after="0"/>
              <w:rPr>
                <w:sz w:val="5"/>
                <w:szCs w:val="5"/>
                <w:color w:val="auto"/>
              </w:rPr>
            </w:pPr>
          </w:p>
        </w:tc>
        <w:tc>
          <w:tcPr>
            <w:tcW w:w="740" w:type="dxa"/>
            <w:vAlign w:val="bottom"/>
            <w:tcBorders>
              <w:top w:val="single" w:sz="8" w:color="0563C1"/>
              <w:bottom w:val="single" w:sz="8" w:color="91BBD3"/>
            </w:tcBorders>
            <w:shd w:val="clear" w:color="auto" w:fill="DAE8F0"/>
          </w:tcPr>
          <w:p>
            <w:pPr>
              <w:spacing w:after="0"/>
              <w:rPr>
                <w:sz w:val="5"/>
                <w:szCs w:val="5"/>
                <w:color w:val="auto"/>
              </w:rPr>
            </w:pPr>
          </w:p>
        </w:tc>
        <w:tc>
          <w:tcPr>
            <w:tcW w:w="20" w:type="dxa"/>
            <w:vAlign w:val="bottom"/>
            <w:tcBorders>
              <w:top w:val="single" w:sz="8" w:color="0563C1"/>
              <w:bottom w:val="single" w:sz="8" w:color="91BBD3"/>
            </w:tcBorders>
            <w:shd w:val="clear" w:color="auto" w:fill="DAE8F0"/>
          </w:tcPr>
          <w:p>
            <w:pPr>
              <w:spacing w:after="0"/>
              <w:rPr>
                <w:sz w:val="5"/>
                <w:szCs w:val="5"/>
                <w:color w:val="auto"/>
              </w:rPr>
            </w:pPr>
          </w:p>
        </w:tc>
        <w:tc>
          <w:tcPr>
            <w:tcW w:w="100" w:type="dxa"/>
            <w:vAlign w:val="bottom"/>
            <w:tcBorders>
              <w:top w:val="single" w:sz="8" w:color="DAE8F0"/>
              <w:bottom w:val="single" w:sz="8" w:color="91BBD3"/>
            </w:tcBorders>
            <w:shd w:val="clear" w:color="auto" w:fill="DAE8F0"/>
          </w:tcPr>
          <w:p>
            <w:pPr>
              <w:spacing w:after="0"/>
              <w:rPr>
                <w:sz w:val="5"/>
                <w:szCs w:val="5"/>
                <w:color w:val="auto"/>
              </w:rPr>
            </w:pPr>
          </w:p>
        </w:tc>
        <w:tc>
          <w:tcPr>
            <w:tcW w:w="1340" w:type="dxa"/>
            <w:vAlign w:val="bottom"/>
            <w:tcBorders>
              <w:top w:val="single" w:sz="8" w:color="DAE8F0"/>
              <w:bottom w:val="single" w:sz="8" w:color="91BBD3"/>
            </w:tcBorders>
            <w:shd w:val="clear" w:color="auto" w:fill="DAE8F0"/>
          </w:tcPr>
          <w:p>
            <w:pPr>
              <w:spacing w:after="0"/>
              <w:rPr>
                <w:sz w:val="5"/>
                <w:szCs w:val="5"/>
                <w:color w:val="auto"/>
              </w:rPr>
            </w:pPr>
          </w:p>
        </w:tc>
        <w:tc>
          <w:tcPr>
            <w:tcW w:w="1500" w:type="dxa"/>
            <w:vAlign w:val="bottom"/>
            <w:tcBorders>
              <w:top w:val="single" w:sz="8" w:color="DAE8F0"/>
              <w:bottom w:val="single" w:sz="8" w:color="91BBD3"/>
            </w:tcBorders>
            <w:shd w:val="clear" w:color="auto" w:fill="DAE8F0"/>
          </w:tcPr>
          <w:p>
            <w:pPr>
              <w:spacing w:after="0"/>
              <w:rPr>
                <w:sz w:val="5"/>
                <w:szCs w:val="5"/>
                <w:color w:val="auto"/>
              </w:rPr>
            </w:pPr>
          </w:p>
        </w:tc>
        <w:tc>
          <w:tcPr>
            <w:tcW w:w="1180" w:type="dxa"/>
            <w:vAlign w:val="bottom"/>
            <w:tcBorders>
              <w:top w:val="single" w:sz="8" w:color="DAE8F0"/>
              <w:bottom w:val="single" w:sz="8" w:color="91BBD3"/>
            </w:tcBorders>
            <w:shd w:val="clear" w:color="auto" w:fill="DAE8F0"/>
          </w:tcPr>
          <w:p>
            <w:pPr>
              <w:spacing w:after="0"/>
              <w:rPr>
                <w:sz w:val="5"/>
                <w:szCs w:val="5"/>
                <w:color w:val="auto"/>
              </w:rPr>
            </w:pPr>
          </w:p>
        </w:tc>
        <w:tc>
          <w:tcPr>
            <w:tcW w:w="140" w:type="dxa"/>
            <w:vAlign w:val="bottom"/>
            <w:tcBorders>
              <w:top w:val="single" w:sz="8" w:color="DAE8F0"/>
              <w:bottom w:val="single" w:sz="8" w:color="91BBD3"/>
            </w:tcBorders>
            <w:shd w:val="clear" w:color="auto" w:fill="DAE8F0"/>
          </w:tcPr>
          <w:p>
            <w:pPr>
              <w:spacing w:after="0"/>
              <w:rPr>
                <w:sz w:val="5"/>
                <w:szCs w:val="5"/>
                <w:color w:val="auto"/>
              </w:rPr>
            </w:pPr>
          </w:p>
        </w:tc>
        <w:tc>
          <w:tcPr>
            <w:tcW w:w="140" w:type="dxa"/>
            <w:vAlign w:val="bottom"/>
            <w:tcBorders>
              <w:top w:val="single" w:sz="8" w:color="DAE8F0"/>
              <w:bottom w:val="single" w:sz="8" w:color="91BBD3"/>
              <w:right w:val="single" w:sz="8" w:color="DAE8F0"/>
            </w:tcBorders>
            <w:shd w:val="clear" w:color="auto" w:fill="DAE8F0"/>
          </w:tcPr>
          <w:p>
            <w:pPr>
              <w:spacing w:after="0"/>
              <w:rPr>
                <w:sz w:val="5"/>
                <w:szCs w:val="5"/>
                <w:color w:val="auto"/>
              </w:rPr>
            </w:pPr>
          </w:p>
        </w:tc>
        <w:tc>
          <w:tcPr>
            <w:tcW w:w="120" w:type="dxa"/>
            <w:vAlign w:val="bottom"/>
            <w:tcBorders>
              <w:top w:val="single" w:sz="8" w:color="DAE8F0"/>
              <w:left w:val="single" w:sz="8" w:color="DAE8F0"/>
              <w:bottom w:val="single" w:sz="8" w:color="91BBD3"/>
              <w:right w:val="single" w:sz="8" w:color="91BBD3"/>
            </w:tcBorders>
            <w:shd w:val="clear" w:color="auto" w:fill="DAE8F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right w:val="single" w:sz="8" w:color="91BBD3"/>
            </w:tcBorders>
          </w:tcPr>
          <w:p>
            <w:pPr>
              <w:jc w:val="right"/>
              <w:ind w:right="1150"/>
              <w:spacing w:after="0" w:line="169" w:lineRule="exact"/>
              <w:rPr>
                <w:sz w:val="20"/>
                <w:szCs w:val="20"/>
                <w:color w:val="auto"/>
              </w:rPr>
            </w:pPr>
            <w:r>
              <w:rPr>
                <w:rFonts w:ascii="Calibri" w:cs="Calibri" w:eastAsia="Calibri" w:hAnsi="Calibri"/>
                <w:sz w:val="18"/>
                <w:szCs w:val="18"/>
                <w:b w:val="1"/>
                <w:bCs w:val="1"/>
                <w:color w:val="auto"/>
              </w:rPr>
              <w:t>4.14</w:t>
            </w:r>
          </w:p>
        </w:tc>
        <w:tc>
          <w:tcPr>
            <w:tcW w:w="100" w:type="dxa"/>
            <w:vAlign w:val="bottom"/>
          </w:tcPr>
          <w:p>
            <w:pPr>
              <w:spacing w:after="0"/>
              <w:rPr>
                <w:sz w:val="14"/>
                <w:szCs w:val="14"/>
                <w:color w:val="auto"/>
              </w:rPr>
            </w:pPr>
          </w:p>
        </w:tc>
        <w:tc>
          <w:tcPr>
            <w:tcW w:w="9000" w:type="dxa"/>
            <w:vAlign w:val="bottom"/>
            <w:tcBorders>
              <w:bottom w:val="single" w:sz="8" w:color="0563C1"/>
            </w:tcBorders>
            <w:gridSpan w:val="12"/>
          </w:tcPr>
          <w:p>
            <w:pPr>
              <w:spacing w:after="0" w:line="169" w:lineRule="exact"/>
              <w:rPr>
                <w:rFonts w:ascii="Calibri" w:cs="Calibri" w:eastAsia="Calibri" w:hAnsi="Calibri"/>
                <w:sz w:val="18"/>
                <w:szCs w:val="18"/>
                <w:color w:val="0563C1"/>
                <w:w w:val="99"/>
              </w:rPr>
            </w:pPr>
            <w:hyperlink r:id="rId488">
              <w:r>
                <w:rPr>
                  <w:rFonts w:ascii="Calibri" w:cs="Calibri" w:eastAsia="Calibri" w:hAnsi="Calibri"/>
                  <w:sz w:val="18"/>
                  <w:szCs w:val="18"/>
                  <w:color w:val="0563C1"/>
                  <w:w w:val="99"/>
                </w:rPr>
                <w:t>Second Supplemental Indenture, dated as of December 20, 2017, between Martn Marieta Materials, Inc. and Regions Bank,</w:t>
              </w:r>
            </w:hyperlink>
          </w:p>
        </w:tc>
        <w:tc>
          <w:tcPr>
            <w:tcW w:w="120" w:type="dxa"/>
            <w:vAlign w:val="bottom"/>
            <w:tcBorders>
              <w:right w:val="single" w:sz="8" w:color="91BBD3"/>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3"/>
          </w:tcPr>
          <w:p>
            <w:pPr>
              <w:spacing w:after="0" w:line="196" w:lineRule="exact"/>
              <w:rPr>
                <w:rFonts w:ascii="Calibri" w:cs="Calibri" w:eastAsia="Calibri" w:hAnsi="Calibri"/>
                <w:sz w:val="18"/>
                <w:szCs w:val="18"/>
                <w:color w:val="0563C1"/>
              </w:rPr>
            </w:pPr>
            <w:hyperlink r:id="rId488">
              <w:r>
                <w:rPr>
                  <w:rFonts w:ascii="Calibri" w:cs="Calibri" w:eastAsia="Calibri" w:hAnsi="Calibri"/>
                  <w:sz w:val="18"/>
                  <w:szCs w:val="18"/>
                  <w:color w:val="0563C1"/>
                </w:rPr>
                <w:t xml:space="preserve">as trustee, governing the Senior Notes issued by the Company on December 20, 2017, in the form of the </w:t>
              </w:r>
              <w:r>
                <w:rPr>
                  <w:rFonts w:ascii="Calibri" w:cs="Calibri" w:eastAsia="Calibri" w:hAnsi="Calibri"/>
                  <w:sz w:val="18"/>
                  <w:szCs w:val="18"/>
                  <w:u w:val="single" w:color="auto"/>
                  <w:color w:val="0563C1"/>
                </w:rPr>
                <w:t>$</w:t>
              </w:r>
              <w:r>
                <w:rPr>
                  <w:rFonts w:ascii="Calibri" w:cs="Calibri" w:eastAsia="Calibri" w:hAnsi="Calibri"/>
                  <w:sz w:val="18"/>
                  <w:szCs w:val="18"/>
                  <w:color w:val="0563C1"/>
                </w:rPr>
                <w:t>300 million</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00" w:type="dxa"/>
            <w:vAlign w:val="bottom"/>
            <w:tcBorders>
              <w:top w:val="single" w:sz="8" w:color="0563C1"/>
              <w:bottom w:val="single" w:sz="8" w:color="0563C1"/>
            </w:tcBorders>
            <w:gridSpan w:val="12"/>
          </w:tcPr>
          <w:p>
            <w:pPr>
              <w:spacing w:after="0" w:line="196" w:lineRule="exact"/>
              <w:rPr>
                <w:rFonts w:ascii="Calibri" w:cs="Calibri" w:eastAsia="Calibri" w:hAnsi="Calibri"/>
                <w:sz w:val="18"/>
                <w:szCs w:val="18"/>
                <w:color w:val="0563C1"/>
                <w:w w:val="97"/>
              </w:rPr>
            </w:pPr>
            <w:hyperlink r:id="rId488">
              <w:r>
                <w:rPr>
                  <w:rFonts w:ascii="Calibri" w:cs="Calibri" w:eastAsia="Calibri" w:hAnsi="Calibri"/>
                  <w:sz w:val="18"/>
                  <w:szCs w:val="18"/>
                  <w:color w:val="0563C1"/>
                  <w:w w:val="97"/>
                </w:rPr>
                <w:t xml:space="preserve">aggregate principal amount of Floatng Rate Senior Notes due 2019, </w:t>
              </w:r>
              <w:r>
                <w:rPr>
                  <w:rFonts w:ascii="Calibri" w:cs="Calibri" w:eastAsia="Calibri" w:hAnsi="Calibri"/>
                  <w:sz w:val="18"/>
                  <w:szCs w:val="18"/>
                  <w:u w:val="single" w:color="auto"/>
                  <w:color w:val="0563C1"/>
                  <w:w w:val="97"/>
                </w:rPr>
                <w:t>$</w:t>
              </w:r>
              <w:r>
                <w:rPr>
                  <w:rFonts w:ascii="Calibri" w:cs="Calibri" w:eastAsia="Calibri" w:hAnsi="Calibri"/>
                  <w:sz w:val="18"/>
                  <w:szCs w:val="18"/>
                  <w:color w:val="0563C1"/>
                  <w:w w:val="97"/>
                </w:rPr>
                <w:t>500 million aggregate principal amount of 3.500% Senior</w:t>
              </w:r>
            </w:hyperlink>
          </w:p>
        </w:tc>
        <w:tc>
          <w:tcPr>
            <w:tcW w:w="120" w:type="dxa"/>
            <w:vAlign w:val="bottom"/>
            <w:tcBorders>
              <w:right w:val="single" w:sz="8" w:color="91BBD3"/>
            </w:tcBorders>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3"/>
          </w:tcPr>
          <w:p>
            <w:pPr>
              <w:spacing w:after="0" w:line="196" w:lineRule="exact"/>
              <w:rPr>
                <w:rFonts w:ascii="Calibri" w:cs="Calibri" w:eastAsia="Calibri" w:hAnsi="Calibri"/>
                <w:sz w:val="18"/>
                <w:szCs w:val="18"/>
                <w:color w:val="0563C1"/>
                <w:w w:val="98"/>
              </w:rPr>
            </w:pPr>
            <w:hyperlink r:id="rId488">
              <w:r>
                <w:rPr>
                  <w:rFonts w:ascii="Calibri" w:cs="Calibri" w:eastAsia="Calibri" w:hAnsi="Calibri"/>
                  <w:sz w:val="18"/>
                  <w:szCs w:val="18"/>
                  <w:color w:val="0563C1"/>
                  <w:w w:val="98"/>
                </w:rPr>
                <w:t xml:space="preserve">Notes due 2027, and </w:t>
              </w:r>
              <w:r>
                <w:rPr>
                  <w:rFonts w:ascii="Calibri" w:cs="Calibri" w:eastAsia="Calibri" w:hAnsi="Calibri"/>
                  <w:sz w:val="18"/>
                  <w:szCs w:val="18"/>
                  <w:u w:val="single" w:color="auto"/>
                  <w:color w:val="0563C1"/>
                  <w:w w:val="98"/>
                </w:rPr>
                <w:t>$</w:t>
              </w:r>
              <w:r>
                <w:rPr>
                  <w:rFonts w:ascii="Calibri" w:cs="Calibri" w:eastAsia="Calibri" w:hAnsi="Calibri"/>
                  <w:sz w:val="18"/>
                  <w:szCs w:val="18"/>
                  <w:color w:val="0563C1"/>
                  <w:w w:val="98"/>
                </w:rPr>
                <w:t>600 million aggregate principal amount of 4.250% Senior Notes due 2047 (incorporated by reference to</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80" w:type="dxa"/>
            <w:vAlign w:val="bottom"/>
            <w:tcBorders>
              <w:left w:val="single" w:sz="8" w:color="91BBD3"/>
              <w:right w:val="single" w:sz="8" w:color="91BBD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563C1"/>
          </w:tcPr>
          <w:p>
            <w:pPr>
              <w:spacing w:after="0" w:line="20" w:lineRule="exact"/>
              <w:rPr>
                <w:sz w:val="1"/>
                <w:szCs w:val="1"/>
                <w:color w:val="auto"/>
              </w:rPr>
            </w:pPr>
          </w:p>
        </w:tc>
        <w:tc>
          <w:tcPr>
            <w:tcW w:w="1200" w:type="dxa"/>
            <w:vAlign w:val="bottom"/>
            <w:shd w:val="clear" w:color="auto" w:fill="0563C1"/>
          </w:tcPr>
          <w:p>
            <w:pPr>
              <w:spacing w:after="0" w:line="20" w:lineRule="exact"/>
              <w:rPr>
                <w:sz w:val="1"/>
                <w:szCs w:val="1"/>
                <w:color w:val="auto"/>
              </w:rPr>
            </w:pPr>
          </w:p>
        </w:tc>
        <w:tc>
          <w:tcPr>
            <w:tcW w:w="2520" w:type="dxa"/>
            <w:vAlign w:val="bottom"/>
            <w:gridSpan w:val="5"/>
            <w:shd w:val="clear" w:color="auto" w:fill="0563C1"/>
          </w:tcPr>
          <w:p>
            <w:pPr>
              <w:spacing w:after="0" w:line="20" w:lineRule="exact"/>
              <w:rPr>
                <w:sz w:val="1"/>
                <w:szCs w:val="1"/>
                <w:color w:val="auto"/>
              </w:rPr>
            </w:pPr>
          </w:p>
        </w:tc>
        <w:tc>
          <w:tcPr>
            <w:tcW w:w="1340" w:type="dxa"/>
            <w:vAlign w:val="bottom"/>
            <w:shd w:val="clear" w:color="auto" w:fill="0563C1"/>
          </w:tcPr>
          <w:p>
            <w:pPr>
              <w:spacing w:after="0" w:line="20" w:lineRule="exact"/>
              <w:rPr>
                <w:sz w:val="1"/>
                <w:szCs w:val="1"/>
                <w:color w:val="auto"/>
              </w:rPr>
            </w:pPr>
          </w:p>
        </w:tc>
        <w:tc>
          <w:tcPr>
            <w:tcW w:w="1500" w:type="dxa"/>
            <w:vAlign w:val="bottom"/>
            <w:shd w:val="clear" w:color="auto" w:fill="0563C1"/>
          </w:tcPr>
          <w:p>
            <w:pPr>
              <w:spacing w:after="0" w:line="20" w:lineRule="exact"/>
              <w:rPr>
                <w:sz w:val="1"/>
                <w:szCs w:val="1"/>
                <w:color w:val="auto"/>
              </w:rPr>
            </w:pPr>
          </w:p>
        </w:tc>
        <w:tc>
          <w:tcPr>
            <w:tcW w:w="1460" w:type="dxa"/>
            <w:vAlign w:val="bottom"/>
            <w:tcBorders>
              <w:right w:val="single" w:sz="8" w:color="0563C1"/>
            </w:tcBorders>
            <w:gridSpan w:val="3"/>
            <w:shd w:val="clear" w:color="auto" w:fill="0563C1"/>
          </w:tcPr>
          <w:p>
            <w:pPr>
              <w:spacing w:after="0" w:line="20" w:lineRule="exact"/>
              <w:rPr>
                <w:sz w:val="1"/>
                <w:szCs w:val="1"/>
                <w:color w:val="auto"/>
              </w:rPr>
            </w:pPr>
          </w:p>
        </w:tc>
        <w:tc>
          <w:tcPr>
            <w:tcW w:w="120" w:type="dxa"/>
            <w:vAlign w:val="bottom"/>
            <w:tcBorders>
              <w:right w:val="single" w:sz="8" w:color="91BBD3"/>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3"/>
          </w:tcPr>
          <w:p>
            <w:pPr>
              <w:spacing w:after="0" w:line="196" w:lineRule="exact"/>
              <w:rPr>
                <w:rFonts w:ascii="Calibri" w:cs="Calibri" w:eastAsia="Calibri" w:hAnsi="Calibri"/>
                <w:sz w:val="18"/>
                <w:szCs w:val="18"/>
                <w:color w:val="0563C1"/>
              </w:rPr>
            </w:pPr>
            <w:hyperlink r:id="rId488">
              <w:r>
                <w:rPr>
                  <w:rFonts w:ascii="Calibri" w:cs="Calibri" w:eastAsia="Calibri" w:hAnsi="Calibri"/>
                  <w:sz w:val="18"/>
                  <w:szCs w:val="18"/>
                  <w:color w:val="0563C1"/>
                </w:rPr>
                <w:t>Exhibit 4.2 to the Martn Marieta Materials, Inc. Current Report on Form 8-K, fled on December 20, 2017 (Commission File</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00" w:type="dxa"/>
            <w:vAlign w:val="bottom"/>
            <w:tcBorders>
              <w:top w:val="single" w:sz="8" w:color="0563C1"/>
            </w:tcBorders>
            <w:gridSpan w:val="12"/>
          </w:tcPr>
          <w:p>
            <w:pPr>
              <w:spacing w:after="0" w:line="196" w:lineRule="exact"/>
              <w:rPr>
                <w:rFonts w:ascii="Calibri" w:cs="Calibri" w:eastAsia="Calibri" w:hAnsi="Calibri"/>
                <w:sz w:val="18"/>
                <w:szCs w:val="18"/>
                <w:color w:val="0563C1"/>
              </w:rPr>
            </w:pPr>
            <w:hyperlink r:id="rId488">
              <w:r>
                <w:rPr>
                  <w:rFonts w:ascii="Calibri" w:cs="Calibri" w:eastAsia="Calibri" w:hAnsi="Calibri"/>
                  <w:sz w:val="18"/>
                  <w:szCs w:val="18"/>
                  <w:color w:val="0563C1"/>
                </w:rPr>
                <w:t>No. 1-12744))</w:t>
              </w:r>
            </w:hyperlink>
          </w:p>
        </w:tc>
        <w:tc>
          <w:tcPr>
            <w:tcW w:w="120" w:type="dxa"/>
            <w:vAlign w:val="bottom"/>
            <w:tcBorders>
              <w:right w:val="single" w:sz="8" w:color="91BBD3"/>
            </w:tcBorders>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680" w:type="dxa"/>
            <w:vAlign w:val="bottom"/>
            <w:tcBorders>
              <w:left w:val="single" w:sz="8" w:color="91BBD3"/>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980" w:type="dxa"/>
            <w:vAlign w:val="bottom"/>
            <w:tcBorders>
              <w:top w:val="single" w:sz="8" w:color="0563C1"/>
              <w:bottom w:val="single" w:sz="8" w:color="91BBD3"/>
            </w:tcBorders>
          </w:tcPr>
          <w:p>
            <w:pPr>
              <w:spacing w:after="0"/>
              <w:rPr>
                <w:sz w:val="4"/>
                <w:szCs w:val="4"/>
                <w:color w:val="auto"/>
              </w:rPr>
            </w:pPr>
          </w:p>
        </w:tc>
        <w:tc>
          <w:tcPr>
            <w:tcW w:w="1200" w:type="dxa"/>
            <w:vAlign w:val="bottom"/>
            <w:tcBorders>
              <w:bottom w:val="single" w:sz="8" w:color="91BBD3"/>
            </w:tcBorders>
          </w:tcPr>
          <w:p>
            <w:pPr>
              <w:spacing w:after="0"/>
              <w:rPr>
                <w:sz w:val="4"/>
                <w:szCs w:val="4"/>
                <w:color w:val="auto"/>
              </w:rPr>
            </w:pPr>
          </w:p>
        </w:tc>
        <w:tc>
          <w:tcPr>
            <w:tcW w:w="1100" w:type="dxa"/>
            <w:vAlign w:val="bottom"/>
            <w:tcBorders>
              <w:bottom w:val="single" w:sz="8" w:color="91BBD3"/>
            </w:tcBorders>
          </w:tcPr>
          <w:p>
            <w:pPr>
              <w:spacing w:after="0"/>
              <w:rPr>
                <w:sz w:val="4"/>
                <w:szCs w:val="4"/>
                <w:color w:val="auto"/>
              </w:rPr>
            </w:pPr>
          </w:p>
        </w:tc>
        <w:tc>
          <w:tcPr>
            <w:tcW w:w="560" w:type="dxa"/>
            <w:vAlign w:val="bottom"/>
            <w:tcBorders>
              <w:bottom w:val="single" w:sz="8" w:color="91BBD3"/>
            </w:tcBorders>
          </w:tcPr>
          <w:p>
            <w:pPr>
              <w:spacing w:after="0"/>
              <w:rPr>
                <w:sz w:val="4"/>
                <w:szCs w:val="4"/>
                <w:color w:val="auto"/>
              </w:rPr>
            </w:pPr>
          </w:p>
        </w:tc>
        <w:tc>
          <w:tcPr>
            <w:tcW w:w="74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1340" w:type="dxa"/>
            <w:vAlign w:val="bottom"/>
            <w:tcBorders>
              <w:bottom w:val="single" w:sz="8" w:color="91BBD3"/>
            </w:tcBorders>
          </w:tcPr>
          <w:p>
            <w:pPr>
              <w:spacing w:after="0"/>
              <w:rPr>
                <w:sz w:val="4"/>
                <w:szCs w:val="4"/>
                <w:color w:val="auto"/>
              </w:rPr>
            </w:pPr>
          </w:p>
        </w:tc>
        <w:tc>
          <w:tcPr>
            <w:tcW w:w="1500" w:type="dxa"/>
            <w:vAlign w:val="bottom"/>
            <w:tcBorders>
              <w:bottom w:val="single" w:sz="8" w:color="91BBD3"/>
            </w:tcBorders>
          </w:tcPr>
          <w:p>
            <w:pPr>
              <w:spacing w:after="0"/>
              <w:rPr>
                <w:sz w:val="4"/>
                <w:szCs w:val="4"/>
                <w:color w:val="auto"/>
              </w:rPr>
            </w:pPr>
          </w:p>
        </w:tc>
        <w:tc>
          <w:tcPr>
            <w:tcW w:w="1180" w:type="dxa"/>
            <w:vAlign w:val="bottom"/>
            <w:tcBorders>
              <w:bottom w:val="single" w:sz="8" w:color="91BBD3"/>
            </w:tcBorders>
          </w:tcPr>
          <w:p>
            <w:pPr>
              <w:spacing w:after="0"/>
              <w:rPr>
                <w:sz w:val="4"/>
                <w:szCs w:val="4"/>
                <w:color w:val="auto"/>
              </w:rPr>
            </w:pPr>
          </w:p>
        </w:tc>
        <w:tc>
          <w:tcPr>
            <w:tcW w:w="140" w:type="dxa"/>
            <w:vAlign w:val="bottom"/>
            <w:tcBorders>
              <w:bottom w:val="single" w:sz="8" w:color="91BBD3"/>
            </w:tcBorders>
          </w:tcPr>
          <w:p>
            <w:pPr>
              <w:spacing w:after="0"/>
              <w:rPr>
                <w:sz w:val="4"/>
                <w:szCs w:val="4"/>
                <w:color w:val="auto"/>
              </w:rPr>
            </w:pPr>
          </w:p>
        </w:tc>
        <w:tc>
          <w:tcPr>
            <w:tcW w:w="140" w:type="dxa"/>
            <w:vAlign w:val="bottom"/>
            <w:tcBorders>
              <w:bottom w:val="single" w:sz="8" w:color="91BBD3"/>
            </w:tcBorders>
          </w:tcPr>
          <w:p>
            <w:pPr>
              <w:spacing w:after="0"/>
              <w:rPr>
                <w:sz w:val="4"/>
                <w:szCs w:val="4"/>
                <w:color w:val="auto"/>
              </w:rPr>
            </w:pPr>
          </w:p>
        </w:tc>
        <w:tc>
          <w:tcPr>
            <w:tcW w:w="120" w:type="dxa"/>
            <w:vAlign w:val="bottom"/>
            <w:tcBorders>
              <w:bottom w:val="single" w:sz="8" w:color="91BBD3"/>
              <w:right w:val="single" w:sz="8" w:color="91BBD3"/>
            </w:tcBorders>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right w:val="single" w:sz="8" w:color="91BBD3"/>
            </w:tcBorders>
            <w:shd w:val="clear" w:color="auto" w:fill="DAE8F0"/>
          </w:tcPr>
          <w:p>
            <w:pPr>
              <w:jc w:val="right"/>
              <w:ind w:right="1150"/>
              <w:spacing w:after="0" w:line="169" w:lineRule="exact"/>
              <w:rPr>
                <w:sz w:val="20"/>
                <w:szCs w:val="20"/>
                <w:color w:val="auto"/>
              </w:rPr>
            </w:pPr>
            <w:r>
              <w:rPr>
                <w:rFonts w:ascii="Calibri" w:cs="Calibri" w:eastAsia="Calibri" w:hAnsi="Calibri"/>
                <w:sz w:val="18"/>
                <w:szCs w:val="18"/>
                <w:b w:val="1"/>
                <w:bCs w:val="1"/>
                <w:color w:val="auto"/>
              </w:rPr>
              <w:t>4.15</w:t>
            </w:r>
          </w:p>
        </w:tc>
        <w:tc>
          <w:tcPr>
            <w:tcW w:w="100" w:type="dxa"/>
            <w:vAlign w:val="bottom"/>
            <w:shd w:val="clear" w:color="auto" w:fill="DAE8F0"/>
          </w:tcPr>
          <w:p>
            <w:pPr>
              <w:spacing w:after="0"/>
              <w:rPr>
                <w:sz w:val="14"/>
                <w:szCs w:val="14"/>
                <w:color w:val="auto"/>
              </w:rPr>
            </w:pPr>
          </w:p>
        </w:tc>
        <w:tc>
          <w:tcPr>
            <w:tcW w:w="9120" w:type="dxa"/>
            <w:vAlign w:val="bottom"/>
            <w:tcBorders>
              <w:right w:val="single" w:sz="8" w:color="91BBD3"/>
            </w:tcBorders>
            <w:gridSpan w:val="13"/>
            <w:shd w:val="clear" w:color="auto" w:fill="DAE8F0"/>
          </w:tcPr>
          <w:p>
            <w:pPr>
              <w:spacing w:after="0" w:line="169" w:lineRule="exact"/>
              <w:rPr>
                <w:rFonts w:ascii="Calibri" w:cs="Calibri" w:eastAsia="Calibri" w:hAnsi="Calibri"/>
                <w:sz w:val="18"/>
                <w:szCs w:val="18"/>
                <w:color w:val="0563C1"/>
              </w:rPr>
            </w:pPr>
            <w:hyperlink r:id="rId488">
              <w:r>
                <w:rPr>
                  <w:rFonts w:ascii="Calibri" w:cs="Calibri" w:eastAsia="Calibri" w:hAnsi="Calibri"/>
                  <w:sz w:val="18"/>
                  <w:szCs w:val="18"/>
                  <w:color w:val="0563C1"/>
                </w:rPr>
                <w:t>Form of 3.500% Senior Notes due 2027 (included in Exhibit 4.14)</w:t>
              </w:r>
            </w:hyperlink>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680" w:type="dxa"/>
            <w:vAlign w:val="bottom"/>
            <w:tcBorders>
              <w:top w:val="single" w:sz="8" w:color="DAE8F0"/>
              <w:left w:val="single" w:sz="8" w:color="91BBD3"/>
              <w:bottom w:val="single" w:sz="8" w:color="91BBD3"/>
              <w:right w:val="single" w:sz="8" w:color="91BBD3"/>
            </w:tcBorders>
            <w:shd w:val="clear" w:color="auto" w:fill="DAE8F0"/>
          </w:tcPr>
          <w:p>
            <w:pPr>
              <w:spacing w:after="0"/>
              <w:rPr>
                <w:sz w:val="5"/>
                <w:szCs w:val="5"/>
                <w:color w:val="auto"/>
              </w:rPr>
            </w:pPr>
          </w:p>
        </w:tc>
        <w:tc>
          <w:tcPr>
            <w:tcW w:w="100" w:type="dxa"/>
            <w:vAlign w:val="bottom"/>
            <w:tcBorders>
              <w:top w:val="single" w:sz="8" w:color="DAE8F0"/>
              <w:bottom w:val="single" w:sz="8" w:color="91BBD3"/>
            </w:tcBorders>
            <w:shd w:val="clear" w:color="auto" w:fill="DAE8F0"/>
          </w:tcPr>
          <w:p>
            <w:pPr>
              <w:spacing w:after="0"/>
              <w:rPr>
                <w:sz w:val="5"/>
                <w:szCs w:val="5"/>
                <w:color w:val="auto"/>
              </w:rPr>
            </w:pPr>
          </w:p>
        </w:tc>
        <w:tc>
          <w:tcPr>
            <w:tcW w:w="980" w:type="dxa"/>
            <w:vAlign w:val="bottom"/>
            <w:tcBorders>
              <w:top w:val="single" w:sz="8" w:color="0563C1"/>
              <w:bottom w:val="single" w:sz="8" w:color="91BBD3"/>
            </w:tcBorders>
            <w:shd w:val="clear" w:color="auto" w:fill="DAE8F0"/>
          </w:tcPr>
          <w:p>
            <w:pPr>
              <w:spacing w:after="0"/>
              <w:rPr>
                <w:sz w:val="5"/>
                <w:szCs w:val="5"/>
                <w:color w:val="auto"/>
              </w:rPr>
            </w:pPr>
          </w:p>
        </w:tc>
        <w:tc>
          <w:tcPr>
            <w:tcW w:w="1200" w:type="dxa"/>
            <w:vAlign w:val="bottom"/>
            <w:tcBorders>
              <w:top w:val="single" w:sz="8" w:color="0563C1"/>
              <w:bottom w:val="single" w:sz="8" w:color="91BBD3"/>
            </w:tcBorders>
            <w:shd w:val="clear" w:color="auto" w:fill="DAE8F0"/>
          </w:tcPr>
          <w:p>
            <w:pPr>
              <w:spacing w:after="0"/>
              <w:rPr>
                <w:sz w:val="5"/>
                <w:szCs w:val="5"/>
                <w:color w:val="auto"/>
              </w:rPr>
            </w:pPr>
          </w:p>
        </w:tc>
        <w:tc>
          <w:tcPr>
            <w:tcW w:w="1100" w:type="dxa"/>
            <w:vAlign w:val="bottom"/>
            <w:tcBorders>
              <w:top w:val="single" w:sz="8" w:color="0563C1"/>
              <w:bottom w:val="single" w:sz="8" w:color="91BBD3"/>
            </w:tcBorders>
            <w:shd w:val="clear" w:color="auto" w:fill="DAE8F0"/>
          </w:tcPr>
          <w:p>
            <w:pPr>
              <w:spacing w:after="0"/>
              <w:rPr>
                <w:sz w:val="5"/>
                <w:szCs w:val="5"/>
                <w:color w:val="auto"/>
              </w:rPr>
            </w:pPr>
          </w:p>
        </w:tc>
        <w:tc>
          <w:tcPr>
            <w:tcW w:w="560" w:type="dxa"/>
            <w:vAlign w:val="bottom"/>
            <w:tcBorders>
              <w:top w:val="single" w:sz="8" w:color="0563C1"/>
              <w:bottom w:val="single" w:sz="8" w:color="91BBD3"/>
            </w:tcBorders>
            <w:shd w:val="clear" w:color="auto" w:fill="DAE8F0"/>
          </w:tcPr>
          <w:p>
            <w:pPr>
              <w:spacing w:after="0"/>
              <w:rPr>
                <w:sz w:val="5"/>
                <w:szCs w:val="5"/>
                <w:color w:val="auto"/>
              </w:rPr>
            </w:pPr>
          </w:p>
        </w:tc>
        <w:tc>
          <w:tcPr>
            <w:tcW w:w="740" w:type="dxa"/>
            <w:vAlign w:val="bottom"/>
            <w:tcBorders>
              <w:top w:val="single" w:sz="8" w:color="0563C1"/>
              <w:bottom w:val="single" w:sz="8" w:color="91BBD3"/>
            </w:tcBorders>
            <w:shd w:val="clear" w:color="auto" w:fill="DAE8F0"/>
          </w:tcPr>
          <w:p>
            <w:pPr>
              <w:spacing w:after="0"/>
              <w:rPr>
                <w:sz w:val="5"/>
                <w:szCs w:val="5"/>
                <w:color w:val="auto"/>
              </w:rPr>
            </w:pPr>
          </w:p>
        </w:tc>
        <w:tc>
          <w:tcPr>
            <w:tcW w:w="20" w:type="dxa"/>
            <w:vAlign w:val="bottom"/>
            <w:tcBorders>
              <w:top w:val="single" w:sz="8" w:color="0563C1"/>
              <w:bottom w:val="single" w:sz="8" w:color="91BBD3"/>
            </w:tcBorders>
            <w:shd w:val="clear" w:color="auto" w:fill="DAE8F0"/>
          </w:tcPr>
          <w:p>
            <w:pPr>
              <w:spacing w:after="0"/>
              <w:rPr>
                <w:sz w:val="5"/>
                <w:szCs w:val="5"/>
                <w:color w:val="auto"/>
              </w:rPr>
            </w:pPr>
          </w:p>
        </w:tc>
        <w:tc>
          <w:tcPr>
            <w:tcW w:w="100" w:type="dxa"/>
            <w:vAlign w:val="bottom"/>
            <w:tcBorders>
              <w:top w:val="single" w:sz="8" w:color="DAE8F0"/>
              <w:bottom w:val="single" w:sz="8" w:color="91BBD3"/>
            </w:tcBorders>
            <w:shd w:val="clear" w:color="auto" w:fill="DAE8F0"/>
          </w:tcPr>
          <w:p>
            <w:pPr>
              <w:spacing w:after="0"/>
              <w:rPr>
                <w:sz w:val="5"/>
                <w:szCs w:val="5"/>
                <w:color w:val="auto"/>
              </w:rPr>
            </w:pPr>
          </w:p>
        </w:tc>
        <w:tc>
          <w:tcPr>
            <w:tcW w:w="1340" w:type="dxa"/>
            <w:vAlign w:val="bottom"/>
            <w:tcBorders>
              <w:top w:val="single" w:sz="8" w:color="DAE8F0"/>
              <w:bottom w:val="single" w:sz="8" w:color="91BBD3"/>
            </w:tcBorders>
            <w:shd w:val="clear" w:color="auto" w:fill="DAE8F0"/>
          </w:tcPr>
          <w:p>
            <w:pPr>
              <w:spacing w:after="0"/>
              <w:rPr>
                <w:sz w:val="5"/>
                <w:szCs w:val="5"/>
                <w:color w:val="auto"/>
              </w:rPr>
            </w:pPr>
          </w:p>
        </w:tc>
        <w:tc>
          <w:tcPr>
            <w:tcW w:w="1500" w:type="dxa"/>
            <w:vAlign w:val="bottom"/>
            <w:tcBorders>
              <w:top w:val="single" w:sz="8" w:color="DAE8F0"/>
              <w:bottom w:val="single" w:sz="8" w:color="91BBD3"/>
            </w:tcBorders>
            <w:shd w:val="clear" w:color="auto" w:fill="DAE8F0"/>
          </w:tcPr>
          <w:p>
            <w:pPr>
              <w:spacing w:after="0"/>
              <w:rPr>
                <w:sz w:val="5"/>
                <w:szCs w:val="5"/>
                <w:color w:val="auto"/>
              </w:rPr>
            </w:pPr>
          </w:p>
        </w:tc>
        <w:tc>
          <w:tcPr>
            <w:tcW w:w="1180" w:type="dxa"/>
            <w:vAlign w:val="bottom"/>
            <w:tcBorders>
              <w:top w:val="single" w:sz="8" w:color="DAE8F0"/>
              <w:bottom w:val="single" w:sz="8" w:color="91BBD3"/>
            </w:tcBorders>
            <w:shd w:val="clear" w:color="auto" w:fill="DAE8F0"/>
          </w:tcPr>
          <w:p>
            <w:pPr>
              <w:spacing w:after="0"/>
              <w:rPr>
                <w:sz w:val="5"/>
                <w:szCs w:val="5"/>
                <w:color w:val="auto"/>
              </w:rPr>
            </w:pPr>
          </w:p>
        </w:tc>
        <w:tc>
          <w:tcPr>
            <w:tcW w:w="140" w:type="dxa"/>
            <w:vAlign w:val="bottom"/>
            <w:tcBorders>
              <w:top w:val="single" w:sz="8" w:color="DAE8F0"/>
              <w:bottom w:val="single" w:sz="8" w:color="91BBD3"/>
            </w:tcBorders>
            <w:shd w:val="clear" w:color="auto" w:fill="DAE8F0"/>
          </w:tcPr>
          <w:p>
            <w:pPr>
              <w:spacing w:after="0"/>
              <w:rPr>
                <w:sz w:val="5"/>
                <w:szCs w:val="5"/>
                <w:color w:val="auto"/>
              </w:rPr>
            </w:pPr>
          </w:p>
        </w:tc>
        <w:tc>
          <w:tcPr>
            <w:tcW w:w="140" w:type="dxa"/>
            <w:vAlign w:val="bottom"/>
            <w:tcBorders>
              <w:top w:val="single" w:sz="8" w:color="DAE8F0"/>
              <w:bottom w:val="single" w:sz="8" w:color="91BBD3"/>
              <w:right w:val="single" w:sz="8" w:color="DAE8F0"/>
            </w:tcBorders>
            <w:shd w:val="clear" w:color="auto" w:fill="DAE8F0"/>
          </w:tcPr>
          <w:p>
            <w:pPr>
              <w:spacing w:after="0"/>
              <w:rPr>
                <w:sz w:val="5"/>
                <w:szCs w:val="5"/>
                <w:color w:val="auto"/>
              </w:rPr>
            </w:pPr>
          </w:p>
        </w:tc>
        <w:tc>
          <w:tcPr>
            <w:tcW w:w="120" w:type="dxa"/>
            <w:vAlign w:val="bottom"/>
            <w:tcBorders>
              <w:top w:val="single" w:sz="8" w:color="DAE8F0"/>
              <w:left w:val="single" w:sz="8" w:color="DAE8F0"/>
              <w:bottom w:val="single" w:sz="8" w:color="91BBD3"/>
              <w:right w:val="single" w:sz="8" w:color="91BBD3"/>
            </w:tcBorders>
            <w:shd w:val="clear" w:color="auto" w:fill="DAE8F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right w:val="single" w:sz="8" w:color="91BBD3"/>
            </w:tcBorders>
          </w:tcPr>
          <w:p>
            <w:pPr>
              <w:jc w:val="right"/>
              <w:ind w:right="1150"/>
              <w:spacing w:after="0" w:line="169" w:lineRule="exact"/>
              <w:rPr>
                <w:sz w:val="20"/>
                <w:szCs w:val="20"/>
                <w:color w:val="auto"/>
              </w:rPr>
            </w:pPr>
            <w:r>
              <w:rPr>
                <w:rFonts w:ascii="Calibri" w:cs="Calibri" w:eastAsia="Calibri" w:hAnsi="Calibri"/>
                <w:sz w:val="18"/>
                <w:szCs w:val="18"/>
                <w:b w:val="1"/>
                <w:bCs w:val="1"/>
                <w:color w:val="auto"/>
              </w:rPr>
              <w:t>4.16</w:t>
            </w:r>
          </w:p>
        </w:tc>
        <w:tc>
          <w:tcPr>
            <w:tcW w:w="100" w:type="dxa"/>
            <w:vAlign w:val="bottom"/>
          </w:tcPr>
          <w:p>
            <w:pPr>
              <w:spacing w:after="0"/>
              <w:rPr>
                <w:sz w:val="14"/>
                <w:szCs w:val="14"/>
                <w:color w:val="auto"/>
              </w:rPr>
            </w:pPr>
          </w:p>
        </w:tc>
        <w:tc>
          <w:tcPr>
            <w:tcW w:w="9120" w:type="dxa"/>
            <w:vAlign w:val="bottom"/>
            <w:tcBorders>
              <w:right w:val="single" w:sz="8" w:color="91BBD3"/>
            </w:tcBorders>
            <w:gridSpan w:val="13"/>
          </w:tcPr>
          <w:p>
            <w:pPr>
              <w:spacing w:after="0" w:line="169" w:lineRule="exact"/>
              <w:rPr>
                <w:rFonts w:ascii="Calibri" w:cs="Calibri" w:eastAsia="Calibri" w:hAnsi="Calibri"/>
                <w:sz w:val="18"/>
                <w:szCs w:val="18"/>
                <w:color w:val="0563C1"/>
              </w:rPr>
            </w:pPr>
            <w:hyperlink r:id="rId488">
              <w:r>
                <w:rPr>
                  <w:rFonts w:ascii="Calibri" w:cs="Calibri" w:eastAsia="Calibri" w:hAnsi="Calibri"/>
                  <w:sz w:val="18"/>
                  <w:szCs w:val="18"/>
                  <w:color w:val="0563C1"/>
                </w:rPr>
                <w:t>Form of 4.250% Senior Notes due 2047 (included in Exhibit 4.14)</w:t>
              </w:r>
            </w:hyperlink>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680" w:type="dxa"/>
            <w:vAlign w:val="bottom"/>
            <w:tcBorders>
              <w:left w:val="single" w:sz="8" w:color="91BBD3"/>
              <w:bottom w:val="single" w:sz="8" w:color="91BBD3"/>
              <w:right w:val="single" w:sz="8" w:color="91BBD3"/>
            </w:tcBorders>
          </w:tcPr>
          <w:p>
            <w:pPr>
              <w:spacing w:after="0"/>
              <w:rPr>
                <w:sz w:val="5"/>
                <w:szCs w:val="5"/>
                <w:color w:val="auto"/>
              </w:rPr>
            </w:pPr>
          </w:p>
        </w:tc>
        <w:tc>
          <w:tcPr>
            <w:tcW w:w="100" w:type="dxa"/>
            <w:vAlign w:val="bottom"/>
            <w:tcBorders>
              <w:bottom w:val="single" w:sz="8" w:color="91BBD3"/>
            </w:tcBorders>
          </w:tcPr>
          <w:p>
            <w:pPr>
              <w:spacing w:after="0"/>
              <w:rPr>
                <w:sz w:val="5"/>
                <w:szCs w:val="5"/>
                <w:color w:val="auto"/>
              </w:rPr>
            </w:pPr>
          </w:p>
        </w:tc>
        <w:tc>
          <w:tcPr>
            <w:tcW w:w="980" w:type="dxa"/>
            <w:vAlign w:val="bottom"/>
            <w:tcBorders>
              <w:top w:val="single" w:sz="8" w:color="0563C1"/>
              <w:bottom w:val="single" w:sz="8" w:color="91BBD3"/>
            </w:tcBorders>
          </w:tcPr>
          <w:p>
            <w:pPr>
              <w:spacing w:after="0"/>
              <w:rPr>
                <w:sz w:val="5"/>
                <w:szCs w:val="5"/>
                <w:color w:val="auto"/>
              </w:rPr>
            </w:pPr>
          </w:p>
        </w:tc>
        <w:tc>
          <w:tcPr>
            <w:tcW w:w="1200" w:type="dxa"/>
            <w:vAlign w:val="bottom"/>
            <w:tcBorders>
              <w:top w:val="single" w:sz="8" w:color="0563C1"/>
              <w:bottom w:val="single" w:sz="8" w:color="91BBD3"/>
            </w:tcBorders>
          </w:tcPr>
          <w:p>
            <w:pPr>
              <w:spacing w:after="0"/>
              <w:rPr>
                <w:sz w:val="5"/>
                <w:szCs w:val="5"/>
                <w:color w:val="auto"/>
              </w:rPr>
            </w:pPr>
          </w:p>
        </w:tc>
        <w:tc>
          <w:tcPr>
            <w:tcW w:w="1100" w:type="dxa"/>
            <w:vAlign w:val="bottom"/>
            <w:tcBorders>
              <w:top w:val="single" w:sz="8" w:color="0563C1"/>
              <w:bottom w:val="single" w:sz="8" w:color="91BBD3"/>
            </w:tcBorders>
          </w:tcPr>
          <w:p>
            <w:pPr>
              <w:spacing w:after="0"/>
              <w:rPr>
                <w:sz w:val="5"/>
                <w:szCs w:val="5"/>
                <w:color w:val="auto"/>
              </w:rPr>
            </w:pPr>
          </w:p>
        </w:tc>
        <w:tc>
          <w:tcPr>
            <w:tcW w:w="560" w:type="dxa"/>
            <w:vAlign w:val="bottom"/>
            <w:tcBorders>
              <w:top w:val="single" w:sz="8" w:color="0563C1"/>
              <w:bottom w:val="single" w:sz="8" w:color="91BBD3"/>
            </w:tcBorders>
          </w:tcPr>
          <w:p>
            <w:pPr>
              <w:spacing w:after="0"/>
              <w:rPr>
                <w:sz w:val="5"/>
                <w:szCs w:val="5"/>
                <w:color w:val="auto"/>
              </w:rPr>
            </w:pPr>
          </w:p>
        </w:tc>
        <w:tc>
          <w:tcPr>
            <w:tcW w:w="740" w:type="dxa"/>
            <w:vAlign w:val="bottom"/>
            <w:tcBorders>
              <w:top w:val="single" w:sz="8" w:color="0563C1"/>
              <w:bottom w:val="single" w:sz="8" w:color="91BBD3"/>
            </w:tcBorders>
          </w:tcPr>
          <w:p>
            <w:pPr>
              <w:spacing w:after="0"/>
              <w:rPr>
                <w:sz w:val="5"/>
                <w:szCs w:val="5"/>
                <w:color w:val="auto"/>
              </w:rPr>
            </w:pPr>
          </w:p>
        </w:tc>
        <w:tc>
          <w:tcPr>
            <w:tcW w:w="20" w:type="dxa"/>
            <w:vAlign w:val="bottom"/>
            <w:tcBorders>
              <w:top w:val="single" w:sz="8" w:color="0563C1"/>
              <w:bottom w:val="single" w:sz="8" w:color="91BBD3"/>
            </w:tcBorders>
          </w:tcPr>
          <w:p>
            <w:pPr>
              <w:spacing w:after="0"/>
              <w:rPr>
                <w:sz w:val="5"/>
                <w:szCs w:val="5"/>
                <w:color w:val="auto"/>
              </w:rPr>
            </w:pPr>
          </w:p>
        </w:tc>
        <w:tc>
          <w:tcPr>
            <w:tcW w:w="100" w:type="dxa"/>
            <w:vAlign w:val="bottom"/>
            <w:tcBorders>
              <w:bottom w:val="single" w:sz="8" w:color="91BBD3"/>
            </w:tcBorders>
          </w:tcPr>
          <w:p>
            <w:pPr>
              <w:spacing w:after="0"/>
              <w:rPr>
                <w:sz w:val="5"/>
                <w:szCs w:val="5"/>
                <w:color w:val="auto"/>
              </w:rPr>
            </w:pPr>
          </w:p>
        </w:tc>
        <w:tc>
          <w:tcPr>
            <w:tcW w:w="1340" w:type="dxa"/>
            <w:vAlign w:val="bottom"/>
            <w:tcBorders>
              <w:bottom w:val="single" w:sz="8" w:color="91BBD3"/>
            </w:tcBorders>
          </w:tcPr>
          <w:p>
            <w:pPr>
              <w:spacing w:after="0"/>
              <w:rPr>
                <w:sz w:val="5"/>
                <w:szCs w:val="5"/>
                <w:color w:val="auto"/>
              </w:rPr>
            </w:pPr>
          </w:p>
        </w:tc>
        <w:tc>
          <w:tcPr>
            <w:tcW w:w="1500" w:type="dxa"/>
            <w:vAlign w:val="bottom"/>
            <w:tcBorders>
              <w:bottom w:val="single" w:sz="8" w:color="91BBD3"/>
            </w:tcBorders>
          </w:tcPr>
          <w:p>
            <w:pPr>
              <w:spacing w:after="0"/>
              <w:rPr>
                <w:sz w:val="5"/>
                <w:szCs w:val="5"/>
                <w:color w:val="auto"/>
              </w:rPr>
            </w:pPr>
          </w:p>
        </w:tc>
        <w:tc>
          <w:tcPr>
            <w:tcW w:w="1180" w:type="dxa"/>
            <w:vAlign w:val="bottom"/>
            <w:tcBorders>
              <w:bottom w:val="single" w:sz="8" w:color="91BBD3"/>
            </w:tcBorders>
          </w:tcPr>
          <w:p>
            <w:pPr>
              <w:spacing w:after="0"/>
              <w:rPr>
                <w:sz w:val="5"/>
                <w:szCs w:val="5"/>
                <w:color w:val="auto"/>
              </w:rPr>
            </w:pPr>
          </w:p>
        </w:tc>
        <w:tc>
          <w:tcPr>
            <w:tcW w:w="140" w:type="dxa"/>
            <w:vAlign w:val="bottom"/>
            <w:tcBorders>
              <w:bottom w:val="single" w:sz="8" w:color="91BBD3"/>
            </w:tcBorders>
          </w:tcPr>
          <w:p>
            <w:pPr>
              <w:spacing w:after="0"/>
              <w:rPr>
                <w:sz w:val="5"/>
                <w:szCs w:val="5"/>
                <w:color w:val="auto"/>
              </w:rPr>
            </w:pPr>
          </w:p>
        </w:tc>
        <w:tc>
          <w:tcPr>
            <w:tcW w:w="140" w:type="dxa"/>
            <w:vAlign w:val="bottom"/>
            <w:tcBorders>
              <w:bottom w:val="single" w:sz="8" w:color="91BBD3"/>
            </w:tcBorders>
          </w:tcPr>
          <w:p>
            <w:pPr>
              <w:spacing w:after="0"/>
              <w:rPr>
                <w:sz w:val="5"/>
                <w:szCs w:val="5"/>
                <w:color w:val="auto"/>
              </w:rPr>
            </w:pPr>
          </w:p>
        </w:tc>
        <w:tc>
          <w:tcPr>
            <w:tcW w:w="120" w:type="dxa"/>
            <w:vAlign w:val="bottom"/>
            <w:tcBorders>
              <w:bottom w:val="single" w:sz="8" w:color="91BBD3"/>
              <w:right w:val="single" w:sz="8" w:color="91BBD3"/>
            </w:tcBorders>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bottom w:val="single" w:sz="8" w:color="DAE8F0"/>
              <w:right w:val="single" w:sz="8" w:color="91BBD3"/>
            </w:tcBorders>
            <w:shd w:val="clear" w:color="auto" w:fill="DAE8F0"/>
          </w:tcPr>
          <w:p>
            <w:pPr>
              <w:jc w:val="right"/>
              <w:ind w:right="1150"/>
              <w:spacing w:after="0" w:line="169" w:lineRule="exact"/>
              <w:rPr>
                <w:sz w:val="20"/>
                <w:szCs w:val="20"/>
                <w:color w:val="auto"/>
              </w:rPr>
            </w:pPr>
            <w:r>
              <w:rPr>
                <w:rFonts w:ascii="Calibri" w:cs="Calibri" w:eastAsia="Calibri" w:hAnsi="Calibri"/>
                <w:sz w:val="18"/>
                <w:szCs w:val="18"/>
                <w:b w:val="1"/>
                <w:bCs w:val="1"/>
                <w:color w:val="auto"/>
              </w:rPr>
              <w:t>4.17</w:t>
            </w:r>
          </w:p>
        </w:tc>
        <w:tc>
          <w:tcPr>
            <w:tcW w:w="100" w:type="dxa"/>
            <w:vAlign w:val="bottom"/>
            <w:tcBorders>
              <w:bottom w:val="single" w:sz="8" w:color="DAE8F0"/>
            </w:tcBorders>
            <w:shd w:val="clear" w:color="auto" w:fill="DAE8F0"/>
          </w:tcPr>
          <w:p>
            <w:pPr>
              <w:spacing w:after="0"/>
              <w:rPr>
                <w:sz w:val="14"/>
                <w:szCs w:val="14"/>
                <w:color w:val="auto"/>
              </w:rPr>
            </w:pPr>
          </w:p>
        </w:tc>
        <w:tc>
          <w:tcPr>
            <w:tcW w:w="9000" w:type="dxa"/>
            <w:vAlign w:val="bottom"/>
            <w:tcBorders>
              <w:bottom w:val="single" w:sz="8" w:color="0563C1"/>
              <w:right w:val="single" w:sz="8" w:color="DAE8F0"/>
            </w:tcBorders>
            <w:gridSpan w:val="12"/>
            <w:shd w:val="clear" w:color="auto" w:fill="DAE8F0"/>
          </w:tcPr>
          <w:p>
            <w:pPr>
              <w:spacing w:after="0" w:line="169" w:lineRule="exact"/>
              <w:rPr>
                <w:rFonts w:ascii="Calibri" w:cs="Calibri" w:eastAsia="Calibri" w:hAnsi="Calibri"/>
                <w:sz w:val="18"/>
                <w:szCs w:val="18"/>
                <w:color w:val="0563C1"/>
              </w:rPr>
            </w:pPr>
            <w:hyperlink r:id="rId489">
              <w:r>
                <w:rPr>
                  <w:rFonts w:ascii="Calibri" w:cs="Calibri" w:eastAsia="Calibri" w:hAnsi="Calibri"/>
                  <w:sz w:val="18"/>
                  <w:szCs w:val="18"/>
                  <w:color w:val="0563C1"/>
                </w:rPr>
                <w:t>Third Supplemental Indenture, dated as of March 16, 2020, between Martn Marieta Materials, Inc. and Regions Bank, as</w:t>
              </w:r>
            </w:hyperlink>
          </w:p>
        </w:tc>
        <w:tc>
          <w:tcPr>
            <w:tcW w:w="120" w:type="dxa"/>
            <w:vAlign w:val="bottom"/>
            <w:tcBorders>
              <w:left w:val="single" w:sz="8" w:color="DAE8F0"/>
              <w:bottom w:val="single" w:sz="8" w:color="DAE8F0"/>
              <w:right w:val="single" w:sz="8" w:color="91BBD3"/>
            </w:tcBorders>
            <w:shd w:val="clear" w:color="auto" w:fill="DAE8F0"/>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shd w:val="clear" w:color="auto" w:fill="DAE8F0"/>
          </w:tcPr>
          <w:p>
            <w:pPr>
              <w:spacing w:after="0"/>
              <w:rPr>
                <w:sz w:val="17"/>
                <w:szCs w:val="17"/>
                <w:color w:val="auto"/>
              </w:rPr>
            </w:pPr>
          </w:p>
        </w:tc>
        <w:tc>
          <w:tcPr>
            <w:tcW w:w="100" w:type="dxa"/>
            <w:vAlign w:val="bottom"/>
            <w:shd w:val="clear" w:color="auto" w:fill="DAE8F0"/>
          </w:tcPr>
          <w:p>
            <w:pPr>
              <w:spacing w:after="0"/>
              <w:rPr>
                <w:sz w:val="17"/>
                <w:szCs w:val="17"/>
                <w:color w:val="auto"/>
              </w:rPr>
            </w:pPr>
          </w:p>
        </w:tc>
        <w:tc>
          <w:tcPr>
            <w:tcW w:w="9120" w:type="dxa"/>
            <w:vAlign w:val="bottom"/>
            <w:tcBorders>
              <w:right w:val="single" w:sz="8" w:color="91BBD3"/>
            </w:tcBorders>
            <w:gridSpan w:val="13"/>
            <w:shd w:val="clear" w:color="auto" w:fill="DAE8F0"/>
          </w:tcPr>
          <w:p>
            <w:pPr>
              <w:spacing w:after="0" w:line="196" w:lineRule="exact"/>
              <w:rPr>
                <w:rFonts w:ascii="Calibri" w:cs="Calibri" w:eastAsia="Calibri" w:hAnsi="Calibri"/>
                <w:sz w:val="18"/>
                <w:szCs w:val="18"/>
                <w:color w:val="0563C1"/>
                <w:w w:val="98"/>
              </w:rPr>
            </w:pPr>
            <w:hyperlink r:id="rId489">
              <w:r>
                <w:rPr>
                  <w:rFonts w:ascii="Calibri" w:cs="Calibri" w:eastAsia="Calibri" w:hAnsi="Calibri"/>
                  <w:sz w:val="18"/>
                  <w:szCs w:val="18"/>
                  <w:color w:val="0563C1"/>
                  <w:w w:val="98"/>
                </w:rPr>
                <w:t xml:space="preserve">trustee, governing the Senior Notes issued by the Company on March 16, 2020, in the form of </w:t>
              </w:r>
              <w:r>
                <w:rPr>
                  <w:rFonts w:ascii="Calibri" w:cs="Calibri" w:eastAsia="Calibri" w:hAnsi="Calibri"/>
                  <w:sz w:val="18"/>
                  <w:szCs w:val="18"/>
                  <w:u w:val="single" w:color="auto"/>
                  <w:color w:val="0563C1"/>
                  <w:w w:val="98"/>
                </w:rPr>
                <w:t>$</w:t>
              </w:r>
              <w:r>
                <w:rPr>
                  <w:rFonts w:ascii="Calibri" w:cs="Calibri" w:eastAsia="Calibri" w:hAnsi="Calibri"/>
                  <w:sz w:val="18"/>
                  <w:szCs w:val="18"/>
                  <w:color w:val="0563C1"/>
                  <w:w w:val="98"/>
                </w:rPr>
                <w:t>500 million aggregate principal</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top w:val="single" w:sz="8" w:color="DAE8F0"/>
              <w:left w:val="single" w:sz="8" w:color="91BBD3"/>
              <w:bottom w:val="single" w:sz="8" w:color="DAE8F0"/>
              <w:right w:val="single" w:sz="8" w:color="91BBD3"/>
            </w:tcBorders>
            <w:shd w:val="clear" w:color="auto" w:fill="DAE8F0"/>
          </w:tcPr>
          <w:p>
            <w:pPr>
              <w:spacing w:after="0"/>
              <w:rPr>
                <w:sz w:val="17"/>
                <w:szCs w:val="17"/>
                <w:color w:val="auto"/>
              </w:rPr>
            </w:pPr>
          </w:p>
        </w:tc>
        <w:tc>
          <w:tcPr>
            <w:tcW w:w="100" w:type="dxa"/>
            <w:vAlign w:val="bottom"/>
            <w:tcBorders>
              <w:top w:val="single" w:sz="8" w:color="DAE8F0"/>
              <w:bottom w:val="single" w:sz="8" w:color="DAE8F0"/>
            </w:tcBorders>
            <w:shd w:val="clear" w:color="auto" w:fill="DAE8F0"/>
          </w:tcPr>
          <w:p>
            <w:pPr>
              <w:spacing w:after="0"/>
              <w:rPr>
                <w:sz w:val="17"/>
                <w:szCs w:val="17"/>
                <w:color w:val="auto"/>
              </w:rPr>
            </w:pPr>
          </w:p>
        </w:tc>
        <w:tc>
          <w:tcPr>
            <w:tcW w:w="9000" w:type="dxa"/>
            <w:vAlign w:val="bottom"/>
            <w:tcBorders>
              <w:top w:val="single" w:sz="8" w:color="0563C1"/>
              <w:bottom w:val="single" w:sz="8" w:color="0563C1"/>
              <w:right w:val="single" w:sz="8" w:color="DAE8F0"/>
            </w:tcBorders>
            <w:gridSpan w:val="12"/>
            <w:shd w:val="clear" w:color="auto" w:fill="DAE8F0"/>
          </w:tcPr>
          <w:p>
            <w:pPr>
              <w:spacing w:after="0" w:line="196" w:lineRule="exact"/>
              <w:rPr>
                <w:rFonts w:ascii="Calibri" w:cs="Calibri" w:eastAsia="Calibri" w:hAnsi="Calibri"/>
                <w:sz w:val="18"/>
                <w:szCs w:val="18"/>
                <w:color w:val="0563C1"/>
              </w:rPr>
            </w:pPr>
            <w:hyperlink r:id="rId489">
              <w:r>
                <w:rPr>
                  <w:rFonts w:ascii="Calibri" w:cs="Calibri" w:eastAsia="Calibri" w:hAnsi="Calibri"/>
                  <w:sz w:val="18"/>
                  <w:szCs w:val="18"/>
                  <w:color w:val="0563C1"/>
                </w:rPr>
                <w:t>amount of 2.500% Senior Notes due 2030 (incorporated by reference to Exhibit 4.2 to the Martn Marieta Materials, Inc.</w:t>
              </w:r>
            </w:hyperlink>
          </w:p>
        </w:tc>
        <w:tc>
          <w:tcPr>
            <w:tcW w:w="120" w:type="dxa"/>
            <w:vAlign w:val="bottom"/>
            <w:tcBorders>
              <w:top w:val="single" w:sz="8" w:color="DAE8F0"/>
              <w:left w:val="single" w:sz="8" w:color="DAE8F0"/>
              <w:bottom w:val="single" w:sz="8" w:color="DAE8F0"/>
              <w:right w:val="single" w:sz="8" w:color="91BBD3"/>
            </w:tcBorders>
            <w:shd w:val="clear" w:color="auto" w:fill="DAE8F0"/>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680" w:type="dxa"/>
            <w:vAlign w:val="bottom"/>
            <w:tcBorders>
              <w:left w:val="single" w:sz="8" w:color="91BBD3"/>
              <w:bottom w:val="single" w:sz="8" w:color="91BBD3"/>
              <w:right w:val="single" w:sz="8" w:color="91BBD3"/>
            </w:tcBorders>
            <w:shd w:val="clear" w:color="auto" w:fill="DAE8F0"/>
          </w:tcPr>
          <w:p>
            <w:pPr>
              <w:spacing w:after="0"/>
              <w:rPr>
                <w:sz w:val="22"/>
                <w:szCs w:val="22"/>
                <w:color w:val="auto"/>
              </w:rPr>
            </w:pPr>
          </w:p>
        </w:tc>
        <w:tc>
          <w:tcPr>
            <w:tcW w:w="100" w:type="dxa"/>
            <w:vAlign w:val="bottom"/>
            <w:tcBorders>
              <w:bottom w:val="single" w:sz="8" w:color="91BBD3"/>
            </w:tcBorders>
            <w:shd w:val="clear" w:color="auto" w:fill="DAE8F0"/>
          </w:tcPr>
          <w:p>
            <w:pPr>
              <w:spacing w:after="0"/>
              <w:rPr>
                <w:sz w:val="22"/>
                <w:szCs w:val="22"/>
                <w:color w:val="auto"/>
              </w:rPr>
            </w:pPr>
          </w:p>
        </w:tc>
        <w:tc>
          <w:tcPr>
            <w:tcW w:w="6040" w:type="dxa"/>
            <w:vAlign w:val="bottom"/>
            <w:tcBorders>
              <w:bottom w:val="single" w:sz="8" w:color="0563C1"/>
            </w:tcBorders>
            <w:gridSpan w:val="8"/>
            <w:shd w:val="clear" w:color="auto" w:fill="DAE8F0"/>
          </w:tcPr>
          <w:p>
            <w:pPr>
              <w:spacing w:after="0" w:line="196" w:lineRule="exact"/>
              <w:rPr>
                <w:rFonts w:ascii="Calibri" w:cs="Calibri" w:eastAsia="Calibri" w:hAnsi="Calibri"/>
                <w:sz w:val="18"/>
                <w:szCs w:val="18"/>
                <w:color w:val="0563C1"/>
                <w:w w:val="97"/>
              </w:rPr>
            </w:pPr>
            <w:hyperlink r:id="rId489">
              <w:r>
                <w:rPr>
                  <w:rFonts w:ascii="Calibri" w:cs="Calibri" w:eastAsia="Calibri" w:hAnsi="Calibri"/>
                  <w:sz w:val="18"/>
                  <w:szCs w:val="18"/>
                  <w:color w:val="0563C1"/>
                  <w:w w:val="97"/>
                </w:rPr>
                <w:t>Current Report on Form 8-K, fled on March 16, 2020 (Commission File No. 1-12744))</w:t>
              </w:r>
            </w:hyperlink>
          </w:p>
        </w:tc>
        <w:tc>
          <w:tcPr>
            <w:tcW w:w="3080" w:type="dxa"/>
            <w:vAlign w:val="bottom"/>
            <w:tcBorders>
              <w:bottom w:val="single" w:sz="8" w:color="91BBD3"/>
              <w:right w:val="single" w:sz="8" w:color="91BBD3"/>
            </w:tcBorders>
            <w:gridSpan w:val="5"/>
            <w:shd w:val="clear" w:color="auto" w:fill="DAE8F0"/>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right w:val="single" w:sz="8" w:color="91BBD3"/>
            </w:tcBorders>
          </w:tcPr>
          <w:p>
            <w:pPr>
              <w:jc w:val="right"/>
              <w:ind w:right="1150"/>
              <w:spacing w:after="0" w:line="169" w:lineRule="exact"/>
              <w:rPr>
                <w:sz w:val="20"/>
                <w:szCs w:val="20"/>
                <w:color w:val="auto"/>
              </w:rPr>
            </w:pPr>
            <w:r>
              <w:rPr>
                <w:rFonts w:ascii="Calibri" w:cs="Calibri" w:eastAsia="Calibri" w:hAnsi="Calibri"/>
                <w:sz w:val="18"/>
                <w:szCs w:val="18"/>
                <w:b w:val="1"/>
                <w:bCs w:val="1"/>
                <w:color w:val="auto"/>
              </w:rPr>
              <w:t>4.18</w:t>
            </w:r>
          </w:p>
        </w:tc>
        <w:tc>
          <w:tcPr>
            <w:tcW w:w="100" w:type="dxa"/>
            <w:vAlign w:val="bottom"/>
          </w:tcPr>
          <w:p>
            <w:pPr>
              <w:spacing w:after="0"/>
              <w:rPr>
                <w:sz w:val="14"/>
                <w:szCs w:val="14"/>
                <w:color w:val="auto"/>
              </w:rPr>
            </w:pPr>
          </w:p>
        </w:tc>
        <w:tc>
          <w:tcPr>
            <w:tcW w:w="9120" w:type="dxa"/>
            <w:vAlign w:val="bottom"/>
            <w:tcBorders>
              <w:right w:val="single" w:sz="8" w:color="91BBD3"/>
            </w:tcBorders>
            <w:gridSpan w:val="13"/>
          </w:tcPr>
          <w:p>
            <w:pPr>
              <w:spacing w:after="0" w:line="169" w:lineRule="exact"/>
              <w:rPr>
                <w:rFonts w:ascii="Calibri" w:cs="Calibri" w:eastAsia="Calibri" w:hAnsi="Calibri"/>
                <w:sz w:val="18"/>
                <w:szCs w:val="18"/>
                <w:color w:val="0563C1"/>
              </w:rPr>
            </w:pPr>
            <w:hyperlink r:id="rId489">
              <w:r>
                <w:rPr>
                  <w:rFonts w:ascii="Calibri" w:cs="Calibri" w:eastAsia="Calibri" w:hAnsi="Calibri"/>
                  <w:sz w:val="18"/>
                  <w:szCs w:val="18"/>
                  <w:color w:val="0563C1"/>
                </w:rPr>
                <w:t>Form of 2.500% Senior Notes due 2030 (contained in Exhibit 4.17)</w:t>
              </w:r>
            </w:hyperlink>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680" w:type="dxa"/>
            <w:vAlign w:val="bottom"/>
            <w:tcBorders>
              <w:left w:val="single" w:sz="8" w:color="91BBD3"/>
              <w:bottom w:val="single" w:sz="8" w:color="91BBD3"/>
              <w:right w:val="single" w:sz="8" w:color="91BBD3"/>
            </w:tcBorders>
          </w:tcPr>
          <w:p>
            <w:pPr>
              <w:spacing w:after="0"/>
              <w:rPr>
                <w:sz w:val="5"/>
                <w:szCs w:val="5"/>
                <w:color w:val="auto"/>
              </w:rPr>
            </w:pPr>
          </w:p>
        </w:tc>
        <w:tc>
          <w:tcPr>
            <w:tcW w:w="100" w:type="dxa"/>
            <w:vAlign w:val="bottom"/>
            <w:tcBorders>
              <w:bottom w:val="single" w:sz="8" w:color="91BBD3"/>
            </w:tcBorders>
          </w:tcPr>
          <w:p>
            <w:pPr>
              <w:spacing w:after="0"/>
              <w:rPr>
                <w:sz w:val="5"/>
                <w:szCs w:val="5"/>
                <w:color w:val="auto"/>
              </w:rPr>
            </w:pPr>
          </w:p>
        </w:tc>
        <w:tc>
          <w:tcPr>
            <w:tcW w:w="980" w:type="dxa"/>
            <w:vAlign w:val="bottom"/>
            <w:tcBorders>
              <w:top w:val="single" w:sz="8" w:color="0563C1"/>
              <w:bottom w:val="single" w:sz="8" w:color="91BBD3"/>
            </w:tcBorders>
          </w:tcPr>
          <w:p>
            <w:pPr>
              <w:spacing w:after="0"/>
              <w:rPr>
                <w:sz w:val="5"/>
                <w:szCs w:val="5"/>
                <w:color w:val="auto"/>
              </w:rPr>
            </w:pPr>
          </w:p>
        </w:tc>
        <w:tc>
          <w:tcPr>
            <w:tcW w:w="1200" w:type="dxa"/>
            <w:vAlign w:val="bottom"/>
            <w:tcBorders>
              <w:top w:val="single" w:sz="8" w:color="0563C1"/>
              <w:bottom w:val="single" w:sz="8" w:color="91BBD3"/>
            </w:tcBorders>
          </w:tcPr>
          <w:p>
            <w:pPr>
              <w:spacing w:after="0"/>
              <w:rPr>
                <w:sz w:val="5"/>
                <w:szCs w:val="5"/>
                <w:color w:val="auto"/>
              </w:rPr>
            </w:pPr>
          </w:p>
        </w:tc>
        <w:tc>
          <w:tcPr>
            <w:tcW w:w="1100" w:type="dxa"/>
            <w:vAlign w:val="bottom"/>
            <w:tcBorders>
              <w:top w:val="single" w:sz="8" w:color="0563C1"/>
              <w:bottom w:val="single" w:sz="8" w:color="91BBD3"/>
            </w:tcBorders>
          </w:tcPr>
          <w:p>
            <w:pPr>
              <w:spacing w:after="0"/>
              <w:rPr>
                <w:sz w:val="5"/>
                <w:szCs w:val="5"/>
                <w:color w:val="auto"/>
              </w:rPr>
            </w:pPr>
          </w:p>
        </w:tc>
        <w:tc>
          <w:tcPr>
            <w:tcW w:w="560" w:type="dxa"/>
            <w:vAlign w:val="bottom"/>
            <w:tcBorders>
              <w:top w:val="single" w:sz="8" w:color="0563C1"/>
              <w:bottom w:val="single" w:sz="8" w:color="91BBD3"/>
            </w:tcBorders>
          </w:tcPr>
          <w:p>
            <w:pPr>
              <w:spacing w:after="0"/>
              <w:rPr>
                <w:sz w:val="5"/>
                <w:szCs w:val="5"/>
                <w:color w:val="auto"/>
              </w:rPr>
            </w:pPr>
          </w:p>
        </w:tc>
        <w:tc>
          <w:tcPr>
            <w:tcW w:w="740" w:type="dxa"/>
            <w:vAlign w:val="bottom"/>
            <w:tcBorders>
              <w:top w:val="single" w:sz="8" w:color="0563C1"/>
              <w:bottom w:val="single" w:sz="8" w:color="91BBD3"/>
            </w:tcBorders>
          </w:tcPr>
          <w:p>
            <w:pPr>
              <w:spacing w:after="0"/>
              <w:rPr>
                <w:sz w:val="5"/>
                <w:szCs w:val="5"/>
                <w:color w:val="auto"/>
              </w:rPr>
            </w:pPr>
          </w:p>
        </w:tc>
        <w:tc>
          <w:tcPr>
            <w:tcW w:w="20" w:type="dxa"/>
            <w:vAlign w:val="bottom"/>
            <w:tcBorders>
              <w:top w:val="single" w:sz="8" w:color="0563C1"/>
              <w:bottom w:val="single" w:sz="8" w:color="91BBD3"/>
            </w:tcBorders>
          </w:tcPr>
          <w:p>
            <w:pPr>
              <w:spacing w:after="0"/>
              <w:rPr>
                <w:sz w:val="5"/>
                <w:szCs w:val="5"/>
                <w:color w:val="auto"/>
              </w:rPr>
            </w:pPr>
          </w:p>
        </w:tc>
        <w:tc>
          <w:tcPr>
            <w:tcW w:w="100" w:type="dxa"/>
            <w:vAlign w:val="bottom"/>
            <w:tcBorders>
              <w:top w:val="single" w:sz="8" w:color="0563C1"/>
              <w:bottom w:val="single" w:sz="8" w:color="91BBD3"/>
            </w:tcBorders>
          </w:tcPr>
          <w:p>
            <w:pPr>
              <w:spacing w:after="0"/>
              <w:rPr>
                <w:sz w:val="5"/>
                <w:szCs w:val="5"/>
                <w:color w:val="auto"/>
              </w:rPr>
            </w:pPr>
          </w:p>
        </w:tc>
        <w:tc>
          <w:tcPr>
            <w:tcW w:w="1340" w:type="dxa"/>
            <w:vAlign w:val="bottom"/>
            <w:tcBorders>
              <w:bottom w:val="single" w:sz="8" w:color="91BBD3"/>
            </w:tcBorders>
          </w:tcPr>
          <w:p>
            <w:pPr>
              <w:spacing w:after="0"/>
              <w:rPr>
                <w:sz w:val="5"/>
                <w:szCs w:val="5"/>
                <w:color w:val="auto"/>
              </w:rPr>
            </w:pPr>
          </w:p>
        </w:tc>
        <w:tc>
          <w:tcPr>
            <w:tcW w:w="1500" w:type="dxa"/>
            <w:vAlign w:val="bottom"/>
            <w:tcBorders>
              <w:bottom w:val="single" w:sz="8" w:color="91BBD3"/>
            </w:tcBorders>
          </w:tcPr>
          <w:p>
            <w:pPr>
              <w:spacing w:after="0"/>
              <w:rPr>
                <w:sz w:val="5"/>
                <w:szCs w:val="5"/>
                <w:color w:val="auto"/>
              </w:rPr>
            </w:pPr>
          </w:p>
        </w:tc>
        <w:tc>
          <w:tcPr>
            <w:tcW w:w="1180" w:type="dxa"/>
            <w:vAlign w:val="bottom"/>
            <w:tcBorders>
              <w:bottom w:val="single" w:sz="8" w:color="91BBD3"/>
            </w:tcBorders>
          </w:tcPr>
          <w:p>
            <w:pPr>
              <w:spacing w:after="0"/>
              <w:rPr>
                <w:sz w:val="5"/>
                <w:szCs w:val="5"/>
                <w:color w:val="auto"/>
              </w:rPr>
            </w:pPr>
          </w:p>
        </w:tc>
        <w:tc>
          <w:tcPr>
            <w:tcW w:w="140" w:type="dxa"/>
            <w:vAlign w:val="bottom"/>
            <w:tcBorders>
              <w:bottom w:val="single" w:sz="8" w:color="91BBD3"/>
            </w:tcBorders>
          </w:tcPr>
          <w:p>
            <w:pPr>
              <w:spacing w:after="0"/>
              <w:rPr>
                <w:sz w:val="5"/>
                <w:szCs w:val="5"/>
                <w:color w:val="auto"/>
              </w:rPr>
            </w:pPr>
          </w:p>
        </w:tc>
        <w:tc>
          <w:tcPr>
            <w:tcW w:w="140" w:type="dxa"/>
            <w:vAlign w:val="bottom"/>
            <w:tcBorders>
              <w:bottom w:val="single" w:sz="8" w:color="91BBD3"/>
            </w:tcBorders>
          </w:tcPr>
          <w:p>
            <w:pPr>
              <w:spacing w:after="0"/>
              <w:rPr>
                <w:sz w:val="5"/>
                <w:szCs w:val="5"/>
                <w:color w:val="auto"/>
              </w:rPr>
            </w:pPr>
          </w:p>
        </w:tc>
        <w:tc>
          <w:tcPr>
            <w:tcW w:w="120" w:type="dxa"/>
            <w:vAlign w:val="bottom"/>
            <w:tcBorders>
              <w:bottom w:val="single" w:sz="8" w:color="91BBD3"/>
              <w:right w:val="single" w:sz="8" w:color="91BBD3"/>
            </w:tcBorders>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bottom w:val="single" w:sz="8" w:color="DAE8F0"/>
              <w:right w:val="single" w:sz="8" w:color="91BBD3"/>
            </w:tcBorders>
            <w:shd w:val="clear" w:color="auto" w:fill="DAE8F0"/>
          </w:tcPr>
          <w:p>
            <w:pPr>
              <w:jc w:val="right"/>
              <w:ind w:right="1150"/>
              <w:spacing w:after="0" w:line="169" w:lineRule="exact"/>
              <w:rPr>
                <w:sz w:val="20"/>
                <w:szCs w:val="20"/>
                <w:color w:val="auto"/>
              </w:rPr>
            </w:pPr>
            <w:r>
              <w:rPr>
                <w:rFonts w:ascii="Calibri" w:cs="Calibri" w:eastAsia="Calibri" w:hAnsi="Calibri"/>
                <w:sz w:val="18"/>
                <w:szCs w:val="18"/>
                <w:b w:val="1"/>
                <w:bCs w:val="1"/>
                <w:color w:val="auto"/>
              </w:rPr>
              <w:t>4.19</w:t>
            </w:r>
          </w:p>
        </w:tc>
        <w:tc>
          <w:tcPr>
            <w:tcW w:w="100" w:type="dxa"/>
            <w:vAlign w:val="bottom"/>
            <w:tcBorders>
              <w:bottom w:val="single" w:sz="8" w:color="DAE8F0"/>
            </w:tcBorders>
            <w:shd w:val="clear" w:color="auto" w:fill="DAE8F0"/>
          </w:tcPr>
          <w:p>
            <w:pPr>
              <w:spacing w:after="0"/>
              <w:rPr>
                <w:sz w:val="14"/>
                <w:szCs w:val="14"/>
                <w:color w:val="auto"/>
              </w:rPr>
            </w:pPr>
          </w:p>
        </w:tc>
        <w:tc>
          <w:tcPr>
            <w:tcW w:w="9000" w:type="dxa"/>
            <w:vAlign w:val="bottom"/>
            <w:tcBorders>
              <w:bottom w:val="single" w:sz="8" w:color="0563C1"/>
              <w:right w:val="single" w:sz="8" w:color="DAE8F0"/>
            </w:tcBorders>
            <w:gridSpan w:val="12"/>
            <w:shd w:val="clear" w:color="auto" w:fill="DAE8F0"/>
          </w:tcPr>
          <w:p>
            <w:pPr>
              <w:spacing w:after="0" w:line="169" w:lineRule="exact"/>
              <w:rPr>
                <w:rFonts w:ascii="Calibri" w:cs="Calibri" w:eastAsia="Calibri" w:hAnsi="Calibri"/>
                <w:sz w:val="18"/>
                <w:szCs w:val="18"/>
                <w:color w:val="0563C1"/>
              </w:rPr>
            </w:pPr>
            <w:hyperlink r:id="rId490">
              <w:r>
                <w:rPr>
                  <w:rFonts w:ascii="Calibri" w:cs="Calibri" w:eastAsia="Calibri" w:hAnsi="Calibri"/>
                  <w:sz w:val="18"/>
                  <w:szCs w:val="18"/>
                  <w:color w:val="0563C1"/>
                </w:rPr>
                <w:t>Fourth Supplemental Indenture, dated as of July 2, 2021, between Martn Marieta Materials, Inc. and Regions Bank, as</w:t>
              </w:r>
            </w:hyperlink>
          </w:p>
        </w:tc>
        <w:tc>
          <w:tcPr>
            <w:tcW w:w="120" w:type="dxa"/>
            <w:vAlign w:val="bottom"/>
            <w:tcBorders>
              <w:left w:val="single" w:sz="8" w:color="DAE8F0"/>
              <w:bottom w:val="single" w:sz="8" w:color="DAE8F0"/>
              <w:right w:val="single" w:sz="8" w:color="91BBD3"/>
            </w:tcBorders>
            <w:shd w:val="clear" w:color="auto" w:fill="DAE8F0"/>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9000" w:type="dxa"/>
            <w:vAlign w:val="bottom"/>
            <w:tcBorders>
              <w:bottom w:val="single" w:sz="8" w:color="0563C1"/>
              <w:right w:val="single" w:sz="8" w:color="DAE8F0"/>
            </w:tcBorders>
            <w:gridSpan w:val="12"/>
            <w:shd w:val="clear" w:color="auto" w:fill="DAE8F0"/>
          </w:tcPr>
          <w:p>
            <w:pPr>
              <w:spacing w:after="0" w:line="196" w:lineRule="exact"/>
              <w:rPr>
                <w:rFonts w:ascii="Calibri" w:cs="Calibri" w:eastAsia="Calibri" w:hAnsi="Calibri"/>
                <w:sz w:val="18"/>
                <w:szCs w:val="18"/>
                <w:color w:val="0563C1"/>
              </w:rPr>
            </w:pPr>
            <w:hyperlink r:id="rId490">
              <w:r>
                <w:rPr>
                  <w:rFonts w:ascii="Calibri" w:cs="Calibri" w:eastAsia="Calibri" w:hAnsi="Calibri"/>
                  <w:sz w:val="18"/>
                  <w:szCs w:val="18"/>
                  <w:color w:val="0563C1"/>
                </w:rPr>
                <w:t>trustee (incorporated by reference to Exhibit 4.2 of the Company’s Current Report on Form 8-K, fled on July 2, 2021)</w:t>
              </w:r>
            </w:hyperlink>
          </w:p>
        </w:tc>
        <w:tc>
          <w:tcPr>
            <w:tcW w:w="120" w:type="dxa"/>
            <w:vAlign w:val="bottom"/>
            <w:tcBorders>
              <w:left w:val="single" w:sz="8" w:color="DAE8F0"/>
              <w:bottom w:val="single" w:sz="8" w:color="DAE8F0"/>
              <w:right w:val="single" w:sz="8" w:color="91BBD3"/>
            </w:tcBorders>
            <w:shd w:val="clear" w:color="auto" w:fill="DAE8F0"/>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680" w:type="dxa"/>
            <w:vAlign w:val="bottom"/>
            <w:tcBorders>
              <w:left w:val="single" w:sz="8" w:color="91BBD3"/>
              <w:right w:val="single" w:sz="8" w:color="91BBD3"/>
            </w:tcBorders>
            <w:shd w:val="clear" w:color="auto" w:fill="DAE8F0"/>
          </w:tcPr>
          <w:p>
            <w:pPr>
              <w:spacing w:after="0"/>
              <w:rPr>
                <w:sz w:val="21"/>
                <w:szCs w:val="21"/>
                <w:color w:val="auto"/>
              </w:rPr>
            </w:pPr>
          </w:p>
        </w:tc>
        <w:tc>
          <w:tcPr>
            <w:tcW w:w="100" w:type="dxa"/>
            <w:vAlign w:val="bottom"/>
            <w:shd w:val="clear" w:color="auto" w:fill="DAE8F0"/>
          </w:tcPr>
          <w:p>
            <w:pPr>
              <w:spacing w:after="0"/>
              <w:rPr>
                <w:sz w:val="21"/>
                <w:szCs w:val="21"/>
                <w:color w:val="auto"/>
              </w:rPr>
            </w:pPr>
          </w:p>
        </w:tc>
        <w:tc>
          <w:tcPr>
            <w:tcW w:w="9120" w:type="dxa"/>
            <w:vAlign w:val="bottom"/>
            <w:tcBorders>
              <w:right w:val="single" w:sz="8" w:color="91BBD3"/>
            </w:tcBorders>
            <w:gridSpan w:val="13"/>
            <w:shd w:val="clear" w:color="auto" w:fill="DAE8F0"/>
          </w:tcPr>
          <w:p>
            <w:pPr>
              <w:spacing w:after="0" w:line="196" w:lineRule="exact"/>
              <w:rPr>
                <w:rFonts w:ascii="Calibri" w:cs="Calibri" w:eastAsia="Calibri" w:hAnsi="Calibri"/>
                <w:sz w:val="18"/>
                <w:szCs w:val="18"/>
                <w:color w:val="0563C1"/>
              </w:rPr>
            </w:pPr>
            <w:hyperlink r:id="rId490">
              <w:r>
                <w:rPr>
                  <w:rFonts w:ascii="Calibri" w:cs="Calibri" w:eastAsia="Calibri" w:hAnsi="Calibri"/>
                  <w:sz w:val="18"/>
                  <w:szCs w:val="18"/>
                  <w:color w:val="0563C1"/>
                </w:rPr>
                <w:t>(Commission File No. 1-12744)</w:t>
              </w:r>
            </w:hyperlink>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980" w:type="dxa"/>
            <w:vAlign w:val="bottom"/>
            <w:tcBorders>
              <w:top w:val="single" w:sz="8" w:color="0563C1"/>
            </w:tcBorders>
            <w:shd w:val="clear" w:color="auto" w:fill="91BBD3"/>
          </w:tcPr>
          <w:p>
            <w:pPr>
              <w:spacing w:after="0" w:line="20" w:lineRule="exact"/>
              <w:rPr>
                <w:sz w:val="1"/>
                <w:szCs w:val="1"/>
                <w:color w:val="auto"/>
              </w:rPr>
            </w:pPr>
          </w:p>
        </w:tc>
        <w:tc>
          <w:tcPr>
            <w:tcW w:w="1200" w:type="dxa"/>
            <w:vAlign w:val="bottom"/>
            <w:tcBorders>
              <w:top w:val="single" w:sz="8" w:color="0563C1"/>
            </w:tcBorders>
            <w:shd w:val="clear" w:color="auto" w:fill="91BBD3"/>
          </w:tcPr>
          <w:p>
            <w:pPr>
              <w:spacing w:after="0" w:line="20" w:lineRule="exact"/>
              <w:rPr>
                <w:sz w:val="1"/>
                <w:szCs w:val="1"/>
                <w:color w:val="auto"/>
              </w:rPr>
            </w:pPr>
          </w:p>
        </w:tc>
        <w:tc>
          <w:tcPr>
            <w:tcW w:w="1100" w:type="dxa"/>
            <w:vAlign w:val="bottom"/>
            <w:tcBorders>
              <w:top w:val="single" w:sz="8" w:color="DAE8F0"/>
            </w:tcBorders>
            <w:shd w:val="clear" w:color="auto" w:fill="91BBD3"/>
          </w:tcPr>
          <w:p>
            <w:pPr>
              <w:spacing w:after="0" w:line="20" w:lineRule="exact"/>
              <w:rPr>
                <w:sz w:val="1"/>
                <w:szCs w:val="1"/>
                <w:color w:val="auto"/>
              </w:rPr>
            </w:pPr>
          </w:p>
        </w:tc>
        <w:tc>
          <w:tcPr>
            <w:tcW w:w="560" w:type="dxa"/>
            <w:vAlign w:val="bottom"/>
            <w:tcBorders>
              <w:top w:val="single" w:sz="8" w:color="DAE8F0"/>
            </w:tcBorders>
            <w:shd w:val="clear" w:color="auto" w:fill="91BBD3"/>
          </w:tcPr>
          <w:p>
            <w:pPr>
              <w:spacing w:after="0" w:line="20" w:lineRule="exact"/>
              <w:rPr>
                <w:sz w:val="1"/>
                <w:szCs w:val="1"/>
                <w:color w:val="auto"/>
              </w:rPr>
            </w:pPr>
          </w:p>
        </w:tc>
        <w:tc>
          <w:tcPr>
            <w:tcW w:w="74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1340" w:type="dxa"/>
            <w:vAlign w:val="bottom"/>
            <w:tcBorders>
              <w:top w:val="single" w:sz="8" w:color="DAE8F0"/>
            </w:tcBorders>
            <w:shd w:val="clear" w:color="auto" w:fill="91BBD3"/>
          </w:tcPr>
          <w:p>
            <w:pPr>
              <w:spacing w:after="0" w:line="20" w:lineRule="exact"/>
              <w:rPr>
                <w:sz w:val="1"/>
                <w:szCs w:val="1"/>
                <w:color w:val="auto"/>
              </w:rPr>
            </w:pPr>
          </w:p>
        </w:tc>
        <w:tc>
          <w:tcPr>
            <w:tcW w:w="1500" w:type="dxa"/>
            <w:vAlign w:val="bottom"/>
            <w:tcBorders>
              <w:top w:val="single" w:sz="8" w:color="DAE8F0"/>
            </w:tcBorders>
            <w:shd w:val="clear" w:color="auto" w:fill="91BBD3"/>
          </w:tcPr>
          <w:p>
            <w:pPr>
              <w:spacing w:after="0" w:line="20" w:lineRule="exact"/>
              <w:rPr>
                <w:sz w:val="1"/>
                <w:szCs w:val="1"/>
                <w:color w:val="auto"/>
              </w:rPr>
            </w:pPr>
          </w:p>
        </w:tc>
        <w:tc>
          <w:tcPr>
            <w:tcW w:w="1180" w:type="dxa"/>
            <w:vAlign w:val="bottom"/>
            <w:tcBorders>
              <w:top w:val="single" w:sz="8" w:color="DAE8F0"/>
            </w:tcBorders>
            <w:shd w:val="clear" w:color="auto" w:fill="91BBD3"/>
          </w:tcPr>
          <w:p>
            <w:pPr>
              <w:spacing w:after="0" w:line="20" w:lineRule="exact"/>
              <w:rPr>
                <w:sz w:val="1"/>
                <w:szCs w:val="1"/>
                <w:color w:val="auto"/>
              </w:rPr>
            </w:pPr>
          </w:p>
        </w:tc>
        <w:tc>
          <w:tcPr>
            <w:tcW w:w="140" w:type="dxa"/>
            <w:vAlign w:val="bottom"/>
            <w:tcBorders>
              <w:top w:val="single" w:sz="8" w:color="DAE8F0"/>
            </w:tcBorders>
            <w:shd w:val="clear" w:color="auto" w:fill="91BBD3"/>
          </w:tcPr>
          <w:p>
            <w:pPr>
              <w:spacing w:after="0" w:line="20" w:lineRule="exact"/>
              <w:rPr>
                <w:sz w:val="1"/>
                <w:szCs w:val="1"/>
                <w:color w:val="auto"/>
              </w:rPr>
            </w:pPr>
          </w:p>
        </w:tc>
        <w:tc>
          <w:tcPr>
            <w:tcW w:w="14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2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80" w:type="dxa"/>
            <w:vAlign w:val="bottom"/>
            <w:tcBorders>
              <w:left w:val="single" w:sz="8" w:color="91BBD3"/>
              <w:right w:val="single" w:sz="8" w:color="91BBD3"/>
            </w:tcBorders>
          </w:tcPr>
          <w:p>
            <w:pPr>
              <w:jc w:val="right"/>
              <w:ind w:right="1150"/>
              <w:spacing w:after="0" w:line="169" w:lineRule="exact"/>
              <w:rPr>
                <w:sz w:val="20"/>
                <w:szCs w:val="20"/>
                <w:color w:val="auto"/>
              </w:rPr>
            </w:pPr>
            <w:r>
              <w:rPr>
                <w:rFonts w:ascii="Calibri" w:cs="Calibri" w:eastAsia="Calibri" w:hAnsi="Calibri"/>
                <w:sz w:val="18"/>
                <w:szCs w:val="18"/>
                <w:b w:val="1"/>
                <w:bCs w:val="1"/>
                <w:color w:val="auto"/>
              </w:rPr>
              <w:t>4.20</w:t>
            </w:r>
          </w:p>
        </w:tc>
        <w:tc>
          <w:tcPr>
            <w:tcW w:w="100" w:type="dxa"/>
            <w:vAlign w:val="bottom"/>
          </w:tcPr>
          <w:p>
            <w:pPr>
              <w:spacing w:after="0"/>
              <w:rPr>
                <w:sz w:val="14"/>
                <w:szCs w:val="14"/>
                <w:color w:val="auto"/>
              </w:rPr>
            </w:pPr>
          </w:p>
        </w:tc>
        <w:tc>
          <w:tcPr>
            <w:tcW w:w="9120" w:type="dxa"/>
            <w:vAlign w:val="bottom"/>
            <w:tcBorders>
              <w:right w:val="single" w:sz="8" w:color="91BBD3"/>
            </w:tcBorders>
            <w:gridSpan w:val="13"/>
          </w:tcPr>
          <w:p>
            <w:pPr>
              <w:spacing w:after="0" w:line="169" w:lineRule="exact"/>
              <w:rPr>
                <w:rFonts w:ascii="Calibri" w:cs="Calibri" w:eastAsia="Calibri" w:hAnsi="Calibri"/>
                <w:sz w:val="18"/>
                <w:szCs w:val="18"/>
                <w:color w:val="0563C1"/>
              </w:rPr>
            </w:pPr>
            <w:hyperlink r:id="rId490">
              <w:r>
                <w:rPr>
                  <w:rFonts w:ascii="Calibri" w:cs="Calibri" w:eastAsia="Calibri" w:hAnsi="Calibri"/>
                  <w:sz w:val="18"/>
                  <w:szCs w:val="18"/>
                  <w:color w:val="0563C1"/>
                </w:rPr>
                <w:t>Form of 0.650% Senior Notes due 2023 (contained in Exhibit 4.19)</w:t>
              </w:r>
            </w:hyperlink>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680" w:type="dxa"/>
            <w:vAlign w:val="bottom"/>
            <w:tcBorders>
              <w:left w:val="single" w:sz="8" w:color="91BBD3"/>
              <w:bottom w:val="single" w:sz="8" w:color="91BBD3"/>
              <w:right w:val="single" w:sz="8" w:color="91BBD3"/>
            </w:tcBorders>
          </w:tcPr>
          <w:p>
            <w:pPr>
              <w:spacing w:after="0"/>
              <w:rPr>
                <w:sz w:val="5"/>
                <w:szCs w:val="5"/>
                <w:color w:val="auto"/>
              </w:rPr>
            </w:pPr>
          </w:p>
        </w:tc>
        <w:tc>
          <w:tcPr>
            <w:tcW w:w="100" w:type="dxa"/>
            <w:vAlign w:val="bottom"/>
            <w:tcBorders>
              <w:bottom w:val="single" w:sz="8" w:color="91BBD3"/>
            </w:tcBorders>
          </w:tcPr>
          <w:p>
            <w:pPr>
              <w:spacing w:after="0"/>
              <w:rPr>
                <w:sz w:val="5"/>
                <w:szCs w:val="5"/>
                <w:color w:val="auto"/>
              </w:rPr>
            </w:pPr>
          </w:p>
        </w:tc>
        <w:tc>
          <w:tcPr>
            <w:tcW w:w="980" w:type="dxa"/>
            <w:vAlign w:val="bottom"/>
            <w:tcBorders>
              <w:top w:val="single" w:sz="8" w:color="0563C1"/>
              <w:bottom w:val="single" w:sz="8" w:color="91BBD3"/>
            </w:tcBorders>
          </w:tcPr>
          <w:p>
            <w:pPr>
              <w:spacing w:after="0"/>
              <w:rPr>
                <w:sz w:val="5"/>
                <w:szCs w:val="5"/>
                <w:color w:val="auto"/>
              </w:rPr>
            </w:pPr>
          </w:p>
        </w:tc>
        <w:tc>
          <w:tcPr>
            <w:tcW w:w="1200" w:type="dxa"/>
            <w:vAlign w:val="bottom"/>
            <w:tcBorders>
              <w:top w:val="single" w:sz="8" w:color="0563C1"/>
              <w:bottom w:val="single" w:sz="8" w:color="91BBD3"/>
            </w:tcBorders>
          </w:tcPr>
          <w:p>
            <w:pPr>
              <w:spacing w:after="0"/>
              <w:rPr>
                <w:sz w:val="5"/>
                <w:szCs w:val="5"/>
                <w:color w:val="auto"/>
              </w:rPr>
            </w:pPr>
          </w:p>
        </w:tc>
        <w:tc>
          <w:tcPr>
            <w:tcW w:w="1100" w:type="dxa"/>
            <w:vAlign w:val="bottom"/>
            <w:tcBorders>
              <w:top w:val="single" w:sz="8" w:color="0563C1"/>
              <w:bottom w:val="single" w:sz="8" w:color="91BBD3"/>
            </w:tcBorders>
          </w:tcPr>
          <w:p>
            <w:pPr>
              <w:spacing w:after="0"/>
              <w:rPr>
                <w:sz w:val="5"/>
                <w:szCs w:val="5"/>
                <w:color w:val="auto"/>
              </w:rPr>
            </w:pPr>
          </w:p>
        </w:tc>
        <w:tc>
          <w:tcPr>
            <w:tcW w:w="560" w:type="dxa"/>
            <w:vAlign w:val="bottom"/>
            <w:tcBorders>
              <w:top w:val="single" w:sz="8" w:color="0563C1"/>
              <w:bottom w:val="single" w:sz="8" w:color="91BBD3"/>
            </w:tcBorders>
          </w:tcPr>
          <w:p>
            <w:pPr>
              <w:spacing w:after="0"/>
              <w:rPr>
                <w:sz w:val="5"/>
                <w:szCs w:val="5"/>
                <w:color w:val="auto"/>
              </w:rPr>
            </w:pPr>
          </w:p>
        </w:tc>
        <w:tc>
          <w:tcPr>
            <w:tcW w:w="740" w:type="dxa"/>
            <w:vAlign w:val="bottom"/>
            <w:tcBorders>
              <w:top w:val="single" w:sz="8" w:color="0563C1"/>
              <w:bottom w:val="single" w:sz="8" w:color="91BBD3"/>
            </w:tcBorders>
          </w:tcPr>
          <w:p>
            <w:pPr>
              <w:spacing w:after="0"/>
              <w:rPr>
                <w:sz w:val="5"/>
                <w:szCs w:val="5"/>
                <w:color w:val="auto"/>
              </w:rPr>
            </w:pPr>
          </w:p>
        </w:tc>
        <w:tc>
          <w:tcPr>
            <w:tcW w:w="20" w:type="dxa"/>
            <w:vAlign w:val="bottom"/>
            <w:tcBorders>
              <w:top w:val="single" w:sz="8" w:color="0563C1"/>
              <w:bottom w:val="single" w:sz="8" w:color="91BBD3"/>
            </w:tcBorders>
          </w:tcPr>
          <w:p>
            <w:pPr>
              <w:spacing w:after="0"/>
              <w:rPr>
                <w:sz w:val="5"/>
                <w:szCs w:val="5"/>
                <w:color w:val="auto"/>
              </w:rPr>
            </w:pPr>
          </w:p>
        </w:tc>
        <w:tc>
          <w:tcPr>
            <w:tcW w:w="100" w:type="dxa"/>
            <w:vAlign w:val="bottom"/>
            <w:tcBorders>
              <w:top w:val="single" w:sz="8" w:color="0563C1"/>
              <w:bottom w:val="single" w:sz="8" w:color="91BBD3"/>
            </w:tcBorders>
          </w:tcPr>
          <w:p>
            <w:pPr>
              <w:spacing w:after="0"/>
              <w:rPr>
                <w:sz w:val="5"/>
                <w:szCs w:val="5"/>
                <w:color w:val="auto"/>
              </w:rPr>
            </w:pPr>
          </w:p>
        </w:tc>
        <w:tc>
          <w:tcPr>
            <w:tcW w:w="1340" w:type="dxa"/>
            <w:vAlign w:val="bottom"/>
            <w:tcBorders>
              <w:bottom w:val="single" w:sz="8" w:color="91BBD3"/>
            </w:tcBorders>
          </w:tcPr>
          <w:p>
            <w:pPr>
              <w:spacing w:after="0"/>
              <w:rPr>
                <w:sz w:val="5"/>
                <w:szCs w:val="5"/>
                <w:color w:val="auto"/>
              </w:rPr>
            </w:pPr>
          </w:p>
        </w:tc>
        <w:tc>
          <w:tcPr>
            <w:tcW w:w="1500" w:type="dxa"/>
            <w:vAlign w:val="bottom"/>
            <w:tcBorders>
              <w:bottom w:val="single" w:sz="8" w:color="91BBD3"/>
            </w:tcBorders>
          </w:tcPr>
          <w:p>
            <w:pPr>
              <w:spacing w:after="0"/>
              <w:rPr>
                <w:sz w:val="5"/>
                <w:szCs w:val="5"/>
                <w:color w:val="auto"/>
              </w:rPr>
            </w:pPr>
          </w:p>
        </w:tc>
        <w:tc>
          <w:tcPr>
            <w:tcW w:w="1180" w:type="dxa"/>
            <w:vAlign w:val="bottom"/>
            <w:tcBorders>
              <w:bottom w:val="single" w:sz="8" w:color="91BBD3"/>
            </w:tcBorders>
          </w:tcPr>
          <w:p>
            <w:pPr>
              <w:spacing w:after="0"/>
              <w:rPr>
                <w:sz w:val="5"/>
                <w:szCs w:val="5"/>
                <w:color w:val="auto"/>
              </w:rPr>
            </w:pPr>
          </w:p>
        </w:tc>
        <w:tc>
          <w:tcPr>
            <w:tcW w:w="140" w:type="dxa"/>
            <w:vAlign w:val="bottom"/>
            <w:tcBorders>
              <w:bottom w:val="single" w:sz="8" w:color="91BBD3"/>
            </w:tcBorders>
          </w:tcPr>
          <w:p>
            <w:pPr>
              <w:spacing w:after="0"/>
              <w:rPr>
                <w:sz w:val="5"/>
                <w:szCs w:val="5"/>
                <w:color w:val="auto"/>
              </w:rPr>
            </w:pPr>
          </w:p>
        </w:tc>
        <w:tc>
          <w:tcPr>
            <w:tcW w:w="140" w:type="dxa"/>
            <w:vAlign w:val="bottom"/>
            <w:tcBorders>
              <w:bottom w:val="single" w:sz="8" w:color="91BBD3"/>
            </w:tcBorders>
          </w:tcPr>
          <w:p>
            <w:pPr>
              <w:spacing w:after="0"/>
              <w:rPr>
                <w:sz w:val="5"/>
                <w:szCs w:val="5"/>
                <w:color w:val="auto"/>
              </w:rPr>
            </w:pPr>
          </w:p>
        </w:tc>
        <w:tc>
          <w:tcPr>
            <w:tcW w:w="120" w:type="dxa"/>
            <w:vAlign w:val="bottom"/>
            <w:tcBorders>
              <w:bottom w:val="single" w:sz="8" w:color="91BBD3"/>
              <w:right w:val="single" w:sz="8" w:color="91BBD3"/>
            </w:tcBorders>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right w:val="single" w:sz="8" w:color="91BBD3"/>
            </w:tcBorders>
            <w:shd w:val="clear" w:color="auto" w:fill="DAE8F0"/>
          </w:tcPr>
          <w:p>
            <w:pPr>
              <w:jc w:val="right"/>
              <w:ind w:right="1150"/>
              <w:spacing w:after="0" w:line="169" w:lineRule="exact"/>
              <w:rPr>
                <w:sz w:val="20"/>
                <w:szCs w:val="20"/>
                <w:color w:val="auto"/>
              </w:rPr>
            </w:pPr>
            <w:r>
              <w:rPr>
                <w:rFonts w:ascii="Calibri" w:cs="Calibri" w:eastAsia="Calibri" w:hAnsi="Calibri"/>
                <w:sz w:val="18"/>
                <w:szCs w:val="18"/>
                <w:b w:val="1"/>
                <w:bCs w:val="1"/>
                <w:color w:val="auto"/>
              </w:rPr>
              <w:t>4.21</w:t>
            </w:r>
          </w:p>
        </w:tc>
        <w:tc>
          <w:tcPr>
            <w:tcW w:w="100" w:type="dxa"/>
            <w:vAlign w:val="bottom"/>
            <w:shd w:val="clear" w:color="auto" w:fill="DAE8F0"/>
          </w:tcPr>
          <w:p>
            <w:pPr>
              <w:spacing w:after="0"/>
              <w:rPr>
                <w:sz w:val="14"/>
                <w:szCs w:val="14"/>
                <w:color w:val="auto"/>
              </w:rPr>
            </w:pPr>
          </w:p>
        </w:tc>
        <w:tc>
          <w:tcPr>
            <w:tcW w:w="9120" w:type="dxa"/>
            <w:vAlign w:val="bottom"/>
            <w:tcBorders>
              <w:right w:val="single" w:sz="8" w:color="91BBD3"/>
            </w:tcBorders>
            <w:gridSpan w:val="13"/>
            <w:shd w:val="clear" w:color="auto" w:fill="DAE8F0"/>
          </w:tcPr>
          <w:p>
            <w:pPr>
              <w:spacing w:after="0" w:line="169" w:lineRule="exact"/>
              <w:rPr>
                <w:rFonts w:ascii="Calibri" w:cs="Calibri" w:eastAsia="Calibri" w:hAnsi="Calibri"/>
                <w:sz w:val="18"/>
                <w:szCs w:val="18"/>
                <w:color w:val="0563C1"/>
              </w:rPr>
            </w:pPr>
            <w:hyperlink r:id="rId490">
              <w:r>
                <w:rPr>
                  <w:rFonts w:ascii="Calibri" w:cs="Calibri" w:eastAsia="Calibri" w:hAnsi="Calibri"/>
                  <w:sz w:val="18"/>
                  <w:szCs w:val="18"/>
                  <w:color w:val="0563C1"/>
                </w:rPr>
                <w:t>Form of 2.400% Senior Notes due 2031 (contained in Exhibit 4.19)</w:t>
              </w:r>
            </w:hyperlink>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680" w:type="dxa"/>
            <w:vAlign w:val="bottom"/>
            <w:tcBorders>
              <w:top w:val="single" w:sz="8" w:color="DAE8F0"/>
              <w:left w:val="single" w:sz="8" w:color="91BBD3"/>
              <w:bottom w:val="single" w:sz="8" w:color="91BBD3"/>
              <w:right w:val="single" w:sz="8" w:color="91BBD3"/>
            </w:tcBorders>
            <w:shd w:val="clear" w:color="auto" w:fill="DAE8F0"/>
          </w:tcPr>
          <w:p>
            <w:pPr>
              <w:spacing w:after="0"/>
              <w:rPr>
                <w:sz w:val="5"/>
                <w:szCs w:val="5"/>
                <w:color w:val="auto"/>
              </w:rPr>
            </w:pPr>
          </w:p>
        </w:tc>
        <w:tc>
          <w:tcPr>
            <w:tcW w:w="100" w:type="dxa"/>
            <w:vAlign w:val="bottom"/>
            <w:tcBorders>
              <w:top w:val="single" w:sz="8" w:color="DAE8F0"/>
              <w:bottom w:val="single" w:sz="8" w:color="91BBD3"/>
            </w:tcBorders>
            <w:shd w:val="clear" w:color="auto" w:fill="DAE8F0"/>
          </w:tcPr>
          <w:p>
            <w:pPr>
              <w:spacing w:after="0"/>
              <w:rPr>
                <w:sz w:val="5"/>
                <w:szCs w:val="5"/>
                <w:color w:val="auto"/>
              </w:rPr>
            </w:pPr>
          </w:p>
        </w:tc>
        <w:tc>
          <w:tcPr>
            <w:tcW w:w="980" w:type="dxa"/>
            <w:vAlign w:val="bottom"/>
            <w:tcBorders>
              <w:top w:val="single" w:sz="8" w:color="0563C1"/>
              <w:bottom w:val="single" w:sz="8" w:color="91BBD3"/>
            </w:tcBorders>
            <w:shd w:val="clear" w:color="auto" w:fill="DAE8F0"/>
          </w:tcPr>
          <w:p>
            <w:pPr>
              <w:spacing w:after="0"/>
              <w:rPr>
                <w:sz w:val="5"/>
                <w:szCs w:val="5"/>
                <w:color w:val="auto"/>
              </w:rPr>
            </w:pPr>
          </w:p>
        </w:tc>
        <w:tc>
          <w:tcPr>
            <w:tcW w:w="1200" w:type="dxa"/>
            <w:vAlign w:val="bottom"/>
            <w:tcBorders>
              <w:top w:val="single" w:sz="8" w:color="0563C1"/>
              <w:bottom w:val="single" w:sz="8" w:color="91BBD3"/>
            </w:tcBorders>
            <w:shd w:val="clear" w:color="auto" w:fill="DAE8F0"/>
          </w:tcPr>
          <w:p>
            <w:pPr>
              <w:spacing w:after="0"/>
              <w:rPr>
                <w:sz w:val="5"/>
                <w:szCs w:val="5"/>
                <w:color w:val="auto"/>
              </w:rPr>
            </w:pPr>
          </w:p>
        </w:tc>
        <w:tc>
          <w:tcPr>
            <w:tcW w:w="1100" w:type="dxa"/>
            <w:vAlign w:val="bottom"/>
            <w:tcBorders>
              <w:top w:val="single" w:sz="8" w:color="0563C1"/>
              <w:bottom w:val="single" w:sz="8" w:color="91BBD3"/>
            </w:tcBorders>
            <w:shd w:val="clear" w:color="auto" w:fill="DAE8F0"/>
          </w:tcPr>
          <w:p>
            <w:pPr>
              <w:spacing w:after="0"/>
              <w:rPr>
                <w:sz w:val="5"/>
                <w:szCs w:val="5"/>
                <w:color w:val="auto"/>
              </w:rPr>
            </w:pPr>
          </w:p>
        </w:tc>
        <w:tc>
          <w:tcPr>
            <w:tcW w:w="560" w:type="dxa"/>
            <w:vAlign w:val="bottom"/>
            <w:tcBorders>
              <w:top w:val="single" w:sz="8" w:color="0563C1"/>
              <w:bottom w:val="single" w:sz="8" w:color="91BBD3"/>
            </w:tcBorders>
            <w:shd w:val="clear" w:color="auto" w:fill="DAE8F0"/>
          </w:tcPr>
          <w:p>
            <w:pPr>
              <w:spacing w:after="0"/>
              <w:rPr>
                <w:sz w:val="5"/>
                <w:szCs w:val="5"/>
                <w:color w:val="auto"/>
              </w:rPr>
            </w:pPr>
          </w:p>
        </w:tc>
        <w:tc>
          <w:tcPr>
            <w:tcW w:w="740" w:type="dxa"/>
            <w:vAlign w:val="bottom"/>
            <w:tcBorders>
              <w:top w:val="single" w:sz="8" w:color="0563C1"/>
              <w:bottom w:val="single" w:sz="8" w:color="91BBD3"/>
            </w:tcBorders>
            <w:shd w:val="clear" w:color="auto" w:fill="DAE8F0"/>
          </w:tcPr>
          <w:p>
            <w:pPr>
              <w:spacing w:after="0"/>
              <w:rPr>
                <w:sz w:val="5"/>
                <w:szCs w:val="5"/>
                <w:color w:val="auto"/>
              </w:rPr>
            </w:pPr>
          </w:p>
        </w:tc>
        <w:tc>
          <w:tcPr>
            <w:tcW w:w="20" w:type="dxa"/>
            <w:vAlign w:val="bottom"/>
            <w:tcBorders>
              <w:top w:val="single" w:sz="8" w:color="0563C1"/>
              <w:bottom w:val="single" w:sz="8" w:color="91BBD3"/>
            </w:tcBorders>
            <w:shd w:val="clear" w:color="auto" w:fill="DAE8F0"/>
          </w:tcPr>
          <w:p>
            <w:pPr>
              <w:spacing w:after="0"/>
              <w:rPr>
                <w:sz w:val="5"/>
                <w:szCs w:val="5"/>
                <w:color w:val="auto"/>
              </w:rPr>
            </w:pPr>
          </w:p>
        </w:tc>
        <w:tc>
          <w:tcPr>
            <w:tcW w:w="100" w:type="dxa"/>
            <w:vAlign w:val="bottom"/>
            <w:tcBorders>
              <w:top w:val="single" w:sz="8" w:color="0563C1"/>
              <w:bottom w:val="single" w:sz="8" w:color="91BBD3"/>
            </w:tcBorders>
            <w:shd w:val="clear" w:color="auto" w:fill="DAE8F0"/>
          </w:tcPr>
          <w:p>
            <w:pPr>
              <w:spacing w:after="0"/>
              <w:rPr>
                <w:sz w:val="5"/>
                <w:szCs w:val="5"/>
                <w:color w:val="auto"/>
              </w:rPr>
            </w:pPr>
          </w:p>
        </w:tc>
        <w:tc>
          <w:tcPr>
            <w:tcW w:w="1340" w:type="dxa"/>
            <w:vAlign w:val="bottom"/>
            <w:tcBorders>
              <w:top w:val="single" w:sz="8" w:color="DAE8F0"/>
              <w:bottom w:val="single" w:sz="8" w:color="91BBD3"/>
            </w:tcBorders>
            <w:shd w:val="clear" w:color="auto" w:fill="DAE8F0"/>
          </w:tcPr>
          <w:p>
            <w:pPr>
              <w:spacing w:after="0"/>
              <w:rPr>
                <w:sz w:val="5"/>
                <w:szCs w:val="5"/>
                <w:color w:val="auto"/>
              </w:rPr>
            </w:pPr>
          </w:p>
        </w:tc>
        <w:tc>
          <w:tcPr>
            <w:tcW w:w="1500" w:type="dxa"/>
            <w:vAlign w:val="bottom"/>
            <w:tcBorders>
              <w:top w:val="single" w:sz="8" w:color="DAE8F0"/>
              <w:bottom w:val="single" w:sz="8" w:color="91BBD3"/>
            </w:tcBorders>
            <w:shd w:val="clear" w:color="auto" w:fill="DAE8F0"/>
          </w:tcPr>
          <w:p>
            <w:pPr>
              <w:spacing w:after="0"/>
              <w:rPr>
                <w:sz w:val="5"/>
                <w:szCs w:val="5"/>
                <w:color w:val="auto"/>
              </w:rPr>
            </w:pPr>
          </w:p>
        </w:tc>
        <w:tc>
          <w:tcPr>
            <w:tcW w:w="1180" w:type="dxa"/>
            <w:vAlign w:val="bottom"/>
            <w:tcBorders>
              <w:top w:val="single" w:sz="8" w:color="DAE8F0"/>
              <w:bottom w:val="single" w:sz="8" w:color="91BBD3"/>
            </w:tcBorders>
            <w:shd w:val="clear" w:color="auto" w:fill="DAE8F0"/>
          </w:tcPr>
          <w:p>
            <w:pPr>
              <w:spacing w:after="0"/>
              <w:rPr>
                <w:sz w:val="5"/>
                <w:szCs w:val="5"/>
                <w:color w:val="auto"/>
              </w:rPr>
            </w:pPr>
          </w:p>
        </w:tc>
        <w:tc>
          <w:tcPr>
            <w:tcW w:w="140" w:type="dxa"/>
            <w:vAlign w:val="bottom"/>
            <w:tcBorders>
              <w:top w:val="single" w:sz="8" w:color="DAE8F0"/>
              <w:bottom w:val="single" w:sz="8" w:color="91BBD3"/>
            </w:tcBorders>
            <w:shd w:val="clear" w:color="auto" w:fill="DAE8F0"/>
          </w:tcPr>
          <w:p>
            <w:pPr>
              <w:spacing w:after="0"/>
              <w:rPr>
                <w:sz w:val="5"/>
                <w:szCs w:val="5"/>
                <w:color w:val="auto"/>
              </w:rPr>
            </w:pPr>
          </w:p>
        </w:tc>
        <w:tc>
          <w:tcPr>
            <w:tcW w:w="140" w:type="dxa"/>
            <w:vAlign w:val="bottom"/>
            <w:tcBorders>
              <w:top w:val="single" w:sz="8" w:color="DAE8F0"/>
              <w:bottom w:val="single" w:sz="8" w:color="91BBD3"/>
              <w:right w:val="single" w:sz="8" w:color="DAE8F0"/>
            </w:tcBorders>
            <w:shd w:val="clear" w:color="auto" w:fill="DAE8F0"/>
          </w:tcPr>
          <w:p>
            <w:pPr>
              <w:spacing w:after="0"/>
              <w:rPr>
                <w:sz w:val="5"/>
                <w:szCs w:val="5"/>
                <w:color w:val="auto"/>
              </w:rPr>
            </w:pPr>
          </w:p>
        </w:tc>
        <w:tc>
          <w:tcPr>
            <w:tcW w:w="120" w:type="dxa"/>
            <w:vAlign w:val="bottom"/>
            <w:tcBorders>
              <w:top w:val="single" w:sz="8" w:color="DAE8F0"/>
              <w:left w:val="single" w:sz="8" w:color="DAE8F0"/>
              <w:bottom w:val="single" w:sz="8" w:color="91BBD3"/>
              <w:right w:val="single" w:sz="8" w:color="91BBD3"/>
            </w:tcBorders>
            <w:shd w:val="clear" w:color="auto" w:fill="DAE8F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right w:val="single" w:sz="8" w:color="91BBD3"/>
            </w:tcBorders>
          </w:tcPr>
          <w:p>
            <w:pPr>
              <w:jc w:val="right"/>
              <w:ind w:right="1150"/>
              <w:spacing w:after="0" w:line="169" w:lineRule="exact"/>
              <w:rPr>
                <w:sz w:val="20"/>
                <w:szCs w:val="20"/>
                <w:color w:val="auto"/>
              </w:rPr>
            </w:pPr>
            <w:r>
              <w:rPr>
                <w:rFonts w:ascii="Calibri" w:cs="Calibri" w:eastAsia="Calibri" w:hAnsi="Calibri"/>
                <w:sz w:val="18"/>
                <w:szCs w:val="18"/>
                <w:b w:val="1"/>
                <w:bCs w:val="1"/>
                <w:color w:val="auto"/>
              </w:rPr>
              <w:t>4.22</w:t>
            </w:r>
          </w:p>
        </w:tc>
        <w:tc>
          <w:tcPr>
            <w:tcW w:w="100" w:type="dxa"/>
            <w:vAlign w:val="bottom"/>
          </w:tcPr>
          <w:p>
            <w:pPr>
              <w:spacing w:after="0"/>
              <w:rPr>
                <w:sz w:val="14"/>
                <w:szCs w:val="14"/>
                <w:color w:val="auto"/>
              </w:rPr>
            </w:pPr>
          </w:p>
        </w:tc>
        <w:tc>
          <w:tcPr>
            <w:tcW w:w="9120" w:type="dxa"/>
            <w:vAlign w:val="bottom"/>
            <w:tcBorders>
              <w:right w:val="single" w:sz="8" w:color="91BBD3"/>
            </w:tcBorders>
            <w:gridSpan w:val="13"/>
          </w:tcPr>
          <w:p>
            <w:pPr>
              <w:spacing w:after="0" w:line="169" w:lineRule="exact"/>
              <w:rPr>
                <w:rFonts w:ascii="Calibri" w:cs="Calibri" w:eastAsia="Calibri" w:hAnsi="Calibri"/>
                <w:sz w:val="18"/>
                <w:szCs w:val="18"/>
                <w:color w:val="0563C1"/>
              </w:rPr>
            </w:pPr>
            <w:hyperlink r:id="rId490">
              <w:r>
                <w:rPr>
                  <w:rFonts w:ascii="Calibri" w:cs="Calibri" w:eastAsia="Calibri" w:hAnsi="Calibri"/>
                  <w:sz w:val="18"/>
                  <w:szCs w:val="18"/>
                  <w:color w:val="0563C1"/>
                </w:rPr>
                <w:t>Form of 3.200% Senior Notes due 2051 (contained in Exhibit 4.19)</w:t>
              </w:r>
            </w:hyperlink>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680" w:type="dxa"/>
            <w:vAlign w:val="bottom"/>
            <w:tcBorders>
              <w:left w:val="single" w:sz="8" w:color="91BBD3"/>
              <w:bottom w:val="single" w:sz="8" w:color="91BBD3"/>
              <w:right w:val="single" w:sz="8" w:color="91BBD3"/>
            </w:tcBorders>
          </w:tcPr>
          <w:p>
            <w:pPr>
              <w:spacing w:after="0"/>
              <w:rPr>
                <w:sz w:val="5"/>
                <w:szCs w:val="5"/>
                <w:color w:val="auto"/>
              </w:rPr>
            </w:pPr>
          </w:p>
        </w:tc>
        <w:tc>
          <w:tcPr>
            <w:tcW w:w="100" w:type="dxa"/>
            <w:vAlign w:val="bottom"/>
            <w:tcBorders>
              <w:bottom w:val="single" w:sz="8" w:color="91BBD3"/>
            </w:tcBorders>
          </w:tcPr>
          <w:p>
            <w:pPr>
              <w:spacing w:after="0"/>
              <w:rPr>
                <w:sz w:val="5"/>
                <w:szCs w:val="5"/>
                <w:color w:val="auto"/>
              </w:rPr>
            </w:pPr>
          </w:p>
        </w:tc>
        <w:tc>
          <w:tcPr>
            <w:tcW w:w="980" w:type="dxa"/>
            <w:vAlign w:val="bottom"/>
            <w:tcBorders>
              <w:top w:val="single" w:sz="8" w:color="0563C1"/>
              <w:bottom w:val="single" w:sz="8" w:color="91BBD3"/>
            </w:tcBorders>
          </w:tcPr>
          <w:p>
            <w:pPr>
              <w:spacing w:after="0"/>
              <w:rPr>
                <w:sz w:val="5"/>
                <w:szCs w:val="5"/>
                <w:color w:val="auto"/>
              </w:rPr>
            </w:pPr>
          </w:p>
        </w:tc>
        <w:tc>
          <w:tcPr>
            <w:tcW w:w="1200" w:type="dxa"/>
            <w:vAlign w:val="bottom"/>
            <w:tcBorders>
              <w:top w:val="single" w:sz="8" w:color="0563C1"/>
              <w:bottom w:val="single" w:sz="8" w:color="91BBD3"/>
            </w:tcBorders>
          </w:tcPr>
          <w:p>
            <w:pPr>
              <w:spacing w:after="0"/>
              <w:rPr>
                <w:sz w:val="5"/>
                <w:szCs w:val="5"/>
                <w:color w:val="auto"/>
              </w:rPr>
            </w:pPr>
          </w:p>
        </w:tc>
        <w:tc>
          <w:tcPr>
            <w:tcW w:w="1100" w:type="dxa"/>
            <w:vAlign w:val="bottom"/>
            <w:tcBorders>
              <w:top w:val="single" w:sz="8" w:color="0563C1"/>
              <w:bottom w:val="single" w:sz="8" w:color="91BBD3"/>
            </w:tcBorders>
          </w:tcPr>
          <w:p>
            <w:pPr>
              <w:spacing w:after="0"/>
              <w:rPr>
                <w:sz w:val="5"/>
                <w:szCs w:val="5"/>
                <w:color w:val="auto"/>
              </w:rPr>
            </w:pPr>
          </w:p>
        </w:tc>
        <w:tc>
          <w:tcPr>
            <w:tcW w:w="560" w:type="dxa"/>
            <w:vAlign w:val="bottom"/>
            <w:tcBorders>
              <w:top w:val="single" w:sz="8" w:color="0563C1"/>
              <w:bottom w:val="single" w:sz="8" w:color="91BBD3"/>
            </w:tcBorders>
          </w:tcPr>
          <w:p>
            <w:pPr>
              <w:spacing w:after="0"/>
              <w:rPr>
                <w:sz w:val="5"/>
                <w:szCs w:val="5"/>
                <w:color w:val="auto"/>
              </w:rPr>
            </w:pPr>
          </w:p>
        </w:tc>
        <w:tc>
          <w:tcPr>
            <w:tcW w:w="740" w:type="dxa"/>
            <w:vAlign w:val="bottom"/>
            <w:tcBorders>
              <w:top w:val="single" w:sz="8" w:color="0563C1"/>
              <w:bottom w:val="single" w:sz="8" w:color="91BBD3"/>
            </w:tcBorders>
          </w:tcPr>
          <w:p>
            <w:pPr>
              <w:spacing w:after="0"/>
              <w:rPr>
                <w:sz w:val="5"/>
                <w:szCs w:val="5"/>
                <w:color w:val="auto"/>
              </w:rPr>
            </w:pPr>
          </w:p>
        </w:tc>
        <w:tc>
          <w:tcPr>
            <w:tcW w:w="20" w:type="dxa"/>
            <w:vAlign w:val="bottom"/>
            <w:tcBorders>
              <w:top w:val="single" w:sz="8" w:color="0563C1"/>
              <w:bottom w:val="single" w:sz="8" w:color="91BBD3"/>
            </w:tcBorders>
          </w:tcPr>
          <w:p>
            <w:pPr>
              <w:spacing w:after="0"/>
              <w:rPr>
                <w:sz w:val="5"/>
                <w:szCs w:val="5"/>
                <w:color w:val="auto"/>
              </w:rPr>
            </w:pPr>
          </w:p>
        </w:tc>
        <w:tc>
          <w:tcPr>
            <w:tcW w:w="100" w:type="dxa"/>
            <w:vAlign w:val="bottom"/>
            <w:tcBorders>
              <w:top w:val="single" w:sz="8" w:color="0563C1"/>
              <w:bottom w:val="single" w:sz="8" w:color="91BBD3"/>
            </w:tcBorders>
          </w:tcPr>
          <w:p>
            <w:pPr>
              <w:spacing w:after="0"/>
              <w:rPr>
                <w:sz w:val="5"/>
                <w:szCs w:val="5"/>
                <w:color w:val="auto"/>
              </w:rPr>
            </w:pPr>
          </w:p>
        </w:tc>
        <w:tc>
          <w:tcPr>
            <w:tcW w:w="1340" w:type="dxa"/>
            <w:vAlign w:val="bottom"/>
            <w:tcBorders>
              <w:bottom w:val="single" w:sz="8" w:color="91BBD3"/>
            </w:tcBorders>
          </w:tcPr>
          <w:p>
            <w:pPr>
              <w:spacing w:after="0"/>
              <w:rPr>
                <w:sz w:val="5"/>
                <w:szCs w:val="5"/>
                <w:color w:val="auto"/>
              </w:rPr>
            </w:pPr>
          </w:p>
        </w:tc>
        <w:tc>
          <w:tcPr>
            <w:tcW w:w="1500" w:type="dxa"/>
            <w:vAlign w:val="bottom"/>
            <w:tcBorders>
              <w:bottom w:val="single" w:sz="8" w:color="91BBD3"/>
            </w:tcBorders>
          </w:tcPr>
          <w:p>
            <w:pPr>
              <w:spacing w:after="0"/>
              <w:rPr>
                <w:sz w:val="5"/>
                <w:szCs w:val="5"/>
                <w:color w:val="auto"/>
              </w:rPr>
            </w:pPr>
          </w:p>
        </w:tc>
        <w:tc>
          <w:tcPr>
            <w:tcW w:w="1180" w:type="dxa"/>
            <w:vAlign w:val="bottom"/>
            <w:tcBorders>
              <w:bottom w:val="single" w:sz="8" w:color="91BBD3"/>
            </w:tcBorders>
          </w:tcPr>
          <w:p>
            <w:pPr>
              <w:spacing w:after="0"/>
              <w:rPr>
                <w:sz w:val="5"/>
                <w:szCs w:val="5"/>
                <w:color w:val="auto"/>
              </w:rPr>
            </w:pPr>
          </w:p>
        </w:tc>
        <w:tc>
          <w:tcPr>
            <w:tcW w:w="140" w:type="dxa"/>
            <w:vAlign w:val="bottom"/>
            <w:tcBorders>
              <w:bottom w:val="single" w:sz="8" w:color="91BBD3"/>
            </w:tcBorders>
          </w:tcPr>
          <w:p>
            <w:pPr>
              <w:spacing w:after="0"/>
              <w:rPr>
                <w:sz w:val="5"/>
                <w:szCs w:val="5"/>
                <w:color w:val="auto"/>
              </w:rPr>
            </w:pPr>
          </w:p>
        </w:tc>
        <w:tc>
          <w:tcPr>
            <w:tcW w:w="140" w:type="dxa"/>
            <w:vAlign w:val="bottom"/>
            <w:tcBorders>
              <w:bottom w:val="single" w:sz="8" w:color="91BBD3"/>
            </w:tcBorders>
          </w:tcPr>
          <w:p>
            <w:pPr>
              <w:spacing w:after="0"/>
              <w:rPr>
                <w:sz w:val="5"/>
                <w:szCs w:val="5"/>
                <w:color w:val="auto"/>
              </w:rPr>
            </w:pPr>
          </w:p>
        </w:tc>
        <w:tc>
          <w:tcPr>
            <w:tcW w:w="120" w:type="dxa"/>
            <w:vAlign w:val="bottom"/>
            <w:tcBorders>
              <w:bottom w:val="single" w:sz="8" w:color="91BBD3"/>
              <w:right w:val="single" w:sz="8" w:color="91BBD3"/>
            </w:tcBorders>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right w:val="single" w:sz="8" w:color="91BBD3"/>
            </w:tcBorders>
            <w:shd w:val="clear" w:color="auto" w:fill="DAE8F0"/>
          </w:tcPr>
          <w:p>
            <w:pPr>
              <w:jc w:val="right"/>
              <w:ind w:right="1150"/>
              <w:spacing w:after="0" w:line="169" w:lineRule="exact"/>
              <w:rPr>
                <w:sz w:val="20"/>
                <w:szCs w:val="20"/>
                <w:color w:val="auto"/>
              </w:rPr>
            </w:pPr>
            <w:r>
              <w:rPr>
                <w:rFonts w:ascii="Calibri" w:cs="Calibri" w:eastAsia="Calibri" w:hAnsi="Calibri"/>
                <w:sz w:val="18"/>
                <w:szCs w:val="18"/>
                <w:b w:val="1"/>
                <w:bCs w:val="1"/>
                <w:color w:val="auto"/>
              </w:rPr>
              <w:t>4.23</w:t>
            </w:r>
          </w:p>
        </w:tc>
        <w:tc>
          <w:tcPr>
            <w:tcW w:w="100" w:type="dxa"/>
            <w:vAlign w:val="bottom"/>
            <w:shd w:val="clear" w:color="auto" w:fill="DAE8F0"/>
          </w:tcPr>
          <w:p>
            <w:pPr>
              <w:spacing w:after="0"/>
              <w:rPr>
                <w:sz w:val="14"/>
                <w:szCs w:val="14"/>
                <w:color w:val="auto"/>
              </w:rPr>
            </w:pPr>
          </w:p>
        </w:tc>
        <w:tc>
          <w:tcPr>
            <w:tcW w:w="9120" w:type="dxa"/>
            <w:vAlign w:val="bottom"/>
            <w:tcBorders>
              <w:right w:val="single" w:sz="8" w:color="91BBD3"/>
            </w:tcBorders>
            <w:gridSpan w:val="13"/>
            <w:shd w:val="clear" w:color="auto" w:fill="DAE8F0"/>
          </w:tcPr>
          <w:p>
            <w:pPr>
              <w:spacing w:after="0" w:line="169" w:lineRule="exact"/>
              <w:rPr>
                <w:rFonts w:ascii="Calibri" w:cs="Calibri" w:eastAsia="Calibri" w:hAnsi="Calibri"/>
                <w:sz w:val="18"/>
                <w:szCs w:val="18"/>
                <w:color w:val="0563C1"/>
              </w:rPr>
            </w:pPr>
            <w:hyperlink r:id="rId491">
              <w:r>
                <w:rPr>
                  <w:rFonts w:ascii="Calibri" w:cs="Calibri" w:eastAsia="Calibri" w:hAnsi="Calibri"/>
                  <w:sz w:val="18"/>
                  <w:szCs w:val="18"/>
                  <w:color w:val="0563C1"/>
                </w:rPr>
                <w:t>Descripton of the Company’s Capital Stock (incorporated by reference to Exhibit 4.17 to the Martn Marieta Materials, Inc.</w:t>
              </w:r>
            </w:hyperlink>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680" w:type="dxa"/>
            <w:vAlign w:val="bottom"/>
            <w:tcBorders>
              <w:top w:val="single" w:sz="8" w:color="DAE8F0"/>
              <w:left w:val="single" w:sz="8" w:color="91BBD3"/>
              <w:right w:val="single" w:sz="8" w:color="91BBD3"/>
            </w:tcBorders>
            <w:shd w:val="clear" w:color="auto" w:fill="DAE8F0"/>
          </w:tcPr>
          <w:p>
            <w:pPr>
              <w:spacing w:after="0"/>
              <w:rPr>
                <w:sz w:val="22"/>
                <w:szCs w:val="22"/>
                <w:color w:val="auto"/>
              </w:rPr>
            </w:pPr>
          </w:p>
        </w:tc>
        <w:tc>
          <w:tcPr>
            <w:tcW w:w="100" w:type="dxa"/>
            <w:vAlign w:val="bottom"/>
            <w:tcBorders>
              <w:top w:val="single" w:sz="8" w:color="DAE8F0"/>
            </w:tcBorders>
            <w:shd w:val="clear" w:color="auto" w:fill="DAE8F0"/>
          </w:tcPr>
          <w:p>
            <w:pPr>
              <w:spacing w:after="0"/>
              <w:rPr>
                <w:sz w:val="22"/>
                <w:szCs w:val="22"/>
                <w:color w:val="auto"/>
              </w:rPr>
            </w:pPr>
          </w:p>
        </w:tc>
        <w:tc>
          <w:tcPr>
            <w:tcW w:w="9000" w:type="dxa"/>
            <w:vAlign w:val="bottom"/>
            <w:tcBorders>
              <w:top w:val="single" w:sz="8" w:color="0563C1"/>
              <w:right w:val="single" w:sz="8" w:color="DAE8F0"/>
            </w:tcBorders>
            <w:gridSpan w:val="12"/>
            <w:shd w:val="clear" w:color="auto" w:fill="DAE8F0"/>
          </w:tcPr>
          <w:p>
            <w:pPr>
              <w:spacing w:after="0" w:line="196" w:lineRule="exact"/>
              <w:rPr>
                <w:rFonts w:ascii="Calibri" w:cs="Calibri" w:eastAsia="Calibri" w:hAnsi="Calibri"/>
                <w:sz w:val="18"/>
                <w:szCs w:val="18"/>
                <w:color w:val="0563C1"/>
              </w:rPr>
            </w:pPr>
            <w:hyperlink r:id="rId491">
              <w:r>
                <w:rPr>
                  <w:rFonts w:ascii="Calibri" w:cs="Calibri" w:eastAsia="Calibri" w:hAnsi="Calibri"/>
                  <w:sz w:val="18"/>
                  <w:szCs w:val="18"/>
                  <w:color w:val="0563C1"/>
                </w:rPr>
                <w:t>Current Report on Form 10-K for the fscal year ended December 31, 2019 (Commission File No. 1-12744))</w:t>
              </w:r>
            </w:hyperlink>
          </w:p>
        </w:tc>
        <w:tc>
          <w:tcPr>
            <w:tcW w:w="120" w:type="dxa"/>
            <w:vAlign w:val="bottom"/>
            <w:tcBorders>
              <w:top w:val="single" w:sz="8" w:color="DAE8F0"/>
              <w:left w:val="single" w:sz="8" w:color="DAE8F0"/>
              <w:right w:val="single" w:sz="8" w:color="91BBD3"/>
            </w:tcBorders>
            <w:shd w:val="clear" w:color="auto" w:fill="DAE8F0"/>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1680" w:type="dxa"/>
            <w:vAlign w:val="bottom"/>
            <w:tcBorders>
              <w:top w:val="single" w:sz="8" w:color="91BBD3"/>
            </w:tcBorders>
          </w:tcPr>
          <w:p>
            <w:pPr>
              <w:jc w:val="right"/>
              <w:ind w:right="29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117</w:t>
            </w:r>
          </w:p>
        </w:tc>
        <w:tc>
          <w:tcPr>
            <w:tcW w:w="100" w:type="dxa"/>
            <w:vAlign w:val="bottom"/>
            <w:tcBorders>
              <w:top w:val="single" w:sz="8" w:color="91BBD3"/>
            </w:tcBorders>
          </w:tcPr>
          <w:p>
            <w:pPr>
              <w:spacing w:after="0"/>
              <w:rPr>
                <w:sz w:val="24"/>
                <w:szCs w:val="24"/>
                <w:color w:val="auto"/>
              </w:rPr>
            </w:pPr>
          </w:p>
        </w:tc>
        <w:tc>
          <w:tcPr>
            <w:tcW w:w="980" w:type="dxa"/>
            <w:vAlign w:val="bottom"/>
            <w:tcBorders>
              <w:top w:val="single" w:sz="8" w:color="0563C1"/>
            </w:tcBorders>
          </w:tcPr>
          <w:p>
            <w:pPr>
              <w:spacing w:after="0"/>
              <w:rPr>
                <w:sz w:val="24"/>
                <w:szCs w:val="24"/>
                <w:color w:val="auto"/>
              </w:rPr>
            </w:pPr>
          </w:p>
        </w:tc>
        <w:tc>
          <w:tcPr>
            <w:tcW w:w="1200" w:type="dxa"/>
            <w:vAlign w:val="bottom"/>
            <w:tcBorders>
              <w:top w:val="single" w:sz="8" w:color="0563C1"/>
            </w:tcBorders>
          </w:tcPr>
          <w:p>
            <w:pPr>
              <w:spacing w:after="0"/>
              <w:rPr>
                <w:sz w:val="24"/>
                <w:szCs w:val="24"/>
                <w:color w:val="auto"/>
              </w:rPr>
            </w:pPr>
          </w:p>
        </w:tc>
        <w:tc>
          <w:tcPr>
            <w:tcW w:w="1100" w:type="dxa"/>
            <w:vAlign w:val="bottom"/>
            <w:tcBorders>
              <w:top w:val="single" w:sz="8" w:color="0563C1"/>
            </w:tcBorders>
          </w:tcPr>
          <w:p>
            <w:pPr>
              <w:spacing w:after="0"/>
              <w:rPr>
                <w:sz w:val="24"/>
                <w:szCs w:val="24"/>
                <w:color w:val="auto"/>
              </w:rPr>
            </w:pPr>
          </w:p>
        </w:tc>
        <w:tc>
          <w:tcPr>
            <w:tcW w:w="560" w:type="dxa"/>
            <w:vAlign w:val="bottom"/>
            <w:tcBorders>
              <w:top w:val="single" w:sz="8" w:color="0563C1"/>
            </w:tcBorders>
          </w:tcPr>
          <w:p>
            <w:pPr>
              <w:spacing w:after="0"/>
              <w:rPr>
                <w:sz w:val="24"/>
                <w:szCs w:val="24"/>
                <w:color w:val="auto"/>
              </w:rPr>
            </w:pPr>
          </w:p>
        </w:tc>
        <w:tc>
          <w:tcPr>
            <w:tcW w:w="74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1340" w:type="dxa"/>
            <w:vAlign w:val="bottom"/>
            <w:tcBorders>
              <w:top w:val="single" w:sz="8" w:color="0563C1"/>
            </w:tcBorders>
          </w:tcPr>
          <w:p>
            <w:pPr>
              <w:spacing w:after="0"/>
              <w:rPr>
                <w:sz w:val="24"/>
                <w:szCs w:val="24"/>
                <w:color w:val="auto"/>
              </w:rPr>
            </w:pPr>
          </w:p>
        </w:tc>
        <w:tc>
          <w:tcPr>
            <w:tcW w:w="1500" w:type="dxa"/>
            <w:vAlign w:val="bottom"/>
            <w:tcBorders>
              <w:top w:val="single" w:sz="8" w:color="0563C1"/>
            </w:tcBorders>
          </w:tcPr>
          <w:p>
            <w:pPr>
              <w:spacing w:after="0"/>
              <w:rPr>
                <w:sz w:val="24"/>
                <w:szCs w:val="24"/>
                <w:color w:val="auto"/>
              </w:rPr>
            </w:pPr>
          </w:p>
        </w:tc>
        <w:tc>
          <w:tcPr>
            <w:tcW w:w="1180" w:type="dxa"/>
            <w:vAlign w:val="bottom"/>
            <w:tcBorders>
              <w:top w:val="single" w:sz="8" w:color="91BBD3"/>
            </w:tcBorders>
          </w:tcPr>
          <w:p>
            <w:pPr>
              <w:spacing w:after="0"/>
              <w:rPr>
                <w:sz w:val="24"/>
                <w:szCs w:val="24"/>
                <w:color w:val="auto"/>
              </w:rPr>
            </w:pPr>
          </w:p>
        </w:tc>
        <w:tc>
          <w:tcPr>
            <w:tcW w:w="140" w:type="dxa"/>
            <w:vAlign w:val="bottom"/>
            <w:tcBorders>
              <w:top w:val="single" w:sz="8" w:color="91BBD3"/>
            </w:tcBorders>
          </w:tcPr>
          <w:p>
            <w:pPr>
              <w:spacing w:after="0"/>
              <w:rPr>
                <w:sz w:val="24"/>
                <w:szCs w:val="24"/>
                <w:color w:val="auto"/>
              </w:rPr>
            </w:pPr>
          </w:p>
        </w:tc>
        <w:tc>
          <w:tcPr>
            <w:tcW w:w="140" w:type="dxa"/>
            <w:vAlign w:val="bottom"/>
            <w:tcBorders>
              <w:top w:val="single" w:sz="8" w:color="91BBD3"/>
            </w:tcBorders>
          </w:tcPr>
          <w:p>
            <w:pPr>
              <w:spacing w:after="0"/>
              <w:rPr>
                <w:sz w:val="24"/>
                <w:szCs w:val="24"/>
                <w:color w:val="auto"/>
              </w:rPr>
            </w:pPr>
          </w:p>
        </w:tc>
        <w:tc>
          <w:tcPr>
            <w:tcW w:w="120" w:type="dxa"/>
            <w:vAlign w:val="bottom"/>
            <w:tcBorders>
              <w:top w:val="single" w:sz="8" w:color="91BBD3"/>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-402590</wp:posOffset>
            </wp:positionV>
            <wp:extent cx="325755" cy="19685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4">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9" w:name="page120"/>
    <w:bookmarkEnd w:id="119"/>
    <w:tbl>
      <w:tblPr>
        <w:tblLayout w:type="fixed"/>
        <w:tblInd w:w="10" w:type="dxa"/>
        <w:tblCellMar>
          <w:top w:w="0" w:type="dxa"/>
          <w:left w:w="0" w:type="dxa"/>
          <w:bottom w:w="0" w:type="dxa"/>
          <w:right w:w="0" w:type="dxa"/>
        </w:tblCellMar>
      </w:tblPr>
      <w:tr>
        <w:trPr>
          <w:trHeight w:val="308"/>
        </w:trPr>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940" w:type="dxa"/>
            <w:vAlign w:val="bottom"/>
            <w:gridSpan w:val="10"/>
          </w:tcPr>
          <w:p>
            <w:pPr>
              <w:ind w:left="420"/>
              <w:spacing w:after="0"/>
              <w:rPr>
                <w:sz w:val="20"/>
                <w:szCs w:val="20"/>
                <w:color w:val="auto"/>
              </w:rPr>
            </w:pPr>
            <w:r>
              <w:rPr>
                <w:rFonts w:ascii="Calibri" w:cs="Calibri" w:eastAsia="Calibri" w:hAnsi="Calibri"/>
                <w:sz w:val="18"/>
                <w:szCs w:val="18"/>
                <w:color w:val="auto"/>
                <w:w w:val="98"/>
              </w:rPr>
              <w:t xml:space="preserve">Part IV </w:t>
            </w:r>
            <w:r>
              <w:rPr>
                <w:rFonts w:ascii="Arial" w:cs="Arial" w:eastAsia="Arial" w:hAnsi="Arial"/>
                <w:sz w:val="23"/>
                <w:szCs w:val="23"/>
                <w:color w:val="0070C0"/>
                <w:w w:val="98"/>
              </w:rPr>
              <w:t>♦</w:t>
            </w:r>
            <w:r>
              <w:rPr>
                <w:rFonts w:ascii="Calibri" w:cs="Calibri" w:eastAsia="Calibri" w:hAnsi="Calibri"/>
                <w:sz w:val="18"/>
                <w:szCs w:val="18"/>
                <w:color w:val="auto"/>
                <w:w w:val="98"/>
              </w:rPr>
              <w:t xml:space="preserve"> Item 15 – Exhibits and Financial Statement Schedules</w:t>
            </w:r>
          </w:p>
        </w:tc>
        <w:tc>
          <w:tcPr>
            <w:tcW w:w="0" w:type="dxa"/>
            <w:vAlign w:val="bottom"/>
          </w:tcPr>
          <w:p>
            <w:pPr>
              <w:spacing w:after="0"/>
              <w:rPr>
                <w:sz w:val="1"/>
                <w:szCs w:val="1"/>
                <w:color w:val="auto"/>
              </w:rPr>
            </w:pPr>
          </w:p>
        </w:tc>
      </w:tr>
      <w:tr>
        <w:trPr>
          <w:trHeight w:val="166"/>
        </w:trPr>
        <w:tc>
          <w:tcPr>
            <w:tcW w:w="1680" w:type="dxa"/>
            <w:vAlign w:val="bottom"/>
            <w:tcBorders>
              <w:bottom w:val="single" w:sz="8" w:color="91BBD3"/>
            </w:tcBorders>
          </w:tcPr>
          <w:p>
            <w:pPr>
              <w:spacing w:after="0"/>
              <w:rPr>
                <w:sz w:val="14"/>
                <w:szCs w:val="14"/>
                <w:color w:val="auto"/>
              </w:rPr>
            </w:pPr>
          </w:p>
        </w:tc>
        <w:tc>
          <w:tcPr>
            <w:tcW w:w="100" w:type="dxa"/>
            <w:vAlign w:val="bottom"/>
            <w:tcBorders>
              <w:bottom w:val="single" w:sz="8" w:color="007DC6"/>
            </w:tcBorders>
          </w:tcPr>
          <w:p>
            <w:pPr>
              <w:spacing w:after="0"/>
              <w:rPr>
                <w:sz w:val="14"/>
                <w:szCs w:val="14"/>
                <w:color w:val="auto"/>
              </w:rPr>
            </w:pPr>
          </w:p>
        </w:tc>
        <w:tc>
          <w:tcPr>
            <w:tcW w:w="3320" w:type="dxa"/>
            <w:vAlign w:val="bottom"/>
            <w:tcBorders>
              <w:bottom w:val="single" w:sz="8" w:color="007DC6"/>
            </w:tcBorders>
          </w:tcPr>
          <w:p>
            <w:pPr>
              <w:spacing w:after="0"/>
              <w:rPr>
                <w:sz w:val="14"/>
                <w:szCs w:val="14"/>
                <w:color w:val="auto"/>
              </w:rPr>
            </w:pPr>
          </w:p>
        </w:tc>
        <w:tc>
          <w:tcPr>
            <w:tcW w:w="1200" w:type="dxa"/>
            <w:vAlign w:val="bottom"/>
            <w:tcBorders>
              <w:bottom w:val="single" w:sz="8" w:color="007DC6"/>
            </w:tcBorders>
          </w:tcPr>
          <w:p>
            <w:pPr>
              <w:spacing w:after="0"/>
              <w:rPr>
                <w:sz w:val="14"/>
                <w:szCs w:val="14"/>
                <w:color w:val="auto"/>
              </w:rPr>
            </w:pPr>
          </w:p>
        </w:tc>
        <w:tc>
          <w:tcPr>
            <w:tcW w:w="2400" w:type="dxa"/>
            <w:vAlign w:val="bottom"/>
            <w:tcBorders>
              <w:bottom w:val="single" w:sz="8" w:color="007DC6"/>
            </w:tcBorders>
          </w:tcPr>
          <w:p>
            <w:pPr>
              <w:spacing w:after="0"/>
              <w:rPr>
                <w:sz w:val="14"/>
                <w:szCs w:val="14"/>
                <w:color w:val="auto"/>
              </w:rPr>
            </w:pPr>
          </w:p>
        </w:tc>
        <w:tc>
          <w:tcPr>
            <w:tcW w:w="440" w:type="dxa"/>
            <w:vAlign w:val="bottom"/>
            <w:tcBorders>
              <w:bottom w:val="single" w:sz="8" w:color="007DC6"/>
            </w:tcBorders>
          </w:tcPr>
          <w:p>
            <w:pPr>
              <w:spacing w:after="0"/>
              <w:rPr>
                <w:sz w:val="14"/>
                <w:szCs w:val="14"/>
                <w:color w:val="auto"/>
              </w:rPr>
            </w:pPr>
          </w:p>
        </w:tc>
        <w:tc>
          <w:tcPr>
            <w:tcW w:w="740" w:type="dxa"/>
            <w:vAlign w:val="bottom"/>
            <w:tcBorders>
              <w:bottom w:val="single" w:sz="8" w:color="007DC6"/>
            </w:tcBorders>
          </w:tcPr>
          <w:p>
            <w:pPr>
              <w:spacing w:after="0"/>
              <w:rPr>
                <w:sz w:val="14"/>
                <w:szCs w:val="14"/>
                <w:color w:val="auto"/>
              </w:rPr>
            </w:pPr>
          </w:p>
        </w:tc>
        <w:tc>
          <w:tcPr>
            <w:tcW w:w="140" w:type="dxa"/>
            <w:vAlign w:val="bottom"/>
            <w:tcBorders>
              <w:bottom w:val="single" w:sz="8" w:color="007DC6"/>
            </w:tcBorders>
          </w:tcPr>
          <w:p>
            <w:pPr>
              <w:spacing w:after="0"/>
              <w:rPr>
                <w:sz w:val="14"/>
                <w:szCs w:val="14"/>
                <w:color w:val="auto"/>
              </w:rPr>
            </w:pPr>
          </w:p>
        </w:tc>
        <w:tc>
          <w:tcPr>
            <w:tcW w:w="300" w:type="dxa"/>
            <w:vAlign w:val="bottom"/>
            <w:tcBorders>
              <w:bottom w:val="single" w:sz="8" w:color="007DC6"/>
            </w:tcBorders>
          </w:tcPr>
          <w:p>
            <w:pPr>
              <w:spacing w:after="0"/>
              <w:rPr>
                <w:sz w:val="14"/>
                <w:szCs w:val="14"/>
                <w:color w:val="auto"/>
              </w:rPr>
            </w:pPr>
          </w:p>
        </w:tc>
        <w:tc>
          <w:tcPr>
            <w:tcW w:w="280" w:type="dxa"/>
            <w:vAlign w:val="bottom"/>
            <w:tcBorders>
              <w:bottom w:val="single" w:sz="8" w:color="007DC6"/>
            </w:tcBorders>
          </w:tcPr>
          <w:p>
            <w:pPr>
              <w:spacing w:after="0"/>
              <w:rPr>
                <w:sz w:val="14"/>
                <w:szCs w:val="14"/>
                <w:color w:val="auto"/>
              </w:rPr>
            </w:pPr>
          </w:p>
        </w:tc>
        <w:tc>
          <w:tcPr>
            <w:tcW w:w="40" w:type="dxa"/>
            <w:vAlign w:val="bottom"/>
            <w:tcBorders>
              <w:bottom w:val="single" w:sz="8" w:color="007DC6"/>
            </w:tcBorders>
          </w:tcPr>
          <w:p>
            <w:pPr>
              <w:spacing w:after="0"/>
              <w:rPr>
                <w:sz w:val="14"/>
                <w:szCs w:val="14"/>
                <w:color w:val="auto"/>
              </w:rPr>
            </w:pPr>
          </w:p>
        </w:tc>
        <w:tc>
          <w:tcPr>
            <w:tcW w:w="180" w:type="dxa"/>
            <w:vAlign w:val="bottom"/>
            <w:tcBorders>
              <w:bottom w:val="single" w:sz="8" w:color="007DC6"/>
            </w:tcBorders>
          </w:tcPr>
          <w:p>
            <w:pPr>
              <w:spacing w:after="0"/>
              <w:rPr>
                <w:sz w:val="14"/>
                <w:szCs w:val="14"/>
                <w:color w:val="auto"/>
              </w:rPr>
            </w:pPr>
          </w:p>
        </w:tc>
        <w:tc>
          <w:tcPr>
            <w:tcW w:w="80" w:type="dxa"/>
            <w:vAlign w:val="bottom"/>
            <w:tcBorders>
              <w:bottom w:val="single" w:sz="8" w:color="007DC6"/>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1"/>
        </w:trPr>
        <w:tc>
          <w:tcPr>
            <w:tcW w:w="1680" w:type="dxa"/>
            <w:vAlign w:val="bottom"/>
            <w:tcBorders>
              <w:left w:val="single" w:sz="8" w:color="91BBD3"/>
              <w:bottom w:val="single" w:sz="8" w:color="007DC6"/>
              <w:right w:val="single" w:sz="8" w:color="007DC6"/>
            </w:tcBorders>
            <w:shd w:val="clear" w:color="auto" w:fill="007DC6"/>
          </w:tcPr>
          <w:p>
            <w:pPr>
              <w:jc w:val="right"/>
              <w:ind w:right="350"/>
              <w:spacing w:after="0"/>
              <w:rPr>
                <w:sz w:val="20"/>
                <w:szCs w:val="20"/>
                <w:color w:val="auto"/>
              </w:rPr>
            </w:pPr>
            <w:r>
              <w:rPr>
                <w:rFonts w:ascii="Calibri" w:cs="Calibri" w:eastAsia="Calibri" w:hAnsi="Calibri"/>
                <w:sz w:val="18"/>
                <w:szCs w:val="18"/>
                <w:b w:val="1"/>
                <w:bCs w:val="1"/>
                <w:color w:val="FFFFFF"/>
              </w:rPr>
              <w:t>Exhibit No.</w:t>
            </w:r>
          </w:p>
        </w:tc>
        <w:tc>
          <w:tcPr>
            <w:tcW w:w="100" w:type="dxa"/>
            <w:vAlign w:val="bottom"/>
            <w:tcBorders>
              <w:bottom w:val="single" w:sz="8" w:color="007DC6"/>
            </w:tcBorders>
            <w:shd w:val="clear" w:color="auto" w:fill="007DC6"/>
          </w:tcPr>
          <w:p>
            <w:pPr>
              <w:spacing w:after="0"/>
              <w:rPr>
                <w:sz w:val="24"/>
                <w:szCs w:val="24"/>
                <w:color w:val="auto"/>
              </w:rPr>
            </w:pPr>
          </w:p>
        </w:tc>
        <w:tc>
          <w:tcPr>
            <w:tcW w:w="3320" w:type="dxa"/>
            <w:vAlign w:val="bottom"/>
            <w:tcBorders>
              <w:bottom w:val="single" w:sz="8" w:color="007DC6"/>
            </w:tcBorders>
            <w:shd w:val="clear" w:color="auto" w:fill="007DC6"/>
          </w:tcPr>
          <w:p>
            <w:pPr>
              <w:spacing w:after="0"/>
              <w:rPr>
                <w:sz w:val="24"/>
                <w:szCs w:val="24"/>
                <w:color w:val="auto"/>
              </w:rPr>
            </w:pPr>
          </w:p>
        </w:tc>
        <w:tc>
          <w:tcPr>
            <w:tcW w:w="1200" w:type="dxa"/>
            <w:vAlign w:val="bottom"/>
            <w:tcBorders>
              <w:bottom w:val="single" w:sz="8" w:color="007DC6"/>
            </w:tcBorders>
            <w:shd w:val="clear" w:color="auto" w:fill="007DC6"/>
          </w:tcPr>
          <w:p>
            <w:pPr>
              <w:spacing w:after="0"/>
              <w:rPr>
                <w:sz w:val="24"/>
                <w:szCs w:val="24"/>
                <w:color w:val="auto"/>
              </w:rPr>
            </w:pPr>
          </w:p>
        </w:tc>
        <w:tc>
          <w:tcPr>
            <w:tcW w:w="2400" w:type="dxa"/>
            <w:vAlign w:val="bottom"/>
            <w:tcBorders>
              <w:bottom w:val="single" w:sz="8" w:color="007DC6"/>
            </w:tcBorders>
            <w:shd w:val="clear" w:color="auto" w:fill="007DC6"/>
          </w:tcPr>
          <w:p>
            <w:pPr>
              <w:spacing w:after="0"/>
              <w:rPr>
                <w:sz w:val="24"/>
                <w:szCs w:val="24"/>
                <w:color w:val="auto"/>
              </w:rPr>
            </w:pPr>
          </w:p>
        </w:tc>
        <w:tc>
          <w:tcPr>
            <w:tcW w:w="440" w:type="dxa"/>
            <w:vAlign w:val="bottom"/>
            <w:tcBorders>
              <w:bottom w:val="single" w:sz="8" w:color="007DC6"/>
            </w:tcBorders>
            <w:shd w:val="clear" w:color="auto" w:fill="007DC6"/>
          </w:tcPr>
          <w:p>
            <w:pPr>
              <w:spacing w:after="0"/>
              <w:rPr>
                <w:sz w:val="24"/>
                <w:szCs w:val="24"/>
                <w:color w:val="auto"/>
              </w:rPr>
            </w:pPr>
          </w:p>
        </w:tc>
        <w:tc>
          <w:tcPr>
            <w:tcW w:w="740" w:type="dxa"/>
            <w:vAlign w:val="bottom"/>
            <w:tcBorders>
              <w:bottom w:val="single" w:sz="8" w:color="007DC6"/>
            </w:tcBorders>
            <w:shd w:val="clear" w:color="auto" w:fill="007DC6"/>
          </w:tcPr>
          <w:p>
            <w:pPr>
              <w:spacing w:after="0"/>
              <w:rPr>
                <w:sz w:val="24"/>
                <w:szCs w:val="24"/>
                <w:color w:val="auto"/>
              </w:rPr>
            </w:pPr>
          </w:p>
        </w:tc>
        <w:tc>
          <w:tcPr>
            <w:tcW w:w="140" w:type="dxa"/>
            <w:vAlign w:val="bottom"/>
            <w:tcBorders>
              <w:bottom w:val="single" w:sz="8" w:color="007DC6"/>
            </w:tcBorders>
            <w:shd w:val="clear" w:color="auto" w:fill="007DC6"/>
          </w:tcPr>
          <w:p>
            <w:pPr>
              <w:spacing w:after="0"/>
              <w:rPr>
                <w:sz w:val="24"/>
                <w:szCs w:val="24"/>
                <w:color w:val="auto"/>
              </w:rPr>
            </w:pPr>
          </w:p>
        </w:tc>
        <w:tc>
          <w:tcPr>
            <w:tcW w:w="300" w:type="dxa"/>
            <w:vAlign w:val="bottom"/>
            <w:tcBorders>
              <w:bottom w:val="single" w:sz="8" w:color="007DC6"/>
            </w:tcBorders>
            <w:shd w:val="clear" w:color="auto" w:fill="007DC6"/>
          </w:tcPr>
          <w:p>
            <w:pPr>
              <w:spacing w:after="0"/>
              <w:rPr>
                <w:sz w:val="24"/>
                <w:szCs w:val="24"/>
                <w:color w:val="auto"/>
              </w:rPr>
            </w:pPr>
          </w:p>
        </w:tc>
        <w:tc>
          <w:tcPr>
            <w:tcW w:w="280" w:type="dxa"/>
            <w:vAlign w:val="bottom"/>
            <w:tcBorders>
              <w:bottom w:val="single" w:sz="8" w:color="007DC6"/>
            </w:tcBorders>
            <w:shd w:val="clear" w:color="auto" w:fill="007DC6"/>
          </w:tcPr>
          <w:p>
            <w:pPr>
              <w:spacing w:after="0"/>
              <w:rPr>
                <w:sz w:val="24"/>
                <w:szCs w:val="24"/>
                <w:color w:val="auto"/>
              </w:rPr>
            </w:pPr>
          </w:p>
        </w:tc>
        <w:tc>
          <w:tcPr>
            <w:tcW w:w="40" w:type="dxa"/>
            <w:vAlign w:val="bottom"/>
            <w:tcBorders>
              <w:bottom w:val="single" w:sz="8" w:color="007DC6"/>
            </w:tcBorders>
            <w:shd w:val="clear" w:color="auto" w:fill="007DC6"/>
          </w:tcPr>
          <w:p>
            <w:pPr>
              <w:spacing w:after="0"/>
              <w:rPr>
                <w:sz w:val="24"/>
                <w:szCs w:val="24"/>
                <w:color w:val="auto"/>
              </w:rPr>
            </w:pPr>
          </w:p>
        </w:tc>
        <w:tc>
          <w:tcPr>
            <w:tcW w:w="180" w:type="dxa"/>
            <w:vAlign w:val="bottom"/>
            <w:tcBorders>
              <w:bottom w:val="single" w:sz="8" w:color="007DC6"/>
              <w:right w:val="single" w:sz="8" w:color="007DC6"/>
            </w:tcBorders>
            <w:shd w:val="clear" w:color="auto" w:fill="007DC6"/>
          </w:tcPr>
          <w:p>
            <w:pPr>
              <w:spacing w:after="0"/>
              <w:rPr>
                <w:sz w:val="24"/>
                <w:szCs w:val="24"/>
                <w:color w:val="auto"/>
              </w:rPr>
            </w:pPr>
          </w:p>
        </w:tc>
        <w:tc>
          <w:tcPr>
            <w:tcW w:w="80" w:type="dxa"/>
            <w:vAlign w:val="bottom"/>
            <w:tcBorders>
              <w:left w:val="single" w:sz="8" w:color="007DC6"/>
              <w:bottom w:val="single" w:sz="8" w:color="007DC6"/>
              <w:right w:val="single" w:sz="8" w:color="91BBD3"/>
            </w:tcBorders>
            <w:shd w:val="clear" w:color="auto" w:fill="007DC6"/>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680" w:type="dxa"/>
            <w:vAlign w:val="bottom"/>
            <w:tcBorders>
              <w:top w:val="single" w:sz="8" w:color="91BBD3"/>
              <w:left w:val="single" w:sz="8" w:color="91BBD3"/>
              <w:right w:val="single" w:sz="8" w:color="91BBD3"/>
            </w:tcBorders>
          </w:tcPr>
          <w:p>
            <w:pPr>
              <w:jc w:val="right"/>
              <w:ind w:right="1050"/>
              <w:spacing w:after="0" w:line="162" w:lineRule="exact"/>
              <w:rPr>
                <w:sz w:val="20"/>
                <w:szCs w:val="20"/>
                <w:color w:val="auto"/>
              </w:rPr>
            </w:pPr>
            <w:r>
              <w:rPr>
                <w:rFonts w:ascii="Calibri" w:cs="Calibri" w:eastAsia="Calibri" w:hAnsi="Calibri"/>
                <w:sz w:val="17"/>
                <w:szCs w:val="17"/>
                <w:b w:val="1"/>
                <w:bCs w:val="1"/>
                <w:color w:val="auto"/>
              </w:rPr>
              <w:t>10.01</w:t>
            </w:r>
          </w:p>
        </w:tc>
        <w:tc>
          <w:tcPr>
            <w:tcW w:w="100" w:type="dxa"/>
            <w:vAlign w:val="bottom"/>
            <w:tcBorders>
              <w:top w:val="single" w:sz="8" w:color="91BBD3"/>
            </w:tcBorders>
          </w:tcPr>
          <w:p>
            <w:pPr>
              <w:spacing w:after="0"/>
              <w:rPr>
                <w:sz w:val="14"/>
                <w:szCs w:val="14"/>
                <w:color w:val="auto"/>
              </w:rPr>
            </w:pPr>
          </w:p>
        </w:tc>
        <w:tc>
          <w:tcPr>
            <w:tcW w:w="9120" w:type="dxa"/>
            <w:vAlign w:val="bottom"/>
            <w:tcBorders>
              <w:top w:val="single" w:sz="8" w:color="91BBD3"/>
              <w:right w:val="single" w:sz="8" w:color="91BBD3"/>
            </w:tcBorders>
            <w:gridSpan w:val="11"/>
          </w:tcPr>
          <w:p>
            <w:pPr>
              <w:spacing w:after="0" w:line="162" w:lineRule="exact"/>
              <w:rPr>
                <w:rFonts w:ascii="Calibri" w:cs="Calibri" w:eastAsia="Calibri" w:hAnsi="Calibri"/>
                <w:sz w:val="17"/>
                <w:szCs w:val="17"/>
                <w:color w:val="0563C1"/>
              </w:rPr>
            </w:pPr>
            <w:hyperlink r:id="rId495">
              <w:r>
                <w:rPr>
                  <w:rFonts w:ascii="Calibri" w:cs="Calibri" w:eastAsia="Calibri" w:hAnsi="Calibri"/>
                  <w:sz w:val="17"/>
                  <w:szCs w:val="17"/>
                  <w:u w:val="single" w:color="auto"/>
                  <w:color w:val="0563C1"/>
                </w:rPr>
                <w:t>$</w:t>
              </w:r>
              <w:r>
                <w:rPr>
                  <w:rFonts w:ascii="Calibri" w:cs="Calibri" w:eastAsia="Calibri" w:hAnsi="Calibri"/>
                  <w:sz w:val="17"/>
                  <w:szCs w:val="17"/>
                  <w:color w:val="0563C1"/>
                </w:rPr>
                <w:t>800,000,000 Credit Agreement dated as of December 2</w:t>
              </w:r>
              <w:r>
                <w:rPr>
                  <w:rFonts w:ascii="Times New Roman" w:cs="Times New Roman" w:eastAsia="Times New Roman" w:hAnsi="Times New Roman"/>
                  <w:sz w:val="17"/>
                  <w:szCs w:val="17"/>
                  <w:color w:val="0563C1"/>
                </w:rPr>
                <w:t>1</w:t>
              </w:r>
              <w:r>
                <w:rPr>
                  <w:rFonts w:ascii="Calibri" w:cs="Calibri" w:eastAsia="Calibri" w:hAnsi="Calibri"/>
                  <w:sz w:val="17"/>
                  <w:szCs w:val="17"/>
                  <w:color w:val="0563C1"/>
                </w:rPr>
                <w:t>, 2021 among Martn Marieta Materials, Inc., JPMorgan Chase Bank,</w:t>
              </w:r>
            </w:hyperlink>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40" w:type="dxa"/>
            <w:vAlign w:val="bottom"/>
            <w:tcBorders>
              <w:top w:val="single" w:sz="8" w:color="0563C1"/>
              <w:bottom w:val="single" w:sz="8" w:color="0563C1"/>
            </w:tcBorders>
            <w:gridSpan w:val="10"/>
          </w:tcPr>
          <w:p>
            <w:pPr>
              <w:spacing w:after="0" w:line="196" w:lineRule="exact"/>
              <w:rPr>
                <w:rFonts w:ascii="Calibri" w:cs="Calibri" w:eastAsia="Calibri" w:hAnsi="Calibri"/>
                <w:sz w:val="18"/>
                <w:szCs w:val="18"/>
                <w:color w:val="0563C1"/>
                <w:w w:val="98"/>
              </w:rPr>
            </w:pPr>
            <w:hyperlink r:id="rId495">
              <w:r>
                <w:rPr>
                  <w:rFonts w:ascii="Calibri" w:cs="Calibri" w:eastAsia="Calibri" w:hAnsi="Calibri"/>
                  <w:sz w:val="18"/>
                  <w:szCs w:val="18"/>
                  <w:color w:val="0563C1"/>
                  <w:w w:val="98"/>
                </w:rPr>
                <w:t>N.A., as Administratve Agent, and Deutsche Bank AG New York Branch, PNC Bank, Natonal Associaton, Truist Bank, and Wells</w:t>
              </w:r>
            </w:hyperlink>
          </w:p>
        </w:tc>
        <w:tc>
          <w:tcPr>
            <w:tcW w:w="80" w:type="dxa"/>
            <w:vAlign w:val="bottom"/>
            <w:tcBorders>
              <w:right w:val="single" w:sz="8" w:color="91BBD3"/>
            </w:tcBorders>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40" w:type="dxa"/>
            <w:vAlign w:val="bottom"/>
            <w:tcBorders>
              <w:bottom w:val="single" w:sz="8" w:color="0563C1"/>
            </w:tcBorders>
            <w:gridSpan w:val="10"/>
          </w:tcPr>
          <w:p>
            <w:pPr>
              <w:spacing w:after="0" w:line="196" w:lineRule="exact"/>
              <w:rPr>
                <w:rFonts w:ascii="Calibri" w:cs="Calibri" w:eastAsia="Calibri" w:hAnsi="Calibri"/>
                <w:sz w:val="18"/>
                <w:szCs w:val="18"/>
                <w:color w:val="0563C1"/>
              </w:rPr>
            </w:pPr>
            <w:hyperlink r:id="rId495">
              <w:r>
                <w:rPr>
                  <w:rFonts w:ascii="Calibri" w:cs="Calibri" w:eastAsia="Calibri" w:hAnsi="Calibri"/>
                  <w:sz w:val="18"/>
                  <w:szCs w:val="18"/>
                  <w:color w:val="0563C1"/>
                </w:rPr>
                <w:t>Fargo Bank, Natonal Associaton, as Co-Syndicaton Agents (incorporated by reference to Exhibit 10.01 to the Martn Marieta</w:t>
              </w:r>
            </w:hyperlink>
          </w:p>
        </w:tc>
        <w:tc>
          <w:tcPr>
            <w:tcW w:w="80" w:type="dxa"/>
            <w:vAlign w:val="bottom"/>
            <w:tcBorders>
              <w:right w:val="single" w:sz="8" w:color="91BBD3"/>
            </w:tcBorders>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1"/>
          </w:tcPr>
          <w:p>
            <w:pPr>
              <w:spacing w:after="0" w:line="196" w:lineRule="exact"/>
              <w:rPr>
                <w:rFonts w:ascii="Calibri" w:cs="Calibri" w:eastAsia="Calibri" w:hAnsi="Calibri"/>
                <w:sz w:val="18"/>
                <w:szCs w:val="18"/>
                <w:color w:val="0563C1"/>
              </w:rPr>
            </w:pPr>
            <w:hyperlink r:id="rId495">
              <w:r>
                <w:rPr>
                  <w:rFonts w:ascii="Calibri" w:cs="Calibri" w:eastAsia="Calibri" w:hAnsi="Calibri"/>
                  <w:sz w:val="18"/>
                  <w:szCs w:val="18"/>
                  <w:color w:val="0563C1"/>
                </w:rPr>
                <w:t>Materials, Inc., Current Report on Form 8-K fled on December 27, 2021) (Commission File No. 1-12744)</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680" w:type="dxa"/>
            <w:vAlign w:val="bottom"/>
            <w:tcBorders>
              <w:left w:val="single" w:sz="8" w:color="91BBD3"/>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3320" w:type="dxa"/>
            <w:vAlign w:val="bottom"/>
            <w:tcBorders>
              <w:top w:val="single" w:sz="8" w:color="0563C1"/>
              <w:bottom w:val="single" w:sz="8" w:color="91BBD3"/>
            </w:tcBorders>
          </w:tcPr>
          <w:p>
            <w:pPr>
              <w:spacing w:after="0"/>
              <w:rPr>
                <w:sz w:val="4"/>
                <w:szCs w:val="4"/>
                <w:color w:val="auto"/>
              </w:rPr>
            </w:pPr>
          </w:p>
        </w:tc>
        <w:tc>
          <w:tcPr>
            <w:tcW w:w="1200" w:type="dxa"/>
            <w:vAlign w:val="bottom"/>
            <w:tcBorders>
              <w:top w:val="single" w:sz="8" w:color="0563C1"/>
              <w:bottom w:val="single" w:sz="8" w:color="91BBD3"/>
            </w:tcBorders>
          </w:tcPr>
          <w:p>
            <w:pPr>
              <w:spacing w:after="0"/>
              <w:rPr>
                <w:sz w:val="4"/>
                <w:szCs w:val="4"/>
                <w:color w:val="auto"/>
              </w:rPr>
            </w:pPr>
          </w:p>
        </w:tc>
        <w:tc>
          <w:tcPr>
            <w:tcW w:w="2400" w:type="dxa"/>
            <w:vAlign w:val="bottom"/>
            <w:tcBorders>
              <w:top w:val="single" w:sz="8" w:color="0563C1"/>
              <w:bottom w:val="single" w:sz="8" w:color="91BBD3"/>
            </w:tcBorders>
          </w:tcPr>
          <w:p>
            <w:pPr>
              <w:spacing w:after="0"/>
              <w:rPr>
                <w:sz w:val="4"/>
                <w:szCs w:val="4"/>
                <w:color w:val="auto"/>
              </w:rPr>
            </w:pPr>
          </w:p>
        </w:tc>
        <w:tc>
          <w:tcPr>
            <w:tcW w:w="440" w:type="dxa"/>
            <w:vAlign w:val="bottom"/>
            <w:tcBorders>
              <w:top w:val="single" w:sz="8" w:color="0563C1"/>
              <w:bottom w:val="single" w:sz="8" w:color="91BBD3"/>
            </w:tcBorders>
          </w:tcPr>
          <w:p>
            <w:pPr>
              <w:spacing w:after="0"/>
              <w:rPr>
                <w:sz w:val="4"/>
                <w:szCs w:val="4"/>
                <w:color w:val="auto"/>
              </w:rPr>
            </w:pPr>
          </w:p>
        </w:tc>
        <w:tc>
          <w:tcPr>
            <w:tcW w:w="740" w:type="dxa"/>
            <w:vAlign w:val="bottom"/>
            <w:tcBorders>
              <w:bottom w:val="single" w:sz="8" w:color="91BBD3"/>
            </w:tcBorders>
          </w:tcPr>
          <w:p>
            <w:pPr>
              <w:spacing w:after="0"/>
              <w:rPr>
                <w:sz w:val="4"/>
                <w:szCs w:val="4"/>
                <w:color w:val="auto"/>
              </w:rPr>
            </w:pPr>
          </w:p>
        </w:tc>
        <w:tc>
          <w:tcPr>
            <w:tcW w:w="140" w:type="dxa"/>
            <w:vAlign w:val="bottom"/>
            <w:tcBorders>
              <w:bottom w:val="single" w:sz="8" w:color="91BBD3"/>
            </w:tcBorders>
          </w:tcPr>
          <w:p>
            <w:pPr>
              <w:spacing w:after="0"/>
              <w:rPr>
                <w:sz w:val="4"/>
                <w:szCs w:val="4"/>
                <w:color w:val="auto"/>
              </w:rPr>
            </w:pPr>
          </w:p>
        </w:tc>
        <w:tc>
          <w:tcPr>
            <w:tcW w:w="300" w:type="dxa"/>
            <w:vAlign w:val="bottom"/>
            <w:tcBorders>
              <w:bottom w:val="single" w:sz="8" w:color="91BBD3"/>
            </w:tcBorders>
          </w:tcPr>
          <w:p>
            <w:pPr>
              <w:spacing w:after="0"/>
              <w:rPr>
                <w:sz w:val="4"/>
                <w:szCs w:val="4"/>
                <w:color w:val="auto"/>
              </w:rPr>
            </w:pPr>
          </w:p>
        </w:tc>
        <w:tc>
          <w:tcPr>
            <w:tcW w:w="280" w:type="dxa"/>
            <w:vAlign w:val="bottom"/>
            <w:tcBorders>
              <w:bottom w:val="single" w:sz="8" w:color="91BBD3"/>
            </w:tcBorders>
          </w:tcPr>
          <w:p>
            <w:pPr>
              <w:spacing w:after="0"/>
              <w:rPr>
                <w:sz w:val="4"/>
                <w:szCs w:val="4"/>
                <w:color w:val="auto"/>
              </w:rPr>
            </w:pPr>
          </w:p>
        </w:tc>
        <w:tc>
          <w:tcPr>
            <w:tcW w:w="40" w:type="dxa"/>
            <w:vAlign w:val="bottom"/>
            <w:tcBorders>
              <w:bottom w:val="single" w:sz="8" w:color="91BBD3"/>
            </w:tcBorders>
          </w:tcPr>
          <w:p>
            <w:pPr>
              <w:spacing w:after="0"/>
              <w:rPr>
                <w:sz w:val="4"/>
                <w:szCs w:val="4"/>
                <w:color w:val="auto"/>
              </w:rPr>
            </w:pPr>
          </w:p>
        </w:tc>
        <w:tc>
          <w:tcPr>
            <w:tcW w:w="180" w:type="dxa"/>
            <w:vAlign w:val="bottom"/>
            <w:tcBorders>
              <w:bottom w:val="single" w:sz="8" w:color="91BBD3"/>
            </w:tcBorders>
          </w:tcPr>
          <w:p>
            <w:pPr>
              <w:spacing w:after="0"/>
              <w:rPr>
                <w:sz w:val="4"/>
                <w:szCs w:val="4"/>
                <w:color w:val="auto"/>
              </w:rPr>
            </w:pPr>
          </w:p>
        </w:tc>
        <w:tc>
          <w:tcPr>
            <w:tcW w:w="80" w:type="dxa"/>
            <w:vAlign w:val="bottom"/>
            <w:tcBorders>
              <w:bottom w:val="single" w:sz="8" w:color="91BBD3"/>
              <w:right w:val="single" w:sz="8" w:color="91BBD3"/>
            </w:tcBorders>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bottom w:val="single" w:sz="8" w:color="DAE8F0"/>
              <w:right w:val="single" w:sz="8" w:color="91BBD3"/>
            </w:tcBorders>
            <w:shd w:val="clear" w:color="auto" w:fill="DAE8F0"/>
          </w:tcPr>
          <w:p>
            <w:pPr>
              <w:jc w:val="right"/>
              <w:ind w:right="1050"/>
              <w:spacing w:after="0" w:line="169" w:lineRule="exact"/>
              <w:rPr>
                <w:sz w:val="20"/>
                <w:szCs w:val="20"/>
                <w:color w:val="auto"/>
              </w:rPr>
            </w:pPr>
            <w:r>
              <w:rPr>
                <w:rFonts w:ascii="Calibri" w:cs="Calibri" w:eastAsia="Calibri" w:hAnsi="Calibri"/>
                <w:sz w:val="18"/>
                <w:szCs w:val="18"/>
                <w:b w:val="1"/>
                <w:bCs w:val="1"/>
                <w:color w:val="auto"/>
              </w:rPr>
              <w:t>10.02</w:t>
            </w:r>
          </w:p>
        </w:tc>
        <w:tc>
          <w:tcPr>
            <w:tcW w:w="100" w:type="dxa"/>
            <w:vAlign w:val="bottom"/>
            <w:tcBorders>
              <w:bottom w:val="single" w:sz="8" w:color="DAE8F0"/>
            </w:tcBorders>
            <w:shd w:val="clear" w:color="auto" w:fill="DAE8F0"/>
          </w:tcPr>
          <w:p>
            <w:pPr>
              <w:spacing w:after="0"/>
              <w:rPr>
                <w:sz w:val="14"/>
                <w:szCs w:val="14"/>
                <w:color w:val="auto"/>
              </w:rPr>
            </w:pPr>
          </w:p>
        </w:tc>
        <w:tc>
          <w:tcPr>
            <w:tcW w:w="9040" w:type="dxa"/>
            <w:vAlign w:val="bottom"/>
            <w:tcBorders>
              <w:bottom w:val="single" w:sz="8" w:color="0563C1"/>
              <w:right w:val="single" w:sz="8" w:color="DAE8F0"/>
            </w:tcBorders>
            <w:gridSpan w:val="10"/>
            <w:shd w:val="clear" w:color="auto" w:fill="DAE8F0"/>
          </w:tcPr>
          <w:p>
            <w:pPr>
              <w:spacing w:after="0" w:line="169" w:lineRule="exact"/>
              <w:rPr>
                <w:rFonts w:ascii="Calibri" w:cs="Calibri" w:eastAsia="Calibri" w:hAnsi="Calibri"/>
                <w:sz w:val="18"/>
                <w:szCs w:val="18"/>
                <w:color w:val="0563C1"/>
                <w:w w:val="99"/>
              </w:rPr>
            </w:pPr>
            <w:hyperlink r:id="rId496">
              <w:r>
                <w:rPr>
                  <w:rFonts w:ascii="Calibri" w:cs="Calibri" w:eastAsia="Calibri" w:hAnsi="Calibri"/>
                  <w:sz w:val="18"/>
                  <w:szCs w:val="18"/>
                  <w:color w:val="0563C1"/>
                  <w:w w:val="99"/>
                </w:rPr>
                <w:t>Loan Modifcaton No. 1 and Extension Agreement dated as of December 22, 2022, among Martn Marieta Materials, Inc., the</w:t>
              </w:r>
            </w:hyperlink>
          </w:p>
        </w:tc>
        <w:tc>
          <w:tcPr>
            <w:tcW w:w="80" w:type="dxa"/>
            <w:vAlign w:val="bottom"/>
            <w:tcBorders>
              <w:left w:val="single" w:sz="8" w:color="DAE8F0"/>
              <w:bottom w:val="single" w:sz="8" w:color="DAE8F0"/>
              <w:right w:val="single" w:sz="8" w:color="91BBD3"/>
            </w:tcBorders>
            <w:shd w:val="clear" w:color="auto" w:fill="DAE8F0"/>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9040" w:type="dxa"/>
            <w:vAlign w:val="bottom"/>
            <w:tcBorders>
              <w:bottom w:val="single" w:sz="8" w:color="0563C1"/>
              <w:right w:val="single" w:sz="8" w:color="DAE8F0"/>
            </w:tcBorders>
            <w:gridSpan w:val="10"/>
            <w:shd w:val="clear" w:color="auto" w:fill="DAE8F0"/>
          </w:tcPr>
          <w:p>
            <w:pPr>
              <w:spacing w:after="0" w:line="196" w:lineRule="exact"/>
              <w:rPr>
                <w:rFonts w:ascii="Calibri" w:cs="Calibri" w:eastAsia="Calibri" w:hAnsi="Calibri"/>
                <w:sz w:val="18"/>
                <w:szCs w:val="18"/>
                <w:color w:val="0563C1"/>
                <w:w w:val="99"/>
              </w:rPr>
            </w:pPr>
            <w:hyperlink r:id="rId496">
              <w:r>
                <w:rPr>
                  <w:rFonts w:ascii="Calibri" w:cs="Calibri" w:eastAsia="Calibri" w:hAnsi="Calibri"/>
                  <w:sz w:val="18"/>
                  <w:szCs w:val="18"/>
                  <w:color w:val="0563C1"/>
                  <w:w w:val="99"/>
                </w:rPr>
                <w:t>Lenders party thereto and JPMorgan Chase Bank, N.A., as Administratve Agent (incorporated by reference to Exhibit 10.1 to</w:t>
              </w:r>
            </w:hyperlink>
          </w:p>
        </w:tc>
        <w:tc>
          <w:tcPr>
            <w:tcW w:w="80" w:type="dxa"/>
            <w:vAlign w:val="bottom"/>
            <w:tcBorders>
              <w:left w:val="single" w:sz="8" w:color="DAE8F0"/>
              <w:bottom w:val="single" w:sz="8" w:color="DAE8F0"/>
              <w:right w:val="single" w:sz="8" w:color="91BBD3"/>
            </w:tcBorders>
            <w:shd w:val="clear" w:color="auto" w:fill="DAE8F0"/>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680" w:type="dxa"/>
            <w:vAlign w:val="bottom"/>
            <w:tcBorders>
              <w:left w:val="single" w:sz="8" w:color="91BBD3"/>
              <w:bottom w:val="single" w:sz="8" w:color="91BBD3"/>
              <w:right w:val="single" w:sz="8" w:color="91BBD3"/>
            </w:tcBorders>
            <w:shd w:val="clear" w:color="auto" w:fill="DAE8F0"/>
          </w:tcPr>
          <w:p>
            <w:pPr>
              <w:spacing w:after="0"/>
              <w:rPr>
                <w:sz w:val="24"/>
                <w:szCs w:val="24"/>
                <w:color w:val="auto"/>
              </w:rPr>
            </w:pPr>
          </w:p>
        </w:tc>
        <w:tc>
          <w:tcPr>
            <w:tcW w:w="100" w:type="dxa"/>
            <w:vAlign w:val="bottom"/>
            <w:tcBorders>
              <w:bottom w:val="single" w:sz="8" w:color="91BBD3"/>
            </w:tcBorders>
            <w:shd w:val="clear" w:color="auto" w:fill="DAE8F0"/>
          </w:tcPr>
          <w:p>
            <w:pPr>
              <w:spacing w:after="0"/>
              <w:rPr>
                <w:sz w:val="24"/>
                <w:szCs w:val="24"/>
                <w:color w:val="auto"/>
              </w:rPr>
            </w:pPr>
          </w:p>
        </w:tc>
        <w:tc>
          <w:tcPr>
            <w:tcW w:w="8860" w:type="dxa"/>
            <w:vAlign w:val="bottom"/>
            <w:tcBorders>
              <w:bottom w:val="single" w:sz="8" w:color="0000EE"/>
            </w:tcBorders>
            <w:gridSpan w:val="9"/>
            <w:shd w:val="clear" w:color="auto" w:fill="DAE8F0"/>
          </w:tcPr>
          <w:p>
            <w:pPr>
              <w:spacing w:after="0" w:line="209" w:lineRule="exact"/>
              <w:rPr>
                <w:rFonts w:ascii="Calibri" w:cs="Calibri" w:eastAsia="Calibri" w:hAnsi="Calibri"/>
                <w:sz w:val="18"/>
                <w:szCs w:val="18"/>
                <w:color w:val="0563C1"/>
                <w:w w:val="99"/>
              </w:rPr>
            </w:pPr>
            <w:hyperlink r:id="rId496">
              <w:r>
                <w:rPr>
                  <w:rFonts w:ascii="Calibri" w:cs="Calibri" w:eastAsia="Calibri" w:hAnsi="Calibri"/>
                  <w:sz w:val="18"/>
                  <w:szCs w:val="18"/>
                  <w:color w:val="0563C1"/>
                  <w:w w:val="99"/>
                </w:rPr>
                <w:t>the Martn Marieta Materials, Inc., Current Report on Form 8-K fled on December 22, 2022) (Commission File No. 1-12744)</w:t>
              </w:r>
            </w:hyperlink>
          </w:p>
        </w:tc>
        <w:tc>
          <w:tcPr>
            <w:tcW w:w="260" w:type="dxa"/>
            <w:vAlign w:val="bottom"/>
            <w:tcBorders>
              <w:bottom w:val="single" w:sz="8" w:color="91BBD3"/>
              <w:right w:val="single" w:sz="8" w:color="91BBD3"/>
            </w:tcBorders>
            <w:gridSpan w:val="2"/>
            <w:shd w:val="clear" w:color="auto" w:fill="DAE8F0"/>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right w:val="single" w:sz="8" w:color="91BBD3"/>
            </w:tcBorders>
          </w:tcPr>
          <w:p>
            <w:pPr>
              <w:jc w:val="right"/>
              <w:ind w:right="1050"/>
              <w:spacing w:after="0" w:line="169" w:lineRule="exact"/>
              <w:rPr>
                <w:sz w:val="20"/>
                <w:szCs w:val="20"/>
                <w:color w:val="auto"/>
              </w:rPr>
            </w:pPr>
            <w:r>
              <w:rPr>
                <w:rFonts w:ascii="Calibri" w:cs="Calibri" w:eastAsia="Calibri" w:hAnsi="Calibri"/>
                <w:sz w:val="18"/>
                <w:szCs w:val="18"/>
                <w:b w:val="1"/>
                <w:bCs w:val="1"/>
                <w:color w:val="auto"/>
              </w:rPr>
              <w:t>10.03</w:t>
            </w:r>
          </w:p>
        </w:tc>
        <w:tc>
          <w:tcPr>
            <w:tcW w:w="100" w:type="dxa"/>
            <w:vAlign w:val="bottom"/>
          </w:tcPr>
          <w:p>
            <w:pPr>
              <w:spacing w:after="0"/>
              <w:rPr>
                <w:sz w:val="14"/>
                <w:szCs w:val="14"/>
                <w:color w:val="auto"/>
              </w:rPr>
            </w:pPr>
          </w:p>
        </w:tc>
        <w:tc>
          <w:tcPr>
            <w:tcW w:w="9120" w:type="dxa"/>
            <w:vAlign w:val="bottom"/>
            <w:tcBorders>
              <w:right w:val="single" w:sz="8" w:color="91BBD3"/>
            </w:tcBorders>
            <w:gridSpan w:val="11"/>
          </w:tcPr>
          <w:p>
            <w:pPr>
              <w:spacing w:after="0" w:line="169" w:lineRule="exact"/>
              <w:rPr>
                <w:rFonts w:ascii="Calibri" w:cs="Calibri" w:eastAsia="Calibri" w:hAnsi="Calibri"/>
                <w:sz w:val="18"/>
                <w:szCs w:val="18"/>
                <w:color w:val="0563C1"/>
              </w:rPr>
            </w:pPr>
            <w:hyperlink r:id="rId497">
              <w:r>
                <w:rPr>
                  <w:rFonts w:ascii="Calibri" w:cs="Calibri" w:eastAsia="Calibri" w:hAnsi="Calibri"/>
                  <w:sz w:val="18"/>
                  <w:szCs w:val="18"/>
                  <w:color w:val="0563C1"/>
                </w:rPr>
                <w:t>Credit and Security Agreement dated as of April 19, 2013, among Martn Marieta Funding LLC, as borrower, Martn Marieta</w:t>
              </w:r>
            </w:hyperlink>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80" w:type="dxa"/>
            <w:vAlign w:val="bottom"/>
            <w:tcBorders>
              <w:left w:val="single" w:sz="8" w:color="91BBD3"/>
              <w:right w:val="single" w:sz="8" w:color="91BBD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20" w:type="dxa"/>
            <w:vAlign w:val="bottom"/>
            <w:shd w:val="clear" w:color="auto" w:fill="0563C1"/>
          </w:tcPr>
          <w:p>
            <w:pPr>
              <w:spacing w:after="0" w:line="20" w:lineRule="exact"/>
              <w:rPr>
                <w:sz w:val="1"/>
                <w:szCs w:val="1"/>
                <w:color w:val="auto"/>
              </w:rPr>
            </w:pPr>
          </w:p>
        </w:tc>
        <w:tc>
          <w:tcPr>
            <w:tcW w:w="1200" w:type="dxa"/>
            <w:vAlign w:val="bottom"/>
            <w:shd w:val="clear" w:color="auto" w:fill="0563C1"/>
          </w:tcPr>
          <w:p>
            <w:pPr>
              <w:spacing w:after="0" w:line="20" w:lineRule="exact"/>
              <w:rPr>
                <w:sz w:val="1"/>
                <w:szCs w:val="1"/>
                <w:color w:val="auto"/>
              </w:rPr>
            </w:pPr>
          </w:p>
        </w:tc>
        <w:tc>
          <w:tcPr>
            <w:tcW w:w="2400" w:type="dxa"/>
            <w:vAlign w:val="bottom"/>
            <w:shd w:val="clear" w:color="auto" w:fill="0563C1"/>
          </w:tcPr>
          <w:p>
            <w:pPr>
              <w:spacing w:after="0" w:line="20" w:lineRule="exact"/>
              <w:rPr>
                <w:sz w:val="1"/>
                <w:szCs w:val="1"/>
                <w:color w:val="auto"/>
              </w:rPr>
            </w:pPr>
          </w:p>
        </w:tc>
        <w:tc>
          <w:tcPr>
            <w:tcW w:w="1180" w:type="dxa"/>
            <w:vAlign w:val="bottom"/>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220" w:type="dxa"/>
            <w:vAlign w:val="bottom"/>
            <w:tcBorders>
              <w:right w:val="single" w:sz="8" w:color="0000EE"/>
            </w:tcBorders>
            <w:gridSpan w:val="2"/>
            <w:shd w:val="clear" w:color="auto" w:fill="0563C1"/>
          </w:tcPr>
          <w:p>
            <w:pPr>
              <w:spacing w:after="0" w:line="20" w:lineRule="exact"/>
              <w:rPr>
                <w:sz w:val="1"/>
                <w:szCs w:val="1"/>
                <w:color w:val="auto"/>
              </w:rPr>
            </w:pPr>
          </w:p>
        </w:tc>
        <w:tc>
          <w:tcPr>
            <w:tcW w:w="80" w:type="dxa"/>
            <w:vAlign w:val="bottom"/>
            <w:tcBorders>
              <w:right w:val="single" w:sz="8" w:color="91BBD3"/>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40" w:type="dxa"/>
            <w:vAlign w:val="bottom"/>
            <w:tcBorders>
              <w:bottom w:val="single" w:sz="8" w:color="0563C1"/>
            </w:tcBorders>
            <w:gridSpan w:val="10"/>
          </w:tcPr>
          <w:p>
            <w:pPr>
              <w:spacing w:after="0" w:line="196" w:lineRule="exact"/>
              <w:rPr>
                <w:rFonts w:ascii="Calibri" w:cs="Calibri" w:eastAsia="Calibri" w:hAnsi="Calibri"/>
                <w:sz w:val="18"/>
                <w:szCs w:val="18"/>
                <w:color w:val="0563C1"/>
              </w:rPr>
            </w:pPr>
            <w:hyperlink r:id="rId497">
              <w:r>
                <w:rPr>
                  <w:rFonts w:ascii="Calibri" w:cs="Calibri" w:eastAsia="Calibri" w:hAnsi="Calibri"/>
                  <w:sz w:val="18"/>
                  <w:szCs w:val="18"/>
                  <w:color w:val="0563C1"/>
                </w:rPr>
                <w:t>Materials, Inc., as servicer, and Truist Bank, as lender, together with the other lenders from tme to tme party thereto, and</w:t>
              </w:r>
            </w:hyperlink>
          </w:p>
        </w:tc>
        <w:tc>
          <w:tcPr>
            <w:tcW w:w="80" w:type="dxa"/>
            <w:vAlign w:val="bottom"/>
            <w:tcBorders>
              <w:right w:val="single" w:sz="8" w:color="91BBD3"/>
            </w:tcBorders>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40" w:type="dxa"/>
            <w:vAlign w:val="bottom"/>
            <w:tcBorders>
              <w:bottom w:val="single" w:sz="8" w:color="0563C1"/>
            </w:tcBorders>
            <w:gridSpan w:val="10"/>
          </w:tcPr>
          <w:p>
            <w:pPr>
              <w:spacing w:after="0" w:line="196" w:lineRule="exact"/>
              <w:rPr>
                <w:rFonts w:ascii="Calibri" w:cs="Calibri" w:eastAsia="Calibri" w:hAnsi="Calibri"/>
                <w:sz w:val="18"/>
                <w:szCs w:val="18"/>
                <w:color w:val="0563C1"/>
              </w:rPr>
            </w:pPr>
            <w:hyperlink r:id="rId497">
              <w:r>
                <w:rPr>
                  <w:rFonts w:ascii="Calibri" w:cs="Calibri" w:eastAsia="Calibri" w:hAnsi="Calibri"/>
                  <w:sz w:val="18"/>
                  <w:szCs w:val="18"/>
                  <w:color w:val="0563C1"/>
                </w:rPr>
                <w:t>Truist Bank, as administratve agent for the lenders (incorporated by reference to Exhibit 10.01 to the Martn Marieta</w:t>
              </w:r>
            </w:hyperlink>
          </w:p>
        </w:tc>
        <w:tc>
          <w:tcPr>
            <w:tcW w:w="80" w:type="dxa"/>
            <w:vAlign w:val="bottom"/>
            <w:tcBorders>
              <w:right w:val="single" w:sz="8" w:color="91BBD3"/>
            </w:tcBorders>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1"/>
          </w:tcPr>
          <w:p>
            <w:pPr>
              <w:spacing w:after="0" w:line="196" w:lineRule="exact"/>
              <w:rPr>
                <w:rFonts w:ascii="Calibri" w:cs="Calibri" w:eastAsia="Calibri" w:hAnsi="Calibri"/>
                <w:sz w:val="18"/>
                <w:szCs w:val="18"/>
                <w:color w:val="0563C1"/>
              </w:rPr>
            </w:pPr>
            <w:hyperlink r:id="rId497">
              <w:r>
                <w:rPr>
                  <w:rFonts w:ascii="Calibri" w:cs="Calibri" w:eastAsia="Calibri" w:hAnsi="Calibri"/>
                  <w:sz w:val="18"/>
                  <w:szCs w:val="18"/>
                  <w:color w:val="0563C1"/>
                </w:rPr>
                <w:t>Materials, Inc. Current Report on Form 8-K fled on April 24, 2013) (Commission File No. 1-12744)</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680" w:type="dxa"/>
            <w:vAlign w:val="bottom"/>
            <w:tcBorders>
              <w:left w:val="single" w:sz="8" w:color="91BBD3"/>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3320" w:type="dxa"/>
            <w:vAlign w:val="bottom"/>
            <w:tcBorders>
              <w:top w:val="single" w:sz="8" w:color="0563C1"/>
              <w:bottom w:val="single" w:sz="8" w:color="91BBD3"/>
            </w:tcBorders>
          </w:tcPr>
          <w:p>
            <w:pPr>
              <w:spacing w:after="0"/>
              <w:rPr>
                <w:sz w:val="4"/>
                <w:szCs w:val="4"/>
                <w:color w:val="auto"/>
              </w:rPr>
            </w:pPr>
          </w:p>
        </w:tc>
        <w:tc>
          <w:tcPr>
            <w:tcW w:w="1200" w:type="dxa"/>
            <w:vAlign w:val="bottom"/>
            <w:tcBorders>
              <w:top w:val="single" w:sz="8" w:color="0563C1"/>
              <w:bottom w:val="single" w:sz="8" w:color="91BBD3"/>
            </w:tcBorders>
          </w:tcPr>
          <w:p>
            <w:pPr>
              <w:spacing w:after="0"/>
              <w:rPr>
                <w:sz w:val="4"/>
                <w:szCs w:val="4"/>
                <w:color w:val="auto"/>
              </w:rPr>
            </w:pPr>
          </w:p>
        </w:tc>
        <w:tc>
          <w:tcPr>
            <w:tcW w:w="2400" w:type="dxa"/>
            <w:vAlign w:val="bottom"/>
            <w:tcBorders>
              <w:top w:val="single" w:sz="8" w:color="0563C1"/>
              <w:bottom w:val="single" w:sz="8" w:color="91BBD3"/>
            </w:tcBorders>
          </w:tcPr>
          <w:p>
            <w:pPr>
              <w:spacing w:after="0"/>
              <w:rPr>
                <w:sz w:val="4"/>
                <w:szCs w:val="4"/>
                <w:color w:val="auto"/>
              </w:rPr>
            </w:pPr>
          </w:p>
        </w:tc>
        <w:tc>
          <w:tcPr>
            <w:tcW w:w="440" w:type="dxa"/>
            <w:vAlign w:val="bottom"/>
            <w:tcBorders>
              <w:bottom w:val="single" w:sz="8" w:color="91BBD3"/>
            </w:tcBorders>
          </w:tcPr>
          <w:p>
            <w:pPr>
              <w:spacing w:after="0"/>
              <w:rPr>
                <w:sz w:val="4"/>
                <w:szCs w:val="4"/>
                <w:color w:val="auto"/>
              </w:rPr>
            </w:pPr>
          </w:p>
        </w:tc>
        <w:tc>
          <w:tcPr>
            <w:tcW w:w="740" w:type="dxa"/>
            <w:vAlign w:val="bottom"/>
            <w:tcBorders>
              <w:bottom w:val="single" w:sz="8" w:color="91BBD3"/>
            </w:tcBorders>
          </w:tcPr>
          <w:p>
            <w:pPr>
              <w:spacing w:after="0"/>
              <w:rPr>
                <w:sz w:val="4"/>
                <w:szCs w:val="4"/>
                <w:color w:val="auto"/>
              </w:rPr>
            </w:pPr>
          </w:p>
        </w:tc>
        <w:tc>
          <w:tcPr>
            <w:tcW w:w="140" w:type="dxa"/>
            <w:vAlign w:val="bottom"/>
            <w:tcBorders>
              <w:bottom w:val="single" w:sz="8" w:color="91BBD3"/>
            </w:tcBorders>
          </w:tcPr>
          <w:p>
            <w:pPr>
              <w:spacing w:after="0"/>
              <w:rPr>
                <w:sz w:val="4"/>
                <w:szCs w:val="4"/>
                <w:color w:val="auto"/>
              </w:rPr>
            </w:pPr>
          </w:p>
        </w:tc>
        <w:tc>
          <w:tcPr>
            <w:tcW w:w="300" w:type="dxa"/>
            <w:vAlign w:val="bottom"/>
            <w:tcBorders>
              <w:bottom w:val="single" w:sz="8" w:color="91BBD3"/>
            </w:tcBorders>
          </w:tcPr>
          <w:p>
            <w:pPr>
              <w:spacing w:after="0"/>
              <w:rPr>
                <w:sz w:val="4"/>
                <w:szCs w:val="4"/>
                <w:color w:val="auto"/>
              </w:rPr>
            </w:pPr>
          </w:p>
        </w:tc>
        <w:tc>
          <w:tcPr>
            <w:tcW w:w="280" w:type="dxa"/>
            <w:vAlign w:val="bottom"/>
            <w:tcBorders>
              <w:bottom w:val="single" w:sz="8" w:color="91BBD3"/>
            </w:tcBorders>
          </w:tcPr>
          <w:p>
            <w:pPr>
              <w:spacing w:after="0"/>
              <w:rPr>
                <w:sz w:val="4"/>
                <w:szCs w:val="4"/>
                <w:color w:val="auto"/>
              </w:rPr>
            </w:pPr>
          </w:p>
        </w:tc>
        <w:tc>
          <w:tcPr>
            <w:tcW w:w="40" w:type="dxa"/>
            <w:vAlign w:val="bottom"/>
            <w:tcBorders>
              <w:bottom w:val="single" w:sz="8" w:color="91BBD3"/>
            </w:tcBorders>
          </w:tcPr>
          <w:p>
            <w:pPr>
              <w:spacing w:after="0"/>
              <w:rPr>
                <w:sz w:val="4"/>
                <w:szCs w:val="4"/>
                <w:color w:val="auto"/>
              </w:rPr>
            </w:pPr>
          </w:p>
        </w:tc>
        <w:tc>
          <w:tcPr>
            <w:tcW w:w="180" w:type="dxa"/>
            <w:vAlign w:val="bottom"/>
            <w:tcBorders>
              <w:bottom w:val="single" w:sz="8" w:color="91BBD3"/>
            </w:tcBorders>
          </w:tcPr>
          <w:p>
            <w:pPr>
              <w:spacing w:after="0"/>
              <w:rPr>
                <w:sz w:val="4"/>
                <w:szCs w:val="4"/>
                <w:color w:val="auto"/>
              </w:rPr>
            </w:pPr>
          </w:p>
        </w:tc>
        <w:tc>
          <w:tcPr>
            <w:tcW w:w="80" w:type="dxa"/>
            <w:vAlign w:val="bottom"/>
            <w:tcBorders>
              <w:bottom w:val="single" w:sz="8" w:color="91BBD3"/>
              <w:right w:val="single" w:sz="8" w:color="91BBD3"/>
            </w:tcBorders>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right w:val="single" w:sz="8" w:color="91BBD3"/>
            </w:tcBorders>
            <w:shd w:val="clear" w:color="auto" w:fill="DAE8F0"/>
          </w:tcPr>
          <w:p>
            <w:pPr>
              <w:jc w:val="right"/>
              <w:ind w:right="1050"/>
              <w:spacing w:after="0" w:line="169" w:lineRule="exact"/>
              <w:rPr>
                <w:sz w:val="20"/>
                <w:szCs w:val="20"/>
                <w:color w:val="auto"/>
              </w:rPr>
            </w:pPr>
            <w:r>
              <w:rPr>
                <w:rFonts w:ascii="Calibri" w:cs="Calibri" w:eastAsia="Calibri" w:hAnsi="Calibri"/>
                <w:sz w:val="18"/>
                <w:szCs w:val="18"/>
                <w:b w:val="1"/>
                <w:bCs w:val="1"/>
                <w:color w:val="auto"/>
              </w:rPr>
              <w:t>10.04</w:t>
            </w:r>
          </w:p>
        </w:tc>
        <w:tc>
          <w:tcPr>
            <w:tcW w:w="100" w:type="dxa"/>
            <w:vAlign w:val="bottom"/>
            <w:shd w:val="clear" w:color="auto" w:fill="DAE8F0"/>
          </w:tcPr>
          <w:p>
            <w:pPr>
              <w:spacing w:after="0"/>
              <w:rPr>
                <w:sz w:val="14"/>
                <w:szCs w:val="14"/>
                <w:color w:val="auto"/>
              </w:rPr>
            </w:pPr>
          </w:p>
        </w:tc>
        <w:tc>
          <w:tcPr>
            <w:tcW w:w="9120" w:type="dxa"/>
            <w:vAlign w:val="bottom"/>
            <w:tcBorders>
              <w:right w:val="single" w:sz="8" w:color="91BBD3"/>
            </w:tcBorders>
            <w:gridSpan w:val="11"/>
            <w:shd w:val="clear" w:color="auto" w:fill="DAE8F0"/>
          </w:tcPr>
          <w:p>
            <w:pPr>
              <w:spacing w:after="0" w:line="169" w:lineRule="exact"/>
              <w:rPr>
                <w:rFonts w:ascii="Calibri" w:cs="Calibri" w:eastAsia="Calibri" w:hAnsi="Calibri"/>
                <w:sz w:val="18"/>
                <w:szCs w:val="18"/>
                <w:color w:val="0563C1"/>
              </w:rPr>
            </w:pPr>
            <w:hyperlink r:id="rId498">
              <w:r>
                <w:rPr>
                  <w:rFonts w:ascii="Calibri" w:cs="Calibri" w:eastAsia="Calibri" w:hAnsi="Calibri"/>
                  <w:sz w:val="18"/>
                  <w:szCs w:val="18"/>
                  <w:color w:val="0563C1"/>
                </w:rPr>
                <w:t>Commitment Leter dated as of June 20, 2014 to the Credit and Security Agreement, dated as of April 19, 2013 (as last</w:t>
              </w:r>
            </w:hyperlink>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80" w:type="dxa"/>
            <w:vAlign w:val="bottom"/>
            <w:tcBorders>
              <w:left w:val="single" w:sz="8" w:color="91BBD3"/>
              <w:right w:val="single" w:sz="8" w:color="91BBD3"/>
            </w:tcBorders>
            <w:shd w:val="clear" w:color="auto" w:fill="DAE8F0"/>
          </w:tcPr>
          <w:p>
            <w:pPr>
              <w:spacing w:after="0" w:line="20" w:lineRule="exact"/>
              <w:rPr>
                <w:sz w:val="1"/>
                <w:szCs w:val="1"/>
                <w:color w:val="auto"/>
              </w:rPr>
            </w:pPr>
          </w:p>
        </w:tc>
        <w:tc>
          <w:tcPr>
            <w:tcW w:w="100" w:type="dxa"/>
            <w:vAlign w:val="bottom"/>
            <w:shd w:val="clear" w:color="auto" w:fill="DAE8F0"/>
          </w:tcPr>
          <w:p>
            <w:pPr>
              <w:spacing w:after="0" w:line="20" w:lineRule="exact"/>
              <w:rPr>
                <w:sz w:val="1"/>
                <w:szCs w:val="1"/>
                <w:color w:val="auto"/>
              </w:rPr>
            </w:pPr>
          </w:p>
        </w:tc>
        <w:tc>
          <w:tcPr>
            <w:tcW w:w="3320" w:type="dxa"/>
            <w:vAlign w:val="bottom"/>
            <w:shd w:val="clear" w:color="auto" w:fill="0563C1"/>
          </w:tcPr>
          <w:p>
            <w:pPr>
              <w:spacing w:after="0" w:line="20" w:lineRule="exact"/>
              <w:rPr>
                <w:sz w:val="1"/>
                <w:szCs w:val="1"/>
                <w:color w:val="auto"/>
              </w:rPr>
            </w:pPr>
          </w:p>
        </w:tc>
        <w:tc>
          <w:tcPr>
            <w:tcW w:w="1200" w:type="dxa"/>
            <w:vAlign w:val="bottom"/>
            <w:shd w:val="clear" w:color="auto" w:fill="0563C1"/>
          </w:tcPr>
          <w:p>
            <w:pPr>
              <w:spacing w:after="0" w:line="20" w:lineRule="exact"/>
              <w:rPr>
                <w:sz w:val="1"/>
                <w:szCs w:val="1"/>
                <w:color w:val="auto"/>
              </w:rPr>
            </w:pPr>
          </w:p>
        </w:tc>
        <w:tc>
          <w:tcPr>
            <w:tcW w:w="3580" w:type="dxa"/>
            <w:vAlign w:val="bottom"/>
            <w:gridSpan w:val="3"/>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220" w:type="dxa"/>
            <w:vAlign w:val="bottom"/>
            <w:tcBorders>
              <w:right w:val="single" w:sz="8" w:color="0000EE"/>
            </w:tcBorders>
            <w:gridSpan w:val="2"/>
            <w:shd w:val="clear" w:color="auto" w:fill="0563C1"/>
          </w:tcPr>
          <w:p>
            <w:pPr>
              <w:spacing w:after="0" w:line="20" w:lineRule="exact"/>
              <w:rPr>
                <w:sz w:val="1"/>
                <w:szCs w:val="1"/>
                <w:color w:val="auto"/>
              </w:rPr>
            </w:pPr>
          </w:p>
        </w:tc>
        <w:tc>
          <w:tcPr>
            <w:tcW w:w="80" w:type="dxa"/>
            <w:vAlign w:val="bottom"/>
            <w:tcBorders>
              <w:left w:val="single" w:sz="8" w:color="DAE8F0"/>
              <w:right w:val="single" w:sz="8" w:color="91BBD3"/>
            </w:tcBorders>
            <w:shd w:val="clear" w:color="auto" w:fill="DAE8F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Borders>
              <w:left w:val="single" w:sz="8" w:color="91BBD3"/>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9040" w:type="dxa"/>
            <w:vAlign w:val="bottom"/>
            <w:tcBorders>
              <w:bottom w:val="single" w:sz="8" w:color="0563C1"/>
              <w:right w:val="single" w:sz="8" w:color="DAE8F0"/>
            </w:tcBorders>
            <w:gridSpan w:val="10"/>
            <w:shd w:val="clear" w:color="auto" w:fill="DAE8F0"/>
          </w:tcPr>
          <w:p>
            <w:pPr>
              <w:spacing w:after="0" w:line="196" w:lineRule="exact"/>
              <w:rPr>
                <w:rFonts w:ascii="Calibri" w:cs="Calibri" w:eastAsia="Calibri" w:hAnsi="Calibri"/>
                <w:sz w:val="18"/>
                <w:szCs w:val="18"/>
                <w:color w:val="0563C1"/>
              </w:rPr>
            </w:pPr>
            <w:hyperlink r:id="rId498">
              <w:r>
                <w:rPr>
                  <w:rFonts w:ascii="Calibri" w:cs="Calibri" w:eastAsia="Calibri" w:hAnsi="Calibri"/>
                  <w:sz w:val="18"/>
                  <w:szCs w:val="18"/>
                  <w:color w:val="0563C1"/>
                </w:rPr>
                <w:t>amended April 18, 2014), among Martn Marieta Funding LLC, as borrower, Martn Marieta Materials, Inc., as servicer, and</w:t>
              </w:r>
            </w:hyperlink>
          </w:p>
        </w:tc>
        <w:tc>
          <w:tcPr>
            <w:tcW w:w="80" w:type="dxa"/>
            <w:vAlign w:val="bottom"/>
            <w:tcBorders>
              <w:left w:val="single" w:sz="8" w:color="DAE8F0"/>
              <w:bottom w:val="single" w:sz="8" w:color="DAE8F0"/>
              <w:right w:val="single" w:sz="8" w:color="91BBD3"/>
            </w:tcBorders>
            <w:shd w:val="clear" w:color="auto" w:fill="DAE8F0"/>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9040" w:type="dxa"/>
            <w:vAlign w:val="bottom"/>
            <w:tcBorders>
              <w:bottom w:val="single" w:sz="8" w:color="0563C1"/>
              <w:right w:val="single" w:sz="8" w:color="DAE8F0"/>
            </w:tcBorders>
            <w:gridSpan w:val="10"/>
            <w:shd w:val="clear" w:color="auto" w:fill="DAE8F0"/>
          </w:tcPr>
          <w:p>
            <w:pPr>
              <w:spacing w:after="0" w:line="196" w:lineRule="exact"/>
              <w:rPr>
                <w:rFonts w:ascii="Calibri" w:cs="Calibri" w:eastAsia="Calibri" w:hAnsi="Calibri"/>
                <w:sz w:val="18"/>
                <w:szCs w:val="18"/>
                <w:color w:val="0563C1"/>
              </w:rPr>
            </w:pPr>
            <w:hyperlink r:id="rId498">
              <w:r>
                <w:rPr>
                  <w:rFonts w:ascii="Calibri" w:cs="Calibri" w:eastAsia="Calibri" w:hAnsi="Calibri"/>
                  <w:sz w:val="18"/>
                  <w:szCs w:val="18"/>
                  <w:color w:val="0563C1"/>
                </w:rPr>
                <w:t>Truist Bank, as lender, together with the other lenders from tme to tme party thereto, and Truist Bank, as administratve</w:t>
              </w:r>
            </w:hyperlink>
          </w:p>
        </w:tc>
        <w:tc>
          <w:tcPr>
            <w:tcW w:w="80" w:type="dxa"/>
            <w:vAlign w:val="bottom"/>
            <w:tcBorders>
              <w:left w:val="single" w:sz="8" w:color="DAE8F0"/>
              <w:bottom w:val="single" w:sz="8" w:color="DAE8F0"/>
              <w:right w:val="single" w:sz="8" w:color="91BBD3"/>
            </w:tcBorders>
            <w:shd w:val="clear" w:color="auto" w:fill="DAE8F0"/>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9040" w:type="dxa"/>
            <w:vAlign w:val="bottom"/>
            <w:tcBorders>
              <w:bottom w:val="single" w:sz="8" w:color="0563C1"/>
              <w:right w:val="single" w:sz="8" w:color="DAE8F0"/>
            </w:tcBorders>
            <w:gridSpan w:val="10"/>
            <w:shd w:val="clear" w:color="auto" w:fill="DAE8F0"/>
          </w:tcPr>
          <w:p>
            <w:pPr>
              <w:spacing w:after="0" w:line="196" w:lineRule="exact"/>
              <w:rPr>
                <w:rFonts w:ascii="Calibri" w:cs="Calibri" w:eastAsia="Calibri" w:hAnsi="Calibri"/>
                <w:sz w:val="18"/>
                <w:szCs w:val="18"/>
                <w:color w:val="0563C1"/>
              </w:rPr>
            </w:pPr>
            <w:hyperlink r:id="rId498">
              <w:r>
                <w:rPr>
                  <w:rFonts w:ascii="Calibri" w:cs="Calibri" w:eastAsia="Calibri" w:hAnsi="Calibri"/>
                  <w:sz w:val="18"/>
                  <w:szCs w:val="18"/>
                  <w:color w:val="0563C1"/>
                </w:rPr>
                <w:t>agent for the lenders (incorporated by reference to Exhibit 10.01 to the Martn Marieta Materials, Inc. Current Report on</w:t>
              </w:r>
            </w:hyperlink>
          </w:p>
        </w:tc>
        <w:tc>
          <w:tcPr>
            <w:tcW w:w="80" w:type="dxa"/>
            <w:vAlign w:val="bottom"/>
            <w:tcBorders>
              <w:left w:val="single" w:sz="8" w:color="DAE8F0"/>
              <w:bottom w:val="single" w:sz="8" w:color="DAE8F0"/>
              <w:right w:val="single" w:sz="8" w:color="91BBD3"/>
            </w:tcBorders>
            <w:shd w:val="clear" w:color="auto" w:fill="DAE8F0"/>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680" w:type="dxa"/>
            <w:vAlign w:val="bottom"/>
            <w:tcBorders>
              <w:left w:val="single" w:sz="8" w:color="91BBD3"/>
              <w:right w:val="single" w:sz="8" w:color="91BBD3"/>
            </w:tcBorders>
            <w:shd w:val="clear" w:color="auto" w:fill="DAE8F0"/>
          </w:tcPr>
          <w:p>
            <w:pPr>
              <w:spacing w:after="0"/>
              <w:rPr>
                <w:sz w:val="21"/>
                <w:szCs w:val="21"/>
                <w:color w:val="auto"/>
              </w:rPr>
            </w:pPr>
          </w:p>
        </w:tc>
        <w:tc>
          <w:tcPr>
            <w:tcW w:w="100" w:type="dxa"/>
            <w:vAlign w:val="bottom"/>
            <w:shd w:val="clear" w:color="auto" w:fill="DAE8F0"/>
          </w:tcPr>
          <w:p>
            <w:pPr>
              <w:spacing w:after="0"/>
              <w:rPr>
                <w:sz w:val="21"/>
                <w:szCs w:val="21"/>
                <w:color w:val="auto"/>
              </w:rPr>
            </w:pPr>
          </w:p>
        </w:tc>
        <w:tc>
          <w:tcPr>
            <w:tcW w:w="9120" w:type="dxa"/>
            <w:vAlign w:val="bottom"/>
            <w:tcBorders>
              <w:right w:val="single" w:sz="8" w:color="91BBD3"/>
            </w:tcBorders>
            <w:gridSpan w:val="11"/>
            <w:shd w:val="clear" w:color="auto" w:fill="DAE8F0"/>
          </w:tcPr>
          <w:p>
            <w:pPr>
              <w:spacing w:after="0" w:line="196" w:lineRule="exact"/>
              <w:rPr>
                <w:rFonts w:ascii="Calibri" w:cs="Calibri" w:eastAsia="Calibri" w:hAnsi="Calibri"/>
                <w:sz w:val="18"/>
                <w:szCs w:val="18"/>
                <w:color w:val="0563C1"/>
              </w:rPr>
            </w:pPr>
            <w:hyperlink r:id="rId498">
              <w:r>
                <w:rPr>
                  <w:rFonts w:ascii="Calibri" w:cs="Calibri" w:eastAsia="Calibri" w:hAnsi="Calibri"/>
                  <w:sz w:val="18"/>
                  <w:szCs w:val="18"/>
                  <w:color w:val="0563C1"/>
                </w:rPr>
                <w:t>Form 8-K fled on June 25, 2014) (Commission File No. 1-12744)</w:t>
              </w:r>
            </w:hyperlink>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3320" w:type="dxa"/>
            <w:vAlign w:val="bottom"/>
            <w:tcBorders>
              <w:top w:val="single" w:sz="8" w:color="0563C1"/>
            </w:tcBorders>
            <w:shd w:val="clear" w:color="auto" w:fill="91BBD3"/>
          </w:tcPr>
          <w:p>
            <w:pPr>
              <w:spacing w:after="0" w:line="20" w:lineRule="exact"/>
              <w:rPr>
                <w:sz w:val="1"/>
                <w:szCs w:val="1"/>
                <w:color w:val="auto"/>
              </w:rPr>
            </w:pPr>
          </w:p>
        </w:tc>
        <w:tc>
          <w:tcPr>
            <w:tcW w:w="1200" w:type="dxa"/>
            <w:vAlign w:val="bottom"/>
            <w:tcBorders>
              <w:top w:val="single" w:sz="8" w:color="0563C1"/>
            </w:tcBorders>
            <w:shd w:val="clear" w:color="auto" w:fill="91BBD3"/>
          </w:tcPr>
          <w:p>
            <w:pPr>
              <w:spacing w:after="0" w:line="20" w:lineRule="exact"/>
              <w:rPr>
                <w:sz w:val="1"/>
                <w:szCs w:val="1"/>
                <w:color w:val="auto"/>
              </w:rPr>
            </w:pPr>
          </w:p>
        </w:tc>
        <w:tc>
          <w:tcPr>
            <w:tcW w:w="2400" w:type="dxa"/>
            <w:vAlign w:val="bottom"/>
            <w:tcBorders>
              <w:top w:val="single" w:sz="8" w:color="DAE8F0"/>
            </w:tcBorders>
            <w:shd w:val="clear" w:color="auto" w:fill="91BBD3"/>
          </w:tcPr>
          <w:p>
            <w:pPr>
              <w:spacing w:after="0" w:line="20" w:lineRule="exact"/>
              <w:rPr>
                <w:sz w:val="1"/>
                <w:szCs w:val="1"/>
                <w:color w:val="auto"/>
              </w:rPr>
            </w:pPr>
          </w:p>
        </w:tc>
        <w:tc>
          <w:tcPr>
            <w:tcW w:w="440" w:type="dxa"/>
            <w:vAlign w:val="bottom"/>
            <w:tcBorders>
              <w:top w:val="single" w:sz="8" w:color="DAE8F0"/>
            </w:tcBorders>
            <w:shd w:val="clear" w:color="auto" w:fill="91BBD3"/>
          </w:tcPr>
          <w:p>
            <w:pPr>
              <w:spacing w:after="0" w:line="20" w:lineRule="exact"/>
              <w:rPr>
                <w:sz w:val="1"/>
                <w:szCs w:val="1"/>
                <w:color w:val="auto"/>
              </w:rPr>
            </w:pPr>
          </w:p>
        </w:tc>
        <w:tc>
          <w:tcPr>
            <w:tcW w:w="740" w:type="dxa"/>
            <w:vAlign w:val="bottom"/>
            <w:tcBorders>
              <w:top w:val="single" w:sz="8" w:color="DAE8F0"/>
            </w:tcBorders>
            <w:shd w:val="clear" w:color="auto" w:fill="91BBD3"/>
          </w:tcPr>
          <w:p>
            <w:pPr>
              <w:spacing w:after="0" w:line="20" w:lineRule="exact"/>
              <w:rPr>
                <w:sz w:val="1"/>
                <w:szCs w:val="1"/>
                <w:color w:val="auto"/>
              </w:rPr>
            </w:pPr>
          </w:p>
        </w:tc>
        <w:tc>
          <w:tcPr>
            <w:tcW w:w="140" w:type="dxa"/>
            <w:vAlign w:val="bottom"/>
            <w:tcBorders>
              <w:top w:val="single" w:sz="8" w:color="DAE8F0"/>
            </w:tcBorders>
            <w:shd w:val="clear" w:color="auto" w:fill="91BBD3"/>
          </w:tcPr>
          <w:p>
            <w:pPr>
              <w:spacing w:after="0" w:line="20" w:lineRule="exact"/>
              <w:rPr>
                <w:sz w:val="1"/>
                <w:szCs w:val="1"/>
                <w:color w:val="auto"/>
              </w:rPr>
            </w:pPr>
          </w:p>
        </w:tc>
        <w:tc>
          <w:tcPr>
            <w:tcW w:w="300" w:type="dxa"/>
            <w:vAlign w:val="bottom"/>
            <w:tcBorders>
              <w:top w:val="single" w:sz="8" w:color="DAE8F0"/>
            </w:tcBorders>
            <w:shd w:val="clear" w:color="auto" w:fill="91BBD3"/>
          </w:tcPr>
          <w:p>
            <w:pPr>
              <w:spacing w:after="0" w:line="20" w:lineRule="exact"/>
              <w:rPr>
                <w:sz w:val="1"/>
                <w:szCs w:val="1"/>
                <w:color w:val="auto"/>
              </w:rPr>
            </w:pPr>
          </w:p>
        </w:tc>
        <w:tc>
          <w:tcPr>
            <w:tcW w:w="280" w:type="dxa"/>
            <w:vAlign w:val="bottom"/>
            <w:tcBorders>
              <w:top w:val="single" w:sz="8" w:color="DAE8F0"/>
            </w:tcBorders>
            <w:shd w:val="clear" w:color="auto" w:fill="91BBD3"/>
          </w:tcPr>
          <w:p>
            <w:pPr>
              <w:spacing w:after="0" w:line="20" w:lineRule="exact"/>
              <w:rPr>
                <w:sz w:val="1"/>
                <w:szCs w:val="1"/>
                <w:color w:val="auto"/>
              </w:rPr>
            </w:pPr>
          </w:p>
        </w:tc>
        <w:tc>
          <w:tcPr>
            <w:tcW w:w="40" w:type="dxa"/>
            <w:vAlign w:val="bottom"/>
            <w:tcBorders>
              <w:top w:val="single" w:sz="8" w:color="DAE8F0"/>
            </w:tcBorders>
            <w:shd w:val="clear" w:color="auto" w:fill="91BBD3"/>
          </w:tcPr>
          <w:p>
            <w:pPr>
              <w:spacing w:after="0" w:line="20" w:lineRule="exact"/>
              <w:rPr>
                <w:sz w:val="1"/>
                <w:szCs w:val="1"/>
                <w:color w:val="auto"/>
              </w:rPr>
            </w:pPr>
          </w:p>
        </w:tc>
        <w:tc>
          <w:tcPr>
            <w:tcW w:w="18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8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80" w:type="dxa"/>
            <w:vAlign w:val="bottom"/>
            <w:tcBorders>
              <w:left w:val="single" w:sz="8" w:color="91BBD3"/>
              <w:right w:val="single" w:sz="8" w:color="91BBD3"/>
            </w:tcBorders>
          </w:tcPr>
          <w:p>
            <w:pPr>
              <w:jc w:val="right"/>
              <w:ind w:right="1050"/>
              <w:spacing w:after="0" w:line="169" w:lineRule="exact"/>
              <w:rPr>
                <w:sz w:val="20"/>
                <w:szCs w:val="20"/>
                <w:color w:val="auto"/>
              </w:rPr>
            </w:pPr>
            <w:r>
              <w:rPr>
                <w:rFonts w:ascii="Calibri" w:cs="Calibri" w:eastAsia="Calibri" w:hAnsi="Calibri"/>
                <w:sz w:val="18"/>
                <w:szCs w:val="18"/>
                <w:b w:val="1"/>
                <w:bCs w:val="1"/>
                <w:color w:val="auto"/>
              </w:rPr>
              <w:t>10.05</w:t>
            </w:r>
          </w:p>
        </w:tc>
        <w:tc>
          <w:tcPr>
            <w:tcW w:w="100" w:type="dxa"/>
            <w:vAlign w:val="bottom"/>
          </w:tcPr>
          <w:p>
            <w:pPr>
              <w:spacing w:after="0"/>
              <w:rPr>
                <w:sz w:val="14"/>
                <w:szCs w:val="14"/>
                <w:color w:val="auto"/>
              </w:rPr>
            </w:pPr>
          </w:p>
        </w:tc>
        <w:tc>
          <w:tcPr>
            <w:tcW w:w="9040" w:type="dxa"/>
            <w:vAlign w:val="bottom"/>
            <w:tcBorders>
              <w:bottom w:val="single" w:sz="8" w:color="0563C1"/>
            </w:tcBorders>
            <w:gridSpan w:val="10"/>
          </w:tcPr>
          <w:p>
            <w:pPr>
              <w:spacing w:after="0" w:line="169" w:lineRule="exact"/>
              <w:rPr>
                <w:rFonts w:ascii="Calibri" w:cs="Calibri" w:eastAsia="Calibri" w:hAnsi="Calibri"/>
                <w:sz w:val="18"/>
                <w:szCs w:val="18"/>
                <w:color w:val="0563C1"/>
              </w:rPr>
            </w:pPr>
            <w:hyperlink r:id="rId499">
              <w:r>
                <w:rPr>
                  <w:rFonts w:ascii="Calibri" w:cs="Calibri" w:eastAsia="Calibri" w:hAnsi="Calibri"/>
                  <w:sz w:val="18"/>
                  <w:szCs w:val="18"/>
                  <w:color w:val="0563C1"/>
                </w:rPr>
                <w:t>Second Amendment to Credit and Security Agreement, dated as of April 18, 2014, among Martn Marieta Funding LLC, as</w:t>
              </w:r>
            </w:hyperlink>
          </w:p>
        </w:tc>
        <w:tc>
          <w:tcPr>
            <w:tcW w:w="80" w:type="dxa"/>
            <w:vAlign w:val="bottom"/>
            <w:tcBorders>
              <w:right w:val="single" w:sz="8" w:color="91BBD3"/>
            </w:tcBorders>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40" w:type="dxa"/>
            <w:vAlign w:val="bottom"/>
            <w:tcBorders>
              <w:bottom w:val="single" w:sz="8" w:color="0563C1"/>
            </w:tcBorders>
            <w:gridSpan w:val="10"/>
          </w:tcPr>
          <w:p>
            <w:pPr>
              <w:spacing w:after="0" w:line="196" w:lineRule="exact"/>
              <w:rPr>
                <w:rFonts w:ascii="Calibri" w:cs="Calibri" w:eastAsia="Calibri" w:hAnsi="Calibri"/>
                <w:sz w:val="18"/>
                <w:szCs w:val="18"/>
                <w:color w:val="0563C1"/>
                <w:w w:val="98"/>
              </w:rPr>
            </w:pPr>
            <w:hyperlink r:id="rId499">
              <w:r>
                <w:rPr>
                  <w:rFonts w:ascii="Calibri" w:cs="Calibri" w:eastAsia="Calibri" w:hAnsi="Calibri"/>
                  <w:sz w:val="18"/>
                  <w:szCs w:val="18"/>
                  <w:color w:val="0563C1"/>
                  <w:w w:val="98"/>
                </w:rPr>
                <w:t>borrower, Martn Marieta Materials, Inc., as servicer, and Truist Bank, as lender, together with the other lenders from tme to</w:t>
              </w:r>
            </w:hyperlink>
          </w:p>
        </w:tc>
        <w:tc>
          <w:tcPr>
            <w:tcW w:w="80" w:type="dxa"/>
            <w:vAlign w:val="bottom"/>
            <w:tcBorders>
              <w:right w:val="single" w:sz="8" w:color="91BBD3"/>
            </w:tcBorders>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40" w:type="dxa"/>
            <w:vAlign w:val="bottom"/>
            <w:tcBorders>
              <w:bottom w:val="single" w:sz="8" w:color="0563C1"/>
            </w:tcBorders>
            <w:gridSpan w:val="10"/>
          </w:tcPr>
          <w:p>
            <w:pPr>
              <w:spacing w:after="0" w:line="196" w:lineRule="exact"/>
              <w:rPr>
                <w:rFonts w:ascii="Calibri" w:cs="Calibri" w:eastAsia="Calibri" w:hAnsi="Calibri"/>
                <w:sz w:val="18"/>
                <w:szCs w:val="18"/>
                <w:color w:val="0563C1"/>
                <w:w w:val="99"/>
              </w:rPr>
            </w:pPr>
            <w:hyperlink r:id="rId499">
              <w:r>
                <w:rPr>
                  <w:rFonts w:ascii="Calibri" w:cs="Calibri" w:eastAsia="Calibri" w:hAnsi="Calibri"/>
                  <w:sz w:val="18"/>
                  <w:szCs w:val="18"/>
                  <w:color w:val="0563C1"/>
                  <w:w w:val="99"/>
                </w:rPr>
                <w:t>tme party thereto, and Truist Bank, as administratve agent for the lenders (incorporated by reference to Exhibit 10.01 to the</w:t>
              </w:r>
            </w:hyperlink>
          </w:p>
        </w:tc>
        <w:tc>
          <w:tcPr>
            <w:tcW w:w="80" w:type="dxa"/>
            <w:vAlign w:val="bottom"/>
            <w:tcBorders>
              <w:right w:val="single" w:sz="8" w:color="91BBD3"/>
            </w:tcBorders>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1"/>
          </w:tcPr>
          <w:p>
            <w:pPr>
              <w:spacing w:after="0" w:line="196" w:lineRule="exact"/>
              <w:rPr>
                <w:rFonts w:ascii="Calibri" w:cs="Calibri" w:eastAsia="Calibri" w:hAnsi="Calibri"/>
                <w:sz w:val="18"/>
                <w:szCs w:val="18"/>
                <w:color w:val="0563C1"/>
              </w:rPr>
            </w:pPr>
            <w:hyperlink r:id="rId499">
              <w:r>
                <w:rPr>
                  <w:rFonts w:ascii="Calibri" w:cs="Calibri" w:eastAsia="Calibri" w:hAnsi="Calibri"/>
                  <w:sz w:val="18"/>
                  <w:szCs w:val="18"/>
                  <w:color w:val="0563C1"/>
                </w:rPr>
                <w:t>Martn Marieta Materials, Inc. Current Report on Form 8-K fled on April 24, 2014) (Commission File No. 1-12744)</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680" w:type="dxa"/>
            <w:vAlign w:val="bottom"/>
            <w:tcBorders>
              <w:left w:val="single" w:sz="8" w:color="91BBD3"/>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3320" w:type="dxa"/>
            <w:vAlign w:val="bottom"/>
            <w:tcBorders>
              <w:top w:val="single" w:sz="8" w:color="0563C1"/>
              <w:bottom w:val="single" w:sz="8" w:color="91BBD3"/>
            </w:tcBorders>
          </w:tcPr>
          <w:p>
            <w:pPr>
              <w:spacing w:after="0"/>
              <w:rPr>
                <w:sz w:val="4"/>
                <w:szCs w:val="4"/>
                <w:color w:val="auto"/>
              </w:rPr>
            </w:pPr>
          </w:p>
        </w:tc>
        <w:tc>
          <w:tcPr>
            <w:tcW w:w="1200" w:type="dxa"/>
            <w:vAlign w:val="bottom"/>
            <w:tcBorders>
              <w:top w:val="single" w:sz="8" w:color="0563C1"/>
              <w:bottom w:val="single" w:sz="8" w:color="91BBD3"/>
            </w:tcBorders>
          </w:tcPr>
          <w:p>
            <w:pPr>
              <w:spacing w:after="0"/>
              <w:rPr>
                <w:sz w:val="4"/>
                <w:szCs w:val="4"/>
                <w:color w:val="auto"/>
              </w:rPr>
            </w:pPr>
          </w:p>
        </w:tc>
        <w:tc>
          <w:tcPr>
            <w:tcW w:w="2400" w:type="dxa"/>
            <w:vAlign w:val="bottom"/>
            <w:tcBorders>
              <w:top w:val="single" w:sz="8" w:color="0563C1"/>
              <w:bottom w:val="single" w:sz="8" w:color="91BBD3"/>
            </w:tcBorders>
          </w:tcPr>
          <w:p>
            <w:pPr>
              <w:spacing w:after="0"/>
              <w:rPr>
                <w:sz w:val="4"/>
                <w:szCs w:val="4"/>
                <w:color w:val="auto"/>
              </w:rPr>
            </w:pPr>
          </w:p>
        </w:tc>
        <w:tc>
          <w:tcPr>
            <w:tcW w:w="440" w:type="dxa"/>
            <w:vAlign w:val="bottom"/>
            <w:tcBorders>
              <w:top w:val="single" w:sz="8" w:color="0563C1"/>
              <w:bottom w:val="single" w:sz="8" w:color="91BBD3"/>
            </w:tcBorders>
          </w:tcPr>
          <w:p>
            <w:pPr>
              <w:spacing w:after="0"/>
              <w:rPr>
                <w:sz w:val="4"/>
                <w:szCs w:val="4"/>
                <w:color w:val="auto"/>
              </w:rPr>
            </w:pPr>
          </w:p>
        </w:tc>
        <w:tc>
          <w:tcPr>
            <w:tcW w:w="740" w:type="dxa"/>
            <w:vAlign w:val="bottom"/>
            <w:tcBorders>
              <w:top w:val="single" w:sz="8" w:color="0563C1"/>
              <w:bottom w:val="single" w:sz="8" w:color="91BBD3"/>
            </w:tcBorders>
          </w:tcPr>
          <w:p>
            <w:pPr>
              <w:spacing w:after="0"/>
              <w:rPr>
                <w:sz w:val="4"/>
                <w:szCs w:val="4"/>
                <w:color w:val="auto"/>
              </w:rPr>
            </w:pPr>
          </w:p>
        </w:tc>
        <w:tc>
          <w:tcPr>
            <w:tcW w:w="140" w:type="dxa"/>
            <w:vAlign w:val="bottom"/>
            <w:tcBorders>
              <w:bottom w:val="single" w:sz="8" w:color="91BBD3"/>
            </w:tcBorders>
          </w:tcPr>
          <w:p>
            <w:pPr>
              <w:spacing w:after="0"/>
              <w:rPr>
                <w:sz w:val="4"/>
                <w:szCs w:val="4"/>
                <w:color w:val="auto"/>
              </w:rPr>
            </w:pPr>
          </w:p>
        </w:tc>
        <w:tc>
          <w:tcPr>
            <w:tcW w:w="300" w:type="dxa"/>
            <w:vAlign w:val="bottom"/>
            <w:tcBorders>
              <w:bottom w:val="single" w:sz="8" w:color="91BBD3"/>
            </w:tcBorders>
          </w:tcPr>
          <w:p>
            <w:pPr>
              <w:spacing w:after="0"/>
              <w:rPr>
                <w:sz w:val="4"/>
                <w:szCs w:val="4"/>
                <w:color w:val="auto"/>
              </w:rPr>
            </w:pPr>
          </w:p>
        </w:tc>
        <w:tc>
          <w:tcPr>
            <w:tcW w:w="280" w:type="dxa"/>
            <w:vAlign w:val="bottom"/>
            <w:tcBorders>
              <w:bottom w:val="single" w:sz="8" w:color="91BBD3"/>
            </w:tcBorders>
          </w:tcPr>
          <w:p>
            <w:pPr>
              <w:spacing w:after="0"/>
              <w:rPr>
                <w:sz w:val="4"/>
                <w:szCs w:val="4"/>
                <w:color w:val="auto"/>
              </w:rPr>
            </w:pPr>
          </w:p>
        </w:tc>
        <w:tc>
          <w:tcPr>
            <w:tcW w:w="40" w:type="dxa"/>
            <w:vAlign w:val="bottom"/>
            <w:tcBorders>
              <w:bottom w:val="single" w:sz="8" w:color="91BBD3"/>
            </w:tcBorders>
          </w:tcPr>
          <w:p>
            <w:pPr>
              <w:spacing w:after="0"/>
              <w:rPr>
                <w:sz w:val="4"/>
                <w:szCs w:val="4"/>
                <w:color w:val="auto"/>
              </w:rPr>
            </w:pPr>
          </w:p>
        </w:tc>
        <w:tc>
          <w:tcPr>
            <w:tcW w:w="180" w:type="dxa"/>
            <w:vAlign w:val="bottom"/>
            <w:tcBorders>
              <w:bottom w:val="single" w:sz="8" w:color="91BBD3"/>
            </w:tcBorders>
          </w:tcPr>
          <w:p>
            <w:pPr>
              <w:spacing w:after="0"/>
              <w:rPr>
                <w:sz w:val="4"/>
                <w:szCs w:val="4"/>
                <w:color w:val="auto"/>
              </w:rPr>
            </w:pPr>
          </w:p>
        </w:tc>
        <w:tc>
          <w:tcPr>
            <w:tcW w:w="80" w:type="dxa"/>
            <w:vAlign w:val="bottom"/>
            <w:tcBorders>
              <w:bottom w:val="single" w:sz="8" w:color="91BBD3"/>
              <w:right w:val="single" w:sz="8" w:color="91BBD3"/>
            </w:tcBorders>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bottom w:val="single" w:sz="8" w:color="DAE8F0"/>
              <w:right w:val="single" w:sz="8" w:color="91BBD3"/>
            </w:tcBorders>
            <w:shd w:val="clear" w:color="auto" w:fill="DAE8F0"/>
          </w:tcPr>
          <w:p>
            <w:pPr>
              <w:jc w:val="right"/>
              <w:ind w:right="1050"/>
              <w:spacing w:after="0" w:line="169" w:lineRule="exact"/>
              <w:rPr>
                <w:sz w:val="20"/>
                <w:szCs w:val="20"/>
                <w:color w:val="auto"/>
              </w:rPr>
            </w:pPr>
            <w:r>
              <w:rPr>
                <w:rFonts w:ascii="Calibri" w:cs="Calibri" w:eastAsia="Calibri" w:hAnsi="Calibri"/>
                <w:sz w:val="18"/>
                <w:szCs w:val="18"/>
                <w:b w:val="1"/>
                <w:bCs w:val="1"/>
                <w:color w:val="auto"/>
              </w:rPr>
              <w:t>10.06</w:t>
            </w:r>
          </w:p>
        </w:tc>
        <w:tc>
          <w:tcPr>
            <w:tcW w:w="100" w:type="dxa"/>
            <w:vAlign w:val="bottom"/>
            <w:tcBorders>
              <w:bottom w:val="single" w:sz="8" w:color="DAE8F0"/>
            </w:tcBorders>
            <w:shd w:val="clear" w:color="auto" w:fill="DAE8F0"/>
          </w:tcPr>
          <w:p>
            <w:pPr>
              <w:spacing w:after="0"/>
              <w:rPr>
                <w:sz w:val="14"/>
                <w:szCs w:val="14"/>
                <w:color w:val="auto"/>
              </w:rPr>
            </w:pPr>
          </w:p>
        </w:tc>
        <w:tc>
          <w:tcPr>
            <w:tcW w:w="9040" w:type="dxa"/>
            <w:vAlign w:val="bottom"/>
            <w:tcBorders>
              <w:bottom w:val="single" w:sz="8" w:color="0563C1"/>
              <w:right w:val="single" w:sz="8" w:color="DAE8F0"/>
            </w:tcBorders>
            <w:gridSpan w:val="10"/>
            <w:shd w:val="clear" w:color="auto" w:fill="DAE8F0"/>
          </w:tcPr>
          <w:p>
            <w:pPr>
              <w:spacing w:after="0" w:line="169" w:lineRule="exact"/>
              <w:rPr>
                <w:rFonts w:ascii="Calibri" w:cs="Calibri" w:eastAsia="Calibri" w:hAnsi="Calibri"/>
                <w:sz w:val="18"/>
                <w:szCs w:val="18"/>
                <w:color w:val="0563C1"/>
                <w:w w:val="99"/>
              </w:rPr>
            </w:pPr>
            <w:hyperlink r:id="rId500">
              <w:r>
                <w:rPr>
                  <w:rFonts w:ascii="Calibri" w:cs="Calibri" w:eastAsia="Calibri" w:hAnsi="Calibri"/>
                  <w:sz w:val="18"/>
                  <w:szCs w:val="18"/>
                  <w:color w:val="0563C1"/>
                  <w:w w:val="99"/>
                </w:rPr>
                <w:t>Fifh Amendment to Credit and Security Agreement, dated as of September 30, 2014, among Martn Marieta Funding LLC, as</w:t>
              </w:r>
            </w:hyperlink>
          </w:p>
        </w:tc>
        <w:tc>
          <w:tcPr>
            <w:tcW w:w="80" w:type="dxa"/>
            <w:vAlign w:val="bottom"/>
            <w:tcBorders>
              <w:left w:val="single" w:sz="8" w:color="DAE8F0"/>
              <w:bottom w:val="single" w:sz="8" w:color="DAE8F0"/>
              <w:right w:val="single" w:sz="8" w:color="91BBD3"/>
            </w:tcBorders>
            <w:shd w:val="clear" w:color="auto" w:fill="DAE8F0"/>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9040" w:type="dxa"/>
            <w:vAlign w:val="bottom"/>
            <w:tcBorders>
              <w:bottom w:val="single" w:sz="8" w:color="0563C1"/>
              <w:right w:val="single" w:sz="8" w:color="DAE8F0"/>
            </w:tcBorders>
            <w:gridSpan w:val="10"/>
            <w:shd w:val="clear" w:color="auto" w:fill="DAE8F0"/>
          </w:tcPr>
          <w:p>
            <w:pPr>
              <w:spacing w:after="0" w:line="196" w:lineRule="exact"/>
              <w:rPr>
                <w:rFonts w:ascii="Calibri" w:cs="Calibri" w:eastAsia="Calibri" w:hAnsi="Calibri"/>
                <w:sz w:val="18"/>
                <w:szCs w:val="18"/>
                <w:color w:val="0563C1"/>
                <w:w w:val="98"/>
              </w:rPr>
            </w:pPr>
            <w:hyperlink r:id="rId500">
              <w:r>
                <w:rPr>
                  <w:rFonts w:ascii="Calibri" w:cs="Calibri" w:eastAsia="Calibri" w:hAnsi="Calibri"/>
                  <w:sz w:val="18"/>
                  <w:szCs w:val="18"/>
                  <w:color w:val="0563C1"/>
                  <w:w w:val="98"/>
                </w:rPr>
                <w:t>borrower, Martn Marieta Materials, Inc., as servicer, and Truist Bank, as lender, together with the other lenders from tme to</w:t>
              </w:r>
            </w:hyperlink>
          </w:p>
        </w:tc>
        <w:tc>
          <w:tcPr>
            <w:tcW w:w="80" w:type="dxa"/>
            <w:vAlign w:val="bottom"/>
            <w:tcBorders>
              <w:left w:val="single" w:sz="8" w:color="DAE8F0"/>
              <w:bottom w:val="single" w:sz="8" w:color="DAE8F0"/>
              <w:right w:val="single" w:sz="8" w:color="91BBD3"/>
            </w:tcBorders>
            <w:shd w:val="clear" w:color="auto" w:fill="DAE8F0"/>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9040" w:type="dxa"/>
            <w:vAlign w:val="bottom"/>
            <w:tcBorders>
              <w:bottom w:val="single" w:sz="8" w:color="0563C1"/>
              <w:right w:val="single" w:sz="8" w:color="DAE8F0"/>
            </w:tcBorders>
            <w:gridSpan w:val="10"/>
            <w:shd w:val="clear" w:color="auto" w:fill="DAE8F0"/>
          </w:tcPr>
          <w:p>
            <w:pPr>
              <w:spacing w:after="0" w:line="196" w:lineRule="exact"/>
              <w:rPr>
                <w:rFonts w:ascii="Calibri" w:cs="Calibri" w:eastAsia="Calibri" w:hAnsi="Calibri"/>
                <w:sz w:val="18"/>
                <w:szCs w:val="18"/>
                <w:color w:val="0563C1"/>
                <w:w w:val="99"/>
              </w:rPr>
            </w:pPr>
            <w:hyperlink r:id="rId500">
              <w:r>
                <w:rPr>
                  <w:rFonts w:ascii="Calibri" w:cs="Calibri" w:eastAsia="Calibri" w:hAnsi="Calibri"/>
                  <w:sz w:val="18"/>
                  <w:szCs w:val="18"/>
                  <w:color w:val="0563C1"/>
                  <w:w w:val="99"/>
                </w:rPr>
                <w:t>tme party thereto, and Truist Bank, as administratve agent for the lenders (incorporated by reference to Exhibit 10.01 to the</w:t>
              </w:r>
            </w:hyperlink>
          </w:p>
        </w:tc>
        <w:tc>
          <w:tcPr>
            <w:tcW w:w="80" w:type="dxa"/>
            <w:vAlign w:val="bottom"/>
            <w:tcBorders>
              <w:left w:val="single" w:sz="8" w:color="DAE8F0"/>
              <w:bottom w:val="single" w:sz="8" w:color="DAE8F0"/>
              <w:right w:val="single" w:sz="8" w:color="91BBD3"/>
            </w:tcBorders>
            <w:shd w:val="clear" w:color="auto" w:fill="DAE8F0"/>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680" w:type="dxa"/>
            <w:vAlign w:val="bottom"/>
            <w:tcBorders>
              <w:left w:val="single" w:sz="8" w:color="91BBD3"/>
              <w:right w:val="single" w:sz="8" w:color="91BBD3"/>
            </w:tcBorders>
            <w:shd w:val="clear" w:color="auto" w:fill="DAE8F0"/>
          </w:tcPr>
          <w:p>
            <w:pPr>
              <w:spacing w:after="0"/>
              <w:rPr>
                <w:sz w:val="21"/>
                <w:szCs w:val="21"/>
                <w:color w:val="auto"/>
              </w:rPr>
            </w:pPr>
          </w:p>
        </w:tc>
        <w:tc>
          <w:tcPr>
            <w:tcW w:w="100" w:type="dxa"/>
            <w:vAlign w:val="bottom"/>
            <w:shd w:val="clear" w:color="auto" w:fill="DAE8F0"/>
          </w:tcPr>
          <w:p>
            <w:pPr>
              <w:spacing w:after="0"/>
              <w:rPr>
                <w:sz w:val="21"/>
                <w:szCs w:val="21"/>
                <w:color w:val="auto"/>
              </w:rPr>
            </w:pPr>
          </w:p>
        </w:tc>
        <w:tc>
          <w:tcPr>
            <w:tcW w:w="9120" w:type="dxa"/>
            <w:vAlign w:val="bottom"/>
            <w:tcBorders>
              <w:right w:val="single" w:sz="8" w:color="91BBD3"/>
            </w:tcBorders>
            <w:gridSpan w:val="11"/>
            <w:shd w:val="clear" w:color="auto" w:fill="DAE8F0"/>
          </w:tcPr>
          <w:p>
            <w:pPr>
              <w:spacing w:after="0" w:line="196" w:lineRule="exact"/>
              <w:rPr>
                <w:rFonts w:ascii="Calibri" w:cs="Calibri" w:eastAsia="Calibri" w:hAnsi="Calibri"/>
                <w:sz w:val="18"/>
                <w:szCs w:val="18"/>
                <w:color w:val="0563C1"/>
              </w:rPr>
            </w:pPr>
            <w:hyperlink r:id="rId500">
              <w:r>
                <w:rPr>
                  <w:rFonts w:ascii="Calibri" w:cs="Calibri" w:eastAsia="Calibri" w:hAnsi="Calibri"/>
                  <w:sz w:val="18"/>
                  <w:szCs w:val="18"/>
                  <w:color w:val="0563C1"/>
                </w:rPr>
                <w:t>Martn Marieta Materials, Inc. Current Report on Form 8-K fled on October 3, 2014) (Commission File No. 1-12744)</w:t>
              </w:r>
            </w:hyperlink>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3320" w:type="dxa"/>
            <w:vAlign w:val="bottom"/>
            <w:tcBorders>
              <w:top w:val="single" w:sz="8" w:color="0563C1"/>
            </w:tcBorders>
            <w:shd w:val="clear" w:color="auto" w:fill="91BBD3"/>
          </w:tcPr>
          <w:p>
            <w:pPr>
              <w:spacing w:after="0" w:line="20" w:lineRule="exact"/>
              <w:rPr>
                <w:sz w:val="1"/>
                <w:szCs w:val="1"/>
                <w:color w:val="auto"/>
              </w:rPr>
            </w:pPr>
          </w:p>
        </w:tc>
        <w:tc>
          <w:tcPr>
            <w:tcW w:w="1200" w:type="dxa"/>
            <w:vAlign w:val="bottom"/>
            <w:tcBorders>
              <w:top w:val="single" w:sz="8" w:color="0563C1"/>
            </w:tcBorders>
            <w:shd w:val="clear" w:color="auto" w:fill="91BBD3"/>
          </w:tcPr>
          <w:p>
            <w:pPr>
              <w:spacing w:after="0" w:line="20" w:lineRule="exact"/>
              <w:rPr>
                <w:sz w:val="1"/>
                <w:szCs w:val="1"/>
                <w:color w:val="auto"/>
              </w:rPr>
            </w:pPr>
          </w:p>
        </w:tc>
        <w:tc>
          <w:tcPr>
            <w:tcW w:w="2400" w:type="dxa"/>
            <w:vAlign w:val="bottom"/>
            <w:tcBorders>
              <w:top w:val="single" w:sz="8" w:color="0563C1"/>
            </w:tcBorders>
            <w:shd w:val="clear" w:color="auto" w:fill="91BBD3"/>
          </w:tcPr>
          <w:p>
            <w:pPr>
              <w:spacing w:after="0" w:line="20" w:lineRule="exact"/>
              <w:rPr>
                <w:sz w:val="1"/>
                <w:szCs w:val="1"/>
                <w:color w:val="auto"/>
              </w:rPr>
            </w:pPr>
          </w:p>
        </w:tc>
        <w:tc>
          <w:tcPr>
            <w:tcW w:w="440" w:type="dxa"/>
            <w:vAlign w:val="bottom"/>
            <w:tcBorders>
              <w:top w:val="single" w:sz="8" w:color="0563C1"/>
            </w:tcBorders>
            <w:shd w:val="clear" w:color="auto" w:fill="91BBD3"/>
          </w:tcPr>
          <w:p>
            <w:pPr>
              <w:spacing w:after="0" w:line="20" w:lineRule="exact"/>
              <w:rPr>
                <w:sz w:val="1"/>
                <w:szCs w:val="1"/>
                <w:color w:val="auto"/>
              </w:rPr>
            </w:pPr>
          </w:p>
        </w:tc>
        <w:tc>
          <w:tcPr>
            <w:tcW w:w="740" w:type="dxa"/>
            <w:vAlign w:val="bottom"/>
            <w:tcBorders>
              <w:top w:val="single" w:sz="8" w:color="0563C1"/>
            </w:tcBorders>
            <w:shd w:val="clear" w:color="auto" w:fill="91BBD3"/>
          </w:tcPr>
          <w:p>
            <w:pPr>
              <w:spacing w:after="0" w:line="20" w:lineRule="exact"/>
              <w:rPr>
                <w:sz w:val="1"/>
                <w:szCs w:val="1"/>
                <w:color w:val="auto"/>
              </w:rPr>
            </w:pPr>
          </w:p>
        </w:tc>
        <w:tc>
          <w:tcPr>
            <w:tcW w:w="140" w:type="dxa"/>
            <w:vAlign w:val="bottom"/>
            <w:tcBorders>
              <w:top w:val="single" w:sz="8" w:color="0563C1"/>
            </w:tcBorders>
            <w:shd w:val="clear" w:color="auto" w:fill="91BBD3"/>
          </w:tcPr>
          <w:p>
            <w:pPr>
              <w:spacing w:after="0" w:line="20" w:lineRule="exact"/>
              <w:rPr>
                <w:sz w:val="1"/>
                <w:szCs w:val="1"/>
                <w:color w:val="auto"/>
              </w:rPr>
            </w:pPr>
          </w:p>
        </w:tc>
        <w:tc>
          <w:tcPr>
            <w:tcW w:w="300" w:type="dxa"/>
            <w:vAlign w:val="bottom"/>
            <w:tcBorders>
              <w:top w:val="single" w:sz="8" w:color="DAE8F0"/>
            </w:tcBorders>
            <w:shd w:val="clear" w:color="auto" w:fill="91BBD3"/>
          </w:tcPr>
          <w:p>
            <w:pPr>
              <w:spacing w:after="0" w:line="20" w:lineRule="exact"/>
              <w:rPr>
                <w:sz w:val="1"/>
                <w:szCs w:val="1"/>
                <w:color w:val="auto"/>
              </w:rPr>
            </w:pPr>
          </w:p>
        </w:tc>
        <w:tc>
          <w:tcPr>
            <w:tcW w:w="280" w:type="dxa"/>
            <w:vAlign w:val="bottom"/>
            <w:tcBorders>
              <w:top w:val="single" w:sz="8" w:color="DAE8F0"/>
            </w:tcBorders>
            <w:shd w:val="clear" w:color="auto" w:fill="91BBD3"/>
          </w:tcPr>
          <w:p>
            <w:pPr>
              <w:spacing w:after="0" w:line="20" w:lineRule="exact"/>
              <w:rPr>
                <w:sz w:val="1"/>
                <w:szCs w:val="1"/>
                <w:color w:val="auto"/>
              </w:rPr>
            </w:pPr>
          </w:p>
        </w:tc>
        <w:tc>
          <w:tcPr>
            <w:tcW w:w="40" w:type="dxa"/>
            <w:vAlign w:val="bottom"/>
            <w:tcBorders>
              <w:top w:val="single" w:sz="8" w:color="DAE8F0"/>
            </w:tcBorders>
            <w:shd w:val="clear" w:color="auto" w:fill="91BBD3"/>
          </w:tcPr>
          <w:p>
            <w:pPr>
              <w:spacing w:after="0" w:line="20" w:lineRule="exact"/>
              <w:rPr>
                <w:sz w:val="1"/>
                <w:szCs w:val="1"/>
                <w:color w:val="auto"/>
              </w:rPr>
            </w:pPr>
          </w:p>
        </w:tc>
        <w:tc>
          <w:tcPr>
            <w:tcW w:w="18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8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80" w:type="dxa"/>
            <w:vAlign w:val="bottom"/>
            <w:tcBorders>
              <w:left w:val="single" w:sz="8" w:color="91BBD3"/>
              <w:right w:val="single" w:sz="8" w:color="91BBD3"/>
            </w:tcBorders>
          </w:tcPr>
          <w:p>
            <w:pPr>
              <w:jc w:val="right"/>
              <w:ind w:right="1050"/>
              <w:spacing w:after="0" w:line="169" w:lineRule="exact"/>
              <w:rPr>
                <w:sz w:val="20"/>
                <w:szCs w:val="20"/>
                <w:color w:val="auto"/>
              </w:rPr>
            </w:pPr>
            <w:r>
              <w:rPr>
                <w:rFonts w:ascii="Calibri" w:cs="Calibri" w:eastAsia="Calibri" w:hAnsi="Calibri"/>
                <w:sz w:val="18"/>
                <w:szCs w:val="18"/>
                <w:b w:val="1"/>
                <w:bCs w:val="1"/>
                <w:color w:val="auto"/>
              </w:rPr>
              <w:t>10.07</w:t>
            </w:r>
          </w:p>
        </w:tc>
        <w:tc>
          <w:tcPr>
            <w:tcW w:w="100" w:type="dxa"/>
            <w:vAlign w:val="bottom"/>
          </w:tcPr>
          <w:p>
            <w:pPr>
              <w:spacing w:after="0"/>
              <w:rPr>
                <w:sz w:val="14"/>
                <w:szCs w:val="14"/>
                <w:color w:val="auto"/>
              </w:rPr>
            </w:pPr>
          </w:p>
        </w:tc>
        <w:tc>
          <w:tcPr>
            <w:tcW w:w="9040" w:type="dxa"/>
            <w:vAlign w:val="bottom"/>
            <w:tcBorders>
              <w:bottom w:val="single" w:sz="8" w:color="0563C1"/>
            </w:tcBorders>
            <w:gridSpan w:val="10"/>
          </w:tcPr>
          <w:p>
            <w:pPr>
              <w:spacing w:after="0" w:line="169" w:lineRule="exact"/>
              <w:rPr>
                <w:rFonts w:ascii="Calibri" w:cs="Calibri" w:eastAsia="Calibri" w:hAnsi="Calibri"/>
                <w:sz w:val="18"/>
                <w:szCs w:val="18"/>
                <w:color w:val="0563C1"/>
                <w:w w:val="98"/>
              </w:rPr>
            </w:pPr>
            <w:hyperlink r:id="rId501">
              <w:r>
                <w:rPr>
                  <w:rFonts w:ascii="Calibri" w:cs="Calibri" w:eastAsia="Calibri" w:hAnsi="Calibri"/>
                  <w:sz w:val="18"/>
                  <w:szCs w:val="18"/>
                  <w:color w:val="0563C1"/>
                  <w:w w:val="98"/>
                </w:rPr>
                <w:t>Seventh Amendment to Credit and Security Agreement, dated as of September 28, 2016, among Martn Marieta Funding LLC,</w:t>
              </w:r>
            </w:hyperlink>
          </w:p>
        </w:tc>
        <w:tc>
          <w:tcPr>
            <w:tcW w:w="80" w:type="dxa"/>
            <w:vAlign w:val="bottom"/>
            <w:tcBorders>
              <w:right w:val="single" w:sz="8" w:color="91BBD3"/>
            </w:tcBorders>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40" w:type="dxa"/>
            <w:vAlign w:val="bottom"/>
            <w:tcBorders>
              <w:bottom w:val="single" w:sz="8" w:color="0563C1"/>
            </w:tcBorders>
            <w:gridSpan w:val="10"/>
          </w:tcPr>
          <w:p>
            <w:pPr>
              <w:spacing w:after="0" w:line="196" w:lineRule="exact"/>
              <w:rPr>
                <w:rFonts w:ascii="Calibri" w:cs="Calibri" w:eastAsia="Calibri" w:hAnsi="Calibri"/>
                <w:sz w:val="18"/>
                <w:szCs w:val="18"/>
                <w:color w:val="0563C1"/>
                <w:w w:val="98"/>
              </w:rPr>
            </w:pPr>
            <w:hyperlink r:id="rId501">
              <w:r>
                <w:rPr>
                  <w:rFonts w:ascii="Calibri" w:cs="Calibri" w:eastAsia="Calibri" w:hAnsi="Calibri"/>
                  <w:sz w:val="18"/>
                  <w:szCs w:val="18"/>
                  <w:color w:val="0563C1"/>
                  <w:w w:val="98"/>
                </w:rPr>
                <w:t>as borrower, Martn Marieta Materials, Inc., as servicer, and Truist Bank, as lender, together with the other lenders from tme</w:t>
              </w:r>
            </w:hyperlink>
          </w:p>
        </w:tc>
        <w:tc>
          <w:tcPr>
            <w:tcW w:w="80" w:type="dxa"/>
            <w:vAlign w:val="bottom"/>
            <w:tcBorders>
              <w:right w:val="single" w:sz="8" w:color="91BBD3"/>
            </w:tcBorders>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40" w:type="dxa"/>
            <w:vAlign w:val="bottom"/>
            <w:tcBorders>
              <w:bottom w:val="single" w:sz="8" w:color="0563C1"/>
            </w:tcBorders>
            <w:gridSpan w:val="10"/>
          </w:tcPr>
          <w:p>
            <w:pPr>
              <w:spacing w:after="0" w:line="196" w:lineRule="exact"/>
              <w:rPr>
                <w:rFonts w:ascii="Calibri" w:cs="Calibri" w:eastAsia="Calibri" w:hAnsi="Calibri"/>
                <w:sz w:val="18"/>
                <w:szCs w:val="18"/>
                <w:color w:val="0563C1"/>
              </w:rPr>
            </w:pPr>
            <w:hyperlink r:id="rId501">
              <w:r>
                <w:rPr>
                  <w:rFonts w:ascii="Calibri" w:cs="Calibri" w:eastAsia="Calibri" w:hAnsi="Calibri"/>
                  <w:sz w:val="18"/>
                  <w:szCs w:val="18"/>
                  <w:color w:val="0563C1"/>
                </w:rPr>
                <w:t>to tme party thereto, and Truist Bank, as administratve agent for the lenders (incorporated by reference to Exhibit 10.01 to</w:t>
              </w:r>
            </w:hyperlink>
          </w:p>
        </w:tc>
        <w:tc>
          <w:tcPr>
            <w:tcW w:w="80" w:type="dxa"/>
            <w:vAlign w:val="bottom"/>
            <w:tcBorders>
              <w:right w:val="single" w:sz="8" w:color="91BBD3"/>
            </w:tcBorders>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1"/>
          </w:tcPr>
          <w:p>
            <w:pPr>
              <w:spacing w:after="0" w:line="196" w:lineRule="exact"/>
              <w:rPr>
                <w:rFonts w:ascii="Calibri" w:cs="Calibri" w:eastAsia="Calibri" w:hAnsi="Calibri"/>
                <w:sz w:val="18"/>
                <w:szCs w:val="18"/>
                <w:color w:val="0563C1"/>
              </w:rPr>
            </w:pPr>
            <w:hyperlink r:id="rId501">
              <w:r>
                <w:rPr>
                  <w:rFonts w:ascii="Calibri" w:cs="Calibri" w:eastAsia="Calibri" w:hAnsi="Calibri"/>
                  <w:sz w:val="18"/>
                  <w:szCs w:val="18"/>
                  <w:color w:val="0563C1"/>
                </w:rPr>
                <w:t>the Martn Marieta Materials, Inc. Current Report on Form 8-K fled on September 30, 2016) (Commission File No. 1-12744)</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680" w:type="dxa"/>
            <w:vAlign w:val="bottom"/>
            <w:tcBorders>
              <w:left w:val="single" w:sz="8" w:color="91BBD3"/>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3320" w:type="dxa"/>
            <w:vAlign w:val="bottom"/>
            <w:tcBorders>
              <w:top w:val="single" w:sz="8" w:color="0563C1"/>
              <w:bottom w:val="single" w:sz="8" w:color="91BBD3"/>
            </w:tcBorders>
          </w:tcPr>
          <w:p>
            <w:pPr>
              <w:spacing w:after="0"/>
              <w:rPr>
                <w:sz w:val="4"/>
                <w:szCs w:val="4"/>
                <w:color w:val="auto"/>
              </w:rPr>
            </w:pPr>
          </w:p>
        </w:tc>
        <w:tc>
          <w:tcPr>
            <w:tcW w:w="1200" w:type="dxa"/>
            <w:vAlign w:val="bottom"/>
            <w:tcBorders>
              <w:top w:val="single" w:sz="8" w:color="0563C1"/>
              <w:bottom w:val="single" w:sz="8" w:color="91BBD3"/>
            </w:tcBorders>
          </w:tcPr>
          <w:p>
            <w:pPr>
              <w:spacing w:after="0"/>
              <w:rPr>
                <w:sz w:val="4"/>
                <w:szCs w:val="4"/>
                <w:color w:val="auto"/>
              </w:rPr>
            </w:pPr>
          </w:p>
        </w:tc>
        <w:tc>
          <w:tcPr>
            <w:tcW w:w="2400" w:type="dxa"/>
            <w:vAlign w:val="bottom"/>
            <w:tcBorders>
              <w:top w:val="single" w:sz="8" w:color="0563C1"/>
              <w:bottom w:val="single" w:sz="8" w:color="91BBD3"/>
            </w:tcBorders>
          </w:tcPr>
          <w:p>
            <w:pPr>
              <w:spacing w:after="0"/>
              <w:rPr>
                <w:sz w:val="4"/>
                <w:szCs w:val="4"/>
                <w:color w:val="auto"/>
              </w:rPr>
            </w:pPr>
          </w:p>
        </w:tc>
        <w:tc>
          <w:tcPr>
            <w:tcW w:w="440" w:type="dxa"/>
            <w:vAlign w:val="bottom"/>
            <w:tcBorders>
              <w:top w:val="single" w:sz="8" w:color="0563C1"/>
              <w:bottom w:val="single" w:sz="8" w:color="91BBD3"/>
            </w:tcBorders>
          </w:tcPr>
          <w:p>
            <w:pPr>
              <w:spacing w:after="0"/>
              <w:rPr>
                <w:sz w:val="4"/>
                <w:szCs w:val="4"/>
                <w:color w:val="auto"/>
              </w:rPr>
            </w:pPr>
          </w:p>
        </w:tc>
        <w:tc>
          <w:tcPr>
            <w:tcW w:w="740" w:type="dxa"/>
            <w:vAlign w:val="bottom"/>
            <w:tcBorders>
              <w:top w:val="single" w:sz="8" w:color="0563C1"/>
              <w:bottom w:val="single" w:sz="8" w:color="91BBD3"/>
            </w:tcBorders>
          </w:tcPr>
          <w:p>
            <w:pPr>
              <w:spacing w:after="0"/>
              <w:rPr>
                <w:sz w:val="4"/>
                <w:szCs w:val="4"/>
                <w:color w:val="auto"/>
              </w:rPr>
            </w:pPr>
          </w:p>
        </w:tc>
        <w:tc>
          <w:tcPr>
            <w:tcW w:w="140" w:type="dxa"/>
            <w:vAlign w:val="bottom"/>
            <w:tcBorders>
              <w:top w:val="single" w:sz="8" w:color="0563C1"/>
              <w:bottom w:val="single" w:sz="8" w:color="91BBD3"/>
            </w:tcBorders>
          </w:tcPr>
          <w:p>
            <w:pPr>
              <w:spacing w:after="0"/>
              <w:rPr>
                <w:sz w:val="4"/>
                <w:szCs w:val="4"/>
                <w:color w:val="auto"/>
              </w:rPr>
            </w:pPr>
          </w:p>
        </w:tc>
        <w:tc>
          <w:tcPr>
            <w:tcW w:w="300" w:type="dxa"/>
            <w:vAlign w:val="bottom"/>
            <w:tcBorders>
              <w:top w:val="single" w:sz="8" w:color="0563C1"/>
              <w:bottom w:val="single" w:sz="8" w:color="91BBD3"/>
            </w:tcBorders>
          </w:tcPr>
          <w:p>
            <w:pPr>
              <w:spacing w:after="0"/>
              <w:rPr>
                <w:sz w:val="4"/>
                <w:szCs w:val="4"/>
                <w:color w:val="auto"/>
              </w:rPr>
            </w:pPr>
          </w:p>
        </w:tc>
        <w:tc>
          <w:tcPr>
            <w:tcW w:w="280" w:type="dxa"/>
            <w:vAlign w:val="bottom"/>
            <w:tcBorders>
              <w:top w:val="single" w:sz="8" w:color="0563C1"/>
              <w:bottom w:val="single" w:sz="8" w:color="91BBD3"/>
            </w:tcBorders>
          </w:tcPr>
          <w:p>
            <w:pPr>
              <w:spacing w:after="0"/>
              <w:rPr>
                <w:sz w:val="4"/>
                <w:szCs w:val="4"/>
                <w:color w:val="auto"/>
              </w:rPr>
            </w:pPr>
          </w:p>
        </w:tc>
        <w:tc>
          <w:tcPr>
            <w:tcW w:w="40" w:type="dxa"/>
            <w:vAlign w:val="bottom"/>
            <w:tcBorders>
              <w:bottom w:val="single" w:sz="8" w:color="91BBD3"/>
            </w:tcBorders>
          </w:tcPr>
          <w:p>
            <w:pPr>
              <w:spacing w:after="0"/>
              <w:rPr>
                <w:sz w:val="4"/>
                <w:szCs w:val="4"/>
                <w:color w:val="auto"/>
              </w:rPr>
            </w:pPr>
          </w:p>
        </w:tc>
        <w:tc>
          <w:tcPr>
            <w:tcW w:w="180" w:type="dxa"/>
            <w:vAlign w:val="bottom"/>
            <w:tcBorders>
              <w:bottom w:val="single" w:sz="8" w:color="91BBD3"/>
            </w:tcBorders>
          </w:tcPr>
          <w:p>
            <w:pPr>
              <w:spacing w:after="0"/>
              <w:rPr>
                <w:sz w:val="4"/>
                <w:szCs w:val="4"/>
                <w:color w:val="auto"/>
              </w:rPr>
            </w:pPr>
          </w:p>
        </w:tc>
        <w:tc>
          <w:tcPr>
            <w:tcW w:w="80" w:type="dxa"/>
            <w:vAlign w:val="bottom"/>
            <w:tcBorders>
              <w:bottom w:val="single" w:sz="8" w:color="91BBD3"/>
              <w:right w:val="single" w:sz="8" w:color="91BBD3"/>
            </w:tcBorders>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bottom w:val="single" w:sz="8" w:color="DAE8F0"/>
              <w:right w:val="single" w:sz="8" w:color="91BBD3"/>
            </w:tcBorders>
            <w:shd w:val="clear" w:color="auto" w:fill="DAE8F0"/>
          </w:tcPr>
          <w:p>
            <w:pPr>
              <w:jc w:val="right"/>
              <w:ind w:right="1050"/>
              <w:spacing w:after="0" w:line="169" w:lineRule="exact"/>
              <w:rPr>
                <w:sz w:val="20"/>
                <w:szCs w:val="20"/>
                <w:color w:val="auto"/>
              </w:rPr>
            </w:pPr>
            <w:r>
              <w:rPr>
                <w:rFonts w:ascii="Calibri" w:cs="Calibri" w:eastAsia="Calibri" w:hAnsi="Calibri"/>
                <w:sz w:val="18"/>
                <w:szCs w:val="18"/>
                <w:b w:val="1"/>
                <w:bCs w:val="1"/>
                <w:color w:val="auto"/>
              </w:rPr>
              <w:t>10.08</w:t>
            </w:r>
          </w:p>
        </w:tc>
        <w:tc>
          <w:tcPr>
            <w:tcW w:w="100" w:type="dxa"/>
            <w:vAlign w:val="bottom"/>
            <w:tcBorders>
              <w:bottom w:val="single" w:sz="8" w:color="DAE8F0"/>
            </w:tcBorders>
            <w:shd w:val="clear" w:color="auto" w:fill="DAE8F0"/>
          </w:tcPr>
          <w:p>
            <w:pPr>
              <w:spacing w:after="0"/>
              <w:rPr>
                <w:sz w:val="14"/>
                <w:szCs w:val="14"/>
                <w:color w:val="auto"/>
              </w:rPr>
            </w:pPr>
          </w:p>
        </w:tc>
        <w:tc>
          <w:tcPr>
            <w:tcW w:w="9040" w:type="dxa"/>
            <w:vAlign w:val="bottom"/>
            <w:tcBorders>
              <w:bottom w:val="single" w:sz="8" w:color="0563C1"/>
              <w:right w:val="single" w:sz="8" w:color="DAE8F0"/>
            </w:tcBorders>
            <w:gridSpan w:val="10"/>
            <w:shd w:val="clear" w:color="auto" w:fill="DAE8F0"/>
          </w:tcPr>
          <w:p>
            <w:pPr>
              <w:spacing w:after="0" w:line="169" w:lineRule="exact"/>
              <w:rPr>
                <w:rFonts w:ascii="Calibri" w:cs="Calibri" w:eastAsia="Calibri" w:hAnsi="Calibri"/>
                <w:sz w:val="18"/>
                <w:szCs w:val="18"/>
                <w:color w:val="0563C1"/>
              </w:rPr>
            </w:pPr>
            <w:hyperlink r:id="rId502">
              <w:r>
                <w:rPr>
                  <w:rFonts w:ascii="Calibri" w:cs="Calibri" w:eastAsia="Calibri" w:hAnsi="Calibri"/>
                  <w:sz w:val="18"/>
                  <w:szCs w:val="18"/>
                  <w:color w:val="0563C1"/>
                </w:rPr>
                <w:t>Ninth Amendment to Credit and Security Agreement, dated as of April 17, 2018, among Martn Marieta Funding LLC, as</w:t>
              </w:r>
            </w:hyperlink>
          </w:p>
        </w:tc>
        <w:tc>
          <w:tcPr>
            <w:tcW w:w="80" w:type="dxa"/>
            <w:vAlign w:val="bottom"/>
            <w:tcBorders>
              <w:left w:val="single" w:sz="8" w:color="DAE8F0"/>
              <w:bottom w:val="single" w:sz="8" w:color="DAE8F0"/>
              <w:right w:val="single" w:sz="8" w:color="91BBD3"/>
            </w:tcBorders>
            <w:shd w:val="clear" w:color="auto" w:fill="DAE8F0"/>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9040" w:type="dxa"/>
            <w:vAlign w:val="bottom"/>
            <w:tcBorders>
              <w:bottom w:val="single" w:sz="8" w:color="0563C1"/>
              <w:right w:val="single" w:sz="8" w:color="DAE8F0"/>
            </w:tcBorders>
            <w:gridSpan w:val="10"/>
            <w:shd w:val="clear" w:color="auto" w:fill="DAE8F0"/>
          </w:tcPr>
          <w:p>
            <w:pPr>
              <w:spacing w:after="0" w:line="196" w:lineRule="exact"/>
              <w:rPr>
                <w:rFonts w:ascii="Calibri" w:cs="Calibri" w:eastAsia="Calibri" w:hAnsi="Calibri"/>
                <w:sz w:val="18"/>
                <w:szCs w:val="18"/>
                <w:color w:val="0563C1"/>
                <w:w w:val="98"/>
              </w:rPr>
            </w:pPr>
            <w:hyperlink r:id="rId502">
              <w:r>
                <w:rPr>
                  <w:rFonts w:ascii="Calibri" w:cs="Calibri" w:eastAsia="Calibri" w:hAnsi="Calibri"/>
                  <w:sz w:val="18"/>
                  <w:szCs w:val="18"/>
                  <w:color w:val="0563C1"/>
                  <w:w w:val="98"/>
                </w:rPr>
                <w:t>borrower, Martn Marieta Materials, Inc., as servicer, and Truist Bank, as lender, together with the other lenders from tme to</w:t>
              </w:r>
            </w:hyperlink>
          </w:p>
        </w:tc>
        <w:tc>
          <w:tcPr>
            <w:tcW w:w="80" w:type="dxa"/>
            <w:vAlign w:val="bottom"/>
            <w:tcBorders>
              <w:left w:val="single" w:sz="8" w:color="DAE8F0"/>
              <w:bottom w:val="single" w:sz="8" w:color="DAE8F0"/>
              <w:right w:val="single" w:sz="8" w:color="91BBD3"/>
            </w:tcBorders>
            <w:shd w:val="clear" w:color="auto" w:fill="DAE8F0"/>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9040" w:type="dxa"/>
            <w:vAlign w:val="bottom"/>
            <w:tcBorders>
              <w:bottom w:val="single" w:sz="8" w:color="0563C1"/>
              <w:right w:val="single" w:sz="8" w:color="DAE8F0"/>
            </w:tcBorders>
            <w:gridSpan w:val="10"/>
            <w:shd w:val="clear" w:color="auto" w:fill="DAE8F0"/>
          </w:tcPr>
          <w:p>
            <w:pPr>
              <w:spacing w:after="0" w:line="196" w:lineRule="exact"/>
              <w:rPr>
                <w:rFonts w:ascii="Calibri" w:cs="Calibri" w:eastAsia="Calibri" w:hAnsi="Calibri"/>
                <w:sz w:val="18"/>
                <w:szCs w:val="18"/>
                <w:color w:val="0563C1"/>
              </w:rPr>
            </w:pPr>
            <w:hyperlink r:id="rId502">
              <w:r>
                <w:rPr>
                  <w:rFonts w:ascii="Calibri" w:cs="Calibri" w:eastAsia="Calibri" w:hAnsi="Calibri"/>
                  <w:sz w:val="18"/>
                  <w:szCs w:val="18"/>
                  <w:color w:val="0563C1"/>
                </w:rPr>
                <w:t>tme party thereto, and Truist Bank, as administratve agent for the lenders (incorporated by reference to Exhibit 10.1 to the</w:t>
              </w:r>
            </w:hyperlink>
          </w:p>
        </w:tc>
        <w:tc>
          <w:tcPr>
            <w:tcW w:w="80" w:type="dxa"/>
            <w:vAlign w:val="bottom"/>
            <w:tcBorders>
              <w:left w:val="single" w:sz="8" w:color="DAE8F0"/>
              <w:bottom w:val="single" w:sz="8" w:color="DAE8F0"/>
              <w:right w:val="single" w:sz="8" w:color="91BBD3"/>
            </w:tcBorders>
            <w:shd w:val="clear" w:color="auto" w:fill="DAE8F0"/>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680" w:type="dxa"/>
            <w:vAlign w:val="bottom"/>
            <w:tcBorders>
              <w:left w:val="single" w:sz="8" w:color="91BBD3"/>
              <w:bottom w:val="single" w:sz="8" w:color="91BBD3"/>
              <w:right w:val="single" w:sz="8" w:color="91BBD3"/>
            </w:tcBorders>
            <w:shd w:val="clear" w:color="auto" w:fill="DAE8F0"/>
          </w:tcPr>
          <w:p>
            <w:pPr>
              <w:spacing w:after="0"/>
              <w:rPr>
                <w:sz w:val="22"/>
                <w:szCs w:val="22"/>
                <w:color w:val="auto"/>
              </w:rPr>
            </w:pPr>
          </w:p>
        </w:tc>
        <w:tc>
          <w:tcPr>
            <w:tcW w:w="100" w:type="dxa"/>
            <w:vAlign w:val="bottom"/>
            <w:tcBorders>
              <w:bottom w:val="single" w:sz="8" w:color="91BBD3"/>
            </w:tcBorders>
            <w:shd w:val="clear" w:color="auto" w:fill="DAE8F0"/>
          </w:tcPr>
          <w:p>
            <w:pPr>
              <w:spacing w:after="0"/>
              <w:rPr>
                <w:sz w:val="22"/>
                <w:szCs w:val="22"/>
                <w:color w:val="auto"/>
              </w:rPr>
            </w:pPr>
          </w:p>
        </w:tc>
        <w:tc>
          <w:tcPr>
            <w:tcW w:w="8100" w:type="dxa"/>
            <w:vAlign w:val="bottom"/>
            <w:tcBorders>
              <w:bottom w:val="single" w:sz="8" w:color="0563C1"/>
            </w:tcBorders>
            <w:gridSpan w:val="5"/>
            <w:shd w:val="clear" w:color="auto" w:fill="DAE8F0"/>
          </w:tcPr>
          <w:p>
            <w:pPr>
              <w:spacing w:after="0" w:line="196" w:lineRule="exact"/>
              <w:rPr>
                <w:rFonts w:ascii="Calibri" w:cs="Calibri" w:eastAsia="Calibri" w:hAnsi="Calibri"/>
                <w:sz w:val="18"/>
                <w:szCs w:val="18"/>
                <w:color w:val="0563C1"/>
                <w:w w:val="98"/>
              </w:rPr>
            </w:pPr>
            <w:hyperlink r:id="rId502">
              <w:r>
                <w:rPr>
                  <w:rFonts w:ascii="Calibri" w:cs="Calibri" w:eastAsia="Calibri" w:hAnsi="Calibri"/>
                  <w:sz w:val="18"/>
                  <w:szCs w:val="18"/>
                  <w:color w:val="0563C1"/>
                  <w:w w:val="98"/>
                </w:rPr>
                <w:t>Martn Marieta Materials, Inc. Current Report on Form 8-K fled on April 17, 2018) (Commission File No. 1-12744)</w:t>
              </w:r>
            </w:hyperlink>
          </w:p>
        </w:tc>
        <w:tc>
          <w:tcPr>
            <w:tcW w:w="1020" w:type="dxa"/>
            <w:vAlign w:val="bottom"/>
            <w:tcBorders>
              <w:bottom w:val="single" w:sz="8" w:color="91BBD3"/>
              <w:right w:val="single" w:sz="8" w:color="91BBD3"/>
            </w:tcBorders>
            <w:gridSpan w:val="6"/>
            <w:shd w:val="clear" w:color="auto" w:fill="DAE8F0"/>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right w:val="single" w:sz="8" w:color="91BBD3"/>
            </w:tcBorders>
          </w:tcPr>
          <w:p>
            <w:pPr>
              <w:jc w:val="right"/>
              <w:ind w:right="1050"/>
              <w:spacing w:after="0" w:line="169" w:lineRule="exact"/>
              <w:rPr>
                <w:sz w:val="20"/>
                <w:szCs w:val="20"/>
                <w:color w:val="auto"/>
              </w:rPr>
            </w:pPr>
            <w:r>
              <w:rPr>
                <w:rFonts w:ascii="Calibri" w:cs="Calibri" w:eastAsia="Calibri" w:hAnsi="Calibri"/>
                <w:sz w:val="18"/>
                <w:szCs w:val="18"/>
                <w:b w:val="1"/>
                <w:bCs w:val="1"/>
                <w:color w:val="auto"/>
              </w:rPr>
              <w:t>10.09</w:t>
            </w:r>
          </w:p>
        </w:tc>
        <w:tc>
          <w:tcPr>
            <w:tcW w:w="100" w:type="dxa"/>
            <w:vAlign w:val="bottom"/>
          </w:tcPr>
          <w:p>
            <w:pPr>
              <w:spacing w:after="0"/>
              <w:rPr>
                <w:sz w:val="14"/>
                <w:szCs w:val="14"/>
                <w:color w:val="auto"/>
              </w:rPr>
            </w:pPr>
          </w:p>
        </w:tc>
        <w:tc>
          <w:tcPr>
            <w:tcW w:w="9040" w:type="dxa"/>
            <w:vAlign w:val="bottom"/>
            <w:tcBorders>
              <w:bottom w:val="single" w:sz="8" w:color="0563C1"/>
            </w:tcBorders>
            <w:gridSpan w:val="10"/>
          </w:tcPr>
          <w:p>
            <w:pPr>
              <w:spacing w:after="0" w:line="169" w:lineRule="exact"/>
              <w:rPr>
                <w:rFonts w:ascii="Calibri" w:cs="Calibri" w:eastAsia="Calibri" w:hAnsi="Calibri"/>
                <w:sz w:val="18"/>
                <w:szCs w:val="18"/>
                <w:color w:val="0563C1"/>
                <w:w w:val="98"/>
              </w:rPr>
            </w:pPr>
            <w:hyperlink r:id="rId503">
              <w:r>
                <w:rPr>
                  <w:rFonts w:ascii="Calibri" w:cs="Calibri" w:eastAsia="Calibri" w:hAnsi="Calibri"/>
                  <w:sz w:val="18"/>
                  <w:szCs w:val="18"/>
                  <w:color w:val="0563C1"/>
                  <w:w w:val="98"/>
                </w:rPr>
                <w:t>Tenth Amendment to Credit and Security Agreement, dated as of September 28, 2018, among Martn Marieta Funding LLC, as</w:t>
              </w:r>
            </w:hyperlink>
          </w:p>
        </w:tc>
        <w:tc>
          <w:tcPr>
            <w:tcW w:w="80" w:type="dxa"/>
            <w:vAlign w:val="bottom"/>
            <w:tcBorders>
              <w:right w:val="single" w:sz="8" w:color="91BBD3"/>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40" w:type="dxa"/>
            <w:vAlign w:val="bottom"/>
            <w:tcBorders>
              <w:bottom w:val="single" w:sz="8" w:color="0563C1"/>
            </w:tcBorders>
            <w:gridSpan w:val="10"/>
          </w:tcPr>
          <w:p>
            <w:pPr>
              <w:spacing w:after="0" w:line="196" w:lineRule="exact"/>
              <w:rPr>
                <w:rFonts w:ascii="Calibri" w:cs="Calibri" w:eastAsia="Calibri" w:hAnsi="Calibri"/>
                <w:sz w:val="18"/>
                <w:szCs w:val="18"/>
                <w:color w:val="0563C1"/>
                <w:w w:val="98"/>
              </w:rPr>
            </w:pPr>
            <w:hyperlink r:id="rId503">
              <w:r>
                <w:rPr>
                  <w:rFonts w:ascii="Calibri" w:cs="Calibri" w:eastAsia="Calibri" w:hAnsi="Calibri"/>
                  <w:sz w:val="18"/>
                  <w:szCs w:val="18"/>
                  <w:color w:val="0563C1"/>
                  <w:w w:val="98"/>
                </w:rPr>
                <w:t>borrower, Martn Marieta Materials, Inc., as servicer, and Truist Bank, as lender, together with the other lenders from tme to</w:t>
              </w:r>
            </w:hyperlink>
          </w:p>
        </w:tc>
        <w:tc>
          <w:tcPr>
            <w:tcW w:w="80" w:type="dxa"/>
            <w:vAlign w:val="bottom"/>
            <w:tcBorders>
              <w:right w:val="single" w:sz="8" w:color="91BBD3"/>
            </w:tcBorders>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40" w:type="dxa"/>
            <w:vAlign w:val="bottom"/>
            <w:tcBorders>
              <w:bottom w:val="single" w:sz="8" w:color="0563C1"/>
            </w:tcBorders>
            <w:gridSpan w:val="10"/>
          </w:tcPr>
          <w:p>
            <w:pPr>
              <w:spacing w:after="0" w:line="196" w:lineRule="exact"/>
              <w:rPr>
                <w:rFonts w:ascii="Calibri" w:cs="Calibri" w:eastAsia="Calibri" w:hAnsi="Calibri"/>
                <w:sz w:val="18"/>
                <w:szCs w:val="18"/>
                <w:color w:val="0563C1"/>
              </w:rPr>
            </w:pPr>
            <w:hyperlink r:id="rId503">
              <w:r>
                <w:rPr>
                  <w:rFonts w:ascii="Calibri" w:cs="Calibri" w:eastAsia="Calibri" w:hAnsi="Calibri"/>
                  <w:sz w:val="18"/>
                  <w:szCs w:val="18"/>
                  <w:color w:val="0563C1"/>
                </w:rPr>
                <w:t>tme party thereto, and Truist Bank, as administratve agent for the lenders (incorporated by reference to Exhibit 10.1 to the</w:t>
              </w:r>
            </w:hyperlink>
          </w:p>
        </w:tc>
        <w:tc>
          <w:tcPr>
            <w:tcW w:w="80" w:type="dxa"/>
            <w:vAlign w:val="bottom"/>
            <w:tcBorders>
              <w:right w:val="single" w:sz="8" w:color="91BBD3"/>
            </w:tcBorders>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1"/>
          </w:tcPr>
          <w:p>
            <w:pPr>
              <w:spacing w:after="0" w:line="196" w:lineRule="exact"/>
              <w:rPr>
                <w:rFonts w:ascii="Calibri" w:cs="Calibri" w:eastAsia="Calibri" w:hAnsi="Calibri"/>
                <w:sz w:val="18"/>
                <w:szCs w:val="18"/>
                <w:color w:val="0563C1"/>
              </w:rPr>
            </w:pPr>
            <w:hyperlink r:id="rId503">
              <w:r>
                <w:rPr>
                  <w:rFonts w:ascii="Calibri" w:cs="Calibri" w:eastAsia="Calibri" w:hAnsi="Calibri"/>
                  <w:sz w:val="18"/>
                  <w:szCs w:val="18"/>
                  <w:color w:val="0563C1"/>
                </w:rPr>
                <w:t>Martn Marieta Materials, Inc. Current Report on Form 8-K fled on September 25, 2018) (Commission File No. 1-12744)</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680" w:type="dxa"/>
            <w:vAlign w:val="bottom"/>
            <w:tcBorders>
              <w:left w:val="single" w:sz="8" w:color="91BBD3"/>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3320" w:type="dxa"/>
            <w:vAlign w:val="bottom"/>
            <w:tcBorders>
              <w:top w:val="single" w:sz="8" w:color="0563C1"/>
              <w:bottom w:val="single" w:sz="8" w:color="91BBD3"/>
            </w:tcBorders>
          </w:tcPr>
          <w:p>
            <w:pPr>
              <w:spacing w:after="0"/>
              <w:rPr>
                <w:sz w:val="4"/>
                <w:szCs w:val="4"/>
                <w:color w:val="auto"/>
              </w:rPr>
            </w:pPr>
          </w:p>
        </w:tc>
        <w:tc>
          <w:tcPr>
            <w:tcW w:w="1200" w:type="dxa"/>
            <w:vAlign w:val="bottom"/>
            <w:tcBorders>
              <w:top w:val="single" w:sz="8" w:color="0563C1"/>
              <w:bottom w:val="single" w:sz="8" w:color="91BBD3"/>
            </w:tcBorders>
          </w:tcPr>
          <w:p>
            <w:pPr>
              <w:spacing w:after="0"/>
              <w:rPr>
                <w:sz w:val="4"/>
                <w:szCs w:val="4"/>
                <w:color w:val="auto"/>
              </w:rPr>
            </w:pPr>
          </w:p>
        </w:tc>
        <w:tc>
          <w:tcPr>
            <w:tcW w:w="2400" w:type="dxa"/>
            <w:vAlign w:val="bottom"/>
            <w:tcBorders>
              <w:top w:val="single" w:sz="8" w:color="0563C1"/>
              <w:bottom w:val="single" w:sz="8" w:color="91BBD3"/>
            </w:tcBorders>
          </w:tcPr>
          <w:p>
            <w:pPr>
              <w:spacing w:after="0"/>
              <w:rPr>
                <w:sz w:val="4"/>
                <w:szCs w:val="4"/>
                <w:color w:val="auto"/>
              </w:rPr>
            </w:pPr>
          </w:p>
        </w:tc>
        <w:tc>
          <w:tcPr>
            <w:tcW w:w="440" w:type="dxa"/>
            <w:vAlign w:val="bottom"/>
            <w:tcBorders>
              <w:top w:val="single" w:sz="8" w:color="0563C1"/>
              <w:bottom w:val="single" w:sz="8" w:color="91BBD3"/>
            </w:tcBorders>
          </w:tcPr>
          <w:p>
            <w:pPr>
              <w:spacing w:after="0"/>
              <w:rPr>
                <w:sz w:val="4"/>
                <w:szCs w:val="4"/>
                <w:color w:val="auto"/>
              </w:rPr>
            </w:pPr>
          </w:p>
        </w:tc>
        <w:tc>
          <w:tcPr>
            <w:tcW w:w="740" w:type="dxa"/>
            <w:vAlign w:val="bottom"/>
            <w:tcBorders>
              <w:top w:val="single" w:sz="8" w:color="0563C1"/>
              <w:bottom w:val="single" w:sz="8" w:color="91BBD3"/>
            </w:tcBorders>
          </w:tcPr>
          <w:p>
            <w:pPr>
              <w:spacing w:after="0"/>
              <w:rPr>
                <w:sz w:val="4"/>
                <w:szCs w:val="4"/>
                <w:color w:val="auto"/>
              </w:rPr>
            </w:pPr>
          </w:p>
        </w:tc>
        <w:tc>
          <w:tcPr>
            <w:tcW w:w="140" w:type="dxa"/>
            <w:vAlign w:val="bottom"/>
            <w:tcBorders>
              <w:top w:val="single" w:sz="8" w:color="0563C1"/>
              <w:bottom w:val="single" w:sz="8" w:color="91BBD3"/>
            </w:tcBorders>
          </w:tcPr>
          <w:p>
            <w:pPr>
              <w:spacing w:after="0"/>
              <w:rPr>
                <w:sz w:val="4"/>
                <w:szCs w:val="4"/>
                <w:color w:val="auto"/>
              </w:rPr>
            </w:pPr>
          </w:p>
        </w:tc>
        <w:tc>
          <w:tcPr>
            <w:tcW w:w="300" w:type="dxa"/>
            <w:vAlign w:val="bottom"/>
            <w:tcBorders>
              <w:top w:val="single" w:sz="8" w:color="0563C1"/>
              <w:bottom w:val="single" w:sz="8" w:color="91BBD3"/>
            </w:tcBorders>
          </w:tcPr>
          <w:p>
            <w:pPr>
              <w:spacing w:after="0"/>
              <w:rPr>
                <w:sz w:val="4"/>
                <w:szCs w:val="4"/>
                <w:color w:val="auto"/>
              </w:rPr>
            </w:pPr>
          </w:p>
        </w:tc>
        <w:tc>
          <w:tcPr>
            <w:tcW w:w="280" w:type="dxa"/>
            <w:vAlign w:val="bottom"/>
            <w:tcBorders>
              <w:bottom w:val="single" w:sz="8" w:color="91BBD3"/>
            </w:tcBorders>
          </w:tcPr>
          <w:p>
            <w:pPr>
              <w:spacing w:after="0"/>
              <w:rPr>
                <w:sz w:val="4"/>
                <w:szCs w:val="4"/>
                <w:color w:val="auto"/>
              </w:rPr>
            </w:pPr>
          </w:p>
        </w:tc>
        <w:tc>
          <w:tcPr>
            <w:tcW w:w="40" w:type="dxa"/>
            <w:vAlign w:val="bottom"/>
            <w:tcBorders>
              <w:bottom w:val="single" w:sz="8" w:color="91BBD3"/>
            </w:tcBorders>
          </w:tcPr>
          <w:p>
            <w:pPr>
              <w:spacing w:after="0"/>
              <w:rPr>
                <w:sz w:val="4"/>
                <w:szCs w:val="4"/>
                <w:color w:val="auto"/>
              </w:rPr>
            </w:pPr>
          </w:p>
        </w:tc>
        <w:tc>
          <w:tcPr>
            <w:tcW w:w="180" w:type="dxa"/>
            <w:vAlign w:val="bottom"/>
            <w:tcBorders>
              <w:bottom w:val="single" w:sz="8" w:color="91BBD3"/>
            </w:tcBorders>
          </w:tcPr>
          <w:p>
            <w:pPr>
              <w:spacing w:after="0"/>
              <w:rPr>
                <w:sz w:val="4"/>
                <w:szCs w:val="4"/>
                <w:color w:val="auto"/>
              </w:rPr>
            </w:pPr>
          </w:p>
        </w:tc>
        <w:tc>
          <w:tcPr>
            <w:tcW w:w="80" w:type="dxa"/>
            <w:vAlign w:val="bottom"/>
            <w:tcBorders>
              <w:bottom w:val="single" w:sz="8" w:color="91BBD3"/>
              <w:right w:val="single" w:sz="8" w:color="91BBD3"/>
            </w:tcBorders>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bottom w:val="single" w:sz="8" w:color="DAE8F0"/>
              <w:right w:val="single" w:sz="8" w:color="91BBD3"/>
            </w:tcBorders>
            <w:shd w:val="clear" w:color="auto" w:fill="DAE8F0"/>
          </w:tcPr>
          <w:p>
            <w:pPr>
              <w:jc w:val="right"/>
              <w:ind w:right="1050"/>
              <w:spacing w:after="0" w:line="169" w:lineRule="exact"/>
              <w:rPr>
                <w:sz w:val="20"/>
                <w:szCs w:val="20"/>
                <w:color w:val="auto"/>
              </w:rPr>
            </w:pPr>
            <w:r>
              <w:rPr>
                <w:rFonts w:ascii="Calibri" w:cs="Calibri" w:eastAsia="Calibri" w:hAnsi="Calibri"/>
                <w:sz w:val="18"/>
                <w:szCs w:val="18"/>
                <w:b w:val="1"/>
                <w:bCs w:val="1"/>
                <w:color w:val="auto"/>
              </w:rPr>
              <w:t>10.10</w:t>
            </w:r>
          </w:p>
        </w:tc>
        <w:tc>
          <w:tcPr>
            <w:tcW w:w="100" w:type="dxa"/>
            <w:vAlign w:val="bottom"/>
            <w:tcBorders>
              <w:bottom w:val="single" w:sz="8" w:color="DAE8F0"/>
            </w:tcBorders>
            <w:shd w:val="clear" w:color="auto" w:fill="DAE8F0"/>
          </w:tcPr>
          <w:p>
            <w:pPr>
              <w:spacing w:after="0"/>
              <w:rPr>
                <w:sz w:val="14"/>
                <w:szCs w:val="14"/>
                <w:color w:val="auto"/>
              </w:rPr>
            </w:pPr>
          </w:p>
        </w:tc>
        <w:tc>
          <w:tcPr>
            <w:tcW w:w="9040" w:type="dxa"/>
            <w:vAlign w:val="bottom"/>
            <w:tcBorders>
              <w:bottom w:val="single" w:sz="8" w:color="0563C1"/>
              <w:right w:val="single" w:sz="8" w:color="DAE8F0"/>
            </w:tcBorders>
            <w:gridSpan w:val="10"/>
            <w:shd w:val="clear" w:color="auto" w:fill="DAE8F0"/>
          </w:tcPr>
          <w:p>
            <w:pPr>
              <w:spacing w:after="0" w:line="169" w:lineRule="exact"/>
              <w:rPr>
                <w:rFonts w:ascii="Calibri" w:cs="Calibri" w:eastAsia="Calibri" w:hAnsi="Calibri"/>
                <w:sz w:val="18"/>
                <w:szCs w:val="18"/>
                <w:color w:val="0563C1"/>
              </w:rPr>
            </w:pPr>
            <w:hyperlink r:id="rId504">
              <w:r>
                <w:rPr>
                  <w:rFonts w:ascii="Calibri" w:cs="Calibri" w:eastAsia="Calibri" w:hAnsi="Calibri"/>
                  <w:sz w:val="18"/>
                  <w:szCs w:val="18"/>
                  <w:color w:val="0563C1"/>
                </w:rPr>
                <w:t>Eleventh Amendment to Credit and Security Agreement, dated as of September 24, 2019, among Martn Marieta Funding</w:t>
              </w:r>
            </w:hyperlink>
          </w:p>
        </w:tc>
        <w:tc>
          <w:tcPr>
            <w:tcW w:w="80" w:type="dxa"/>
            <w:vAlign w:val="bottom"/>
            <w:tcBorders>
              <w:left w:val="single" w:sz="8" w:color="DAE8F0"/>
              <w:bottom w:val="single" w:sz="8" w:color="DAE8F0"/>
              <w:right w:val="single" w:sz="8" w:color="91BBD3"/>
            </w:tcBorders>
            <w:shd w:val="clear" w:color="auto" w:fill="DAE8F0"/>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9040" w:type="dxa"/>
            <w:vAlign w:val="bottom"/>
            <w:tcBorders>
              <w:bottom w:val="single" w:sz="8" w:color="0563C1"/>
              <w:right w:val="single" w:sz="8" w:color="DAE8F0"/>
            </w:tcBorders>
            <w:gridSpan w:val="10"/>
            <w:shd w:val="clear" w:color="auto" w:fill="DAE8F0"/>
          </w:tcPr>
          <w:p>
            <w:pPr>
              <w:spacing w:after="0" w:line="196" w:lineRule="exact"/>
              <w:rPr>
                <w:rFonts w:ascii="Calibri" w:cs="Calibri" w:eastAsia="Calibri" w:hAnsi="Calibri"/>
                <w:sz w:val="18"/>
                <w:szCs w:val="18"/>
                <w:color w:val="0563C1"/>
                <w:w w:val="98"/>
              </w:rPr>
            </w:pPr>
            <w:hyperlink r:id="rId504">
              <w:r>
                <w:rPr>
                  <w:rFonts w:ascii="Calibri" w:cs="Calibri" w:eastAsia="Calibri" w:hAnsi="Calibri"/>
                  <w:sz w:val="18"/>
                  <w:szCs w:val="18"/>
                  <w:color w:val="0563C1"/>
                  <w:w w:val="98"/>
                </w:rPr>
                <w:t>LLC, as borrower, Martn Marieta Materials, Inc., as servicer, and Truist Bank, as lender, together with the other lenders from</w:t>
              </w:r>
            </w:hyperlink>
          </w:p>
        </w:tc>
        <w:tc>
          <w:tcPr>
            <w:tcW w:w="80" w:type="dxa"/>
            <w:vAlign w:val="bottom"/>
            <w:tcBorders>
              <w:left w:val="single" w:sz="8" w:color="DAE8F0"/>
              <w:bottom w:val="single" w:sz="8" w:color="DAE8F0"/>
              <w:right w:val="single" w:sz="8" w:color="91BBD3"/>
            </w:tcBorders>
            <w:shd w:val="clear" w:color="auto" w:fill="DAE8F0"/>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680" w:type="dxa"/>
            <w:vAlign w:val="bottom"/>
            <w:tcBorders>
              <w:left w:val="single" w:sz="8" w:color="91BBD3"/>
              <w:right w:val="single" w:sz="8" w:color="91BBD3"/>
            </w:tcBorders>
            <w:shd w:val="clear" w:color="auto" w:fill="DAE8F0"/>
          </w:tcPr>
          <w:p>
            <w:pPr>
              <w:spacing w:after="0"/>
              <w:rPr>
                <w:sz w:val="22"/>
                <w:szCs w:val="22"/>
                <w:color w:val="auto"/>
              </w:rPr>
            </w:pPr>
          </w:p>
        </w:tc>
        <w:tc>
          <w:tcPr>
            <w:tcW w:w="100" w:type="dxa"/>
            <w:vAlign w:val="bottom"/>
            <w:shd w:val="clear" w:color="auto" w:fill="DAE8F0"/>
          </w:tcPr>
          <w:p>
            <w:pPr>
              <w:spacing w:after="0"/>
              <w:rPr>
                <w:sz w:val="22"/>
                <w:szCs w:val="22"/>
                <w:color w:val="auto"/>
              </w:rPr>
            </w:pPr>
          </w:p>
        </w:tc>
        <w:tc>
          <w:tcPr>
            <w:tcW w:w="9120" w:type="dxa"/>
            <w:vAlign w:val="bottom"/>
            <w:tcBorders>
              <w:right w:val="single" w:sz="8" w:color="91BBD3"/>
            </w:tcBorders>
            <w:gridSpan w:val="11"/>
            <w:shd w:val="clear" w:color="auto" w:fill="DAE8F0"/>
          </w:tcPr>
          <w:p>
            <w:pPr>
              <w:spacing w:after="0" w:line="196" w:lineRule="exact"/>
              <w:rPr>
                <w:rFonts w:ascii="Calibri" w:cs="Calibri" w:eastAsia="Calibri" w:hAnsi="Calibri"/>
                <w:sz w:val="18"/>
                <w:szCs w:val="18"/>
                <w:color w:val="0563C1"/>
              </w:rPr>
            </w:pPr>
            <w:hyperlink r:id="rId504">
              <w:r>
                <w:rPr>
                  <w:rFonts w:ascii="Calibri" w:cs="Calibri" w:eastAsia="Calibri" w:hAnsi="Calibri"/>
                  <w:sz w:val="18"/>
                  <w:szCs w:val="18"/>
                  <w:color w:val="0563C1"/>
                </w:rPr>
                <w:t>tme to tme party thereto, and Truist Bank, as</w:t>
              </w:r>
            </w:hyperlink>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1680" w:type="dxa"/>
            <w:vAlign w:val="bottom"/>
            <w:tcBorders>
              <w:top w:val="single" w:sz="8" w:color="91BBD3"/>
            </w:tcBorders>
          </w:tcPr>
          <w:p>
            <w:pPr>
              <w:jc w:val="right"/>
              <w:ind w:right="29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118</w:t>
            </w:r>
          </w:p>
        </w:tc>
        <w:tc>
          <w:tcPr>
            <w:tcW w:w="100" w:type="dxa"/>
            <w:vAlign w:val="bottom"/>
            <w:tcBorders>
              <w:top w:val="single" w:sz="8" w:color="91BBD3"/>
            </w:tcBorders>
          </w:tcPr>
          <w:p>
            <w:pPr>
              <w:spacing w:after="0"/>
              <w:rPr>
                <w:sz w:val="24"/>
                <w:szCs w:val="24"/>
                <w:color w:val="auto"/>
              </w:rPr>
            </w:pPr>
          </w:p>
        </w:tc>
        <w:tc>
          <w:tcPr>
            <w:tcW w:w="3320" w:type="dxa"/>
            <w:vAlign w:val="bottom"/>
            <w:tcBorders>
              <w:top w:val="single" w:sz="8" w:color="0000EE"/>
            </w:tcBorders>
          </w:tcPr>
          <w:p>
            <w:pPr>
              <w:spacing w:after="0"/>
              <w:rPr>
                <w:sz w:val="24"/>
                <w:szCs w:val="24"/>
                <w:color w:val="auto"/>
              </w:rPr>
            </w:pPr>
          </w:p>
        </w:tc>
        <w:tc>
          <w:tcPr>
            <w:tcW w:w="1200" w:type="dxa"/>
            <w:vAlign w:val="bottom"/>
            <w:tcBorders>
              <w:top w:val="single" w:sz="8" w:color="91BBD3"/>
            </w:tcBorders>
          </w:tcPr>
          <w:p>
            <w:pPr>
              <w:spacing w:after="0"/>
              <w:rPr>
                <w:sz w:val="24"/>
                <w:szCs w:val="24"/>
                <w:color w:val="auto"/>
              </w:rPr>
            </w:pPr>
          </w:p>
        </w:tc>
        <w:tc>
          <w:tcPr>
            <w:tcW w:w="2400" w:type="dxa"/>
            <w:vAlign w:val="bottom"/>
            <w:tcBorders>
              <w:top w:val="single" w:sz="8" w:color="91BBD3"/>
            </w:tcBorders>
          </w:tcPr>
          <w:p>
            <w:pPr>
              <w:spacing w:after="0"/>
              <w:rPr>
                <w:sz w:val="24"/>
                <w:szCs w:val="24"/>
                <w:color w:val="auto"/>
              </w:rPr>
            </w:pPr>
          </w:p>
        </w:tc>
        <w:tc>
          <w:tcPr>
            <w:tcW w:w="440" w:type="dxa"/>
            <w:vAlign w:val="bottom"/>
            <w:tcBorders>
              <w:top w:val="single" w:sz="8" w:color="91BBD3"/>
            </w:tcBorders>
          </w:tcPr>
          <w:p>
            <w:pPr>
              <w:spacing w:after="0"/>
              <w:rPr>
                <w:sz w:val="24"/>
                <w:szCs w:val="24"/>
                <w:color w:val="auto"/>
              </w:rPr>
            </w:pPr>
          </w:p>
        </w:tc>
        <w:tc>
          <w:tcPr>
            <w:tcW w:w="740" w:type="dxa"/>
            <w:vAlign w:val="bottom"/>
            <w:tcBorders>
              <w:top w:val="single" w:sz="8" w:color="91BBD3"/>
            </w:tcBorders>
          </w:tcPr>
          <w:p>
            <w:pPr>
              <w:spacing w:after="0"/>
              <w:rPr>
                <w:sz w:val="24"/>
                <w:szCs w:val="24"/>
                <w:color w:val="auto"/>
              </w:rPr>
            </w:pPr>
          </w:p>
        </w:tc>
        <w:tc>
          <w:tcPr>
            <w:tcW w:w="140" w:type="dxa"/>
            <w:vAlign w:val="bottom"/>
            <w:tcBorders>
              <w:top w:val="single" w:sz="8" w:color="91BBD3"/>
            </w:tcBorders>
          </w:tcPr>
          <w:p>
            <w:pPr>
              <w:spacing w:after="0"/>
              <w:rPr>
                <w:sz w:val="24"/>
                <w:szCs w:val="24"/>
                <w:color w:val="auto"/>
              </w:rPr>
            </w:pPr>
          </w:p>
        </w:tc>
        <w:tc>
          <w:tcPr>
            <w:tcW w:w="300" w:type="dxa"/>
            <w:vAlign w:val="bottom"/>
            <w:tcBorders>
              <w:top w:val="single" w:sz="8" w:color="91BBD3"/>
            </w:tcBorders>
          </w:tcPr>
          <w:p>
            <w:pPr>
              <w:spacing w:after="0"/>
              <w:rPr>
                <w:sz w:val="24"/>
                <w:szCs w:val="24"/>
                <w:color w:val="auto"/>
              </w:rPr>
            </w:pPr>
          </w:p>
        </w:tc>
        <w:tc>
          <w:tcPr>
            <w:tcW w:w="280" w:type="dxa"/>
            <w:vAlign w:val="bottom"/>
            <w:tcBorders>
              <w:top w:val="single" w:sz="8" w:color="91BBD3"/>
            </w:tcBorders>
          </w:tcPr>
          <w:p>
            <w:pPr>
              <w:spacing w:after="0"/>
              <w:rPr>
                <w:sz w:val="24"/>
                <w:szCs w:val="24"/>
                <w:color w:val="auto"/>
              </w:rPr>
            </w:pPr>
          </w:p>
        </w:tc>
        <w:tc>
          <w:tcPr>
            <w:tcW w:w="40" w:type="dxa"/>
            <w:vAlign w:val="bottom"/>
            <w:tcBorders>
              <w:top w:val="single" w:sz="8" w:color="91BBD3"/>
            </w:tcBorders>
          </w:tcPr>
          <w:p>
            <w:pPr>
              <w:spacing w:after="0"/>
              <w:rPr>
                <w:sz w:val="24"/>
                <w:szCs w:val="24"/>
                <w:color w:val="auto"/>
              </w:rPr>
            </w:pPr>
          </w:p>
        </w:tc>
        <w:tc>
          <w:tcPr>
            <w:tcW w:w="180" w:type="dxa"/>
            <w:vAlign w:val="bottom"/>
            <w:tcBorders>
              <w:top w:val="single" w:sz="8" w:color="91BBD3"/>
            </w:tcBorders>
          </w:tcPr>
          <w:p>
            <w:pPr>
              <w:spacing w:after="0"/>
              <w:rPr>
                <w:sz w:val="24"/>
                <w:szCs w:val="24"/>
                <w:color w:val="auto"/>
              </w:rPr>
            </w:pPr>
          </w:p>
        </w:tc>
        <w:tc>
          <w:tcPr>
            <w:tcW w:w="80" w:type="dxa"/>
            <w:vAlign w:val="bottom"/>
            <w:tcBorders>
              <w:top w:val="single" w:sz="8" w:color="91BBD3"/>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-402590</wp:posOffset>
            </wp:positionV>
            <wp:extent cx="325755" cy="19685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7">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0" w:name="page121"/>
    <w:bookmarkEnd w:id="120"/>
    <w:tbl>
      <w:tblPr>
        <w:tblLayout w:type="fixed"/>
        <w:tblInd w:w="10" w:type="dxa"/>
        <w:tblCellMar>
          <w:top w:w="0" w:type="dxa"/>
          <w:left w:w="0" w:type="dxa"/>
          <w:bottom w:w="0" w:type="dxa"/>
          <w:right w:w="0" w:type="dxa"/>
        </w:tblCellMar>
      </w:tblPr>
      <w:tr>
        <w:trPr>
          <w:trHeight w:val="308"/>
        </w:trPr>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700" w:type="dxa"/>
            <w:vAlign w:val="bottom"/>
            <w:gridSpan w:val="10"/>
          </w:tcPr>
          <w:p>
            <w:pPr>
              <w:ind w:left="1180"/>
              <w:spacing w:after="0"/>
              <w:rPr>
                <w:sz w:val="20"/>
                <w:szCs w:val="20"/>
                <w:color w:val="auto"/>
              </w:rPr>
            </w:pPr>
            <w:r>
              <w:rPr>
                <w:rFonts w:ascii="MS PGothic" w:cs="MS PGothic" w:eastAsia="MS PGothic" w:hAnsi="MS PGothic"/>
                <w:sz w:val="18"/>
                <w:szCs w:val="18"/>
                <w:color w:val="auto"/>
                <w:w w:val="93"/>
              </w:rPr>
              <w:t xml:space="preserve">Part IV </w:t>
            </w:r>
            <w:r>
              <w:rPr>
                <w:rFonts w:ascii="Arial" w:cs="Arial" w:eastAsia="Arial" w:hAnsi="Arial"/>
                <w:sz w:val="23"/>
                <w:szCs w:val="23"/>
                <w:color w:val="0070C0"/>
                <w:w w:val="93"/>
              </w:rPr>
              <w:t>♦</w:t>
            </w:r>
            <w:r>
              <w:rPr>
                <w:rFonts w:ascii="MS PGothic" w:cs="MS PGothic" w:eastAsia="MS PGothic" w:hAnsi="MS PGothic"/>
                <w:sz w:val="18"/>
                <w:szCs w:val="18"/>
                <w:color w:val="auto"/>
                <w:w w:val="93"/>
              </w:rPr>
              <w:t xml:space="preserve"> Item 15 – Exhibits and Financial Statement Schedules</w:t>
            </w:r>
          </w:p>
        </w:tc>
        <w:tc>
          <w:tcPr>
            <w:tcW w:w="0" w:type="dxa"/>
            <w:vAlign w:val="bottom"/>
          </w:tcPr>
          <w:p>
            <w:pPr>
              <w:spacing w:after="0"/>
              <w:rPr>
                <w:sz w:val="1"/>
                <w:szCs w:val="1"/>
                <w:color w:val="auto"/>
              </w:rPr>
            </w:pPr>
          </w:p>
        </w:tc>
      </w:tr>
      <w:tr>
        <w:trPr>
          <w:trHeight w:val="166"/>
        </w:trPr>
        <w:tc>
          <w:tcPr>
            <w:tcW w:w="1680" w:type="dxa"/>
            <w:vAlign w:val="bottom"/>
            <w:tcBorders>
              <w:bottom w:val="single" w:sz="8" w:color="91BBD3"/>
            </w:tcBorders>
          </w:tcPr>
          <w:p>
            <w:pPr>
              <w:spacing w:after="0"/>
              <w:rPr>
                <w:sz w:val="14"/>
                <w:szCs w:val="14"/>
                <w:color w:val="auto"/>
              </w:rPr>
            </w:pPr>
          </w:p>
        </w:tc>
        <w:tc>
          <w:tcPr>
            <w:tcW w:w="100" w:type="dxa"/>
            <w:vAlign w:val="bottom"/>
            <w:tcBorders>
              <w:bottom w:val="single" w:sz="8" w:color="007DC6"/>
            </w:tcBorders>
          </w:tcPr>
          <w:p>
            <w:pPr>
              <w:spacing w:after="0"/>
              <w:rPr>
                <w:sz w:val="14"/>
                <w:szCs w:val="14"/>
                <w:color w:val="auto"/>
              </w:rPr>
            </w:pPr>
          </w:p>
        </w:tc>
        <w:tc>
          <w:tcPr>
            <w:tcW w:w="680" w:type="dxa"/>
            <w:vAlign w:val="bottom"/>
            <w:tcBorders>
              <w:bottom w:val="single" w:sz="8" w:color="007DC6"/>
            </w:tcBorders>
          </w:tcPr>
          <w:p>
            <w:pPr>
              <w:spacing w:after="0"/>
              <w:rPr>
                <w:sz w:val="14"/>
                <w:szCs w:val="14"/>
                <w:color w:val="auto"/>
              </w:rPr>
            </w:pPr>
          </w:p>
        </w:tc>
        <w:tc>
          <w:tcPr>
            <w:tcW w:w="440" w:type="dxa"/>
            <w:vAlign w:val="bottom"/>
            <w:tcBorders>
              <w:bottom w:val="single" w:sz="8" w:color="007DC6"/>
            </w:tcBorders>
          </w:tcPr>
          <w:p>
            <w:pPr>
              <w:spacing w:after="0"/>
              <w:rPr>
                <w:sz w:val="14"/>
                <w:szCs w:val="14"/>
                <w:color w:val="auto"/>
              </w:rPr>
            </w:pPr>
          </w:p>
        </w:tc>
        <w:tc>
          <w:tcPr>
            <w:tcW w:w="280" w:type="dxa"/>
            <w:vAlign w:val="bottom"/>
            <w:tcBorders>
              <w:bottom w:val="single" w:sz="8" w:color="007DC6"/>
            </w:tcBorders>
          </w:tcPr>
          <w:p>
            <w:pPr>
              <w:spacing w:after="0"/>
              <w:rPr>
                <w:sz w:val="14"/>
                <w:szCs w:val="14"/>
                <w:color w:val="auto"/>
              </w:rPr>
            </w:pPr>
          </w:p>
        </w:tc>
        <w:tc>
          <w:tcPr>
            <w:tcW w:w="960" w:type="dxa"/>
            <w:vAlign w:val="bottom"/>
            <w:tcBorders>
              <w:bottom w:val="single" w:sz="8" w:color="007DC6"/>
            </w:tcBorders>
          </w:tcPr>
          <w:p>
            <w:pPr>
              <w:spacing w:after="0"/>
              <w:rPr>
                <w:sz w:val="14"/>
                <w:szCs w:val="14"/>
                <w:color w:val="auto"/>
              </w:rPr>
            </w:pPr>
          </w:p>
        </w:tc>
        <w:tc>
          <w:tcPr>
            <w:tcW w:w="440" w:type="dxa"/>
            <w:vAlign w:val="bottom"/>
            <w:tcBorders>
              <w:bottom w:val="single" w:sz="8" w:color="007DC6"/>
            </w:tcBorders>
          </w:tcPr>
          <w:p>
            <w:pPr>
              <w:spacing w:after="0"/>
              <w:rPr>
                <w:sz w:val="14"/>
                <w:szCs w:val="14"/>
                <w:color w:val="auto"/>
              </w:rPr>
            </w:pPr>
          </w:p>
        </w:tc>
        <w:tc>
          <w:tcPr>
            <w:tcW w:w="280" w:type="dxa"/>
            <w:vAlign w:val="bottom"/>
            <w:tcBorders>
              <w:bottom w:val="single" w:sz="8" w:color="007DC6"/>
            </w:tcBorders>
          </w:tcPr>
          <w:p>
            <w:pPr>
              <w:spacing w:after="0"/>
              <w:rPr>
                <w:sz w:val="14"/>
                <w:szCs w:val="14"/>
                <w:color w:val="auto"/>
              </w:rPr>
            </w:pPr>
          </w:p>
        </w:tc>
        <w:tc>
          <w:tcPr>
            <w:tcW w:w="680" w:type="dxa"/>
            <w:vAlign w:val="bottom"/>
            <w:tcBorders>
              <w:bottom w:val="single" w:sz="8" w:color="007DC6"/>
            </w:tcBorders>
          </w:tcPr>
          <w:p>
            <w:pPr>
              <w:spacing w:after="0"/>
              <w:rPr>
                <w:sz w:val="14"/>
                <w:szCs w:val="14"/>
                <w:color w:val="auto"/>
              </w:rPr>
            </w:pPr>
          </w:p>
        </w:tc>
        <w:tc>
          <w:tcPr>
            <w:tcW w:w="1980" w:type="dxa"/>
            <w:vAlign w:val="bottom"/>
            <w:tcBorders>
              <w:bottom w:val="single" w:sz="8" w:color="007DC6"/>
            </w:tcBorders>
          </w:tcPr>
          <w:p>
            <w:pPr>
              <w:spacing w:after="0"/>
              <w:rPr>
                <w:sz w:val="14"/>
                <w:szCs w:val="14"/>
                <w:color w:val="auto"/>
              </w:rPr>
            </w:pPr>
          </w:p>
        </w:tc>
        <w:tc>
          <w:tcPr>
            <w:tcW w:w="1180" w:type="dxa"/>
            <w:vAlign w:val="bottom"/>
            <w:tcBorders>
              <w:bottom w:val="single" w:sz="8" w:color="007DC6"/>
            </w:tcBorders>
          </w:tcPr>
          <w:p>
            <w:pPr>
              <w:spacing w:after="0"/>
              <w:rPr>
                <w:sz w:val="14"/>
                <w:szCs w:val="14"/>
                <w:color w:val="auto"/>
              </w:rPr>
            </w:pPr>
          </w:p>
        </w:tc>
        <w:tc>
          <w:tcPr>
            <w:tcW w:w="208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4294967237"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100" w:type="dxa"/>
            <w:vAlign w:val="bottom"/>
            <w:tcBorders>
              <w:bottom w:val="single" w:sz="8" w:color="007DC6"/>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1"/>
        </w:trPr>
        <w:tc>
          <w:tcPr>
            <w:tcW w:w="1680" w:type="dxa"/>
            <w:vAlign w:val="bottom"/>
            <w:tcBorders>
              <w:left w:val="single" w:sz="8" w:color="91BBD3"/>
              <w:bottom w:val="single" w:sz="8" w:color="007DC6"/>
              <w:right w:val="single" w:sz="8" w:color="91BBD3"/>
            </w:tcBorders>
            <w:shd w:val="clear" w:color="auto" w:fill="007DC6"/>
          </w:tcPr>
          <w:p>
            <w:pPr>
              <w:jc w:val="right"/>
              <w:ind w:right="350"/>
              <w:spacing w:after="0"/>
              <w:rPr>
                <w:sz w:val="20"/>
                <w:szCs w:val="20"/>
                <w:color w:val="auto"/>
              </w:rPr>
            </w:pPr>
            <w:r>
              <w:rPr>
                <w:rFonts w:ascii="Calibri" w:cs="Calibri" w:eastAsia="Calibri" w:hAnsi="Calibri"/>
                <w:sz w:val="18"/>
                <w:szCs w:val="18"/>
                <w:b w:val="1"/>
                <w:bCs w:val="1"/>
                <w:color w:val="FFFFFF"/>
              </w:rPr>
              <w:t>Exhibit No.</w:t>
            </w:r>
          </w:p>
        </w:tc>
        <w:tc>
          <w:tcPr>
            <w:tcW w:w="100" w:type="dxa"/>
            <w:vAlign w:val="bottom"/>
            <w:tcBorders>
              <w:bottom w:val="single" w:sz="8" w:color="007DC6"/>
            </w:tcBorders>
            <w:shd w:val="clear" w:color="auto" w:fill="007DC6"/>
          </w:tcPr>
          <w:p>
            <w:pPr>
              <w:spacing w:after="0"/>
              <w:rPr>
                <w:sz w:val="24"/>
                <w:szCs w:val="24"/>
                <w:color w:val="auto"/>
              </w:rPr>
            </w:pPr>
          </w:p>
        </w:tc>
        <w:tc>
          <w:tcPr>
            <w:tcW w:w="680" w:type="dxa"/>
            <w:vAlign w:val="bottom"/>
            <w:tcBorders>
              <w:bottom w:val="single" w:sz="8" w:color="007DC6"/>
            </w:tcBorders>
            <w:shd w:val="clear" w:color="auto" w:fill="007DC6"/>
          </w:tcPr>
          <w:p>
            <w:pPr>
              <w:spacing w:after="0"/>
              <w:rPr>
                <w:sz w:val="24"/>
                <w:szCs w:val="24"/>
                <w:color w:val="auto"/>
              </w:rPr>
            </w:pPr>
          </w:p>
        </w:tc>
        <w:tc>
          <w:tcPr>
            <w:tcW w:w="440" w:type="dxa"/>
            <w:vAlign w:val="bottom"/>
            <w:tcBorders>
              <w:bottom w:val="single" w:sz="8" w:color="007DC6"/>
            </w:tcBorders>
            <w:shd w:val="clear" w:color="auto" w:fill="007DC6"/>
          </w:tcPr>
          <w:p>
            <w:pPr>
              <w:spacing w:after="0"/>
              <w:rPr>
                <w:sz w:val="24"/>
                <w:szCs w:val="24"/>
                <w:color w:val="auto"/>
              </w:rPr>
            </w:pPr>
          </w:p>
        </w:tc>
        <w:tc>
          <w:tcPr>
            <w:tcW w:w="280" w:type="dxa"/>
            <w:vAlign w:val="bottom"/>
            <w:tcBorders>
              <w:bottom w:val="single" w:sz="8" w:color="007DC6"/>
            </w:tcBorders>
            <w:shd w:val="clear" w:color="auto" w:fill="007DC6"/>
          </w:tcPr>
          <w:p>
            <w:pPr>
              <w:spacing w:after="0"/>
              <w:rPr>
                <w:sz w:val="24"/>
                <w:szCs w:val="24"/>
                <w:color w:val="auto"/>
              </w:rPr>
            </w:pPr>
          </w:p>
        </w:tc>
        <w:tc>
          <w:tcPr>
            <w:tcW w:w="960" w:type="dxa"/>
            <w:vAlign w:val="bottom"/>
            <w:tcBorders>
              <w:bottom w:val="single" w:sz="8" w:color="007DC6"/>
            </w:tcBorders>
            <w:shd w:val="clear" w:color="auto" w:fill="007DC6"/>
          </w:tcPr>
          <w:p>
            <w:pPr>
              <w:spacing w:after="0"/>
              <w:rPr>
                <w:sz w:val="24"/>
                <w:szCs w:val="24"/>
                <w:color w:val="auto"/>
              </w:rPr>
            </w:pPr>
          </w:p>
        </w:tc>
        <w:tc>
          <w:tcPr>
            <w:tcW w:w="440" w:type="dxa"/>
            <w:vAlign w:val="bottom"/>
            <w:tcBorders>
              <w:bottom w:val="single" w:sz="8" w:color="007DC6"/>
            </w:tcBorders>
            <w:shd w:val="clear" w:color="auto" w:fill="007DC6"/>
          </w:tcPr>
          <w:p>
            <w:pPr>
              <w:spacing w:after="0"/>
              <w:rPr>
                <w:sz w:val="24"/>
                <w:szCs w:val="24"/>
                <w:color w:val="auto"/>
              </w:rPr>
            </w:pPr>
          </w:p>
        </w:tc>
        <w:tc>
          <w:tcPr>
            <w:tcW w:w="280" w:type="dxa"/>
            <w:vAlign w:val="bottom"/>
            <w:tcBorders>
              <w:bottom w:val="single" w:sz="8" w:color="007DC6"/>
            </w:tcBorders>
            <w:shd w:val="clear" w:color="auto" w:fill="007DC6"/>
          </w:tcPr>
          <w:p>
            <w:pPr>
              <w:spacing w:after="0"/>
              <w:rPr>
                <w:sz w:val="24"/>
                <w:szCs w:val="24"/>
                <w:color w:val="auto"/>
              </w:rPr>
            </w:pPr>
          </w:p>
        </w:tc>
        <w:tc>
          <w:tcPr>
            <w:tcW w:w="680" w:type="dxa"/>
            <w:vAlign w:val="bottom"/>
            <w:tcBorders>
              <w:bottom w:val="single" w:sz="8" w:color="007DC6"/>
            </w:tcBorders>
            <w:shd w:val="clear" w:color="auto" w:fill="007DC6"/>
          </w:tcPr>
          <w:p>
            <w:pPr>
              <w:spacing w:after="0"/>
              <w:rPr>
                <w:sz w:val="24"/>
                <w:szCs w:val="24"/>
                <w:color w:val="auto"/>
              </w:rPr>
            </w:pPr>
          </w:p>
        </w:tc>
        <w:tc>
          <w:tcPr>
            <w:tcW w:w="1980" w:type="dxa"/>
            <w:vAlign w:val="bottom"/>
            <w:tcBorders>
              <w:bottom w:val="single" w:sz="8" w:color="007DC6"/>
            </w:tcBorders>
            <w:shd w:val="clear" w:color="auto" w:fill="007DC6"/>
          </w:tcPr>
          <w:p>
            <w:pPr>
              <w:spacing w:after="0"/>
              <w:rPr>
                <w:sz w:val="24"/>
                <w:szCs w:val="24"/>
                <w:color w:val="auto"/>
              </w:rPr>
            </w:pPr>
          </w:p>
        </w:tc>
        <w:tc>
          <w:tcPr>
            <w:tcW w:w="1180" w:type="dxa"/>
            <w:vAlign w:val="bottom"/>
            <w:tcBorders>
              <w:bottom w:val="single" w:sz="8" w:color="007DC6"/>
            </w:tcBorders>
            <w:shd w:val="clear" w:color="auto" w:fill="007DC6"/>
          </w:tcPr>
          <w:p>
            <w:pPr>
              <w:spacing w:after="0"/>
              <w:rPr>
                <w:sz w:val="24"/>
                <w:szCs w:val="24"/>
                <w:color w:val="auto"/>
              </w:rPr>
            </w:pPr>
          </w:p>
        </w:tc>
        <w:tc>
          <w:tcPr>
            <w:tcW w:w="2080" w:type="dxa"/>
            <w:vAlign w:val="bottom"/>
            <w:tcBorders>
              <w:bottom w:val="single" w:sz="8" w:color="007DC6"/>
            </w:tcBorders>
            <w:shd w:val="clear" w:color="auto" w:fill="007DC6"/>
          </w:tcPr>
          <w:p>
            <w:pPr>
              <w:spacing w:after="0"/>
              <w:rPr>
                <w:sz w:val="24"/>
                <w:szCs w:val="24"/>
                <w:color w:val="auto"/>
              </w:rPr>
            </w:pPr>
          </w:p>
        </w:tc>
        <w:tc>
          <w:tcPr>
            <w:tcW w:w="20" w:type="dxa"/>
            <w:vAlign w:val="bottom"/>
            <w:tcBorders>
              <w:bottom w:val="single" w:sz="8" w:color="007DC6"/>
            </w:tcBorders>
            <w:shd w:val="clear" w:color="auto" w:fill="007DC6"/>
          </w:tcPr>
          <w:p>
            <w:pPr>
              <w:spacing w:after="0"/>
              <w:rPr>
                <w:sz w:val="24"/>
                <w:szCs w:val="24"/>
                <w:color w:val="auto"/>
              </w:rPr>
            </w:pPr>
          </w:p>
        </w:tc>
        <w:tc>
          <w:tcPr>
            <w:tcW w:w="20" w:type="dxa"/>
            <w:vAlign w:val="bottom"/>
            <w:tcBorders>
              <w:bottom w:val="single" w:sz="8" w:color="007DC6"/>
            </w:tcBorders>
            <w:shd w:val="clear" w:color="auto" w:fill="007DC6"/>
          </w:tcPr>
          <w:p>
            <w:pPr>
              <w:spacing w:after="0"/>
              <w:rPr>
                <w:sz w:val="24"/>
                <w:szCs w:val="24"/>
                <w:color w:val="auto"/>
              </w:rPr>
            </w:pPr>
          </w:p>
        </w:tc>
        <w:tc>
          <w:tcPr>
            <w:tcW w:w="20" w:type="dxa"/>
            <w:vAlign w:val="bottom"/>
            <w:tcBorders>
              <w:bottom w:val="single" w:sz="8" w:color="007DC6"/>
            </w:tcBorders>
            <w:shd w:val="clear" w:color="auto" w:fill="007DC6"/>
          </w:tcPr>
          <w:p>
            <w:pPr>
              <w:spacing w:after="0"/>
              <w:rPr>
                <w:sz w:val="24"/>
                <w:szCs w:val="24"/>
                <w:color w:val="auto"/>
              </w:rPr>
            </w:pPr>
          </w:p>
        </w:tc>
        <w:tc>
          <w:tcPr>
            <w:tcW w:w="4294967237" w:type="dxa"/>
            <w:vAlign w:val="bottom"/>
            <w:tcBorders>
              <w:bottom w:val="single" w:sz="8" w:color="007DC6"/>
            </w:tcBorders>
            <w:shd w:val="clear" w:color="auto" w:fill="007DC6"/>
          </w:tcPr>
          <w:p>
            <w:pPr>
              <w:spacing w:after="0"/>
              <w:rPr>
                <w:sz w:val="24"/>
                <w:szCs w:val="24"/>
                <w:color w:val="auto"/>
              </w:rPr>
            </w:pPr>
          </w:p>
        </w:tc>
        <w:tc>
          <w:tcPr>
            <w:tcW w:w="20" w:type="dxa"/>
            <w:vAlign w:val="bottom"/>
            <w:tcBorders>
              <w:bottom w:val="single" w:sz="8" w:color="007DC6"/>
            </w:tcBorders>
            <w:shd w:val="clear" w:color="auto" w:fill="007DC6"/>
          </w:tcPr>
          <w:p>
            <w:pPr>
              <w:spacing w:after="0"/>
              <w:rPr>
                <w:sz w:val="24"/>
                <w:szCs w:val="24"/>
                <w:color w:val="auto"/>
              </w:rPr>
            </w:pPr>
          </w:p>
        </w:tc>
        <w:tc>
          <w:tcPr>
            <w:tcW w:w="100" w:type="dxa"/>
            <w:vAlign w:val="bottom"/>
            <w:tcBorders>
              <w:bottom w:val="single" w:sz="8" w:color="007DC6"/>
              <w:right w:val="single" w:sz="8" w:color="007DC6"/>
            </w:tcBorders>
            <w:shd w:val="clear" w:color="auto" w:fill="007DC6"/>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680" w:type="dxa"/>
            <w:vAlign w:val="bottom"/>
            <w:tcBorders>
              <w:top w:val="single" w:sz="8" w:color="91BBD3"/>
              <w:left w:val="single" w:sz="8" w:color="91BBD3"/>
              <w:bottom w:val="single" w:sz="8" w:color="DAE8F0"/>
              <w:right w:val="single" w:sz="8" w:color="91BBD3"/>
            </w:tcBorders>
            <w:shd w:val="clear" w:color="auto" w:fill="DAE8F0"/>
          </w:tcPr>
          <w:p>
            <w:pPr>
              <w:spacing w:after="0"/>
              <w:rPr>
                <w:sz w:val="12"/>
                <w:szCs w:val="12"/>
                <w:color w:val="auto"/>
              </w:rPr>
            </w:pPr>
          </w:p>
        </w:tc>
        <w:tc>
          <w:tcPr>
            <w:tcW w:w="100" w:type="dxa"/>
            <w:vAlign w:val="bottom"/>
            <w:tcBorders>
              <w:top w:val="single" w:sz="8" w:color="91BBD3"/>
              <w:bottom w:val="single" w:sz="8" w:color="DAE8F0"/>
            </w:tcBorders>
            <w:shd w:val="clear" w:color="auto" w:fill="DAE8F0"/>
          </w:tcPr>
          <w:p>
            <w:pPr>
              <w:spacing w:after="0"/>
              <w:rPr>
                <w:sz w:val="12"/>
                <w:szCs w:val="12"/>
                <w:color w:val="auto"/>
              </w:rPr>
            </w:pPr>
          </w:p>
        </w:tc>
        <w:tc>
          <w:tcPr>
            <w:tcW w:w="9040" w:type="dxa"/>
            <w:vAlign w:val="bottom"/>
            <w:tcBorders>
              <w:top w:val="single" w:sz="8" w:color="91BBD3"/>
              <w:bottom w:val="single" w:sz="8" w:color="0563C1"/>
            </w:tcBorders>
            <w:gridSpan w:val="12"/>
            <w:shd w:val="clear" w:color="auto" w:fill="DAE8F0"/>
          </w:tcPr>
          <w:p>
            <w:pPr>
              <w:spacing w:after="0" w:line="149" w:lineRule="exact"/>
              <w:rPr>
                <w:rFonts w:ascii="MS PGothic" w:cs="MS PGothic" w:eastAsia="MS PGothic" w:hAnsi="MS PGothic"/>
                <w:sz w:val="18"/>
                <w:szCs w:val="18"/>
                <w:color w:val="0563C1"/>
                <w:w w:val="98"/>
              </w:rPr>
            </w:pPr>
            <w:hyperlink r:id="rId504">
              <w:r>
                <w:rPr>
                  <w:rFonts w:ascii="MS PGothic" w:cs="MS PGothic" w:eastAsia="MS PGothic" w:hAnsi="MS PGothic"/>
                  <w:sz w:val="18"/>
                  <w:szCs w:val="18"/>
                  <w:color w:val="0563C1"/>
                  <w:w w:val="98"/>
                </w:rPr>
                <w:t>administratve agent for the lenders (incorporated by reference to Exhibit 10.1 to the Martn Marieta Materials, Inc. Current</w:t>
              </w:r>
            </w:hyperlink>
          </w:p>
        </w:tc>
        <w:tc>
          <w:tcPr>
            <w:tcW w:w="80" w:type="dxa"/>
            <w:vAlign w:val="bottom"/>
            <w:tcBorders>
              <w:top w:val="single" w:sz="8" w:color="91BBD3"/>
              <w:bottom w:val="single" w:sz="8" w:color="DAE8F0"/>
              <w:right w:val="single" w:sz="8" w:color="91BBD3"/>
            </w:tcBorders>
            <w:gridSpan w:val="4"/>
            <w:shd w:val="clear" w:color="auto" w:fill="DAE8F0"/>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1680" w:type="dxa"/>
            <w:vAlign w:val="bottom"/>
            <w:tcBorders>
              <w:left w:val="single" w:sz="8" w:color="91BBD3"/>
              <w:bottom w:val="single" w:sz="8" w:color="91BBD3"/>
              <w:right w:val="single" w:sz="8" w:color="91BBD3"/>
            </w:tcBorders>
            <w:shd w:val="clear" w:color="auto" w:fill="DAE8F0"/>
          </w:tcPr>
          <w:p>
            <w:pPr>
              <w:spacing w:after="0"/>
              <w:rPr>
                <w:sz w:val="22"/>
                <w:szCs w:val="22"/>
                <w:color w:val="auto"/>
              </w:rPr>
            </w:pPr>
          </w:p>
        </w:tc>
        <w:tc>
          <w:tcPr>
            <w:tcW w:w="100" w:type="dxa"/>
            <w:vAlign w:val="bottom"/>
            <w:tcBorders>
              <w:bottom w:val="single" w:sz="8" w:color="91BBD3"/>
            </w:tcBorders>
            <w:shd w:val="clear" w:color="auto" w:fill="DAE8F0"/>
          </w:tcPr>
          <w:p>
            <w:pPr>
              <w:spacing w:after="0"/>
              <w:rPr>
                <w:sz w:val="22"/>
                <w:szCs w:val="22"/>
                <w:color w:val="auto"/>
              </w:rPr>
            </w:pPr>
          </w:p>
        </w:tc>
        <w:tc>
          <w:tcPr>
            <w:tcW w:w="5740" w:type="dxa"/>
            <w:vAlign w:val="bottom"/>
            <w:tcBorders>
              <w:bottom w:val="single" w:sz="8" w:color="0563C1"/>
            </w:tcBorders>
            <w:gridSpan w:val="8"/>
            <w:shd w:val="clear" w:color="auto" w:fill="DAE8F0"/>
          </w:tcPr>
          <w:p>
            <w:pPr>
              <w:spacing w:after="0"/>
              <w:rPr>
                <w:rFonts w:ascii="MS PGothic" w:cs="MS PGothic" w:eastAsia="MS PGothic" w:hAnsi="MS PGothic"/>
                <w:sz w:val="18"/>
                <w:szCs w:val="18"/>
                <w:color w:val="0563C1"/>
                <w:w w:val="94"/>
              </w:rPr>
            </w:pPr>
            <w:hyperlink r:id="rId504">
              <w:r>
                <w:rPr>
                  <w:rFonts w:ascii="MS PGothic" w:cs="MS PGothic" w:eastAsia="MS PGothic" w:hAnsi="MS PGothic"/>
                  <w:sz w:val="18"/>
                  <w:szCs w:val="18"/>
                  <w:color w:val="0563C1"/>
                  <w:w w:val="94"/>
                </w:rPr>
                <w:t>Report on Form 8-K fled on September 24, 2019) (Commission File No. 1-12744)</w:t>
              </w:r>
            </w:hyperlink>
          </w:p>
        </w:tc>
        <w:tc>
          <w:tcPr>
            <w:tcW w:w="3380" w:type="dxa"/>
            <w:vAlign w:val="bottom"/>
            <w:tcBorders>
              <w:bottom w:val="single" w:sz="8" w:color="91BBD3"/>
              <w:right w:val="single" w:sz="8" w:color="91BBD3"/>
            </w:tcBorders>
            <w:gridSpan w:val="8"/>
            <w:shd w:val="clear" w:color="auto" w:fill="DAE8F0"/>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right w:val="single" w:sz="8" w:color="91BBD3"/>
            </w:tcBorders>
          </w:tcPr>
          <w:p>
            <w:pPr>
              <w:jc w:val="right"/>
              <w:ind w:right="1050"/>
              <w:spacing w:after="0" w:line="169" w:lineRule="exact"/>
              <w:rPr>
                <w:sz w:val="20"/>
                <w:szCs w:val="20"/>
                <w:color w:val="auto"/>
              </w:rPr>
            </w:pPr>
            <w:r>
              <w:rPr>
                <w:rFonts w:ascii="Calibri" w:cs="Calibri" w:eastAsia="Calibri" w:hAnsi="Calibri"/>
                <w:sz w:val="18"/>
                <w:szCs w:val="18"/>
                <w:b w:val="1"/>
                <w:bCs w:val="1"/>
                <w:color w:val="auto"/>
              </w:rPr>
              <w:t>10.11</w:t>
            </w:r>
          </w:p>
        </w:tc>
        <w:tc>
          <w:tcPr>
            <w:tcW w:w="100" w:type="dxa"/>
            <w:vAlign w:val="bottom"/>
          </w:tcPr>
          <w:p>
            <w:pPr>
              <w:spacing w:after="0"/>
              <w:rPr>
                <w:sz w:val="14"/>
                <w:szCs w:val="14"/>
                <w:color w:val="auto"/>
              </w:rPr>
            </w:pPr>
          </w:p>
        </w:tc>
        <w:tc>
          <w:tcPr>
            <w:tcW w:w="9120" w:type="dxa"/>
            <w:vAlign w:val="bottom"/>
            <w:tcBorders>
              <w:bottom w:val="single" w:sz="8" w:color="0563C1"/>
              <w:right w:val="single" w:sz="8" w:color="91BBD3"/>
            </w:tcBorders>
            <w:gridSpan w:val="16"/>
          </w:tcPr>
          <w:p>
            <w:pPr>
              <w:spacing w:after="0" w:line="169" w:lineRule="exact"/>
              <w:rPr>
                <w:rFonts w:ascii="MS PGothic" w:cs="MS PGothic" w:eastAsia="MS PGothic" w:hAnsi="MS PGothic"/>
                <w:sz w:val="18"/>
                <w:szCs w:val="18"/>
                <w:color w:val="0563C1"/>
                <w:w w:val="98"/>
              </w:rPr>
            </w:pPr>
            <w:hyperlink r:id="rId508">
              <w:r>
                <w:rPr>
                  <w:rFonts w:ascii="MS PGothic" w:cs="MS PGothic" w:eastAsia="MS PGothic" w:hAnsi="MS PGothic"/>
                  <w:sz w:val="18"/>
                  <w:szCs w:val="18"/>
                  <w:color w:val="0563C1"/>
                  <w:w w:val="98"/>
                </w:rPr>
                <w:t>Twelfh Amendment to Credit and Security Agreement, dated as of September 23, 2020, among Martn Marieta Funding LLC,</w:t>
              </w:r>
            </w:hyperlink>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20" w:type="dxa"/>
            <w:vAlign w:val="bottom"/>
            <w:tcBorders>
              <w:bottom w:val="single" w:sz="8" w:color="0563C1"/>
            </w:tcBorders>
            <w:gridSpan w:val="11"/>
          </w:tcPr>
          <w:p>
            <w:pPr>
              <w:spacing w:after="0"/>
              <w:rPr>
                <w:rFonts w:ascii="MS PGothic" w:cs="MS PGothic" w:eastAsia="MS PGothic" w:hAnsi="MS PGothic"/>
                <w:sz w:val="18"/>
                <w:szCs w:val="18"/>
                <w:color w:val="0563C1"/>
                <w:w w:val="98"/>
              </w:rPr>
            </w:pPr>
            <w:hyperlink r:id="rId508">
              <w:r>
                <w:rPr>
                  <w:rFonts w:ascii="MS PGothic" w:cs="MS PGothic" w:eastAsia="MS PGothic" w:hAnsi="MS PGothic"/>
                  <w:sz w:val="18"/>
                  <w:szCs w:val="18"/>
                  <w:color w:val="0563C1"/>
                  <w:w w:val="98"/>
                </w:rPr>
                <w:t>as borrower, Martn Marieta Materials, Inc., as servicer, and Truist Bank, successor by merger to SunTrust Bank, as lender</w:t>
              </w:r>
            </w:hyperlink>
          </w:p>
        </w:tc>
        <w:tc>
          <w:tcPr>
            <w:tcW w:w="100" w:type="dxa"/>
            <w:vAlign w:val="bottom"/>
            <w:tcBorders>
              <w:right w:val="single" w:sz="8" w:color="91BBD3"/>
            </w:tcBorders>
            <w:gridSpan w:val="5"/>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20" w:type="dxa"/>
            <w:vAlign w:val="bottom"/>
            <w:tcBorders>
              <w:bottom w:val="single" w:sz="8" w:color="0563C1"/>
            </w:tcBorders>
            <w:gridSpan w:val="11"/>
          </w:tcPr>
          <w:p>
            <w:pPr>
              <w:spacing w:after="0"/>
              <w:rPr>
                <w:rFonts w:ascii="MS PGothic" w:cs="MS PGothic" w:eastAsia="MS PGothic" w:hAnsi="MS PGothic"/>
                <w:sz w:val="18"/>
                <w:szCs w:val="18"/>
                <w:color w:val="0563C1"/>
                <w:w w:val="96"/>
              </w:rPr>
            </w:pPr>
            <w:hyperlink r:id="rId508">
              <w:r>
                <w:rPr>
                  <w:rFonts w:ascii="MS PGothic" w:cs="MS PGothic" w:eastAsia="MS PGothic" w:hAnsi="MS PGothic"/>
                  <w:sz w:val="18"/>
                  <w:szCs w:val="18"/>
                  <w:color w:val="0563C1"/>
                  <w:w w:val="96"/>
                </w:rPr>
                <w:t>together with the other lenders from tme to tme party thereto, and Truist Bank, successor by merger to Sun Trust Bank, as</w:t>
              </w:r>
            </w:hyperlink>
          </w:p>
        </w:tc>
        <w:tc>
          <w:tcPr>
            <w:tcW w:w="100" w:type="dxa"/>
            <w:vAlign w:val="bottom"/>
            <w:tcBorders>
              <w:right w:val="single" w:sz="8" w:color="91BBD3"/>
            </w:tcBorders>
            <w:gridSpan w:val="5"/>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00" w:type="dxa"/>
            <w:vAlign w:val="bottom"/>
            <w:tcBorders>
              <w:bottom w:val="single" w:sz="8" w:color="0563C1"/>
            </w:tcBorders>
            <w:gridSpan w:val="10"/>
          </w:tcPr>
          <w:p>
            <w:pPr>
              <w:spacing w:after="0"/>
              <w:rPr>
                <w:rFonts w:ascii="MS PGothic" w:cs="MS PGothic" w:eastAsia="MS PGothic" w:hAnsi="MS PGothic"/>
                <w:sz w:val="18"/>
                <w:szCs w:val="18"/>
                <w:color w:val="0563C1"/>
                <w:w w:val="97"/>
              </w:rPr>
            </w:pPr>
            <w:hyperlink r:id="rId508">
              <w:r>
                <w:rPr>
                  <w:rFonts w:ascii="MS PGothic" w:cs="MS PGothic" w:eastAsia="MS PGothic" w:hAnsi="MS PGothic"/>
                  <w:sz w:val="18"/>
                  <w:szCs w:val="18"/>
                  <w:color w:val="0563C1"/>
                  <w:w w:val="97"/>
                </w:rPr>
                <w:t>administratve agent for the lenders (incorporated by reference to Exhibit 10.01 to the Martn Marieta Materials, Inc. Current</w:t>
              </w:r>
            </w:hyperlink>
          </w:p>
        </w:tc>
        <w:tc>
          <w:tcPr>
            <w:tcW w:w="120" w:type="dxa"/>
            <w:vAlign w:val="bottom"/>
            <w:tcBorders>
              <w:right w:val="single" w:sz="8" w:color="91BBD3"/>
            </w:tcBorders>
            <w:gridSpan w:val="6"/>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6"/>
          </w:tcPr>
          <w:p>
            <w:pPr>
              <w:spacing w:after="0"/>
              <w:rPr>
                <w:rFonts w:ascii="MS PGothic" w:cs="MS PGothic" w:eastAsia="MS PGothic" w:hAnsi="MS PGothic"/>
                <w:sz w:val="18"/>
                <w:szCs w:val="18"/>
                <w:color w:val="0563C1"/>
              </w:rPr>
            </w:pPr>
            <w:hyperlink r:id="rId508">
              <w:r>
                <w:rPr>
                  <w:rFonts w:ascii="MS PGothic" w:cs="MS PGothic" w:eastAsia="MS PGothic" w:hAnsi="MS PGothic"/>
                  <w:sz w:val="18"/>
                  <w:szCs w:val="18"/>
                  <w:color w:val="0563C1"/>
                </w:rPr>
                <w:t>Report on Form 8-K fled on September 23, 2020) (Commission File No. 1-12744)</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680" w:type="dxa"/>
            <w:vAlign w:val="bottom"/>
            <w:tcBorders>
              <w:left w:val="single" w:sz="8" w:color="91BBD3"/>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680" w:type="dxa"/>
            <w:vAlign w:val="bottom"/>
            <w:tcBorders>
              <w:top w:val="single" w:sz="8" w:color="0563C1"/>
              <w:bottom w:val="single" w:sz="8" w:color="91BBD3"/>
            </w:tcBorders>
          </w:tcPr>
          <w:p>
            <w:pPr>
              <w:spacing w:after="0"/>
              <w:rPr>
                <w:sz w:val="4"/>
                <w:szCs w:val="4"/>
                <w:color w:val="auto"/>
              </w:rPr>
            </w:pPr>
          </w:p>
        </w:tc>
        <w:tc>
          <w:tcPr>
            <w:tcW w:w="440" w:type="dxa"/>
            <w:vAlign w:val="bottom"/>
            <w:tcBorders>
              <w:top w:val="single" w:sz="8" w:color="0563C1"/>
              <w:bottom w:val="single" w:sz="8" w:color="91BBD3"/>
            </w:tcBorders>
          </w:tcPr>
          <w:p>
            <w:pPr>
              <w:spacing w:after="0"/>
              <w:rPr>
                <w:sz w:val="4"/>
                <w:szCs w:val="4"/>
                <w:color w:val="auto"/>
              </w:rPr>
            </w:pPr>
          </w:p>
        </w:tc>
        <w:tc>
          <w:tcPr>
            <w:tcW w:w="280" w:type="dxa"/>
            <w:vAlign w:val="bottom"/>
            <w:tcBorders>
              <w:top w:val="single" w:sz="8" w:color="0563C1"/>
              <w:bottom w:val="single" w:sz="8" w:color="91BBD3"/>
            </w:tcBorders>
          </w:tcPr>
          <w:p>
            <w:pPr>
              <w:spacing w:after="0"/>
              <w:rPr>
                <w:sz w:val="4"/>
                <w:szCs w:val="4"/>
                <w:color w:val="auto"/>
              </w:rPr>
            </w:pPr>
          </w:p>
        </w:tc>
        <w:tc>
          <w:tcPr>
            <w:tcW w:w="960" w:type="dxa"/>
            <w:vAlign w:val="bottom"/>
            <w:tcBorders>
              <w:top w:val="single" w:sz="8" w:color="0563C1"/>
              <w:bottom w:val="single" w:sz="8" w:color="91BBD3"/>
            </w:tcBorders>
          </w:tcPr>
          <w:p>
            <w:pPr>
              <w:spacing w:after="0"/>
              <w:rPr>
                <w:sz w:val="4"/>
                <w:szCs w:val="4"/>
                <w:color w:val="auto"/>
              </w:rPr>
            </w:pPr>
          </w:p>
        </w:tc>
        <w:tc>
          <w:tcPr>
            <w:tcW w:w="440" w:type="dxa"/>
            <w:vAlign w:val="bottom"/>
            <w:tcBorders>
              <w:top w:val="single" w:sz="8" w:color="0563C1"/>
              <w:bottom w:val="single" w:sz="8" w:color="91BBD3"/>
            </w:tcBorders>
          </w:tcPr>
          <w:p>
            <w:pPr>
              <w:spacing w:after="0"/>
              <w:rPr>
                <w:sz w:val="4"/>
                <w:szCs w:val="4"/>
                <w:color w:val="auto"/>
              </w:rPr>
            </w:pPr>
          </w:p>
        </w:tc>
        <w:tc>
          <w:tcPr>
            <w:tcW w:w="280" w:type="dxa"/>
            <w:vAlign w:val="bottom"/>
            <w:tcBorders>
              <w:top w:val="single" w:sz="8" w:color="0563C1"/>
              <w:bottom w:val="single" w:sz="8" w:color="91BBD3"/>
            </w:tcBorders>
          </w:tcPr>
          <w:p>
            <w:pPr>
              <w:spacing w:after="0"/>
              <w:rPr>
                <w:sz w:val="4"/>
                <w:szCs w:val="4"/>
                <w:color w:val="auto"/>
              </w:rPr>
            </w:pPr>
          </w:p>
        </w:tc>
        <w:tc>
          <w:tcPr>
            <w:tcW w:w="680" w:type="dxa"/>
            <w:vAlign w:val="bottom"/>
            <w:tcBorders>
              <w:top w:val="single" w:sz="8" w:color="0563C1"/>
              <w:bottom w:val="single" w:sz="8" w:color="91BBD3"/>
            </w:tcBorders>
          </w:tcPr>
          <w:p>
            <w:pPr>
              <w:spacing w:after="0"/>
              <w:rPr>
                <w:sz w:val="4"/>
                <w:szCs w:val="4"/>
                <w:color w:val="auto"/>
              </w:rPr>
            </w:pPr>
          </w:p>
        </w:tc>
        <w:tc>
          <w:tcPr>
            <w:tcW w:w="1980" w:type="dxa"/>
            <w:vAlign w:val="bottom"/>
            <w:tcBorders>
              <w:top w:val="single" w:sz="8" w:color="0563C1"/>
              <w:bottom w:val="single" w:sz="8" w:color="91BBD3"/>
            </w:tcBorders>
          </w:tcPr>
          <w:p>
            <w:pPr>
              <w:spacing w:after="0"/>
              <w:rPr>
                <w:sz w:val="4"/>
                <w:szCs w:val="4"/>
                <w:color w:val="auto"/>
              </w:rPr>
            </w:pPr>
          </w:p>
        </w:tc>
        <w:tc>
          <w:tcPr>
            <w:tcW w:w="1180" w:type="dxa"/>
            <w:vAlign w:val="bottom"/>
            <w:tcBorders>
              <w:bottom w:val="single" w:sz="8" w:color="91BBD3"/>
            </w:tcBorders>
          </w:tcPr>
          <w:p>
            <w:pPr>
              <w:spacing w:after="0"/>
              <w:rPr>
                <w:sz w:val="4"/>
                <w:szCs w:val="4"/>
                <w:color w:val="auto"/>
              </w:rPr>
            </w:pPr>
          </w:p>
        </w:tc>
        <w:tc>
          <w:tcPr>
            <w:tcW w:w="208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4294967237"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100" w:type="dxa"/>
            <w:vAlign w:val="bottom"/>
            <w:tcBorders>
              <w:bottom w:val="single" w:sz="8" w:color="91BBD3"/>
              <w:right w:val="single" w:sz="8" w:color="91BBD3"/>
            </w:tcBorders>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bottom w:val="single" w:sz="8" w:color="DAE8F0"/>
              <w:right w:val="single" w:sz="8" w:color="91BBD3"/>
            </w:tcBorders>
            <w:shd w:val="clear" w:color="auto" w:fill="DAE8F0"/>
          </w:tcPr>
          <w:p>
            <w:pPr>
              <w:jc w:val="right"/>
              <w:ind w:right="1050"/>
              <w:spacing w:after="0" w:line="169" w:lineRule="exact"/>
              <w:rPr>
                <w:sz w:val="20"/>
                <w:szCs w:val="20"/>
                <w:color w:val="auto"/>
              </w:rPr>
            </w:pPr>
            <w:r>
              <w:rPr>
                <w:rFonts w:ascii="Calibri" w:cs="Calibri" w:eastAsia="Calibri" w:hAnsi="Calibri"/>
                <w:sz w:val="18"/>
                <w:szCs w:val="18"/>
                <w:b w:val="1"/>
                <w:bCs w:val="1"/>
                <w:color w:val="auto"/>
              </w:rPr>
              <w:t>10.12</w:t>
            </w:r>
          </w:p>
        </w:tc>
        <w:tc>
          <w:tcPr>
            <w:tcW w:w="100" w:type="dxa"/>
            <w:vAlign w:val="bottom"/>
            <w:tcBorders>
              <w:bottom w:val="single" w:sz="8" w:color="DAE8F0"/>
            </w:tcBorders>
            <w:shd w:val="clear" w:color="auto" w:fill="DAE8F0"/>
          </w:tcPr>
          <w:p>
            <w:pPr>
              <w:spacing w:after="0"/>
              <w:rPr>
                <w:sz w:val="14"/>
                <w:szCs w:val="14"/>
                <w:color w:val="auto"/>
              </w:rPr>
            </w:pPr>
          </w:p>
        </w:tc>
        <w:tc>
          <w:tcPr>
            <w:tcW w:w="9020" w:type="dxa"/>
            <w:vAlign w:val="bottom"/>
            <w:tcBorders>
              <w:bottom w:val="single" w:sz="8" w:color="0563C1"/>
            </w:tcBorders>
            <w:gridSpan w:val="11"/>
            <w:shd w:val="clear" w:color="auto" w:fill="DAE8F0"/>
          </w:tcPr>
          <w:p>
            <w:pPr>
              <w:spacing w:after="0" w:line="169" w:lineRule="exact"/>
              <w:rPr>
                <w:rFonts w:ascii="MS PGothic" w:cs="MS PGothic" w:eastAsia="MS PGothic" w:hAnsi="MS PGothic"/>
                <w:sz w:val="18"/>
                <w:szCs w:val="18"/>
                <w:color w:val="0563C1"/>
                <w:w w:val="98"/>
              </w:rPr>
            </w:pPr>
            <w:hyperlink r:id="rId509">
              <w:r>
                <w:rPr>
                  <w:rFonts w:ascii="MS PGothic" w:cs="MS PGothic" w:eastAsia="MS PGothic" w:hAnsi="MS PGothic"/>
                  <w:sz w:val="18"/>
                  <w:szCs w:val="18"/>
                  <w:color w:val="0563C1"/>
                  <w:w w:val="98"/>
                </w:rPr>
                <w:t>Thirteenth Amendment to Credit and Security Agreement, dated as of September 22, 2021, among Martn Marieta Funding</w:t>
              </w:r>
            </w:hyperlink>
          </w:p>
        </w:tc>
        <w:tc>
          <w:tcPr>
            <w:tcW w:w="100" w:type="dxa"/>
            <w:vAlign w:val="bottom"/>
            <w:tcBorders>
              <w:bottom w:val="single" w:sz="8" w:color="DAE8F0"/>
              <w:right w:val="single" w:sz="8" w:color="91BBD3"/>
            </w:tcBorders>
            <w:gridSpan w:val="5"/>
            <w:shd w:val="clear" w:color="auto" w:fill="DAE8F0"/>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9000" w:type="dxa"/>
            <w:vAlign w:val="bottom"/>
            <w:tcBorders>
              <w:bottom w:val="single" w:sz="8" w:color="0563C1"/>
            </w:tcBorders>
            <w:gridSpan w:val="10"/>
            <w:shd w:val="clear" w:color="auto" w:fill="DAE8F0"/>
          </w:tcPr>
          <w:p>
            <w:pPr>
              <w:spacing w:after="0"/>
              <w:rPr>
                <w:rFonts w:ascii="MS PGothic" w:cs="MS PGothic" w:eastAsia="MS PGothic" w:hAnsi="MS PGothic"/>
                <w:sz w:val="18"/>
                <w:szCs w:val="18"/>
                <w:color w:val="0563C1"/>
                <w:w w:val="94"/>
              </w:rPr>
            </w:pPr>
            <w:hyperlink r:id="rId509">
              <w:r>
                <w:rPr>
                  <w:rFonts w:ascii="MS PGothic" w:cs="MS PGothic" w:eastAsia="MS PGothic" w:hAnsi="MS PGothic"/>
                  <w:sz w:val="18"/>
                  <w:szCs w:val="18"/>
                  <w:color w:val="0563C1"/>
                  <w:w w:val="94"/>
                </w:rPr>
                <w:t>LLC, as borrower, Martn Marieta Materials, Inc., as servicer, and Truist Bank, successor by merger to SunTrust Bank, as lender</w:t>
              </w:r>
            </w:hyperlink>
          </w:p>
        </w:tc>
        <w:tc>
          <w:tcPr>
            <w:tcW w:w="120" w:type="dxa"/>
            <w:vAlign w:val="bottom"/>
            <w:tcBorders>
              <w:bottom w:val="single" w:sz="8" w:color="DAE8F0"/>
              <w:right w:val="single" w:sz="8" w:color="91BBD3"/>
            </w:tcBorders>
            <w:gridSpan w:val="6"/>
            <w:shd w:val="clear" w:color="auto" w:fill="DAE8F0"/>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9020" w:type="dxa"/>
            <w:vAlign w:val="bottom"/>
            <w:tcBorders>
              <w:bottom w:val="single" w:sz="8" w:color="0563C1"/>
            </w:tcBorders>
            <w:gridSpan w:val="11"/>
            <w:shd w:val="clear" w:color="auto" w:fill="DAE8F0"/>
          </w:tcPr>
          <w:p>
            <w:pPr>
              <w:spacing w:after="0"/>
              <w:rPr>
                <w:rFonts w:ascii="MS PGothic" w:cs="MS PGothic" w:eastAsia="MS PGothic" w:hAnsi="MS PGothic"/>
                <w:sz w:val="18"/>
                <w:szCs w:val="18"/>
                <w:color w:val="0563C1"/>
                <w:w w:val="96"/>
              </w:rPr>
            </w:pPr>
            <w:hyperlink r:id="rId509">
              <w:r>
                <w:rPr>
                  <w:rFonts w:ascii="MS PGothic" w:cs="MS PGothic" w:eastAsia="MS PGothic" w:hAnsi="MS PGothic"/>
                  <w:sz w:val="18"/>
                  <w:szCs w:val="18"/>
                  <w:color w:val="0563C1"/>
                  <w:w w:val="96"/>
                </w:rPr>
                <w:t>together with the other lenders from tme to tme party thereto, and Truist Bank, successor by merger to Sun Trust Bank, as</w:t>
              </w:r>
            </w:hyperlink>
          </w:p>
        </w:tc>
        <w:tc>
          <w:tcPr>
            <w:tcW w:w="100" w:type="dxa"/>
            <w:vAlign w:val="bottom"/>
            <w:tcBorders>
              <w:bottom w:val="single" w:sz="8" w:color="DAE8F0"/>
              <w:right w:val="single" w:sz="8" w:color="91BBD3"/>
            </w:tcBorders>
            <w:gridSpan w:val="5"/>
            <w:shd w:val="clear" w:color="auto" w:fill="DAE8F0"/>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9000" w:type="dxa"/>
            <w:vAlign w:val="bottom"/>
            <w:tcBorders>
              <w:bottom w:val="single" w:sz="8" w:color="0563C1"/>
            </w:tcBorders>
            <w:gridSpan w:val="10"/>
            <w:shd w:val="clear" w:color="auto" w:fill="DAE8F0"/>
          </w:tcPr>
          <w:p>
            <w:pPr>
              <w:spacing w:after="0"/>
              <w:rPr>
                <w:rFonts w:ascii="MS PGothic" w:cs="MS PGothic" w:eastAsia="MS PGothic" w:hAnsi="MS PGothic"/>
                <w:sz w:val="18"/>
                <w:szCs w:val="18"/>
                <w:color w:val="0563C1"/>
                <w:w w:val="97"/>
              </w:rPr>
            </w:pPr>
            <w:hyperlink r:id="rId509">
              <w:r>
                <w:rPr>
                  <w:rFonts w:ascii="MS PGothic" w:cs="MS PGothic" w:eastAsia="MS PGothic" w:hAnsi="MS PGothic"/>
                  <w:sz w:val="18"/>
                  <w:szCs w:val="18"/>
                  <w:color w:val="0563C1"/>
                  <w:w w:val="97"/>
                </w:rPr>
                <w:t>administratve agent for the lenders (incorporated by reference to Exhibit 10.01 to the Martn Marieta Materials, Inc. Current</w:t>
              </w:r>
            </w:hyperlink>
          </w:p>
        </w:tc>
        <w:tc>
          <w:tcPr>
            <w:tcW w:w="120" w:type="dxa"/>
            <w:vAlign w:val="bottom"/>
            <w:tcBorders>
              <w:bottom w:val="single" w:sz="8" w:color="DAE8F0"/>
              <w:right w:val="single" w:sz="8" w:color="91BBD3"/>
            </w:tcBorders>
            <w:gridSpan w:val="6"/>
            <w:shd w:val="clear" w:color="auto" w:fill="DAE8F0"/>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680" w:type="dxa"/>
            <w:vAlign w:val="bottom"/>
            <w:tcBorders>
              <w:left w:val="single" w:sz="8" w:color="91BBD3"/>
              <w:bottom w:val="single" w:sz="8" w:color="91BBD3"/>
              <w:right w:val="single" w:sz="8" w:color="91BBD3"/>
            </w:tcBorders>
            <w:shd w:val="clear" w:color="auto" w:fill="DAE8F0"/>
          </w:tcPr>
          <w:p>
            <w:pPr>
              <w:spacing w:after="0"/>
              <w:rPr>
                <w:sz w:val="22"/>
                <w:szCs w:val="22"/>
                <w:color w:val="auto"/>
              </w:rPr>
            </w:pPr>
          </w:p>
        </w:tc>
        <w:tc>
          <w:tcPr>
            <w:tcW w:w="100" w:type="dxa"/>
            <w:vAlign w:val="bottom"/>
            <w:tcBorders>
              <w:bottom w:val="single" w:sz="8" w:color="91BBD3"/>
            </w:tcBorders>
            <w:shd w:val="clear" w:color="auto" w:fill="DAE8F0"/>
          </w:tcPr>
          <w:p>
            <w:pPr>
              <w:spacing w:after="0"/>
              <w:rPr>
                <w:sz w:val="22"/>
                <w:szCs w:val="22"/>
                <w:color w:val="auto"/>
              </w:rPr>
            </w:pPr>
          </w:p>
        </w:tc>
        <w:tc>
          <w:tcPr>
            <w:tcW w:w="5740" w:type="dxa"/>
            <w:vAlign w:val="bottom"/>
            <w:tcBorders>
              <w:bottom w:val="single" w:sz="8" w:color="0563C1"/>
            </w:tcBorders>
            <w:gridSpan w:val="8"/>
            <w:shd w:val="clear" w:color="auto" w:fill="DAE8F0"/>
          </w:tcPr>
          <w:p>
            <w:pPr>
              <w:spacing w:after="0"/>
              <w:rPr>
                <w:rFonts w:ascii="MS PGothic" w:cs="MS PGothic" w:eastAsia="MS PGothic" w:hAnsi="MS PGothic"/>
                <w:sz w:val="18"/>
                <w:szCs w:val="18"/>
                <w:color w:val="0563C1"/>
                <w:w w:val="94"/>
              </w:rPr>
            </w:pPr>
            <w:hyperlink r:id="rId509">
              <w:r>
                <w:rPr>
                  <w:rFonts w:ascii="MS PGothic" w:cs="MS PGothic" w:eastAsia="MS PGothic" w:hAnsi="MS PGothic"/>
                  <w:sz w:val="18"/>
                  <w:szCs w:val="18"/>
                  <w:color w:val="0563C1"/>
                  <w:w w:val="94"/>
                </w:rPr>
                <w:t>Report on Form 8-K fled on September 23, 2021) (Commission File No. 1-12744)</w:t>
              </w:r>
            </w:hyperlink>
          </w:p>
        </w:tc>
        <w:tc>
          <w:tcPr>
            <w:tcW w:w="3380" w:type="dxa"/>
            <w:vAlign w:val="bottom"/>
            <w:tcBorders>
              <w:bottom w:val="single" w:sz="8" w:color="91BBD3"/>
              <w:right w:val="single" w:sz="8" w:color="91BBD3"/>
            </w:tcBorders>
            <w:gridSpan w:val="8"/>
            <w:shd w:val="clear" w:color="auto" w:fill="DAE8F0"/>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right w:val="single" w:sz="8" w:color="91BBD3"/>
            </w:tcBorders>
          </w:tcPr>
          <w:p>
            <w:pPr>
              <w:jc w:val="right"/>
              <w:ind w:right="1050"/>
              <w:spacing w:after="0" w:line="169" w:lineRule="exact"/>
              <w:rPr>
                <w:sz w:val="20"/>
                <w:szCs w:val="20"/>
                <w:color w:val="auto"/>
              </w:rPr>
            </w:pPr>
            <w:r>
              <w:rPr>
                <w:rFonts w:ascii="Calibri" w:cs="Calibri" w:eastAsia="Calibri" w:hAnsi="Calibri"/>
                <w:sz w:val="18"/>
                <w:szCs w:val="18"/>
                <w:b w:val="1"/>
                <w:bCs w:val="1"/>
                <w:color w:val="auto"/>
              </w:rPr>
              <w:t>10.13</w:t>
            </w:r>
          </w:p>
        </w:tc>
        <w:tc>
          <w:tcPr>
            <w:tcW w:w="100" w:type="dxa"/>
            <w:vAlign w:val="bottom"/>
          </w:tcPr>
          <w:p>
            <w:pPr>
              <w:spacing w:after="0"/>
              <w:rPr>
                <w:sz w:val="14"/>
                <w:szCs w:val="14"/>
                <w:color w:val="auto"/>
              </w:rPr>
            </w:pPr>
          </w:p>
        </w:tc>
        <w:tc>
          <w:tcPr>
            <w:tcW w:w="9020" w:type="dxa"/>
            <w:vAlign w:val="bottom"/>
            <w:tcBorders>
              <w:bottom w:val="single" w:sz="8" w:color="0563C1"/>
            </w:tcBorders>
            <w:gridSpan w:val="15"/>
          </w:tcPr>
          <w:p>
            <w:pPr>
              <w:spacing w:after="0" w:line="169" w:lineRule="exact"/>
              <w:rPr>
                <w:rFonts w:ascii="MS PGothic" w:cs="MS PGothic" w:eastAsia="MS PGothic" w:hAnsi="MS PGothic"/>
                <w:sz w:val="18"/>
                <w:szCs w:val="18"/>
                <w:color w:val="0563C1"/>
              </w:rPr>
            </w:pPr>
            <w:hyperlink r:id="rId510">
              <w:r>
                <w:rPr>
                  <w:rFonts w:ascii="MS PGothic" w:cs="MS PGothic" w:eastAsia="MS PGothic" w:hAnsi="MS PGothic"/>
                  <w:sz w:val="18"/>
                  <w:szCs w:val="18"/>
                  <w:color w:val="0563C1"/>
                </w:rPr>
                <w:t>Fourteenth Amendment to Credit Agreement, dated as of September 21, 2022, among Martn Marieta Funding LLC, as</w:t>
              </w:r>
            </w:hyperlink>
          </w:p>
        </w:tc>
        <w:tc>
          <w:tcPr>
            <w:tcW w:w="100" w:type="dxa"/>
            <w:vAlign w:val="bottom"/>
            <w:tcBorders>
              <w:right w:val="single" w:sz="8" w:color="91BBD3"/>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00" w:type="dxa"/>
            <w:vAlign w:val="bottom"/>
            <w:tcBorders>
              <w:bottom w:val="single" w:sz="8" w:color="0563C1"/>
            </w:tcBorders>
            <w:gridSpan w:val="10"/>
          </w:tcPr>
          <w:p>
            <w:pPr>
              <w:spacing w:after="0"/>
              <w:rPr>
                <w:rFonts w:ascii="MS PGothic" w:cs="MS PGothic" w:eastAsia="MS PGothic" w:hAnsi="MS PGothic"/>
                <w:sz w:val="18"/>
                <w:szCs w:val="18"/>
                <w:color w:val="0563C1"/>
              </w:rPr>
            </w:pPr>
            <w:hyperlink r:id="rId510">
              <w:r>
                <w:rPr>
                  <w:rFonts w:ascii="MS PGothic" w:cs="MS PGothic" w:eastAsia="MS PGothic" w:hAnsi="MS PGothic"/>
                  <w:sz w:val="18"/>
                  <w:szCs w:val="18"/>
                  <w:color w:val="0563C1"/>
                </w:rPr>
                <w:t>borrower, Martn Marieta Materials, Inc., as servicer, and Truist Bank, successor by merger to SunTrust Bank, as lender</w:t>
              </w:r>
            </w:hyperlink>
          </w:p>
        </w:tc>
        <w:tc>
          <w:tcPr>
            <w:tcW w:w="120" w:type="dxa"/>
            <w:vAlign w:val="bottom"/>
            <w:tcBorders>
              <w:right w:val="single" w:sz="8" w:color="91BBD3"/>
            </w:tcBorders>
            <w:gridSpan w:val="6"/>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20" w:type="dxa"/>
            <w:vAlign w:val="bottom"/>
            <w:tcBorders>
              <w:bottom w:val="single" w:sz="8" w:color="0563C1"/>
            </w:tcBorders>
            <w:gridSpan w:val="11"/>
          </w:tcPr>
          <w:p>
            <w:pPr>
              <w:spacing w:after="0"/>
              <w:rPr>
                <w:rFonts w:ascii="MS PGothic" w:cs="MS PGothic" w:eastAsia="MS PGothic" w:hAnsi="MS PGothic"/>
                <w:sz w:val="18"/>
                <w:szCs w:val="18"/>
                <w:color w:val="0563C1"/>
                <w:w w:val="96"/>
              </w:rPr>
            </w:pPr>
            <w:hyperlink r:id="rId510">
              <w:r>
                <w:rPr>
                  <w:rFonts w:ascii="MS PGothic" w:cs="MS PGothic" w:eastAsia="MS PGothic" w:hAnsi="MS PGothic"/>
                  <w:sz w:val="18"/>
                  <w:szCs w:val="18"/>
                  <w:color w:val="0563C1"/>
                  <w:w w:val="96"/>
                </w:rPr>
                <w:t>together with the other lenders from tme to tme party thereto, and Truist Bank, successor by merger to Sun Trust Bank, as</w:t>
              </w:r>
            </w:hyperlink>
          </w:p>
        </w:tc>
        <w:tc>
          <w:tcPr>
            <w:tcW w:w="100" w:type="dxa"/>
            <w:vAlign w:val="bottom"/>
            <w:tcBorders>
              <w:right w:val="single" w:sz="8" w:color="91BBD3"/>
            </w:tcBorders>
            <w:gridSpan w:val="5"/>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00" w:type="dxa"/>
            <w:vAlign w:val="bottom"/>
            <w:tcBorders>
              <w:bottom w:val="single" w:sz="8" w:color="0563C1"/>
            </w:tcBorders>
            <w:gridSpan w:val="10"/>
          </w:tcPr>
          <w:p>
            <w:pPr>
              <w:spacing w:after="0"/>
              <w:rPr>
                <w:rFonts w:ascii="MS PGothic" w:cs="MS PGothic" w:eastAsia="MS PGothic" w:hAnsi="MS PGothic"/>
                <w:sz w:val="18"/>
                <w:szCs w:val="18"/>
                <w:color w:val="0563C1"/>
              </w:rPr>
            </w:pPr>
            <w:hyperlink r:id="rId510">
              <w:r>
                <w:rPr>
                  <w:rFonts w:ascii="MS PGothic" w:cs="MS PGothic" w:eastAsia="MS PGothic" w:hAnsi="MS PGothic"/>
                  <w:sz w:val="18"/>
                  <w:szCs w:val="18"/>
                  <w:color w:val="0563C1"/>
                </w:rPr>
                <w:t>administratve agent for the lenders (including a conformed copy of the Credit Agreement atached as Exhibit A thereto)</w:t>
              </w:r>
            </w:hyperlink>
          </w:p>
        </w:tc>
        <w:tc>
          <w:tcPr>
            <w:tcW w:w="20" w:type="dxa"/>
            <w:vAlign w:val="bottom"/>
            <w:tcBorders>
              <w:bottom w:val="single" w:sz="8" w:color="0000EE"/>
            </w:tcBorders>
          </w:tcPr>
          <w:p>
            <w:pPr>
              <w:spacing w:after="0"/>
              <w:rPr>
                <w:sz w:val="17"/>
                <w:szCs w:val="17"/>
                <w:color w:val="auto"/>
              </w:rPr>
            </w:pPr>
          </w:p>
        </w:tc>
        <w:tc>
          <w:tcPr>
            <w:tcW w:w="100" w:type="dxa"/>
            <w:vAlign w:val="bottom"/>
            <w:tcBorders>
              <w:right w:val="single" w:sz="8" w:color="91BBD3"/>
            </w:tcBorders>
            <w:gridSpan w:val="5"/>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60" w:type="dxa"/>
            <w:vAlign w:val="bottom"/>
            <w:tcBorders>
              <w:bottom w:val="single" w:sz="8" w:color="0563C1"/>
            </w:tcBorders>
            <w:gridSpan w:val="13"/>
          </w:tcPr>
          <w:p>
            <w:pPr>
              <w:spacing w:after="0"/>
              <w:rPr>
                <w:rFonts w:ascii="MS PGothic" w:cs="MS PGothic" w:eastAsia="MS PGothic" w:hAnsi="MS PGothic"/>
                <w:sz w:val="18"/>
                <w:szCs w:val="18"/>
                <w:color w:val="0563C1"/>
              </w:rPr>
            </w:pPr>
            <w:hyperlink r:id="rId510">
              <w:r>
                <w:rPr>
                  <w:rFonts w:ascii="MS PGothic" w:cs="MS PGothic" w:eastAsia="MS PGothic" w:hAnsi="MS PGothic"/>
                  <w:sz w:val="18"/>
                  <w:szCs w:val="18"/>
                  <w:color w:val="0563C1"/>
                </w:rPr>
                <w:t>(incorporated by reference to Exhibit 10.01 to the Martn Marieta Materials, Inc. Current Report on Form 8-K fled on</w:t>
              </w:r>
            </w:hyperlink>
          </w:p>
        </w:tc>
        <w:tc>
          <w:tcPr>
            <w:tcW w:w="60" w:type="dxa"/>
            <w:vAlign w:val="bottom"/>
            <w:tcBorders>
              <w:right w:val="single" w:sz="8" w:color="91BBD3"/>
            </w:tcBorders>
            <w:gridSpan w:val="3"/>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6"/>
          </w:tcPr>
          <w:p>
            <w:pPr>
              <w:spacing w:after="0"/>
              <w:rPr>
                <w:rFonts w:ascii="MS PGothic" w:cs="MS PGothic" w:eastAsia="MS PGothic" w:hAnsi="MS PGothic"/>
                <w:sz w:val="18"/>
                <w:szCs w:val="18"/>
                <w:color w:val="0563C1"/>
              </w:rPr>
            </w:pPr>
            <w:hyperlink r:id="rId510">
              <w:r>
                <w:rPr>
                  <w:rFonts w:ascii="MS PGothic" w:cs="MS PGothic" w:eastAsia="MS PGothic" w:hAnsi="MS PGothic"/>
                  <w:sz w:val="18"/>
                  <w:szCs w:val="18"/>
                  <w:color w:val="0563C1"/>
                </w:rPr>
                <w:t>September 21, 2022) (Commission File No. 1-12744)</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680" w:type="dxa"/>
            <w:vAlign w:val="bottom"/>
            <w:tcBorders>
              <w:left w:val="single" w:sz="8" w:color="91BBD3"/>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680" w:type="dxa"/>
            <w:vAlign w:val="bottom"/>
            <w:tcBorders>
              <w:top w:val="single" w:sz="8" w:color="0000EE"/>
              <w:bottom w:val="single" w:sz="8" w:color="91BBD3"/>
            </w:tcBorders>
          </w:tcPr>
          <w:p>
            <w:pPr>
              <w:spacing w:after="0"/>
              <w:rPr>
                <w:sz w:val="4"/>
                <w:szCs w:val="4"/>
                <w:color w:val="auto"/>
              </w:rPr>
            </w:pPr>
          </w:p>
        </w:tc>
        <w:tc>
          <w:tcPr>
            <w:tcW w:w="440" w:type="dxa"/>
            <w:vAlign w:val="bottom"/>
            <w:tcBorders>
              <w:top w:val="single" w:sz="8" w:color="0000EE"/>
              <w:bottom w:val="single" w:sz="8" w:color="91BBD3"/>
            </w:tcBorders>
          </w:tcPr>
          <w:p>
            <w:pPr>
              <w:spacing w:after="0"/>
              <w:rPr>
                <w:sz w:val="4"/>
                <w:szCs w:val="4"/>
                <w:color w:val="auto"/>
              </w:rPr>
            </w:pPr>
          </w:p>
        </w:tc>
        <w:tc>
          <w:tcPr>
            <w:tcW w:w="280" w:type="dxa"/>
            <w:vAlign w:val="bottom"/>
            <w:tcBorders>
              <w:top w:val="single" w:sz="8" w:color="0000EE"/>
              <w:bottom w:val="single" w:sz="8" w:color="91BBD3"/>
            </w:tcBorders>
          </w:tcPr>
          <w:p>
            <w:pPr>
              <w:spacing w:after="0"/>
              <w:rPr>
                <w:sz w:val="4"/>
                <w:szCs w:val="4"/>
                <w:color w:val="auto"/>
              </w:rPr>
            </w:pPr>
          </w:p>
        </w:tc>
        <w:tc>
          <w:tcPr>
            <w:tcW w:w="960" w:type="dxa"/>
            <w:vAlign w:val="bottom"/>
            <w:tcBorders>
              <w:top w:val="single" w:sz="8" w:color="0000EE"/>
              <w:bottom w:val="single" w:sz="8" w:color="91BBD3"/>
            </w:tcBorders>
          </w:tcPr>
          <w:p>
            <w:pPr>
              <w:spacing w:after="0"/>
              <w:rPr>
                <w:sz w:val="4"/>
                <w:szCs w:val="4"/>
                <w:color w:val="auto"/>
              </w:rPr>
            </w:pPr>
          </w:p>
        </w:tc>
        <w:tc>
          <w:tcPr>
            <w:tcW w:w="440" w:type="dxa"/>
            <w:vAlign w:val="bottom"/>
            <w:tcBorders>
              <w:top w:val="single" w:sz="8" w:color="0000EE"/>
              <w:bottom w:val="single" w:sz="8" w:color="91BBD3"/>
            </w:tcBorders>
          </w:tcPr>
          <w:p>
            <w:pPr>
              <w:spacing w:after="0"/>
              <w:rPr>
                <w:sz w:val="4"/>
                <w:szCs w:val="4"/>
                <w:color w:val="auto"/>
              </w:rPr>
            </w:pPr>
          </w:p>
        </w:tc>
        <w:tc>
          <w:tcPr>
            <w:tcW w:w="280" w:type="dxa"/>
            <w:vAlign w:val="bottom"/>
            <w:tcBorders>
              <w:top w:val="single" w:sz="8" w:color="0000EE"/>
              <w:bottom w:val="single" w:sz="8" w:color="91BBD3"/>
            </w:tcBorders>
          </w:tcPr>
          <w:p>
            <w:pPr>
              <w:spacing w:after="0"/>
              <w:rPr>
                <w:sz w:val="4"/>
                <w:szCs w:val="4"/>
                <w:color w:val="auto"/>
              </w:rPr>
            </w:pPr>
          </w:p>
        </w:tc>
        <w:tc>
          <w:tcPr>
            <w:tcW w:w="680" w:type="dxa"/>
            <w:vAlign w:val="bottom"/>
            <w:tcBorders>
              <w:top w:val="single" w:sz="8" w:color="0000EE"/>
              <w:bottom w:val="single" w:sz="8" w:color="91BBD3"/>
            </w:tcBorders>
          </w:tcPr>
          <w:p>
            <w:pPr>
              <w:spacing w:after="0"/>
              <w:rPr>
                <w:sz w:val="4"/>
                <w:szCs w:val="4"/>
                <w:color w:val="auto"/>
              </w:rPr>
            </w:pPr>
          </w:p>
        </w:tc>
        <w:tc>
          <w:tcPr>
            <w:tcW w:w="1980" w:type="dxa"/>
            <w:vAlign w:val="bottom"/>
            <w:tcBorders>
              <w:bottom w:val="single" w:sz="8" w:color="91BBD3"/>
            </w:tcBorders>
          </w:tcPr>
          <w:p>
            <w:pPr>
              <w:spacing w:after="0"/>
              <w:rPr>
                <w:sz w:val="4"/>
                <w:szCs w:val="4"/>
                <w:color w:val="auto"/>
              </w:rPr>
            </w:pPr>
          </w:p>
        </w:tc>
        <w:tc>
          <w:tcPr>
            <w:tcW w:w="1180" w:type="dxa"/>
            <w:vAlign w:val="bottom"/>
            <w:tcBorders>
              <w:bottom w:val="single" w:sz="8" w:color="91BBD3"/>
            </w:tcBorders>
          </w:tcPr>
          <w:p>
            <w:pPr>
              <w:spacing w:after="0"/>
              <w:rPr>
                <w:sz w:val="4"/>
                <w:szCs w:val="4"/>
                <w:color w:val="auto"/>
              </w:rPr>
            </w:pPr>
          </w:p>
        </w:tc>
        <w:tc>
          <w:tcPr>
            <w:tcW w:w="208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4294967237"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100" w:type="dxa"/>
            <w:vAlign w:val="bottom"/>
            <w:tcBorders>
              <w:bottom w:val="single" w:sz="8" w:color="91BBD3"/>
              <w:right w:val="single" w:sz="8" w:color="91BBD3"/>
            </w:tcBorders>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bottom w:val="single" w:sz="8" w:color="DAE8F0"/>
              <w:right w:val="single" w:sz="8" w:color="91BBD3"/>
            </w:tcBorders>
            <w:shd w:val="clear" w:color="auto" w:fill="DAE8F0"/>
          </w:tcPr>
          <w:p>
            <w:pPr>
              <w:jc w:val="right"/>
              <w:ind w:right="1050"/>
              <w:spacing w:after="0" w:line="169" w:lineRule="exact"/>
              <w:rPr>
                <w:sz w:val="20"/>
                <w:szCs w:val="20"/>
                <w:color w:val="auto"/>
              </w:rPr>
            </w:pPr>
            <w:r>
              <w:rPr>
                <w:rFonts w:ascii="Calibri" w:cs="Calibri" w:eastAsia="Calibri" w:hAnsi="Calibri"/>
                <w:sz w:val="18"/>
                <w:szCs w:val="18"/>
                <w:b w:val="1"/>
                <w:bCs w:val="1"/>
                <w:color w:val="auto"/>
              </w:rPr>
              <w:t>10.14</w:t>
            </w:r>
          </w:p>
        </w:tc>
        <w:tc>
          <w:tcPr>
            <w:tcW w:w="100" w:type="dxa"/>
            <w:vAlign w:val="bottom"/>
            <w:tcBorders>
              <w:bottom w:val="single" w:sz="8" w:color="DAE8F0"/>
            </w:tcBorders>
            <w:shd w:val="clear" w:color="auto" w:fill="DAE8F0"/>
          </w:tcPr>
          <w:p>
            <w:pPr>
              <w:spacing w:after="0"/>
              <w:rPr>
                <w:sz w:val="14"/>
                <w:szCs w:val="14"/>
                <w:color w:val="auto"/>
              </w:rPr>
            </w:pPr>
          </w:p>
        </w:tc>
        <w:tc>
          <w:tcPr>
            <w:tcW w:w="9020" w:type="dxa"/>
            <w:vAlign w:val="bottom"/>
            <w:tcBorders>
              <w:bottom w:val="single" w:sz="8" w:color="0563C1"/>
            </w:tcBorders>
            <w:gridSpan w:val="11"/>
            <w:shd w:val="clear" w:color="auto" w:fill="DAE8F0"/>
          </w:tcPr>
          <w:p>
            <w:pPr>
              <w:spacing w:after="0" w:line="169" w:lineRule="exact"/>
              <w:rPr>
                <w:rFonts w:ascii="MS PGothic" w:cs="MS PGothic" w:eastAsia="MS PGothic" w:hAnsi="MS PGothic"/>
                <w:sz w:val="18"/>
                <w:szCs w:val="18"/>
                <w:color w:val="0563C1"/>
              </w:rPr>
            </w:pPr>
            <w:hyperlink r:id="rId511">
              <w:r>
                <w:rPr>
                  <w:rFonts w:ascii="MS PGothic" w:cs="MS PGothic" w:eastAsia="MS PGothic" w:hAnsi="MS PGothic"/>
                  <w:sz w:val="18"/>
                  <w:szCs w:val="18"/>
                  <w:color w:val="0563C1"/>
                </w:rPr>
                <w:t>Purchase and Contributon Agreement dated as of April 19, 2013, between Martn Marieta Materials, Inc., as seller and as</w:t>
              </w:r>
            </w:hyperlink>
          </w:p>
        </w:tc>
        <w:tc>
          <w:tcPr>
            <w:tcW w:w="20" w:type="dxa"/>
            <w:vAlign w:val="bottom"/>
            <w:tcBorders>
              <w:bottom w:val="single" w:sz="8" w:color="0000EE"/>
            </w:tcBorders>
            <w:shd w:val="clear" w:color="auto" w:fill="DAE8F0"/>
          </w:tcPr>
          <w:p>
            <w:pPr>
              <w:spacing w:after="0"/>
              <w:rPr>
                <w:sz w:val="14"/>
                <w:szCs w:val="14"/>
                <w:color w:val="auto"/>
              </w:rPr>
            </w:pPr>
          </w:p>
        </w:tc>
        <w:tc>
          <w:tcPr>
            <w:tcW w:w="80" w:type="dxa"/>
            <w:vAlign w:val="bottom"/>
            <w:tcBorders>
              <w:bottom w:val="single" w:sz="8" w:color="DAE8F0"/>
              <w:right w:val="single" w:sz="8" w:color="91BBD3"/>
            </w:tcBorders>
            <w:gridSpan w:val="4"/>
            <w:shd w:val="clear" w:color="auto" w:fill="DAE8F0"/>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9020" w:type="dxa"/>
            <w:vAlign w:val="bottom"/>
            <w:tcBorders>
              <w:bottom w:val="single" w:sz="8" w:color="0563C1"/>
            </w:tcBorders>
            <w:gridSpan w:val="11"/>
            <w:shd w:val="clear" w:color="auto" w:fill="DAE8F0"/>
          </w:tcPr>
          <w:p>
            <w:pPr>
              <w:spacing w:after="0"/>
              <w:rPr>
                <w:rFonts w:ascii="MS PGothic" w:cs="MS PGothic" w:eastAsia="MS PGothic" w:hAnsi="MS PGothic"/>
                <w:sz w:val="18"/>
                <w:szCs w:val="18"/>
                <w:color w:val="0563C1"/>
              </w:rPr>
            </w:pPr>
            <w:hyperlink r:id="rId511">
              <w:r>
                <w:rPr>
                  <w:rFonts w:ascii="MS PGothic" w:cs="MS PGothic" w:eastAsia="MS PGothic" w:hAnsi="MS PGothic"/>
                  <w:sz w:val="18"/>
                  <w:szCs w:val="18"/>
                  <w:color w:val="0563C1"/>
                </w:rPr>
                <w:t>servicer, and Martn Marieta Funding LLC, as buyer (incorporated by reference to Exhibit 10.02 to the Martn Marieta</w:t>
              </w:r>
            </w:hyperlink>
          </w:p>
        </w:tc>
        <w:tc>
          <w:tcPr>
            <w:tcW w:w="100" w:type="dxa"/>
            <w:vAlign w:val="bottom"/>
            <w:tcBorders>
              <w:bottom w:val="single" w:sz="8" w:color="DAE8F0"/>
              <w:right w:val="single" w:sz="8" w:color="91BBD3"/>
            </w:tcBorders>
            <w:gridSpan w:val="5"/>
            <w:shd w:val="clear" w:color="auto" w:fill="DAE8F0"/>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680" w:type="dxa"/>
            <w:vAlign w:val="bottom"/>
            <w:tcBorders>
              <w:left w:val="single" w:sz="8" w:color="91BBD3"/>
              <w:bottom w:val="single" w:sz="8" w:color="91BBD3"/>
              <w:right w:val="single" w:sz="8" w:color="91BBD3"/>
            </w:tcBorders>
            <w:shd w:val="clear" w:color="auto" w:fill="DAE8F0"/>
          </w:tcPr>
          <w:p>
            <w:pPr>
              <w:spacing w:after="0"/>
              <w:rPr>
                <w:sz w:val="22"/>
                <w:szCs w:val="22"/>
                <w:color w:val="auto"/>
              </w:rPr>
            </w:pPr>
          </w:p>
        </w:tc>
        <w:tc>
          <w:tcPr>
            <w:tcW w:w="100" w:type="dxa"/>
            <w:vAlign w:val="bottom"/>
            <w:tcBorders>
              <w:bottom w:val="single" w:sz="8" w:color="91BBD3"/>
            </w:tcBorders>
            <w:shd w:val="clear" w:color="auto" w:fill="DAE8F0"/>
          </w:tcPr>
          <w:p>
            <w:pPr>
              <w:spacing w:after="0"/>
              <w:rPr>
                <w:sz w:val="22"/>
                <w:szCs w:val="22"/>
                <w:color w:val="auto"/>
              </w:rPr>
            </w:pPr>
          </w:p>
        </w:tc>
        <w:tc>
          <w:tcPr>
            <w:tcW w:w="6920" w:type="dxa"/>
            <w:vAlign w:val="bottom"/>
            <w:tcBorders>
              <w:bottom w:val="single" w:sz="8" w:color="0563C1"/>
            </w:tcBorders>
            <w:gridSpan w:val="9"/>
            <w:shd w:val="clear" w:color="auto" w:fill="DAE8F0"/>
          </w:tcPr>
          <w:p>
            <w:pPr>
              <w:spacing w:after="0"/>
              <w:rPr>
                <w:rFonts w:ascii="MS PGothic" w:cs="MS PGothic" w:eastAsia="MS PGothic" w:hAnsi="MS PGothic"/>
                <w:sz w:val="18"/>
                <w:szCs w:val="18"/>
                <w:color w:val="0563C1"/>
                <w:w w:val="94"/>
              </w:rPr>
            </w:pPr>
            <w:hyperlink r:id="rId511">
              <w:r>
                <w:rPr>
                  <w:rFonts w:ascii="MS PGothic" w:cs="MS PGothic" w:eastAsia="MS PGothic" w:hAnsi="MS PGothic"/>
                  <w:sz w:val="18"/>
                  <w:szCs w:val="18"/>
                  <w:color w:val="0563C1"/>
                  <w:w w:val="94"/>
                </w:rPr>
                <w:t>Materials, Inc. Current Report on Form 8-K fled on April 24, 2013) (Commission File No. 1-12744)</w:t>
              </w:r>
            </w:hyperlink>
          </w:p>
        </w:tc>
        <w:tc>
          <w:tcPr>
            <w:tcW w:w="2200" w:type="dxa"/>
            <w:vAlign w:val="bottom"/>
            <w:tcBorders>
              <w:bottom w:val="single" w:sz="8" w:color="91BBD3"/>
              <w:right w:val="single" w:sz="8" w:color="91BBD3"/>
            </w:tcBorders>
            <w:gridSpan w:val="7"/>
            <w:shd w:val="clear" w:color="auto" w:fill="DAE8F0"/>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right w:val="single" w:sz="8" w:color="91BBD3"/>
            </w:tcBorders>
          </w:tcPr>
          <w:p>
            <w:pPr>
              <w:jc w:val="right"/>
              <w:ind w:right="1050"/>
              <w:spacing w:after="0" w:line="169" w:lineRule="exact"/>
              <w:rPr>
                <w:sz w:val="20"/>
                <w:szCs w:val="20"/>
                <w:color w:val="auto"/>
              </w:rPr>
            </w:pPr>
            <w:r>
              <w:rPr>
                <w:rFonts w:ascii="Calibri" w:cs="Calibri" w:eastAsia="Calibri" w:hAnsi="Calibri"/>
                <w:sz w:val="18"/>
                <w:szCs w:val="18"/>
                <w:b w:val="1"/>
                <w:bCs w:val="1"/>
                <w:color w:val="auto"/>
              </w:rPr>
              <w:t>10.15</w:t>
            </w:r>
          </w:p>
        </w:tc>
        <w:tc>
          <w:tcPr>
            <w:tcW w:w="100" w:type="dxa"/>
            <w:vAlign w:val="bottom"/>
          </w:tcPr>
          <w:p>
            <w:pPr>
              <w:spacing w:after="0"/>
              <w:rPr>
                <w:sz w:val="14"/>
                <w:szCs w:val="14"/>
                <w:color w:val="auto"/>
              </w:rPr>
            </w:pPr>
          </w:p>
        </w:tc>
        <w:tc>
          <w:tcPr>
            <w:tcW w:w="9020" w:type="dxa"/>
            <w:vAlign w:val="bottom"/>
            <w:tcBorders>
              <w:bottom w:val="single" w:sz="8" w:color="0563C1"/>
            </w:tcBorders>
            <w:gridSpan w:val="11"/>
          </w:tcPr>
          <w:p>
            <w:pPr>
              <w:spacing w:after="0" w:line="169" w:lineRule="exact"/>
              <w:rPr>
                <w:rFonts w:ascii="MS PGothic" w:cs="MS PGothic" w:eastAsia="MS PGothic" w:hAnsi="MS PGothic"/>
                <w:sz w:val="18"/>
                <w:szCs w:val="18"/>
                <w:color w:val="0563C1"/>
              </w:rPr>
            </w:pPr>
            <w:hyperlink r:id="rId512">
              <w:r>
                <w:rPr>
                  <w:rFonts w:ascii="MS PGothic" w:cs="MS PGothic" w:eastAsia="MS PGothic" w:hAnsi="MS PGothic"/>
                  <w:sz w:val="18"/>
                  <w:szCs w:val="18"/>
                  <w:color w:val="0563C1"/>
                </w:rPr>
                <w:t>Form of Martn Marieta Materials, Inc. Third Amended and Restated Employment Protecton Agreement (incorporated by</w:t>
              </w:r>
            </w:hyperlink>
          </w:p>
        </w:tc>
        <w:tc>
          <w:tcPr>
            <w:tcW w:w="100" w:type="dxa"/>
            <w:vAlign w:val="bottom"/>
            <w:tcBorders>
              <w:right w:val="single" w:sz="8" w:color="91BBD3"/>
            </w:tcBorders>
            <w:gridSpan w:val="5"/>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00" w:type="dxa"/>
            <w:vAlign w:val="bottom"/>
            <w:tcBorders>
              <w:bottom w:val="single" w:sz="8" w:color="0563C1"/>
            </w:tcBorders>
            <w:gridSpan w:val="10"/>
          </w:tcPr>
          <w:p>
            <w:pPr>
              <w:spacing w:after="0"/>
              <w:rPr>
                <w:rFonts w:ascii="MS PGothic" w:cs="MS PGothic" w:eastAsia="MS PGothic" w:hAnsi="MS PGothic"/>
                <w:sz w:val="18"/>
                <w:szCs w:val="18"/>
                <w:color w:val="0563C1"/>
              </w:rPr>
            </w:pPr>
            <w:hyperlink r:id="rId512">
              <w:r>
                <w:rPr>
                  <w:rFonts w:ascii="MS PGothic" w:cs="MS PGothic" w:eastAsia="MS PGothic" w:hAnsi="MS PGothic"/>
                  <w:sz w:val="18"/>
                  <w:szCs w:val="18"/>
                  <w:color w:val="0563C1"/>
                </w:rPr>
                <w:t>reference to Exhibit 10.01 to the Martn Marieta Materials, Inc. Current Report on Form 8‑K, fled on August 19, 2008)</w:t>
              </w:r>
            </w:hyperlink>
          </w:p>
        </w:tc>
        <w:tc>
          <w:tcPr>
            <w:tcW w:w="120" w:type="dxa"/>
            <w:vAlign w:val="bottom"/>
            <w:tcBorders>
              <w:right w:val="single" w:sz="8" w:color="91BBD3"/>
            </w:tcBorders>
            <w:gridSpan w:val="6"/>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6"/>
          </w:tcPr>
          <w:p>
            <w:pPr>
              <w:spacing w:after="0"/>
              <w:rPr>
                <w:rFonts w:ascii="MS PGothic" w:cs="MS PGothic" w:eastAsia="MS PGothic" w:hAnsi="MS PGothic"/>
                <w:sz w:val="18"/>
                <w:szCs w:val="18"/>
                <w:color w:val="0563C1"/>
              </w:rPr>
            </w:pPr>
            <w:hyperlink r:id="rId512">
              <w:r>
                <w:rPr>
                  <w:rFonts w:ascii="MS PGothic" w:cs="MS PGothic" w:eastAsia="MS PGothic" w:hAnsi="MS PGothic"/>
                  <w:sz w:val="18"/>
                  <w:szCs w:val="18"/>
                  <w:color w:val="0563C1"/>
                </w:rPr>
                <w:t>(Commission File No. 1-12744)**</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680" w:type="dxa"/>
            <w:vAlign w:val="bottom"/>
            <w:tcBorders>
              <w:left w:val="single" w:sz="8" w:color="91BBD3"/>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680" w:type="dxa"/>
            <w:vAlign w:val="bottom"/>
            <w:tcBorders>
              <w:top w:val="single" w:sz="8" w:color="0563C1"/>
              <w:bottom w:val="single" w:sz="8" w:color="91BBD3"/>
            </w:tcBorders>
          </w:tcPr>
          <w:p>
            <w:pPr>
              <w:spacing w:after="0"/>
              <w:rPr>
                <w:sz w:val="4"/>
                <w:szCs w:val="4"/>
                <w:color w:val="auto"/>
              </w:rPr>
            </w:pPr>
          </w:p>
        </w:tc>
        <w:tc>
          <w:tcPr>
            <w:tcW w:w="440" w:type="dxa"/>
            <w:vAlign w:val="bottom"/>
            <w:tcBorders>
              <w:top w:val="single" w:sz="8" w:color="0563C1"/>
              <w:bottom w:val="single" w:sz="8" w:color="91BBD3"/>
            </w:tcBorders>
          </w:tcPr>
          <w:p>
            <w:pPr>
              <w:spacing w:after="0"/>
              <w:rPr>
                <w:sz w:val="4"/>
                <w:szCs w:val="4"/>
                <w:color w:val="auto"/>
              </w:rPr>
            </w:pPr>
          </w:p>
        </w:tc>
        <w:tc>
          <w:tcPr>
            <w:tcW w:w="280" w:type="dxa"/>
            <w:vAlign w:val="bottom"/>
            <w:tcBorders>
              <w:top w:val="single" w:sz="8" w:color="0563C1"/>
              <w:bottom w:val="single" w:sz="8" w:color="91BBD3"/>
            </w:tcBorders>
          </w:tcPr>
          <w:p>
            <w:pPr>
              <w:spacing w:after="0"/>
              <w:rPr>
                <w:sz w:val="4"/>
                <w:szCs w:val="4"/>
                <w:color w:val="auto"/>
              </w:rPr>
            </w:pPr>
          </w:p>
        </w:tc>
        <w:tc>
          <w:tcPr>
            <w:tcW w:w="960" w:type="dxa"/>
            <w:vAlign w:val="bottom"/>
            <w:tcBorders>
              <w:top w:val="single" w:sz="8" w:color="0563C1"/>
              <w:bottom w:val="single" w:sz="8" w:color="91BBD3"/>
            </w:tcBorders>
          </w:tcPr>
          <w:p>
            <w:pPr>
              <w:spacing w:after="0"/>
              <w:rPr>
                <w:sz w:val="4"/>
                <w:szCs w:val="4"/>
                <w:color w:val="auto"/>
              </w:rPr>
            </w:pPr>
          </w:p>
        </w:tc>
        <w:tc>
          <w:tcPr>
            <w:tcW w:w="440" w:type="dxa"/>
            <w:vAlign w:val="bottom"/>
            <w:tcBorders>
              <w:bottom w:val="single" w:sz="8" w:color="91BBD3"/>
            </w:tcBorders>
          </w:tcPr>
          <w:p>
            <w:pPr>
              <w:spacing w:after="0"/>
              <w:rPr>
                <w:sz w:val="4"/>
                <w:szCs w:val="4"/>
                <w:color w:val="auto"/>
              </w:rPr>
            </w:pPr>
          </w:p>
        </w:tc>
        <w:tc>
          <w:tcPr>
            <w:tcW w:w="280" w:type="dxa"/>
            <w:vAlign w:val="bottom"/>
            <w:tcBorders>
              <w:bottom w:val="single" w:sz="8" w:color="91BBD3"/>
            </w:tcBorders>
          </w:tcPr>
          <w:p>
            <w:pPr>
              <w:spacing w:after="0"/>
              <w:rPr>
                <w:sz w:val="4"/>
                <w:szCs w:val="4"/>
                <w:color w:val="auto"/>
              </w:rPr>
            </w:pPr>
          </w:p>
        </w:tc>
        <w:tc>
          <w:tcPr>
            <w:tcW w:w="680" w:type="dxa"/>
            <w:vAlign w:val="bottom"/>
            <w:tcBorders>
              <w:bottom w:val="single" w:sz="8" w:color="91BBD3"/>
            </w:tcBorders>
          </w:tcPr>
          <w:p>
            <w:pPr>
              <w:spacing w:after="0"/>
              <w:rPr>
                <w:sz w:val="4"/>
                <w:szCs w:val="4"/>
                <w:color w:val="auto"/>
              </w:rPr>
            </w:pPr>
          </w:p>
        </w:tc>
        <w:tc>
          <w:tcPr>
            <w:tcW w:w="1980" w:type="dxa"/>
            <w:vAlign w:val="bottom"/>
            <w:tcBorders>
              <w:bottom w:val="single" w:sz="8" w:color="91BBD3"/>
            </w:tcBorders>
          </w:tcPr>
          <w:p>
            <w:pPr>
              <w:spacing w:after="0"/>
              <w:rPr>
                <w:sz w:val="4"/>
                <w:szCs w:val="4"/>
                <w:color w:val="auto"/>
              </w:rPr>
            </w:pPr>
          </w:p>
        </w:tc>
        <w:tc>
          <w:tcPr>
            <w:tcW w:w="1180" w:type="dxa"/>
            <w:vAlign w:val="bottom"/>
            <w:tcBorders>
              <w:bottom w:val="single" w:sz="8" w:color="91BBD3"/>
            </w:tcBorders>
          </w:tcPr>
          <w:p>
            <w:pPr>
              <w:spacing w:after="0"/>
              <w:rPr>
                <w:sz w:val="4"/>
                <w:szCs w:val="4"/>
                <w:color w:val="auto"/>
              </w:rPr>
            </w:pPr>
          </w:p>
        </w:tc>
        <w:tc>
          <w:tcPr>
            <w:tcW w:w="208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4294967237"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100" w:type="dxa"/>
            <w:vAlign w:val="bottom"/>
            <w:tcBorders>
              <w:bottom w:val="single" w:sz="8" w:color="91BBD3"/>
              <w:right w:val="single" w:sz="8" w:color="91BBD3"/>
            </w:tcBorders>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bottom w:val="single" w:sz="8" w:color="DAE8F0"/>
              <w:right w:val="single" w:sz="8" w:color="91BBD3"/>
            </w:tcBorders>
            <w:shd w:val="clear" w:color="auto" w:fill="DAE8F0"/>
          </w:tcPr>
          <w:p>
            <w:pPr>
              <w:jc w:val="right"/>
              <w:ind w:right="1050"/>
              <w:spacing w:after="0" w:line="169" w:lineRule="exact"/>
              <w:rPr>
                <w:sz w:val="20"/>
                <w:szCs w:val="20"/>
                <w:color w:val="auto"/>
              </w:rPr>
            </w:pPr>
            <w:r>
              <w:rPr>
                <w:rFonts w:ascii="Calibri" w:cs="Calibri" w:eastAsia="Calibri" w:hAnsi="Calibri"/>
                <w:sz w:val="18"/>
                <w:szCs w:val="18"/>
                <w:b w:val="1"/>
                <w:bCs w:val="1"/>
                <w:color w:val="auto"/>
              </w:rPr>
              <w:t>10.16</w:t>
            </w:r>
          </w:p>
        </w:tc>
        <w:tc>
          <w:tcPr>
            <w:tcW w:w="100" w:type="dxa"/>
            <w:vAlign w:val="bottom"/>
            <w:tcBorders>
              <w:bottom w:val="single" w:sz="8" w:color="DAE8F0"/>
            </w:tcBorders>
            <w:shd w:val="clear" w:color="auto" w:fill="DAE8F0"/>
          </w:tcPr>
          <w:p>
            <w:pPr>
              <w:spacing w:after="0"/>
              <w:rPr>
                <w:sz w:val="14"/>
                <w:szCs w:val="14"/>
                <w:color w:val="auto"/>
              </w:rPr>
            </w:pPr>
          </w:p>
        </w:tc>
        <w:tc>
          <w:tcPr>
            <w:tcW w:w="9020" w:type="dxa"/>
            <w:vAlign w:val="bottom"/>
            <w:tcBorders>
              <w:bottom w:val="single" w:sz="8" w:color="0563C1"/>
            </w:tcBorders>
            <w:gridSpan w:val="11"/>
            <w:shd w:val="clear" w:color="auto" w:fill="DAE8F0"/>
          </w:tcPr>
          <w:p>
            <w:pPr>
              <w:spacing w:after="0" w:line="169" w:lineRule="exact"/>
              <w:rPr>
                <w:rFonts w:ascii="MS PGothic" w:cs="MS PGothic" w:eastAsia="MS PGothic" w:hAnsi="MS PGothic"/>
                <w:sz w:val="18"/>
                <w:szCs w:val="18"/>
                <w:color w:val="0563C1"/>
                <w:w w:val="96"/>
              </w:rPr>
            </w:pPr>
            <w:hyperlink r:id="rId513">
              <w:r>
                <w:rPr>
                  <w:rFonts w:ascii="MS PGothic" w:cs="MS PGothic" w:eastAsia="MS PGothic" w:hAnsi="MS PGothic"/>
                  <w:sz w:val="18"/>
                  <w:szCs w:val="18"/>
                  <w:color w:val="0563C1"/>
                  <w:w w:val="96"/>
                </w:rPr>
                <w:t>Amended and Restated Martn Marieta Materials, Inc. Common Stock Purchase Plan for Directors (incorporated by reference</w:t>
              </w:r>
            </w:hyperlink>
          </w:p>
        </w:tc>
        <w:tc>
          <w:tcPr>
            <w:tcW w:w="4294967277" w:type="dxa"/>
            <w:vAlign w:val="bottom"/>
            <w:tcBorders>
              <w:bottom w:val="single" w:sz="8" w:color="0000EE"/>
            </w:tcBorders>
            <w:gridSpan w:val="3"/>
            <w:shd w:val="clear" w:color="auto" w:fill="DAE8F0"/>
          </w:tcPr>
          <w:p>
            <w:pPr>
              <w:spacing w:after="0"/>
              <w:rPr>
                <w:sz w:val="14"/>
                <w:szCs w:val="14"/>
                <w:color w:val="auto"/>
              </w:rPr>
            </w:pPr>
          </w:p>
        </w:tc>
        <w:tc>
          <w:tcPr>
            <w:tcW w:w="120" w:type="dxa"/>
            <w:vAlign w:val="bottom"/>
            <w:tcBorders>
              <w:bottom w:val="single" w:sz="8" w:color="DAE8F0"/>
              <w:right w:val="single" w:sz="8" w:color="91BBD3"/>
            </w:tcBorders>
            <w:gridSpan w:val="2"/>
            <w:shd w:val="clear" w:color="auto" w:fill="DAE8F0"/>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9120" w:type="dxa"/>
            <w:vAlign w:val="bottom"/>
            <w:tcBorders>
              <w:bottom w:val="single" w:sz="8" w:color="0563C1"/>
              <w:right w:val="single" w:sz="8" w:color="91BBD3"/>
            </w:tcBorders>
            <w:gridSpan w:val="16"/>
            <w:shd w:val="clear" w:color="auto" w:fill="DAE8F0"/>
          </w:tcPr>
          <w:p>
            <w:pPr>
              <w:spacing w:after="0"/>
              <w:rPr>
                <w:rFonts w:ascii="MS PGothic" w:cs="MS PGothic" w:eastAsia="MS PGothic" w:hAnsi="MS PGothic"/>
                <w:sz w:val="18"/>
                <w:szCs w:val="18"/>
                <w:color w:val="0563C1"/>
              </w:rPr>
            </w:pPr>
            <w:hyperlink r:id="rId513">
              <w:r>
                <w:rPr>
                  <w:rFonts w:ascii="MS PGothic" w:cs="MS PGothic" w:eastAsia="MS PGothic" w:hAnsi="MS PGothic"/>
                  <w:sz w:val="18"/>
                  <w:szCs w:val="18"/>
                  <w:color w:val="0563C1"/>
                </w:rPr>
                <w:t>to Exhibit 10.05 to the Martn Marieta Materials, Inc. Annual Report on Form 10-K for the fscal year ended December 31,</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680" w:type="dxa"/>
            <w:vAlign w:val="bottom"/>
            <w:tcBorders>
              <w:left w:val="single" w:sz="8" w:color="91BBD3"/>
              <w:right w:val="single" w:sz="8" w:color="91BBD3"/>
            </w:tcBorders>
            <w:shd w:val="clear" w:color="auto" w:fill="DAE8F0"/>
          </w:tcPr>
          <w:p>
            <w:pPr>
              <w:spacing w:after="0"/>
              <w:rPr>
                <w:sz w:val="21"/>
                <w:szCs w:val="21"/>
                <w:color w:val="auto"/>
              </w:rPr>
            </w:pPr>
          </w:p>
        </w:tc>
        <w:tc>
          <w:tcPr>
            <w:tcW w:w="100" w:type="dxa"/>
            <w:vAlign w:val="bottom"/>
            <w:shd w:val="clear" w:color="auto" w:fill="DAE8F0"/>
          </w:tcPr>
          <w:p>
            <w:pPr>
              <w:spacing w:after="0"/>
              <w:rPr>
                <w:sz w:val="21"/>
                <w:szCs w:val="21"/>
                <w:color w:val="auto"/>
              </w:rPr>
            </w:pPr>
          </w:p>
        </w:tc>
        <w:tc>
          <w:tcPr>
            <w:tcW w:w="9120" w:type="dxa"/>
            <w:vAlign w:val="bottom"/>
            <w:tcBorders>
              <w:right w:val="single" w:sz="8" w:color="91BBD3"/>
            </w:tcBorders>
            <w:gridSpan w:val="16"/>
            <w:shd w:val="clear" w:color="auto" w:fill="DAE8F0"/>
          </w:tcPr>
          <w:p>
            <w:pPr>
              <w:spacing w:after="0"/>
              <w:rPr>
                <w:rFonts w:ascii="MS PGothic" w:cs="MS PGothic" w:eastAsia="MS PGothic" w:hAnsi="MS PGothic"/>
                <w:sz w:val="18"/>
                <w:szCs w:val="18"/>
                <w:color w:val="0563C1"/>
              </w:rPr>
            </w:pPr>
            <w:hyperlink r:id="rId513">
              <w:r>
                <w:rPr>
                  <w:rFonts w:ascii="MS PGothic" w:cs="MS PGothic" w:eastAsia="MS PGothic" w:hAnsi="MS PGothic"/>
                  <w:sz w:val="18"/>
                  <w:szCs w:val="18"/>
                  <w:color w:val="0563C1"/>
                </w:rPr>
                <w:t>2013) (Commission File No. 1-12744)**</w:t>
              </w:r>
            </w:hyperlink>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680" w:type="dxa"/>
            <w:vAlign w:val="bottom"/>
            <w:tcBorders>
              <w:top w:val="single" w:sz="8" w:color="0563C1"/>
            </w:tcBorders>
            <w:shd w:val="clear" w:color="auto" w:fill="91BBD3"/>
          </w:tcPr>
          <w:p>
            <w:pPr>
              <w:spacing w:after="0" w:line="20" w:lineRule="exact"/>
              <w:rPr>
                <w:sz w:val="1"/>
                <w:szCs w:val="1"/>
                <w:color w:val="auto"/>
              </w:rPr>
            </w:pPr>
          </w:p>
        </w:tc>
        <w:tc>
          <w:tcPr>
            <w:tcW w:w="440" w:type="dxa"/>
            <w:vAlign w:val="bottom"/>
            <w:tcBorders>
              <w:top w:val="single" w:sz="8" w:color="0563C1"/>
            </w:tcBorders>
            <w:shd w:val="clear" w:color="auto" w:fill="91BBD3"/>
          </w:tcPr>
          <w:p>
            <w:pPr>
              <w:spacing w:after="0" w:line="20" w:lineRule="exact"/>
              <w:rPr>
                <w:sz w:val="1"/>
                <w:szCs w:val="1"/>
                <w:color w:val="auto"/>
              </w:rPr>
            </w:pPr>
          </w:p>
        </w:tc>
        <w:tc>
          <w:tcPr>
            <w:tcW w:w="280" w:type="dxa"/>
            <w:vAlign w:val="bottom"/>
            <w:tcBorders>
              <w:top w:val="single" w:sz="8" w:color="0563C1"/>
            </w:tcBorders>
            <w:shd w:val="clear" w:color="auto" w:fill="91BBD3"/>
          </w:tcPr>
          <w:p>
            <w:pPr>
              <w:spacing w:after="0" w:line="20" w:lineRule="exact"/>
              <w:rPr>
                <w:sz w:val="1"/>
                <w:szCs w:val="1"/>
                <w:color w:val="auto"/>
              </w:rPr>
            </w:pPr>
          </w:p>
        </w:tc>
        <w:tc>
          <w:tcPr>
            <w:tcW w:w="960" w:type="dxa"/>
            <w:vAlign w:val="bottom"/>
            <w:tcBorders>
              <w:top w:val="single" w:sz="8" w:color="0563C1"/>
            </w:tcBorders>
            <w:shd w:val="clear" w:color="auto" w:fill="91BBD3"/>
          </w:tcPr>
          <w:p>
            <w:pPr>
              <w:spacing w:after="0" w:line="20" w:lineRule="exact"/>
              <w:rPr>
                <w:sz w:val="1"/>
                <w:szCs w:val="1"/>
                <w:color w:val="auto"/>
              </w:rPr>
            </w:pPr>
          </w:p>
        </w:tc>
        <w:tc>
          <w:tcPr>
            <w:tcW w:w="440" w:type="dxa"/>
            <w:vAlign w:val="bottom"/>
            <w:tcBorders>
              <w:top w:val="single" w:sz="8" w:color="0563C1"/>
            </w:tcBorders>
            <w:shd w:val="clear" w:color="auto" w:fill="91BBD3"/>
          </w:tcPr>
          <w:p>
            <w:pPr>
              <w:spacing w:after="0" w:line="20" w:lineRule="exact"/>
              <w:rPr>
                <w:sz w:val="1"/>
                <w:szCs w:val="1"/>
                <w:color w:val="auto"/>
              </w:rPr>
            </w:pPr>
          </w:p>
        </w:tc>
        <w:tc>
          <w:tcPr>
            <w:tcW w:w="280" w:type="dxa"/>
            <w:vAlign w:val="bottom"/>
            <w:tcBorders>
              <w:top w:val="single" w:sz="8" w:color="DAE8F0"/>
            </w:tcBorders>
            <w:shd w:val="clear" w:color="auto" w:fill="91BBD3"/>
          </w:tcPr>
          <w:p>
            <w:pPr>
              <w:spacing w:after="0" w:line="20" w:lineRule="exact"/>
              <w:rPr>
                <w:sz w:val="1"/>
                <w:szCs w:val="1"/>
                <w:color w:val="auto"/>
              </w:rPr>
            </w:pPr>
          </w:p>
        </w:tc>
        <w:tc>
          <w:tcPr>
            <w:tcW w:w="680" w:type="dxa"/>
            <w:vAlign w:val="bottom"/>
            <w:tcBorders>
              <w:top w:val="single" w:sz="8" w:color="DAE8F0"/>
            </w:tcBorders>
            <w:shd w:val="clear" w:color="auto" w:fill="91BBD3"/>
          </w:tcPr>
          <w:p>
            <w:pPr>
              <w:spacing w:after="0" w:line="20" w:lineRule="exact"/>
              <w:rPr>
                <w:sz w:val="1"/>
                <w:szCs w:val="1"/>
                <w:color w:val="auto"/>
              </w:rPr>
            </w:pPr>
          </w:p>
        </w:tc>
        <w:tc>
          <w:tcPr>
            <w:tcW w:w="1980" w:type="dxa"/>
            <w:vAlign w:val="bottom"/>
            <w:tcBorders>
              <w:top w:val="single" w:sz="8" w:color="DAE8F0"/>
            </w:tcBorders>
            <w:shd w:val="clear" w:color="auto" w:fill="91BBD3"/>
          </w:tcPr>
          <w:p>
            <w:pPr>
              <w:spacing w:after="0" w:line="20" w:lineRule="exact"/>
              <w:rPr>
                <w:sz w:val="1"/>
                <w:szCs w:val="1"/>
                <w:color w:val="auto"/>
              </w:rPr>
            </w:pPr>
          </w:p>
        </w:tc>
        <w:tc>
          <w:tcPr>
            <w:tcW w:w="1180" w:type="dxa"/>
            <w:vAlign w:val="bottom"/>
            <w:tcBorders>
              <w:top w:val="single" w:sz="8" w:color="DAE8F0"/>
            </w:tcBorders>
            <w:shd w:val="clear" w:color="auto" w:fill="91BBD3"/>
          </w:tcPr>
          <w:p>
            <w:pPr>
              <w:spacing w:after="0" w:line="20" w:lineRule="exact"/>
              <w:rPr>
                <w:sz w:val="1"/>
                <w:szCs w:val="1"/>
                <w:color w:val="auto"/>
              </w:rPr>
            </w:pPr>
          </w:p>
        </w:tc>
        <w:tc>
          <w:tcPr>
            <w:tcW w:w="208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4294967237"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10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80" w:type="dxa"/>
            <w:vAlign w:val="bottom"/>
            <w:tcBorders>
              <w:left w:val="single" w:sz="8" w:color="91BBD3"/>
              <w:right w:val="single" w:sz="8" w:color="91BBD3"/>
            </w:tcBorders>
          </w:tcPr>
          <w:p>
            <w:pPr>
              <w:jc w:val="right"/>
              <w:ind w:right="1050"/>
              <w:spacing w:after="0" w:line="169" w:lineRule="exact"/>
              <w:rPr>
                <w:sz w:val="20"/>
                <w:szCs w:val="20"/>
                <w:color w:val="auto"/>
              </w:rPr>
            </w:pPr>
            <w:r>
              <w:rPr>
                <w:rFonts w:ascii="Calibri" w:cs="Calibri" w:eastAsia="Calibri" w:hAnsi="Calibri"/>
                <w:sz w:val="18"/>
                <w:szCs w:val="18"/>
                <w:b w:val="1"/>
                <w:bCs w:val="1"/>
                <w:color w:val="auto"/>
              </w:rPr>
              <w:t>10.17</w:t>
            </w:r>
          </w:p>
        </w:tc>
        <w:tc>
          <w:tcPr>
            <w:tcW w:w="100" w:type="dxa"/>
            <w:vAlign w:val="bottom"/>
          </w:tcPr>
          <w:p>
            <w:pPr>
              <w:spacing w:after="0"/>
              <w:rPr>
                <w:sz w:val="14"/>
                <w:szCs w:val="14"/>
                <w:color w:val="auto"/>
              </w:rPr>
            </w:pPr>
          </w:p>
        </w:tc>
        <w:tc>
          <w:tcPr>
            <w:tcW w:w="9020" w:type="dxa"/>
            <w:vAlign w:val="bottom"/>
            <w:tcBorders>
              <w:bottom w:val="single" w:sz="8" w:color="0563C1"/>
            </w:tcBorders>
            <w:gridSpan w:val="15"/>
          </w:tcPr>
          <w:p>
            <w:pPr>
              <w:spacing w:after="0" w:line="169" w:lineRule="exact"/>
              <w:rPr>
                <w:rFonts w:ascii="MS PGothic" w:cs="MS PGothic" w:eastAsia="MS PGothic" w:hAnsi="MS PGothic"/>
                <w:sz w:val="18"/>
                <w:szCs w:val="18"/>
                <w:color w:val="0563C1"/>
                <w:w w:val="97"/>
              </w:rPr>
            </w:pPr>
            <w:hyperlink r:id="rId514">
              <w:r>
                <w:rPr>
                  <w:rFonts w:ascii="MS PGothic" w:cs="MS PGothic" w:eastAsia="MS PGothic" w:hAnsi="MS PGothic"/>
                  <w:sz w:val="18"/>
                  <w:szCs w:val="18"/>
                  <w:color w:val="0563C1"/>
                  <w:w w:val="97"/>
                </w:rPr>
                <w:t>Martn Marieta Materials, Inc. Amended and Restated Executve Incentve Plan (incorporated by reference to Exhibit 10.05 to</w:t>
              </w:r>
            </w:hyperlink>
          </w:p>
        </w:tc>
        <w:tc>
          <w:tcPr>
            <w:tcW w:w="100" w:type="dxa"/>
            <w:vAlign w:val="bottom"/>
            <w:tcBorders>
              <w:bottom w:val="single" w:sz="8" w:color="0000EE"/>
              <w:right w:val="single" w:sz="8" w:color="91BBD3"/>
            </w:tcBorders>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20" w:type="dxa"/>
            <w:vAlign w:val="bottom"/>
            <w:tcBorders>
              <w:bottom w:val="single" w:sz="8" w:color="0563C1"/>
            </w:tcBorders>
            <w:gridSpan w:val="15"/>
          </w:tcPr>
          <w:p>
            <w:pPr>
              <w:spacing w:after="0"/>
              <w:rPr>
                <w:rFonts w:ascii="MS PGothic" w:cs="MS PGothic" w:eastAsia="MS PGothic" w:hAnsi="MS PGothic"/>
                <w:sz w:val="18"/>
                <w:szCs w:val="18"/>
                <w:color w:val="0563C1"/>
                <w:w w:val="99"/>
              </w:rPr>
            </w:pPr>
            <w:hyperlink r:id="rId514">
              <w:r>
                <w:rPr>
                  <w:rFonts w:ascii="MS PGothic" w:cs="MS PGothic" w:eastAsia="MS PGothic" w:hAnsi="MS PGothic"/>
                  <w:sz w:val="18"/>
                  <w:szCs w:val="18"/>
                  <w:color w:val="0563C1"/>
                  <w:w w:val="99"/>
                </w:rPr>
                <w:t>the Martn Marieta Materials, Inc. Annual Report on Form 10-K for the fscal year ended December 31, 2008) (Commission</w:t>
              </w:r>
            </w:hyperlink>
          </w:p>
        </w:tc>
        <w:tc>
          <w:tcPr>
            <w:tcW w:w="100" w:type="dxa"/>
            <w:vAlign w:val="bottom"/>
            <w:tcBorders>
              <w:right w:val="single" w:sz="8" w:color="91BBD3"/>
            </w:tcBorders>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6"/>
          </w:tcPr>
          <w:p>
            <w:pPr>
              <w:spacing w:after="0"/>
              <w:rPr>
                <w:rFonts w:ascii="MS PGothic" w:cs="MS PGothic" w:eastAsia="MS PGothic" w:hAnsi="MS PGothic"/>
                <w:sz w:val="18"/>
                <w:szCs w:val="18"/>
                <w:color w:val="0563C1"/>
              </w:rPr>
            </w:pPr>
            <w:hyperlink r:id="rId514">
              <w:r>
                <w:rPr>
                  <w:rFonts w:ascii="MS PGothic" w:cs="MS PGothic" w:eastAsia="MS PGothic" w:hAnsi="MS PGothic"/>
                  <w:sz w:val="18"/>
                  <w:szCs w:val="18"/>
                  <w:color w:val="0563C1"/>
                </w:rPr>
                <w:t>File No. 1-12744)**</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680" w:type="dxa"/>
            <w:vAlign w:val="bottom"/>
            <w:tcBorders>
              <w:left w:val="single" w:sz="8" w:color="91BBD3"/>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680" w:type="dxa"/>
            <w:vAlign w:val="bottom"/>
            <w:tcBorders>
              <w:top w:val="single" w:sz="8" w:color="0563C1"/>
              <w:bottom w:val="single" w:sz="8" w:color="91BBD3"/>
            </w:tcBorders>
          </w:tcPr>
          <w:p>
            <w:pPr>
              <w:spacing w:after="0"/>
              <w:rPr>
                <w:sz w:val="4"/>
                <w:szCs w:val="4"/>
                <w:color w:val="auto"/>
              </w:rPr>
            </w:pPr>
          </w:p>
        </w:tc>
        <w:tc>
          <w:tcPr>
            <w:tcW w:w="440" w:type="dxa"/>
            <w:vAlign w:val="bottom"/>
            <w:tcBorders>
              <w:top w:val="single" w:sz="8" w:color="0563C1"/>
              <w:bottom w:val="single" w:sz="8" w:color="91BBD3"/>
            </w:tcBorders>
          </w:tcPr>
          <w:p>
            <w:pPr>
              <w:spacing w:after="0"/>
              <w:rPr>
                <w:sz w:val="4"/>
                <w:szCs w:val="4"/>
                <w:color w:val="auto"/>
              </w:rPr>
            </w:pPr>
          </w:p>
        </w:tc>
        <w:tc>
          <w:tcPr>
            <w:tcW w:w="280" w:type="dxa"/>
            <w:vAlign w:val="bottom"/>
            <w:tcBorders>
              <w:top w:val="single" w:sz="8" w:color="0563C1"/>
              <w:bottom w:val="single" w:sz="8" w:color="91BBD3"/>
            </w:tcBorders>
          </w:tcPr>
          <w:p>
            <w:pPr>
              <w:spacing w:after="0"/>
              <w:rPr>
                <w:sz w:val="4"/>
                <w:szCs w:val="4"/>
                <w:color w:val="auto"/>
              </w:rPr>
            </w:pPr>
          </w:p>
        </w:tc>
        <w:tc>
          <w:tcPr>
            <w:tcW w:w="960" w:type="dxa"/>
            <w:vAlign w:val="bottom"/>
            <w:tcBorders>
              <w:bottom w:val="single" w:sz="8" w:color="91BBD3"/>
            </w:tcBorders>
          </w:tcPr>
          <w:p>
            <w:pPr>
              <w:spacing w:after="0"/>
              <w:rPr>
                <w:sz w:val="4"/>
                <w:szCs w:val="4"/>
                <w:color w:val="auto"/>
              </w:rPr>
            </w:pPr>
          </w:p>
        </w:tc>
        <w:tc>
          <w:tcPr>
            <w:tcW w:w="440" w:type="dxa"/>
            <w:vAlign w:val="bottom"/>
            <w:tcBorders>
              <w:bottom w:val="single" w:sz="8" w:color="91BBD3"/>
            </w:tcBorders>
          </w:tcPr>
          <w:p>
            <w:pPr>
              <w:spacing w:after="0"/>
              <w:rPr>
                <w:sz w:val="4"/>
                <w:szCs w:val="4"/>
                <w:color w:val="auto"/>
              </w:rPr>
            </w:pPr>
          </w:p>
        </w:tc>
        <w:tc>
          <w:tcPr>
            <w:tcW w:w="280" w:type="dxa"/>
            <w:vAlign w:val="bottom"/>
            <w:tcBorders>
              <w:bottom w:val="single" w:sz="8" w:color="91BBD3"/>
            </w:tcBorders>
          </w:tcPr>
          <w:p>
            <w:pPr>
              <w:spacing w:after="0"/>
              <w:rPr>
                <w:sz w:val="4"/>
                <w:szCs w:val="4"/>
                <w:color w:val="auto"/>
              </w:rPr>
            </w:pPr>
          </w:p>
        </w:tc>
        <w:tc>
          <w:tcPr>
            <w:tcW w:w="680" w:type="dxa"/>
            <w:vAlign w:val="bottom"/>
            <w:tcBorders>
              <w:bottom w:val="single" w:sz="8" w:color="91BBD3"/>
            </w:tcBorders>
          </w:tcPr>
          <w:p>
            <w:pPr>
              <w:spacing w:after="0"/>
              <w:rPr>
                <w:sz w:val="4"/>
                <w:szCs w:val="4"/>
                <w:color w:val="auto"/>
              </w:rPr>
            </w:pPr>
          </w:p>
        </w:tc>
        <w:tc>
          <w:tcPr>
            <w:tcW w:w="1980" w:type="dxa"/>
            <w:vAlign w:val="bottom"/>
            <w:tcBorders>
              <w:bottom w:val="single" w:sz="8" w:color="91BBD3"/>
            </w:tcBorders>
          </w:tcPr>
          <w:p>
            <w:pPr>
              <w:spacing w:after="0"/>
              <w:rPr>
                <w:sz w:val="4"/>
                <w:szCs w:val="4"/>
                <w:color w:val="auto"/>
              </w:rPr>
            </w:pPr>
          </w:p>
        </w:tc>
        <w:tc>
          <w:tcPr>
            <w:tcW w:w="1180" w:type="dxa"/>
            <w:vAlign w:val="bottom"/>
            <w:tcBorders>
              <w:bottom w:val="single" w:sz="8" w:color="91BBD3"/>
            </w:tcBorders>
          </w:tcPr>
          <w:p>
            <w:pPr>
              <w:spacing w:after="0"/>
              <w:rPr>
                <w:sz w:val="4"/>
                <w:szCs w:val="4"/>
                <w:color w:val="auto"/>
              </w:rPr>
            </w:pPr>
          </w:p>
        </w:tc>
        <w:tc>
          <w:tcPr>
            <w:tcW w:w="208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4294967237"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100" w:type="dxa"/>
            <w:vAlign w:val="bottom"/>
            <w:tcBorders>
              <w:bottom w:val="single" w:sz="8" w:color="91BBD3"/>
              <w:right w:val="single" w:sz="8" w:color="91BBD3"/>
            </w:tcBorders>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bottom w:val="single" w:sz="8" w:color="DAE8F0"/>
              <w:right w:val="single" w:sz="8" w:color="91BBD3"/>
            </w:tcBorders>
            <w:shd w:val="clear" w:color="auto" w:fill="DAE8F0"/>
          </w:tcPr>
          <w:p>
            <w:pPr>
              <w:jc w:val="right"/>
              <w:ind w:right="1050"/>
              <w:spacing w:after="0" w:line="169" w:lineRule="exact"/>
              <w:rPr>
                <w:sz w:val="20"/>
                <w:szCs w:val="20"/>
                <w:color w:val="auto"/>
              </w:rPr>
            </w:pPr>
            <w:r>
              <w:rPr>
                <w:rFonts w:ascii="Calibri" w:cs="Calibri" w:eastAsia="Calibri" w:hAnsi="Calibri"/>
                <w:sz w:val="18"/>
                <w:szCs w:val="18"/>
                <w:b w:val="1"/>
                <w:bCs w:val="1"/>
                <w:color w:val="auto"/>
              </w:rPr>
              <w:t>10.18</w:t>
            </w:r>
          </w:p>
        </w:tc>
        <w:tc>
          <w:tcPr>
            <w:tcW w:w="100" w:type="dxa"/>
            <w:vAlign w:val="bottom"/>
            <w:tcBorders>
              <w:bottom w:val="single" w:sz="8" w:color="DAE8F0"/>
            </w:tcBorders>
            <w:shd w:val="clear" w:color="auto" w:fill="DAE8F0"/>
          </w:tcPr>
          <w:p>
            <w:pPr>
              <w:spacing w:after="0"/>
              <w:rPr>
                <w:sz w:val="14"/>
                <w:szCs w:val="14"/>
                <w:color w:val="auto"/>
              </w:rPr>
            </w:pPr>
          </w:p>
        </w:tc>
        <w:tc>
          <w:tcPr>
            <w:tcW w:w="9020" w:type="dxa"/>
            <w:vAlign w:val="bottom"/>
            <w:tcBorders>
              <w:bottom w:val="single" w:sz="8" w:color="0563C1"/>
            </w:tcBorders>
            <w:gridSpan w:val="11"/>
            <w:shd w:val="clear" w:color="auto" w:fill="DAE8F0"/>
          </w:tcPr>
          <w:p>
            <w:pPr>
              <w:spacing w:after="0" w:line="169" w:lineRule="exact"/>
              <w:rPr>
                <w:rFonts w:ascii="MS PGothic" w:cs="MS PGothic" w:eastAsia="MS PGothic" w:hAnsi="MS PGothic"/>
                <w:sz w:val="18"/>
                <w:szCs w:val="18"/>
                <w:color w:val="0563C1"/>
              </w:rPr>
            </w:pPr>
            <w:hyperlink r:id="rId515">
              <w:r>
                <w:rPr>
                  <w:rFonts w:ascii="MS PGothic" w:cs="MS PGothic" w:eastAsia="MS PGothic" w:hAnsi="MS PGothic"/>
                  <w:sz w:val="18"/>
                  <w:szCs w:val="18"/>
                  <w:color w:val="0563C1"/>
                </w:rPr>
                <w:t>Martn Marieta Materials, Inc. Incentve Stock Plan, as Amended (incorporated by reference to Exhibit 10.06 to the Martn</w:t>
              </w:r>
            </w:hyperlink>
          </w:p>
        </w:tc>
        <w:tc>
          <w:tcPr>
            <w:tcW w:w="4294967277" w:type="dxa"/>
            <w:vAlign w:val="bottom"/>
            <w:tcBorders>
              <w:bottom w:val="single" w:sz="8" w:color="0000EE"/>
            </w:tcBorders>
            <w:gridSpan w:val="3"/>
            <w:shd w:val="clear" w:color="auto" w:fill="DAE8F0"/>
          </w:tcPr>
          <w:p>
            <w:pPr>
              <w:spacing w:after="0"/>
              <w:rPr>
                <w:sz w:val="14"/>
                <w:szCs w:val="14"/>
                <w:color w:val="auto"/>
              </w:rPr>
            </w:pPr>
          </w:p>
        </w:tc>
        <w:tc>
          <w:tcPr>
            <w:tcW w:w="120" w:type="dxa"/>
            <w:vAlign w:val="bottom"/>
            <w:tcBorders>
              <w:bottom w:val="single" w:sz="8" w:color="DAE8F0"/>
              <w:right w:val="single" w:sz="8" w:color="91BBD3"/>
            </w:tcBorders>
            <w:gridSpan w:val="2"/>
            <w:shd w:val="clear" w:color="auto" w:fill="DAE8F0"/>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shd w:val="clear" w:color="auto" w:fill="DAE8F0"/>
          </w:tcPr>
          <w:p>
            <w:pPr>
              <w:spacing w:after="0"/>
              <w:rPr>
                <w:sz w:val="17"/>
                <w:szCs w:val="17"/>
                <w:color w:val="auto"/>
              </w:rPr>
            </w:pPr>
          </w:p>
        </w:tc>
        <w:tc>
          <w:tcPr>
            <w:tcW w:w="100" w:type="dxa"/>
            <w:vAlign w:val="bottom"/>
            <w:shd w:val="clear" w:color="auto" w:fill="DAE8F0"/>
          </w:tcPr>
          <w:p>
            <w:pPr>
              <w:spacing w:after="0"/>
              <w:rPr>
                <w:sz w:val="17"/>
                <w:szCs w:val="17"/>
                <w:color w:val="auto"/>
              </w:rPr>
            </w:pPr>
          </w:p>
        </w:tc>
        <w:tc>
          <w:tcPr>
            <w:tcW w:w="9120" w:type="dxa"/>
            <w:vAlign w:val="bottom"/>
            <w:tcBorders>
              <w:right w:val="single" w:sz="8" w:color="91BBD3"/>
            </w:tcBorders>
            <w:gridSpan w:val="16"/>
            <w:shd w:val="clear" w:color="auto" w:fill="DAE8F0"/>
          </w:tcPr>
          <w:p>
            <w:pPr>
              <w:spacing w:after="0"/>
              <w:rPr>
                <w:rFonts w:ascii="MS PGothic" w:cs="MS PGothic" w:eastAsia="MS PGothic" w:hAnsi="MS PGothic"/>
                <w:sz w:val="18"/>
                <w:szCs w:val="18"/>
                <w:color w:val="0563C1"/>
                <w:w w:val="99"/>
              </w:rPr>
            </w:pPr>
            <w:hyperlink r:id="rId515">
              <w:r>
                <w:rPr>
                  <w:rFonts w:ascii="MS PGothic" w:cs="MS PGothic" w:eastAsia="MS PGothic" w:hAnsi="MS PGothic"/>
                  <w:sz w:val="18"/>
                  <w:szCs w:val="18"/>
                  <w:color w:val="0563C1"/>
                  <w:w w:val="99"/>
                </w:rPr>
                <w:t>Marieta Materials, Inc. Annual Report on Form 10-K for the fscal year ended December 31, 2008) (Commission File No. 1-</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680" w:type="dxa"/>
            <w:vAlign w:val="bottom"/>
            <w:tcBorders>
              <w:top w:val="single" w:sz="8" w:color="DAE8F0"/>
              <w:left w:val="single" w:sz="8" w:color="91BBD3"/>
              <w:right w:val="single" w:sz="8" w:color="91BBD3"/>
            </w:tcBorders>
            <w:shd w:val="clear" w:color="auto" w:fill="DAE8F0"/>
          </w:tcPr>
          <w:p>
            <w:pPr>
              <w:spacing w:after="0"/>
              <w:rPr>
                <w:sz w:val="21"/>
                <w:szCs w:val="21"/>
                <w:color w:val="auto"/>
              </w:rPr>
            </w:pPr>
          </w:p>
        </w:tc>
        <w:tc>
          <w:tcPr>
            <w:tcW w:w="100" w:type="dxa"/>
            <w:vAlign w:val="bottom"/>
            <w:tcBorders>
              <w:top w:val="single" w:sz="8" w:color="DAE8F0"/>
            </w:tcBorders>
            <w:shd w:val="clear" w:color="auto" w:fill="DAE8F0"/>
          </w:tcPr>
          <w:p>
            <w:pPr>
              <w:spacing w:after="0"/>
              <w:rPr>
                <w:sz w:val="21"/>
                <w:szCs w:val="21"/>
                <w:color w:val="auto"/>
              </w:rPr>
            </w:pPr>
          </w:p>
        </w:tc>
        <w:tc>
          <w:tcPr>
            <w:tcW w:w="1120" w:type="dxa"/>
            <w:vAlign w:val="bottom"/>
            <w:tcBorders>
              <w:top w:val="single" w:sz="8" w:color="0563C1"/>
            </w:tcBorders>
            <w:gridSpan w:val="2"/>
            <w:shd w:val="clear" w:color="auto" w:fill="DAE8F0"/>
          </w:tcPr>
          <w:p>
            <w:pPr>
              <w:spacing w:after="0"/>
              <w:rPr>
                <w:rFonts w:ascii="MS PGothic" w:cs="MS PGothic" w:eastAsia="MS PGothic" w:hAnsi="MS PGothic"/>
                <w:sz w:val="18"/>
                <w:szCs w:val="18"/>
                <w:color w:val="0563C1"/>
              </w:rPr>
            </w:pPr>
            <w:hyperlink r:id="rId515">
              <w:r>
                <w:rPr>
                  <w:rFonts w:ascii="MS PGothic" w:cs="MS PGothic" w:eastAsia="MS PGothic" w:hAnsi="MS PGothic"/>
                  <w:sz w:val="18"/>
                  <w:szCs w:val="18"/>
                  <w:color w:val="0563C1"/>
                </w:rPr>
                <w:t>12744)**</w:t>
              </w:r>
            </w:hyperlink>
          </w:p>
        </w:tc>
        <w:tc>
          <w:tcPr>
            <w:tcW w:w="280" w:type="dxa"/>
            <w:vAlign w:val="bottom"/>
            <w:tcBorders>
              <w:top w:val="single" w:sz="8" w:color="0563C1"/>
            </w:tcBorders>
            <w:shd w:val="clear" w:color="auto" w:fill="DAE8F0"/>
          </w:tcPr>
          <w:p>
            <w:pPr>
              <w:spacing w:after="0"/>
              <w:rPr>
                <w:sz w:val="21"/>
                <w:szCs w:val="21"/>
                <w:color w:val="auto"/>
              </w:rPr>
            </w:pPr>
          </w:p>
        </w:tc>
        <w:tc>
          <w:tcPr>
            <w:tcW w:w="960" w:type="dxa"/>
            <w:vAlign w:val="bottom"/>
            <w:tcBorders>
              <w:top w:val="single" w:sz="8" w:color="0563C1"/>
            </w:tcBorders>
            <w:shd w:val="clear" w:color="auto" w:fill="DAE8F0"/>
          </w:tcPr>
          <w:p>
            <w:pPr>
              <w:spacing w:after="0"/>
              <w:rPr>
                <w:sz w:val="21"/>
                <w:szCs w:val="21"/>
                <w:color w:val="auto"/>
              </w:rPr>
            </w:pPr>
          </w:p>
        </w:tc>
        <w:tc>
          <w:tcPr>
            <w:tcW w:w="440" w:type="dxa"/>
            <w:vAlign w:val="bottom"/>
            <w:tcBorders>
              <w:top w:val="single" w:sz="8" w:color="0563C1"/>
            </w:tcBorders>
            <w:shd w:val="clear" w:color="auto" w:fill="DAE8F0"/>
          </w:tcPr>
          <w:p>
            <w:pPr>
              <w:spacing w:after="0"/>
              <w:rPr>
                <w:sz w:val="21"/>
                <w:szCs w:val="21"/>
                <w:color w:val="auto"/>
              </w:rPr>
            </w:pPr>
          </w:p>
        </w:tc>
        <w:tc>
          <w:tcPr>
            <w:tcW w:w="280" w:type="dxa"/>
            <w:vAlign w:val="bottom"/>
            <w:tcBorders>
              <w:top w:val="single" w:sz="8" w:color="0563C1"/>
            </w:tcBorders>
            <w:shd w:val="clear" w:color="auto" w:fill="DAE8F0"/>
          </w:tcPr>
          <w:p>
            <w:pPr>
              <w:spacing w:after="0"/>
              <w:rPr>
                <w:sz w:val="21"/>
                <w:szCs w:val="21"/>
                <w:color w:val="auto"/>
              </w:rPr>
            </w:pPr>
          </w:p>
        </w:tc>
        <w:tc>
          <w:tcPr>
            <w:tcW w:w="680" w:type="dxa"/>
            <w:vAlign w:val="bottom"/>
            <w:tcBorders>
              <w:top w:val="single" w:sz="8" w:color="0563C1"/>
            </w:tcBorders>
            <w:shd w:val="clear" w:color="auto" w:fill="DAE8F0"/>
          </w:tcPr>
          <w:p>
            <w:pPr>
              <w:spacing w:after="0"/>
              <w:rPr>
                <w:sz w:val="21"/>
                <w:szCs w:val="21"/>
                <w:color w:val="auto"/>
              </w:rPr>
            </w:pPr>
          </w:p>
        </w:tc>
        <w:tc>
          <w:tcPr>
            <w:tcW w:w="1980" w:type="dxa"/>
            <w:vAlign w:val="bottom"/>
            <w:tcBorders>
              <w:top w:val="single" w:sz="8" w:color="0563C1"/>
            </w:tcBorders>
            <w:shd w:val="clear" w:color="auto" w:fill="DAE8F0"/>
          </w:tcPr>
          <w:p>
            <w:pPr>
              <w:spacing w:after="0"/>
              <w:rPr>
                <w:sz w:val="21"/>
                <w:szCs w:val="21"/>
                <w:color w:val="auto"/>
              </w:rPr>
            </w:pPr>
          </w:p>
        </w:tc>
        <w:tc>
          <w:tcPr>
            <w:tcW w:w="1180" w:type="dxa"/>
            <w:vAlign w:val="bottom"/>
            <w:tcBorders>
              <w:top w:val="single" w:sz="8" w:color="0563C1"/>
            </w:tcBorders>
            <w:shd w:val="clear" w:color="auto" w:fill="DAE8F0"/>
          </w:tcPr>
          <w:p>
            <w:pPr>
              <w:spacing w:after="0"/>
              <w:rPr>
                <w:sz w:val="21"/>
                <w:szCs w:val="21"/>
                <w:color w:val="auto"/>
              </w:rPr>
            </w:pPr>
          </w:p>
        </w:tc>
        <w:tc>
          <w:tcPr>
            <w:tcW w:w="2080" w:type="dxa"/>
            <w:vAlign w:val="bottom"/>
            <w:tcBorders>
              <w:top w:val="single" w:sz="8" w:color="0563C1"/>
            </w:tcBorders>
            <w:shd w:val="clear" w:color="auto" w:fill="DAE8F0"/>
          </w:tcPr>
          <w:p>
            <w:pPr>
              <w:spacing w:after="0"/>
              <w:rPr>
                <w:sz w:val="21"/>
                <w:szCs w:val="21"/>
                <w:color w:val="auto"/>
              </w:rPr>
            </w:pPr>
          </w:p>
        </w:tc>
        <w:tc>
          <w:tcPr>
            <w:tcW w:w="20" w:type="dxa"/>
            <w:vAlign w:val="bottom"/>
            <w:tcBorders>
              <w:top w:val="single" w:sz="8" w:color="0563C1"/>
            </w:tcBorders>
            <w:shd w:val="clear" w:color="auto" w:fill="DAE8F0"/>
          </w:tcPr>
          <w:p>
            <w:pPr>
              <w:spacing w:after="0"/>
              <w:rPr>
                <w:sz w:val="21"/>
                <w:szCs w:val="21"/>
                <w:color w:val="auto"/>
              </w:rPr>
            </w:pPr>
          </w:p>
        </w:tc>
        <w:tc>
          <w:tcPr>
            <w:tcW w:w="20" w:type="dxa"/>
            <w:vAlign w:val="bottom"/>
            <w:tcBorders>
              <w:top w:val="single" w:sz="8" w:color="0563C1"/>
            </w:tcBorders>
            <w:shd w:val="clear" w:color="auto" w:fill="DAE8F0"/>
          </w:tcPr>
          <w:p>
            <w:pPr>
              <w:spacing w:after="0"/>
              <w:rPr>
                <w:sz w:val="21"/>
                <w:szCs w:val="21"/>
                <w:color w:val="auto"/>
              </w:rPr>
            </w:pPr>
          </w:p>
        </w:tc>
        <w:tc>
          <w:tcPr>
            <w:tcW w:w="20" w:type="dxa"/>
            <w:vAlign w:val="bottom"/>
            <w:tcBorders>
              <w:top w:val="single" w:sz="8" w:color="0563C1"/>
            </w:tcBorders>
            <w:shd w:val="clear" w:color="auto" w:fill="DAE8F0"/>
          </w:tcPr>
          <w:p>
            <w:pPr>
              <w:spacing w:after="0"/>
              <w:rPr>
                <w:sz w:val="21"/>
                <w:szCs w:val="21"/>
                <w:color w:val="auto"/>
              </w:rPr>
            </w:pPr>
          </w:p>
        </w:tc>
        <w:tc>
          <w:tcPr>
            <w:tcW w:w="4294967237" w:type="dxa"/>
            <w:vAlign w:val="bottom"/>
            <w:tcBorders>
              <w:top w:val="single" w:sz="8" w:color="0563C1"/>
            </w:tcBorders>
            <w:shd w:val="clear" w:color="auto" w:fill="DAE8F0"/>
          </w:tcPr>
          <w:p>
            <w:pPr>
              <w:spacing w:after="0"/>
              <w:rPr>
                <w:sz w:val="21"/>
                <w:szCs w:val="21"/>
                <w:color w:val="auto"/>
              </w:rPr>
            </w:pPr>
          </w:p>
        </w:tc>
        <w:tc>
          <w:tcPr>
            <w:tcW w:w="20" w:type="dxa"/>
            <w:vAlign w:val="bottom"/>
            <w:tcBorders>
              <w:top w:val="single" w:sz="8" w:color="DAE8F0"/>
            </w:tcBorders>
            <w:shd w:val="clear" w:color="auto" w:fill="DAE8F0"/>
          </w:tcPr>
          <w:p>
            <w:pPr>
              <w:spacing w:after="0"/>
              <w:rPr>
                <w:sz w:val="21"/>
                <w:szCs w:val="21"/>
                <w:color w:val="auto"/>
              </w:rPr>
            </w:pPr>
          </w:p>
        </w:tc>
        <w:tc>
          <w:tcPr>
            <w:tcW w:w="100" w:type="dxa"/>
            <w:vAlign w:val="bottom"/>
            <w:tcBorders>
              <w:top w:val="single" w:sz="8" w:color="DAE8F0"/>
              <w:right w:val="single" w:sz="8" w:color="91BBD3"/>
            </w:tcBorders>
            <w:shd w:val="clear" w:color="auto" w:fill="DAE8F0"/>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680" w:type="dxa"/>
            <w:vAlign w:val="bottom"/>
            <w:tcBorders>
              <w:top w:val="single" w:sz="8" w:color="0563C1"/>
            </w:tcBorders>
            <w:shd w:val="clear" w:color="auto" w:fill="91BBD3"/>
          </w:tcPr>
          <w:p>
            <w:pPr>
              <w:spacing w:after="0" w:line="20" w:lineRule="exact"/>
              <w:rPr>
                <w:sz w:val="1"/>
                <w:szCs w:val="1"/>
                <w:color w:val="auto"/>
              </w:rPr>
            </w:pPr>
          </w:p>
        </w:tc>
        <w:tc>
          <w:tcPr>
            <w:tcW w:w="440" w:type="dxa"/>
            <w:vAlign w:val="bottom"/>
            <w:tcBorders>
              <w:top w:val="single" w:sz="8" w:color="DAE8F0"/>
            </w:tcBorders>
            <w:shd w:val="clear" w:color="auto" w:fill="91BBD3"/>
          </w:tcPr>
          <w:p>
            <w:pPr>
              <w:spacing w:after="0" w:line="20" w:lineRule="exact"/>
              <w:rPr>
                <w:sz w:val="1"/>
                <w:szCs w:val="1"/>
                <w:color w:val="auto"/>
              </w:rPr>
            </w:pPr>
          </w:p>
        </w:tc>
        <w:tc>
          <w:tcPr>
            <w:tcW w:w="280" w:type="dxa"/>
            <w:vAlign w:val="bottom"/>
            <w:tcBorders>
              <w:top w:val="single" w:sz="8" w:color="DAE8F0"/>
            </w:tcBorders>
            <w:shd w:val="clear" w:color="auto" w:fill="91BBD3"/>
          </w:tcPr>
          <w:p>
            <w:pPr>
              <w:spacing w:after="0" w:line="20" w:lineRule="exact"/>
              <w:rPr>
                <w:sz w:val="1"/>
                <w:szCs w:val="1"/>
                <w:color w:val="auto"/>
              </w:rPr>
            </w:pPr>
          </w:p>
        </w:tc>
        <w:tc>
          <w:tcPr>
            <w:tcW w:w="960" w:type="dxa"/>
            <w:vAlign w:val="bottom"/>
            <w:tcBorders>
              <w:top w:val="single" w:sz="8" w:color="DAE8F0"/>
            </w:tcBorders>
            <w:shd w:val="clear" w:color="auto" w:fill="91BBD3"/>
          </w:tcPr>
          <w:p>
            <w:pPr>
              <w:spacing w:after="0" w:line="20" w:lineRule="exact"/>
              <w:rPr>
                <w:sz w:val="1"/>
                <w:szCs w:val="1"/>
                <w:color w:val="auto"/>
              </w:rPr>
            </w:pPr>
          </w:p>
        </w:tc>
        <w:tc>
          <w:tcPr>
            <w:tcW w:w="440" w:type="dxa"/>
            <w:vAlign w:val="bottom"/>
            <w:tcBorders>
              <w:top w:val="single" w:sz="8" w:color="DAE8F0"/>
            </w:tcBorders>
            <w:shd w:val="clear" w:color="auto" w:fill="91BBD3"/>
          </w:tcPr>
          <w:p>
            <w:pPr>
              <w:spacing w:after="0" w:line="20" w:lineRule="exact"/>
              <w:rPr>
                <w:sz w:val="1"/>
                <w:szCs w:val="1"/>
                <w:color w:val="auto"/>
              </w:rPr>
            </w:pPr>
          </w:p>
        </w:tc>
        <w:tc>
          <w:tcPr>
            <w:tcW w:w="280" w:type="dxa"/>
            <w:vAlign w:val="bottom"/>
            <w:tcBorders>
              <w:top w:val="single" w:sz="8" w:color="DAE8F0"/>
            </w:tcBorders>
            <w:shd w:val="clear" w:color="auto" w:fill="91BBD3"/>
          </w:tcPr>
          <w:p>
            <w:pPr>
              <w:spacing w:after="0" w:line="20" w:lineRule="exact"/>
              <w:rPr>
                <w:sz w:val="1"/>
                <w:szCs w:val="1"/>
                <w:color w:val="auto"/>
              </w:rPr>
            </w:pPr>
          </w:p>
        </w:tc>
        <w:tc>
          <w:tcPr>
            <w:tcW w:w="680" w:type="dxa"/>
            <w:vAlign w:val="bottom"/>
            <w:tcBorders>
              <w:top w:val="single" w:sz="8" w:color="DAE8F0"/>
            </w:tcBorders>
            <w:shd w:val="clear" w:color="auto" w:fill="91BBD3"/>
          </w:tcPr>
          <w:p>
            <w:pPr>
              <w:spacing w:after="0" w:line="20" w:lineRule="exact"/>
              <w:rPr>
                <w:sz w:val="1"/>
                <w:szCs w:val="1"/>
                <w:color w:val="auto"/>
              </w:rPr>
            </w:pPr>
          </w:p>
        </w:tc>
        <w:tc>
          <w:tcPr>
            <w:tcW w:w="1980" w:type="dxa"/>
            <w:vAlign w:val="bottom"/>
            <w:tcBorders>
              <w:top w:val="single" w:sz="8" w:color="DAE8F0"/>
            </w:tcBorders>
            <w:shd w:val="clear" w:color="auto" w:fill="91BBD3"/>
          </w:tcPr>
          <w:p>
            <w:pPr>
              <w:spacing w:after="0" w:line="20" w:lineRule="exact"/>
              <w:rPr>
                <w:sz w:val="1"/>
                <w:szCs w:val="1"/>
                <w:color w:val="auto"/>
              </w:rPr>
            </w:pPr>
          </w:p>
        </w:tc>
        <w:tc>
          <w:tcPr>
            <w:tcW w:w="1180" w:type="dxa"/>
            <w:vAlign w:val="bottom"/>
            <w:tcBorders>
              <w:top w:val="single" w:sz="8" w:color="DAE8F0"/>
            </w:tcBorders>
            <w:shd w:val="clear" w:color="auto" w:fill="91BBD3"/>
          </w:tcPr>
          <w:p>
            <w:pPr>
              <w:spacing w:after="0" w:line="20" w:lineRule="exact"/>
              <w:rPr>
                <w:sz w:val="1"/>
                <w:szCs w:val="1"/>
                <w:color w:val="auto"/>
              </w:rPr>
            </w:pPr>
          </w:p>
        </w:tc>
        <w:tc>
          <w:tcPr>
            <w:tcW w:w="208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4294967237"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10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80" w:type="dxa"/>
            <w:vAlign w:val="bottom"/>
            <w:tcBorders>
              <w:left w:val="single" w:sz="8" w:color="91BBD3"/>
              <w:right w:val="single" w:sz="8" w:color="91BBD3"/>
            </w:tcBorders>
          </w:tcPr>
          <w:p>
            <w:pPr>
              <w:jc w:val="right"/>
              <w:ind w:right="1050"/>
              <w:spacing w:after="0" w:line="169" w:lineRule="exact"/>
              <w:rPr>
                <w:sz w:val="20"/>
                <w:szCs w:val="20"/>
                <w:color w:val="auto"/>
              </w:rPr>
            </w:pPr>
            <w:r>
              <w:rPr>
                <w:rFonts w:ascii="Calibri" w:cs="Calibri" w:eastAsia="Calibri" w:hAnsi="Calibri"/>
                <w:sz w:val="18"/>
                <w:szCs w:val="18"/>
                <w:b w:val="1"/>
                <w:bCs w:val="1"/>
                <w:color w:val="auto"/>
              </w:rPr>
              <w:t>10.19</w:t>
            </w:r>
          </w:p>
        </w:tc>
        <w:tc>
          <w:tcPr>
            <w:tcW w:w="100" w:type="dxa"/>
            <w:vAlign w:val="bottom"/>
          </w:tcPr>
          <w:p>
            <w:pPr>
              <w:spacing w:after="0"/>
              <w:rPr>
                <w:sz w:val="14"/>
                <w:szCs w:val="14"/>
                <w:color w:val="auto"/>
              </w:rPr>
            </w:pPr>
          </w:p>
        </w:tc>
        <w:tc>
          <w:tcPr>
            <w:tcW w:w="9120" w:type="dxa"/>
            <w:vAlign w:val="bottom"/>
            <w:tcBorders>
              <w:right w:val="single" w:sz="8" w:color="91BBD3"/>
            </w:tcBorders>
            <w:gridSpan w:val="16"/>
          </w:tcPr>
          <w:p>
            <w:pPr>
              <w:spacing w:after="0" w:line="169" w:lineRule="exact"/>
              <w:rPr>
                <w:rFonts w:ascii="MS PGothic" w:cs="MS PGothic" w:eastAsia="MS PGothic" w:hAnsi="MS PGothic"/>
                <w:sz w:val="18"/>
                <w:szCs w:val="18"/>
                <w:color w:val="0563C1"/>
                <w:w w:val="97"/>
              </w:rPr>
            </w:pPr>
            <w:hyperlink r:id="rId516">
              <w:r>
                <w:rPr>
                  <w:rFonts w:ascii="MS PGothic" w:cs="MS PGothic" w:eastAsia="MS PGothic" w:hAnsi="MS PGothic"/>
                  <w:sz w:val="18"/>
                  <w:szCs w:val="18"/>
                  <w:color w:val="0563C1"/>
                  <w:w w:val="97"/>
                </w:rPr>
                <w:t>Martn Marieta Amended and Restated Stock-Based Award Plan last amended and restated February 18, 2016 (incorporated</w:t>
              </w:r>
            </w:hyperlink>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80" w:type="dxa"/>
            <w:vAlign w:val="bottom"/>
            <w:tcBorders>
              <w:left w:val="single" w:sz="8" w:color="91BBD3"/>
              <w:right w:val="single" w:sz="8" w:color="91BBD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shd w:val="clear" w:color="auto" w:fill="0563C1"/>
          </w:tcPr>
          <w:p>
            <w:pPr>
              <w:spacing w:after="0" w:line="20" w:lineRule="exact"/>
              <w:rPr>
                <w:sz w:val="1"/>
                <w:szCs w:val="1"/>
                <w:color w:val="auto"/>
              </w:rPr>
            </w:pPr>
          </w:p>
        </w:tc>
        <w:tc>
          <w:tcPr>
            <w:tcW w:w="1960" w:type="dxa"/>
            <w:vAlign w:val="bottom"/>
            <w:gridSpan w:val="4"/>
            <w:shd w:val="clear" w:color="auto" w:fill="0563C1"/>
          </w:tcPr>
          <w:p>
            <w:pPr>
              <w:spacing w:after="0" w:line="20" w:lineRule="exact"/>
              <w:rPr>
                <w:sz w:val="1"/>
                <w:szCs w:val="1"/>
                <w:color w:val="auto"/>
              </w:rPr>
            </w:pPr>
          </w:p>
        </w:tc>
        <w:tc>
          <w:tcPr>
            <w:tcW w:w="5920" w:type="dxa"/>
            <w:vAlign w:val="bottom"/>
            <w:gridSpan w:val="4"/>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294967257" w:type="dxa"/>
            <w:vAlign w:val="bottom"/>
            <w:gridSpan w:val="2"/>
            <w:shd w:val="clear" w:color="auto" w:fill="0563C1"/>
          </w:tcPr>
          <w:p>
            <w:pPr>
              <w:spacing w:after="0" w:line="20" w:lineRule="exact"/>
              <w:rPr>
                <w:sz w:val="1"/>
                <w:szCs w:val="1"/>
                <w:color w:val="auto"/>
              </w:rPr>
            </w:pPr>
          </w:p>
        </w:tc>
        <w:tc>
          <w:tcPr>
            <w:tcW w:w="120" w:type="dxa"/>
            <w:vAlign w:val="bottom"/>
            <w:tcBorders>
              <w:right w:val="single" w:sz="8" w:color="91BBD3"/>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20" w:type="dxa"/>
            <w:vAlign w:val="bottom"/>
            <w:tcBorders>
              <w:bottom w:val="single" w:sz="8" w:color="0563C1"/>
            </w:tcBorders>
            <w:gridSpan w:val="11"/>
          </w:tcPr>
          <w:p>
            <w:pPr>
              <w:spacing w:after="0"/>
              <w:rPr>
                <w:rFonts w:ascii="MS PGothic" w:cs="MS PGothic" w:eastAsia="MS PGothic" w:hAnsi="MS PGothic"/>
                <w:sz w:val="18"/>
                <w:szCs w:val="18"/>
                <w:color w:val="0563C1"/>
                <w:w w:val="95"/>
              </w:rPr>
            </w:pPr>
            <w:hyperlink r:id="rId516">
              <w:r>
                <w:rPr>
                  <w:rFonts w:ascii="MS PGothic" w:cs="MS PGothic" w:eastAsia="MS PGothic" w:hAnsi="MS PGothic"/>
                  <w:sz w:val="18"/>
                  <w:szCs w:val="18"/>
                  <w:color w:val="0563C1"/>
                  <w:w w:val="95"/>
                </w:rPr>
                <w:t>by reference to Exhibit 10.01 to the Martn Marieta Materials, Inc. Quarterly Report on Form 10‑Q for the quarter ended June</w:t>
              </w:r>
            </w:hyperlink>
          </w:p>
        </w:tc>
        <w:tc>
          <w:tcPr>
            <w:tcW w:w="100" w:type="dxa"/>
            <w:vAlign w:val="bottom"/>
            <w:tcBorders>
              <w:right w:val="single" w:sz="8" w:color="91BBD3"/>
            </w:tcBorders>
            <w:gridSpan w:val="5"/>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6"/>
          </w:tcPr>
          <w:p>
            <w:pPr>
              <w:spacing w:after="0"/>
              <w:rPr>
                <w:rFonts w:ascii="MS PGothic" w:cs="MS PGothic" w:eastAsia="MS PGothic" w:hAnsi="MS PGothic"/>
                <w:sz w:val="18"/>
                <w:szCs w:val="18"/>
                <w:color w:val="0563C1"/>
              </w:rPr>
            </w:pPr>
            <w:hyperlink r:id="rId516">
              <w:r>
                <w:rPr>
                  <w:rFonts w:ascii="MS PGothic" w:cs="MS PGothic" w:eastAsia="MS PGothic" w:hAnsi="MS PGothic"/>
                  <w:sz w:val="18"/>
                  <w:szCs w:val="18"/>
                  <w:color w:val="0563C1"/>
                </w:rPr>
                <w:t>30, 2016) (Commission File No. 1-12744)**</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680" w:type="dxa"/>
            <w:vAlign w:val="bottom"/>
            <w:tcBorders>
              <w:left w:val="single" w:sz="8" w:color="91BBD3"/>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680" w:type="dxa"/>
            <w:vAlign w:val="bottom"/>
            <w:tcBorders>
              <w:top w:val="single" w:sz="8" w:color="0563C1"/>
              <w:bottom w:val="single" w:sz="8" w:color="91BBD3"/>
            </w:tcBorders>
          </w:tcPr>
          <w:p>
            <w:pPr>
              <w:spacing w:after="0"/>
              <w:rPr>
                <w:sz w:val="4"/>
                <w:szCs w:val="4"/>
                <w:color w:val="auto"/>
              </w:rPr>
            </w:pPr>
          </w:p>
        </w:tc>
        <w:tc>
          <w:tcPr>
            <w:tcW w:w="440" w:type="dxa"/>
            <w:vAlign w:val="bottom"/>
            <w:tcBorders>
              <w:top w:val="single" w:sz="8" w:color="0563C1"/>
              <w:bottom w:val="single" w:sz="8" w:color="91BBD3"/>
            </w:tcBorders>
          </w:tcPr>
          <w:p>
            <w:pPr>
              <w:spacing w:after="0"/>
              <w:rPr>
                <w:sz w:val="4"/>
                <w:szCs w:val="4"/>
                <w:color w:val="auto"/>
              </w:rPr>
            </w:pPr>
          </w:p>
        </w:tc>
        <w:tc>
          <w:tcPr>
            <w:tcW w:w="280" w:type="dxa"/>
            <w:vAlign w:val="bottom"/>
            <w:tcBorders>
              <w:top w:val="single" w:sz="8" w:color="0563C1"/>
              <w:bottom w:val="single" w:sz="8" w:color="91BBD3"/>
            </w:tcBorders>
          </w:tcPr>
          <w:p>
            <w:pPr>
              <w:spacing w:after="0"/>
              <w:rPr>
                <w:sz w:val="4"/>
                <w:szCs w:val="4"/>
                <w:color w:val="auto"/>
              </w:rPr>
            </w:pPr>
          </w:p>
        </w:tc>
        <w:tc>
          <w:tcPr>
            <w:tcW w:w="960" w:type="dxa"/>
            <w:vAlign w:val="bottom"/>
            <w:tcBorders>
              <w:top w:val="single" w:sz="8" w:color="0563C1"/>
              <w:bottom w:val="single" w:sz="8" w:color="91BBD3"/>
            </w:tcBorders>
          </w:tcPr>
          <w:p>
            <w:pPr>
              <w:spacing w:after="0"/>
              <w:rPr>
                <w:sz w:val="4"/>
                <w:szCs w:val="4"/>
                <w:color w:val="auto"/>
              </w:rPr>
            </w:pPr>
          </w:p>
        </w:tc>
        <w:tc>
          <w:tcPr>
            <w:tcW w:w="440" w:type="dxa"/>
            <w:vAlign w:val="bottom"/>
            <w:tcBorders>
              <w:top w:val="single" w:sz="8" w:color="0563C1"/>
              <w:bottom w:val="single" w:sz="8" w:color="91BBD3"/>
            </w:tcBorders>
          </w:tcPr>
          <w:p>
            <w:pPr>
              <w:spacing w:after="0"/>
              <w:rPr>
                <w:sz w:val="4"/>
                <w:szCs w:val="4"/>
                <w:color w:val="auto"/>
              </w:rPr>
            </w:pPr>
          </w:p>
        </w:tc>
        <w:tc>
          <w:tcPr>
            <w:tcW w:w="280" w:type="dxa"/>
            <w:vAlign w:val="bottom"/>
            <w:tcBorders>
              <w:top w:val="single" w:sz="8" w:color="0563C1"/>
              <w:bottom w:val="single" w:sz="8" w:color="91BBD3"/>
            </w:tcBorders>
          </w:tcPr>
          <w:p>
            <w:pPr>
              <w:spacing w:after="0"/>
              <w:rPr>
                <w:sz w:val="4"/>
                <w:szCs w:val="4"/>
                <w:color w:val="auto"/>
              </w:rPr>
            </w:pPr>
          </w:p>
        </w:tc>
        <w:tc>
          <w:tcPr>
            <w:tcW w:w="680" w:type="dxa"/>
            <w:vAlign w:val="bottom"/>
            <w:tcBorders>
              <w:bottom w:val="single" w:sz="8" w:color="91BBD3"/>
            </w:tcBorders>
          </w:tcPr>
          <w:p>
            <w:pPr>
              <w:spacing w:after="0"/>
              <w:rPr>
                <w:sz w:val="4"/>
                <w:szCs w:val="4"/>
                <w:color w:val="auto"/>
              </w:rPr>
            </w:pPr>
          </w:p>
        </w:tc>
        <w:tc>
          <w:tcPr>
            <w:tcW w:w="1980" w:type="dxa"/>
            <w:vAlign w:val="bottom"/>
            <w:tcBorders>
              <w:bottom w:val="single" w:sz="8" w:color="91BBD3"/>
            </w:tcBorders>
          </w:tcPr>
          <w:p>
            <w:pPr>
              <w:spacing w:after="0"/>
              <w:rPr>
                <w:sz w:val="4"/>
                <w:szCs w:val="4"/>
                <w:color w:val="auto"/>
              </w:rPr>
            </w:pPr>
          </w:p>
        </w:tc>
        <w:tc>
          <w:tcPr>
            <w:tcW w:w="1180" w:type="dxa"/>
            <w:vAlign w:val="bottom"/>
            <w:tcBorders>
              <w:bottom w:val="single" w:sz="8" w:color="91BBD3"/>
            </w:tcBorders>
          </w:tcPr>
          <w:p>
            <w:pPr>
              <w:spacing w:after="0"/>
              <w:rPr>
                <w:sz w:val="4"/>
                <w:szCs w:val="4"/>
                <w:color w:val="auto"/>
              </w:rPr>
            </w:pPr>
          </w:p>
        </w:tc>
        <w:tc>
          <w:tcPr>
            <w:tcW w:w="208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4294967237"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100" w:type="dxa"/>
            <w:vAlign w:val="bottom"/>
            <w:tcBorders>
              <w:bottom w:val="single" w:sz="8" w:color="91BBD3"/>
              <w:right w:val="single" w:sz="8" w:color="91BBD3"/>
            </w:tcBorders>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bottom w:val="single" w:sz="8" w:color="DAE8F0"/>
              <w:right w:val="single" w:sz="8" w:color="91BBD3"/>
            </w:tcBorders>
            <w:shd w:val="clear" w:color="auto" w:fill="DAE8F0"/>
          </w:tcPr>
          <w:p>
            <w:pPr>
              <w:jc w:val="right"/>
              <w:ind w:right="1050"/>
              <w:spacing w:after="0" w:line="169" w:lineRule="exact"/>
              <w:rPr>
                <w:sz w:val="20"/>
                <w:szCs w:val="20"/>
                <w:color w:val="auto"/>
              </w:rPr>
            </w:pPr>
            <w:r>
              <w:rPr>
                <w:rFonts w:ascii="Calibri" w:cs="Calibri" w:eastAsia="Calibri" w:hAnsi="Calibri"/>
                <w:sz w:val="18"/>
                <w:szCs w:val="18"/>
                <w:b w:val="1"/>
                <w:bCs w:val="1"/>
                <w:color w:val="auto"/>
              </w:rPr>
              <w:t>10.20</w:t>
            </w:r>
          </w:p>
        </w:tc>
        <w:tc>
          <w:tcPr>
            <w:tcW w:w="100" w:type="dxa"/>
            <w:vAlign w:val="bottom"/>
            <w:tcBorders>
              <w:bottom w:val="single" w:sz="8" w:color="DAE8F0"/>
            </w:tcBorders>
            <w:shd w:val="clear" w:color="auto" w:fill="DAE8F0"/>
          </w:tcPr>
          <w:p>
            <w:pPr>
              <w:spacing w:after="0"/>
              <w:rPr>
                <w:sz w:val="14"/>
                <w:szCs w:val="14"/>
                <w:color w:val="auto"/>
              </w:rPr>
            </w:pPr>
          </w:p>
        </w:tc>
        <w:tc>
          <w:tcPr>
            <w:tcW w:w="9020" w:type="dxa"/>
            <w:vAlign w:val="bottom"/>
            <w:tcBorders>
              <w:bottom w:val="single" w:sz="8" w:color="0563C1"/>
            </w:tcBorders>
            <w:gridSpan w:val="11"/>
            <w:shd w:val="clear" w:color="auto" w:fill="DAE8F0"/>
          </w:tcPr>
          <w:p>
            <w:pPr>
              <w:spacing w:after="0" w:line="169" w:lineRule="exact"/>
              <w:rPr>
                <w:rFonts w:ascii="MS PGothic" w:cs="MS PGothic" w:eastAsia="MS PGothic" w:hAnsi="MS PGothic"/>
                <w:sz w:val="18"/>
                <w:szCs w:val="18"/>
                <w:color w:val="0563C1"/>
                <w:w w:val="98"/>
              </w:rPr>
            </w:pPr>
            <w:hyperlink r:id="rId517">
              <w:r>
                <w:rPr>
                  <w:rFonts w:ascii="MS PGothic" w:cs="MS PGothic" w:eastAsia="MS PGothic" w:hAnsi="MS PGothic"/>
                  <w:sz w:val="18"/>
                  <w:szCs w:val="18"/>
                  <w:color w:val="0563C1"/>
                  <w:w w:val="98"/>
                </w:rPr>
                <w:t>Martn Marieta Executve Cash Incentve Plan adopted February 18, 2016 (incorporated by reference to Exhibit 10.02 to the</w:t>
              </w:r>
            </w:hyperlink>
          </w:p>
        </w:tc>
        <w:tc>
          <w:tcPr>
            <w:tcW w:w="20" w:type="dxa"/>
            <w:vAlign w:val="bottom"/>
            <w:tcBorders>
              <w:bottom w:val="single" w:sz="8" w:color="0000EE"/>
            </w:tcBorders>
            <w:shd w:val="clear" w:color="auto" w:fill="DAE8F0"/>
          </w:tcPr>
          <w:p>
            <w:pPr>
              <w:spacing w:after="0"/>
              <w:rPr>
                <w:sz w:val="14"/>
                <w:szCs w:val="14"/>
                <w:color w:val="auto"/>
              </w:rPr>
            </w:pPr>
          </w:p>
        </w:tc>
        <w:tc>
          <w:tcPr>
            <w:tcW w:w="80" w:type="dxa"/>
            <w:vAlign w:val="bottom"/>
            <w:tcBorders>
              <w:bottom w:val="single" w:sz="8" w:color="DAE8F0"/>
              <w:right w:val="single" w:sz="8" w:color="91BBD3"/>
            </w:tcBorders>
            <w:gridSpan w:val="4"/>
            <w:shd w:val="clear" w:color="auto" w:fill="DAE8F0"/>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9020" w:type="dxa"/>
            <w:vAlign w:val="bottom"/>
            <w:tcBorders>
              <w:bottom w:val="single" w:sz="8" w:color="0563C1"/>
            </w:tcBorders>
            <w:gridSpan w:val="11"/>
            <w:shd w:val="clear" w:color="auto" w:fill="DAE8F0"/>
          </w:tcPr>
          <w:p>
            <w:pPr>
              <w:spacing w:after="0"/>
              <w:rPr>
                <w:rFonts w:ascii="MS PGothic" w:cs="MS PGothic" w:eastAsia="MS PGothic" w:hAnsi="MS PGothic"/>
                <w:sz w:val="18"/>
                <w:szCs w:val="18"/>
                <w:color w:val="0563C1"/>
                <w:w w:val="97"/>
              </w:rPr>
            </w:pPr>
            <w:hyperlink r:id="rId517">
              <w:r>
                <w:rPr>
                  <w:rFonts w:ascii="MS PGothic" w:cs="MS PGothic" w:eastAsia="MS PGothic" w:hAnsi="MS PGothic"/>
                  <w:sz w:val="18"/>
                  <w:szCs w:val="18"/>
                  <w:color w:val="0563C1"/>
                  <w:w w:val="97"/>
                </w:rPr>
                <w:t>Martn Marieta Materials, Inc. Quarterly Report on Form 10‑Q for the quarter ended June 30, 2016) (Commission File No. 1-</w:t>
              </w:r>
            </w:hyperlink>
          </w:p>
        </w:tc>
        <w:tc>
          <w:tcPr>
            <w:tcW w:w="100" w:type="dxa"/>
            <w:vAlign w:val="bottom"/>
            <w:tcBorders>
              <w:bottom w:val="single" w:sz="8" w:color="DAE8F0"/>
              <w:right w:val="single" w:sz="8" w:color="91BBD3"/>
            </w:tcBorders>
            <w:gridSpan w:val="5"/>
            <w:shd w:val="clear" w:color="auto" w:fill="DAE8F0"/>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680" w:type="dxa"/>
            <w:vAlign w:val="bottom"/>
            <w:tcBorders>
              <w:left w:val="single" w:sz="8" w:color="91BBD3"/>
              <w:right w:val="single" w:sz="8" w:color="91BBD3"/>
            </w:tcBorders>
            <w:shd w:val="clear" w:color="auto" w:fill="DAE8F0"/>
          </w:tcPr>
          <w:p>
            <w:pPr>
              <w:spacing w:after="0"/>
              <w:rPr>
                <w:sz w:val="21"/>
                <w:szCs w:val="21"/>
                <w:color w:val="auto"/>
              </w:rPr>
            </w:pPr>
          </w:p>
        </w:tc>
        <w:tc>
          <w:tcPr>
            <w:tcW w:w="100" w:type="dxa"/>
            <w:vAlign w:val="bottom"/>
            <w:shd w:val="clear" w:color="auto" w:fill="DAE8F0"/>
          </w:tcPr>
          <w:p>
            <w:pPr>
              <w:spacing w:after="0"/>
              <w:rPr>
                <w:sz w:val="21"/>
                <w:szCs w:val="21"/>
                <w:color w:val="auto"/>
              </w:rPr>
            </w:pPr>
          </w:p>
        </w:tc>
        <w:tc>
          <w:tcPr>
            <w:tcW w:w="1120" w:type="dxa"/>
            <w:vAlign w:val="bottom"/>
            <w:gridSpan w:val="2"/>
            <w:shd w:val="clear" w:color="auto" w:fill="DAE8F0"/>
          </w:tcPr>
          <w:p>
            <w:pPr>
              <w:spacing w:after="0"/>
              <w:rPr>
                <w:rFonts w:ascii="MS PGothic" w:cs="MS PGothic" w:eastAsia="MS PGothic" w:hAnsi="MS PGothic"/>
                <w:sz w:val="18"/>
                <w:szCs w:val="18"/>
                <w:color w:val="0563C1"/>
              </w:rPr>
            </w:pPr>
            <w:hyperlink r:id="rId517">
              <w:r>
                <w:rPr>
                  <w:rFonts w:ascii="MS PGothic" w:cs="MS PGothic" w:eastAsia="MS PGothic" w:hAnsi="MS PGothic"/>
                  <w:sz w:val="18"/>
                  <w:szCs w:val="18"/>
                  <w:color w:val="0563C1"/>
                </w:rPr>
                <w:t>12744)**</w:t>
              </w:r>
            </w:hyperlink>
          </w:p>
        </w:tc>
        <w:tc>
          <w:tcPr>
            <w:tcW w:w="280" w:type="dxa"/>
            <w:vAlign w:val="bottom"/>
            <w:shd w:val="clear" w:color="auto" w:fill="DAE8F0"/>
          </w:tcPr>
          <w:p>
            <w:pPr>
              <w:spacing w:after="0"/>
              <w:rPr>
                <w:sz w:val="21"/>
                <w:szCs w:val="21"/>
                <w:color w:val="auto"/>
              </w:rPr>
            </w:pPr>
          </w:p>
        </w:tc>
        <w:tc>
          <w:tcPr>
            <w:tcW w:w="960" w:type="dxa"/>
            <w:vAlign w:val="bottom"/>
            <w:shd w:val="clear" w:color="auto" w:fill="DAE8F0"/>
          </w:tcPr>
          <w:p>
            <w:pPr>
              <w:spacing w:after="0"/>
              <w:rPr>
                <w:sz w:val="21"/>
                <w:szCs w:val="21"/>
                <w:color w:val="auto"/>
              </w:rPr>
            </w:pPr>
          </w:p>
        </w:tc>
        <w:tc>
          <w:tcPr>
            <w:tcW w:w="440" w:type="dxa"/>
            <w:vAlign w:val="bottom"/>
            <w:shd w:val="clear" w:color="auto" w:fill="DAE8F0"/>
          </w:tcPr>
          <w:p>
            <w:pPr>
              <w:spacing w:after="0"/>
              <w:rPr>
                <w:sz w:val="21"/>
                <w:szCs w:val="21"/>
                <w:color w:val="auto"/>
              </w:rPr>
            </w:pPr>
          </w:p>
        </w:tc>
        <w:tc>
          <w:tcPr>
            <w:tcW w:w="280" w:type="dxa"/>
            <w:vAlign w:val="bottom"/>
            <w:shd w:val="clear" w:color="auto" w:fill="DAE8F0"/>
          </w:tcPr>
          <w:p>
            <w:pPr>
              <w:spacing w:after="0"/>
              <w:rPr>
                <w:sz w:val="21"/>
                <w:szCs w:val="21"/>
                <w:color w:val="auto"/>
              </w:rPr>
            </w:pPr>
          </w:p>
        </w:tc>
        <w:tc>
          <w:tcPr>
            <w:tcW w:w="680" w:type="dxa"/>
            <w:vAlign w:val="bottom"/>
            <w:shd w:val="clear" w:color="auto" w:fill="DAE8F0"/>
          </w:tcPr>
          <w:p>
            <w:pPr>
              <w:spacing w:after="0"/>
              <w:rPr>
                <w:sz w:val="21"/>
                <w:szCs w:val="21"/>
                <w:color w:val="auto"/>
              </w:rPr>
            </w:pPr>
          </w:p>
        </w:tc>
        <w:tc>
          <w:tcPr>
            <w:tcW w:w="1980" w:type="dxa"/>
            <w:vAlign w:val="bottom"/>
            <w:shd w:val="clear" w:color="auto" w:fill="DAE8F0"/>
          </w:tcPr>
          <w:p>
            <w:pPr>
              <w:spacing w:after="0"/>
              <w:rPr>
                <w:sz w:val="21"/>
                <w:szCs w:val="21"/>
                <w:color w:val="auto"/>
              </w:rPr>
            </w:pPr>
          </w:p>
        </w:tc>
        <w:tc>
          <w:tcPr>
            <w:tcW w:w="1180" w:type="dxa"/>
            <w:vAlign w:val="bottom"/>
            <w:shd w:val="clear" w:color="auto" w:fill="DAE8F0"/>
          </w:tcPr>
          <w:p>
            <w:pPr>
              <w:spacing w:after="0"/>
              <w:rPr>
                <w:sz w:val="21"/>
                <w:szCs w:val="21"/>
                <w:color w:val="auto"/>
              </w:rPr>
            </w:pPr>
          </w:p>
        </w:tc>
        <w:tc>
          <w:tcPr>
            <w:tcW w:w="2080" w:type="dxa"/>
            <w:vAlign w:val="bottom"/>
            <w:shd w:val="clear" w:color="auto" w:fill="DAE8F0"/>
          </w:tcPr>
          <w:p>
            <w:pPr>
              <w:spacing w:after="0"/>
              <w:rPr>
                <w:sz w:val="21"/>
                <w:szCs w:val="21"/>
                <w:color w:val="auto"/>
              </w:rPr>
            </w:pPr>
          </w:p>
        </w:tc>
        <w:tc>
          <w:tcPr>
            <w:tcW w:w="20" w:type="dxa"/>
            <w:vAlign w:val="bottom"/>
            <w:shd w:val="clear" w:color="auto" w:fill="DAE8F0"/>
          </w:tcPr>
          <w:p>
            <w:pPr>
              <w:spacing w:after="0"/>
              <w:rPr>
                <w:sz w:val="21"/>
                <w:szCs w:val="21"/>
                <w:color w:val="auto"/>
              </w:rPr>
            </w:pPr>
          </w:p>
        </w:tc>
        <w:tc>
          <w:tcPr>
            <w:tcW w:w="20" w:type="dxa"/>
            <w:vAlign w:val="bottom"/>
            <w:shd w:val="clear" w:color="auto" w:fill="DAE8F0"/>
          </w:tcPr>
          <w:p>
            <w:pPr>
              <w:spacing w:after="0"/>
              <w:rPr>
                <w:sz w:val="21"/>
                <w:szCs w:val="21"/>
                <w:color w:val="auto"/>
              </w:rPr>
            </w:pPr>
          </w:p>
        </w:tc>
        <w:tc>
          <w:tcPr>
            <w:tcW w:w="20" w:type="dxa"/>
            <w:vAlign w:val="bottom"/>
            <w:shd w:val="clear" w:color="auto" w:fill="DAE8F0"/>
          </w:tcPr>
          <w:p>
            <w:pPr>
              <w:spacing w:after="0"/>
              <w:rPr>
                <w:sz w:val="21"/>
                <w:szCs w:val="21"/>
                <w:color w:val="auto"/>
              </w:rPr>
            </w:pPr>
          </w:p>
        </w:tc>
        <w:tc>
          <w:tcPr>
            <w:tcW w:w="4294967237" w:type="dxa"/>
            <w:vAlign w:val="bottom"/>
            <w:shd w:val="clear" w:color="auto" w:fill="DAE8F0"/>
          </w:tcPr>
          <w:p>
            <w:pPr>
              <w:spacing w:after="0"/>
              <w:rPr>
                <w:sz w:val="21"/>
                <w:szCs w:val="21"/>
                <w:color w:val="auto"/>
              </w:rPr>
            </w:pPr>
          </w:p>
        </w:tc>
        <w:tc>
          <w:tcPr>
            <w:tcW w:w="20" w:type="dxa"/>
            <w:vAlign w:val="bottom"/>
            <w:shd w:val="clear" w:color="auto" w:fill="DAE8F0"/>
          </w:tcPr>
          <w:p>
            <w:pPr>
              <w:spacing w:after="0"/>
              <w:rPr>
                <w:sz w:val="21"/>
                <w:szCs w:val="21"/>
                <w:color w:val="auto"/>
              </w:rPr>
            </w:pPr>
          </w:p>
        </w:tc>
        <w:tc>
          <w:tcPr>
            <w:tcW w:w="100" w:type="dxa"/>
            <w:vAlign w:val="bottom"/>
            <w:tcBorders>
              <w:right w:val="single" w:sz="8" w:color="91BBD3"/>
            </w:tcBorders>
            <w:shd w:val="clear" w:color="auto" w:fill="DAE8F0"/>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680" w:type="dxa"/>
            <w:vAlign w:val="bottom"/>
            <w:tcBorders>
              <w:top w:val="single" w:sz="8" w:color="0563C1"/>
            </w:tcBorders>
            <w:shd w:val="clear" w:color="auto" w:fill="91BBD3"/>
          </w:tcPr>
          <w:p>
            <w:pPr>
              <w:spacing w:after="0" w:line="20" w:lineRule="exact"/>
              <w:rPr>
                <w:sz w:val="1"/>
                <w:szCs w:val="1"/>
                <w:color w:val="auto"/>
              </w:rPr>
            </w:pPr>
          </w:p>
        </w:tc>
        <w:tc>
          <w:tcPr>
            <w:tcW w:w="440" w:type="dxa"/>
            <w:vAlign w:val="bottom"/>
            <w:tcBorders>
              <w:top w:val="single" w:sz="8" w:color="DAE8F0"/>
            </w:tcBorders>
            <w:shd w:val="clear" w:color="auto" w:fill="91BBD3"/>
          </w:tcPr>
          <w:p>
            <w:pPr>
              <w:spacing w:after="0" w:line="20" w:lineRule="exact"/>
              <w:rPr>
                <w:sz w:val="1"/>
                <w:szCs w:val="1"/>
                <w:color w:val="auto"/>
              </w:rPr>
            </w:pPr>
          </w:p>
        </w:tc>
        <w:tc>
          <w:tcPr>
            <w:tcW w:w="280" w:type="dxa"/>
            <w:vAlign w:val="bottom"/>
            <w:tcBorders>
              <w:top w:val="single" w:sz="8" w:color="DAE8F0"/>
            </w:tcBorders>
            <w:shd w:val="clear" w:color="auto" w:fill="91BBD3"/>
          </w:tcPr>
          <w:p>
            <w:pPr>
              <w:spacing w:after="0" w:line="20" w:lineRule="exact"/>
              <w:rPr>
                <w:sz w:val="1"/>
                <w:szCs w:val="1"/>
                <w:color w:val="auto"/>
              </w:rPr>
            </w:pPr>
          </w:p>
        </w:tc>
        <w:tc>
          <w:tcPr>
            <w:tcW w:w="960" w:type="dxa"/>
            <w:vAlign w:val="bottom"/>
            <w:tcBorders>
              <w:top w:val="single" w:sz="8" w:color="DAE8F0"/>
            </w:tcBorders>
            <w:shd w:val="clear" w:color="auto" w:fill="91BBD3"/>
          </w:tcPr>
          <w:p>
            <w:pPr>
              <w:spacing w:after="0" w:line="20" w:lineRule="exact"/>
              <w:rPr>
                <w:sz w:val="1"/>
                <w:szCs w:val="1"/>
                <w:color w:val="auto"/>
              </w:rPr>
            </w:pPr>
          </w:p>
        </w:tc>
        <w:tc>
          <w:tcPr>
            <w:tcW w:w="440" w:type="dxa"/>
            <w:vAlign w:val="bottom"/>
            <w:tcBorders>
              <w:top w:val="single" w:sz="8" w:color="DAE8F0"/>
            </w:tcBorders>
            <w:shd w:val="clear" w:color="auto" w:fill="91BBD3"/>
          </w:tcPr>
          <w:p>
            <w:pPr>
              <w:spacing w:after="0" w:line="20" w:lineRule="exact"/>
              <w:rPr>
                <w:sz w:val="1"/>
                <w:szCs w:val="1"/>
                <w:color w:val="auto"/>
              </w:rPr>
            </w:pPr>
          </w:p>
        </w:tc>
        <w:tc>
          <w:tcPr>
            <w:tcW w:w="280" w:type="dxa"/>
            <w:vAlign w:val="bottom"/>
            <w:tcBorders>
              <w:top w:val="single" w:sz="8" w:color="DAE8F0"/>
            </w:tcBorders>
            <w:shd w:val="clear" w:color="auto" w:fill="91BBD3"/>
          </w:tcPr>
          <w:p>
            <w:pPr>
              <w:spacing w:after="0" w:line="20" w:lineRule="exact"/>
              <w:rPr>
                <w:sz w:val="1"/>
                <w:szCs w:val="1"/>
                <w:color w:val="auto"/>
              </w:rPr>
            </w:pPr>
          </w:p>
        </w:tc>
        <w:tc>
          <w:tcPr>
            <w:tcW w:w="680" w:type="dxa"/>
            <w:vAlign w:val="bottom"/>
            <w:tcBorders>
              <w:top w:val="single" w:sz="8" w:color="DAE8F0"/>
            </w:tcBorders>
            <w:shd w:val="clear" w:color="auto" w:fill="91BBD3"/>
          </w:tcPr>
          <w:p>
            <w:pPr>
              <w:spacing w:after="0" w:line="20" w:lineRule="exact"/>
              <w:rPr>
                <w:sz w:val="1"/>
                <w:szCs w:val="1"/>
                <w:color w:val="auto"/>
              </w:rPr>
            </w:pPr>
          </w:p>
        </w:tc>
        <w:tc>
          <w:tcPr>
            <w:tcW w:w="1980" w:type="dxa"/>
            <w:vAlign w:val="bottom"/>
            <w:tcBorders>
              <w:top w:val="single" w:sz="8" w:color="DAE8F0"/>
            </w:tcBorders>
            <w:shd w:val="clear" w:color="auto" w:fill="91BBD3"/>
          </w:tcPr>
          <w:p>
            <w:pPr>
              <w:spacing w:after="0" w:line="20" w:lineRule="exact"/>
              <w:rPr>
                <w:sz w:val="1"/>
                <w:szCs w:val="1"/>
                <w:color w:val="auto"/>
              </w:rPr>
            </w:pPr>
          </w:p>
        </w:tc>
        <w:tc>
          <w:tcPr>
            <w:tcW w:w="1180" w:type="dxa"/>
            <w:vAlign w:val="bottom"/>
            <w:tcBorders>
              <w:top w:val="single" w:sz="8" w:color="DAE8F0"/>
            </w:tcBorders>
            <w:shd w:val="clear" w:color="auto" w:fill="91BBD3"/>
          </w:tcPr>
          <w:p>
            <w:pPr>
              <w:spacing w:after="0" w:line="20" w:lineRule="exact"/>
              <w:rPr>
                <w:sz w:val="1"/>
                <w:szCs w:val="1"/>
                <w:color w:val="auto"/>
              </w:rPr>
            </w:pPr>
          </w:p>
        </w:tc>
        <w:tc>
          <w:tcPr>
            <w:tcW w:w="208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4294967237"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10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80" w:type="dxa"/>
            <w:vAlign w:val="bottom"/>
            <w:tcBorders>
              <w:left w:val="single" w:sz="8" w:color="91BBD3"/>
              <w:right w:val="single" w:sz="8" w:color="91BBD3"/>
            </w:tcBorders>
          </w:tcPr>
          <w:p>
            <w:pPr>
              <w:jc w:val="right"/>
              <w:ind w:right="1050"/>
              <w:spacing w:after="0" w:line="169" w:lineRule="exact"/>
              <w:rPr>
                <w:sz w:val="20"/>
                <w:szCs w:val="20"/>
                <w:color w:val="auto"/>
              </w:rPr>
            </w:pPr>
            <w:r>
              <w:rPr>
                <w:rFonts w:ascii="Calibri" w:cs="Calibri" w:eastAsia="Calibri" w:hAnsi="Calibri"/>
                <w:sz w:val="18"/>
                <w:szCs w:val="18"/>
                <w:b w:val="1"/>
                <w:bCs w:val="1"/>
                <w:color w:val="auto"/>
              </w:rPr>
              <w:t>10.21</w:t>
            </w:r>
          </w:p>
        </w:tc>
        <w:tc>
          <w:tcPr>
            <w:tcW w:w="100" w:type="dxa"/>
            <w:vAlign w:val="bottom"/>
          </w:tcPr>
          <w:p>
            <w:pPr>
              <w:spacing w:after="0"/>
              <w:rPr>
                <w:sz w:val="14"/>
                <w:szCs w:val="14"/>
                <w:color w:val="auto"/>
              </w:rPr>
            </w:pPr>
          </w:p>
        </w:tc>
        <w:tc>
          <w:tcPr>
            <w:tcW w:w="9000" w:type="dxa"/>
            <w:vAlign w:val="bottom"/>
            <w:tcBorders>
              <w:bottom w:val="single" w:sz="8" w:color="0563C1"/>
            </w:tcBorders>
            <w:gridSpan w:val="10"/>
          </w:tcPr>
          <w:p>
            <w:pPr>
              <w:spacing w:after="0" w:line="169" w:lineRule="exact"/>
              <w:rPr>
                <w:rFonts w:ascii="MS PGothic" w:cs="MS PGothic" w:eastAsia="MS PGothic" w:hAnsi="MS PGothic"/>
                <w:sz w:val="18"/>
                <w:szCs w:val="18"/>
                <w:color w:val="0563C1"/>
                <w:w w:val="99"/>
              </w:rPr>
            </w:pPr>
            <w:hyperlink r:id="rId518">
              <w:r>
                <w:rPr>
                  <w:rFonts w:ascii="MS PGothic" w:cs="MS PGothic" w:eastAsia="MS PGothic" w:hAnsi="MS PGothic"/>
                  <w:sz w:val="18"/>
                  <w:szCs w:val="18"/>
                  <w:color w:val="0563C1"/>
                  <w:w w:val="99"/>
                </w:rPr>
                <w:t>Martn Marieta Materials, Inc. Amended Omnibus Securites Award Plan (incorporated by reference to Exhibit 10.16 to the</w:t>
              </w:r>
            </w:hyperlink>
          </w:p>
        </w:tc>
        <w:tc>
          <w:tcPr>
            <w:tcW w:w="120" w:type="dxa"/>
            <w:vAlign w:val="bottom"/>
            <w:tcBorders>
              <w:right w:val="single" w:sz="8" w:color="91BBD3"/>
            </w:tcBorders>
            <w:gridSpan w:val="6"/>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20" w:type="dxa"/>
            <w:vAlign w:val="bottom"/>
            <w:tcBorders>
              <w:bottom w:val="single" w:sz="8" w:color="0563C1"/>
            </w:tcBorders>
            <w:gridSpan w:val="11"/>
          </w:tcPr>
          <w:p>
            <w:pPr>
              <w:spacing w:after="0"/>
              <w:rPr>
                <w:rFonts w:ascii="MS PGothic" w:cs="MS PGothic" w:eastAsia="MS PGothic" w:hAnsi="MS PGothic"/>
                <w:sz w:val="18"/>
                <w:szCs w:val="18"/>
                <w:color w:val="0563C1"/>
                <w:w w:val="99"/>
              </w:rPr>
            </w:pPr>
            <w:hyperlink r:id="rId518">
              <w:r>
                <w:rPr>
                  <w:rFonts w:ascii="MS PGothic" w:cs="MS PGothic" w:eastAsia="MS PGothic" w:hAnsi="MS PGothic"/>
                  <w:sz w:val="18"/>
                  <w:szCs w:val="18"/>
                  <w:color w:val="0563C1"/>
                  <w:w w:val="99"/>
                </w:rPr>
                <w:t>Martn Marieta Materials, Inc. Annual Report on Form 10‑K for the fscal year ended December 31, 2000) (Commission File</w:t>
              </w:r>
            </w:hyperlink>
          </w:p>
        </w:tc>
        <w:tc>
          <w:tcPr>
            <w:tcW w:w="100" w:type="dxa"/>
            <w:vAlign w:val="bottom"/>
            <w:tcBorders>
              <w:right w:val="single" w:sz="8" w:color="91BBD3"/>
            </w:tcBorders>
            <w:gridSpan w:val="5"/>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6"/>
          </w:tcPr>
          <w:p>
            <w:pPr>
              <w:spacing w:after="0"/>
              <w:rPr>
                <w:rFonts w:ascii="MS PGothic" w:cs="MS PGothic" w:eastAsia="MS PGothic" w:hAnsi="MS PGothic"/>
                <w:sz w:val="18"/>
                <w:szCs w:val="18"/>
                <w:color w:val="0563C1"/>
              </w:rPr>
            </w:pPr>
            <w:hyperlink r:id="rId518">
              <w:r>
                <w:rPr>
                  <w:rFonts w:ascii="MS PGothic" w:cs="MS PGothic" w:eastAsia="MS PGothic" w:hAnsi="MS PGothic"/>
                  <w:sz w:val="18"/>
                  <w:szCs w:val="18"/>
                  <w:color w:val="0563C1"/>
                </w:rPr>
                <w:t>No. 1-12744)**</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680" w:type="dxa"/>
            <w:vAlign w:val="bottom"/>
            <w:tcBorders>
              <w:left w:val="single" w:sz="8" w:color="91BBD3"/>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680" w:type="dxa"/>
            <w:vAlign w:val="bottom"/>
            <w:tcBorders>
              <w:top w:val="single" w:sz="8" w:color="0563C1"/>
              <w:bottom w:val="single" w:sz="8" w:color="91BBD3"/>
            </w:tcBorders>
          </w:tcPr>
          <w:p>
            <w:pPr>
              <w:spacing w:after="0"/>
              <w:rPr>
                <w:sz w:val="4"/>
                <w:szCs w:val="4"/>
                <w:color w:val="auto"/>
              </w:rPr>
            </w:pPr>
          </w:p>
        </w:tc>
        <w:tc>
          <w:tcPr>
            <w:tcW w:w="440" w:type="dxa"/>
            <w:vAlign w:val="bottom"/>
            <w:tcBorders>
              <w:top w:val="single" w:sz="8" w:color="0563C1"/>
              <w:bottom w:val="single" w:sz="8" w:color="91BBD3"/>
            </w:tcBorders>
          </w:tcPr>
          <w:p>
            <w:pPr>
              <w:spacing w:after="0"/>
              <w:rPr>
                <w:sz w:val="4"/>
                <w:szCs w:val="4"/>
                <w:color w:val="auto"/>
              </w:rPr>
            </w:pPr>
          </w:p>
        </w:tc>
        <w:tc>
          <w:tcPr>
            <w:tcW w:w="280" w:type="dxa"/>
            <w:vAlign w:val="bottom"/>
            <w:tcBorders>
              <w:bottom w:val="single" w:sz="8" w:color="91BBD3"/>
            </w:tcBorders>
          </w:tcPr>
          <w:p>
            <w:pPr>
              <w:spacing w:after="0"/>
              <w:rPr>
                <w:sz w:val="4"/>
                <w:szCs w:val="4"/>
                <w:color w:val="auto"/>
              </w:rPr>
            </w:pPr>
          </w:p>
        </w:tc>
        <w:tc>
          <w:tcPr>
            <w:tcW w:w="960" w:type="dxa"/>
            <w:vAlign w:val="bottom"/>
            <w:tcBorders>
              <w:bottom w:val="single" w:sz="8" w:color="91BBD3"/>
            </w:tcBorders>
          </w:tcPr>
          <w:p>
            <w:pPr>
              <w:spacing w:after="0"/>
              <w:rPr>
                <w:sz w:val="4"/>
                <w:szCs w:val="4"/>
                <w:color w:val="auto"/>
              </w:rPr>
            </w:pPr>
          </w:p>
        </w:tc>
        <w:tc>
          <w:tcPr>
            <w:tcW w:w="440" w:type="dxa"/>
            <w:vAlign w:val="bottom"/>
            <w:tcBorders>
              <w:bottom w:val="single" w:sz="8" w:color="91BBD3"/>
            </w:tcBorders>
          </w:tcPr>
          <w:p>
            <w:pPr>
              <w:spacing w:after="0"/>
              <w:rPr>
                <w:sz w:val="4"/>
                <w:szCs w:val="4"/>
                <w:color w:val="auto"/>
              </w:rPr>
            </w:pPr>
          </w:p>
        </w:tc>
        <w:tc>
          <w:tcPr>
            <w:tcW w:w="280" w:type="dxa"/>
            <w:vAlign w:val="bottom"/>
            <w:tcBorders>
              <w:bottom w:val="single" w:sz="8" w:color="91BBD3"/>
            </w:tcBorders>
          </w:tcPr>
          <w:p>
            <w:pPr>
              <w:spacing w:after="0"/>
              <w:rPr>
                <w:sz w:val="4"/>
                <w:szCs w:val="4"/>
                <w:color w:val="auto"/>
              </w:rPr>
            </w:pPr>
          </w:p>
        </w:tc>
        <w:tc>
          <w:tcPr>
            <w:tcW w:w="680" w:type="dxa"/>
            <w:vAlign w:val="bottom"/>
            <w:tcBorders>
              <w:bottom w:val="single" w:sz="8" w:color="91BBD3"/>
            </w:tcBorders>
          </w:tcPr>
          <w:p>
            <w:pPr>
              <w:spacing w:after="0"/>
              <w:rPr>
                <w:sz w:val="4"/>
                <w:szCs w:val="4"/>
                <w:color w:val="auto"/>
              </w:rPr>
            </w:pPr>
          </w:p>
        </w:tc>
        <w:tc>
          <w:tcPr>
            <w:tcW w:w="1980" w:type="dxa"/>
            <w:vAlign w:val="bottom"/>
            <w:tcBorders>
              <w:bottom w:val="single" w:sz="8" w:color="91BBD3"/>
            </w:tcBorders>
          </w:tcPr>
          <w:p>
            <w:pPr>
              <w:spacing w:after="0"/>
              <w:rPr>
                <w:sz w:val="4"/>
                <w:szCs w:val="4"/>
                <w:color w:val="auto"/>
              </w:rPr>
            </w:pPr>
          </w:p>
        </w:tc>
        <w:tc>
          <w:tcPr>
            <w:tcW w:w="1180" w:type="dxa"/>
            <w:vAlign w:val="bottom"/>
            <w:tcBorders>
              <w:bottom w:val="single" w:sz="8" w:color="91BBD3"/>
            </w:tcBorders>
          </w:tcPr>
          <w:p>
            <w:pPr>
              <w:spacing w:after="0"/>
              <w:rPr>
                <w:sz w:val="4"/>
                <w:szCs w:val="4"/>
                <w:color w:val="auto"/>
              </w:rPr>
            </w:pPr>
          </w:p>
        </w:tc>
        <w:tc>
          <w:tcPr>
            <w:tcW w:w="208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4294967237"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100" w:type="dxa"/>
            <w:vAlign w:val="bottom"/>
            <w:tcBorders>
              <w:bottom w:val="single" w:sz="8" w:color="91BBD3"/>
              <w:right w:val="single" w:sz="8" w:color="91BBD3"/>
            </w:tcBorders>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bottom w:val="single" w:sz="8" w:color="DAE8F0"/>
              <w:right w:val="single" w:sz="8" w:color="91BBD3"/>
            </w:tcBorders>
            <w:shd w:val="clear" w:color="auto" w:fill="DAE8F0"/>
          </w:tcPr>
          <w:p>
            <w:pPr>
              <w:jc w:val="right"/>
              <w:ind w:right="1050"/>
              <w:spacing w:after="0" w:line="169" w:lineRule="exact"/>
              <w:rPr>
                <w:sz w:val="20"/>
                <w:szCs w:val="20"/>
                <w:color w:val="auto"/>
              </w:rPr>
            </w:pPr>
            <w:r>
              <w:rPr>
                <w:rFonts w:ascii="Calibri" w:cs="Calibri" w:eastAsia="Calibri" w:hAnsi="Calibri"/>
                <w:sz w:val="18"/>
                <w:szCs w:val="18"/>
                <w:b w:val="1"/>
                <w:bCs w:val="1"/>
                <w:color w:val="auto"/>
              </w:rPr>
              <w:t>10.22</w:t>
            </w:r>
          </w:p>
        </w:tc>
        <w:tc>
          <w:tcPr>
            <w:tcW w:w="100" w:type="dxa"/>
            <w:vAlign w:val="bottom"/>
            <w:tcBorders>
              <w:bottom w:val="single" w:sz="8" w:color="DAE8F0"/>
            </w:tcBorders>
            <w:shd w:val="clear" w:color="auto" w:fill="DAE8F0"/>
          </w:tcPr>
          <w:p>
            <w:pPr>
              <w:spacing w:after="0"/>
              <w:rPr>
                <w:sz w:val="14"/>
                <w:szCs w:val="14"/>
                <w:color w:val="auto"/>
              </w:rPr>
            </w:pPr>
          </w:p>
        </w:tc>
        <w:tc>
          <w:tcPr>
            <w:tcW w:w="9000" w:type="dxa"/>
            <w:vAlign w:val="bottom"/>
            <w:tcBorders>
              <w:bottom w:val="single" w:sz="8" w:color="0563C1"/>
            </w:tcBorders>
            <w:gridSpan w:val="10"/>
            <w:shd w:val="clear" w:color="auto" w:fill="DAE8F0"/>
          </w:tcPr>
          <w:p>
            <w:pPr>
              <w:spacing w:after="0" w:line="169" w:lineRule="exact"/>
              <w:rPr>
                <w:rFonts w:ascii="MS PGothic" w:cs="MS PGothic" w:eastAsia="MS PGothic" w:hAnsi="MS PGothic"/>
                <w:sz w:val="18"/>
                <w:szCs w:val="18"/>
                <w:color w:val="0563C1"/>
                <w:w w:val="96"/>
              </w:rPr>
            </w:pPr>
            <w:hyperlink r:id="rId519">
              <w:r>
                <w:rPr>
                  <w:rFonts w:ascii="MS PGothic" w:cs="MS PGothic" w:eastAsia="MS PGothic" w:hAnsi="MS PGothic"/>
                  <w:sz w:val="18"/>
                  <w:szCs w:val="18"/>
                  <w:color w:val="0563C1"/>
                  <w:w w:val="96"/>
                </w:rPr>
                <w:t>Martn Marieta Materials, Inc. Third Amended and Restated Supplemental Excess Retrement Plan (incorporated by reference</w:t>
              </w:r>
            </w:hyperlink>
          </w:p>
        </w:tc>
        <w:tc>
          <w:tcPr>
            <w:tcW w:w="120" w:type="dxa"/>
            <w:vAlign w:val="bottom"/>
            <w:tcBorders>
              <w:bottom w:val="single" w:sz="8" w:color="DAE8F0"/>
              <w:right w:val="single" w:sz="8" w:color="91BBD3"/>
            </w:tcBorders>
            <w:gridSpan w:val="6"/>
            <w:shd w:val="clear" w:color="auto" w:fill="DAE8F0"/>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9060" w:type="dxa"/>
            <w:vAlign w:val="bottom"/>
            <w:tcBorders>
              <w:bottom w:val="single" w:sz="8" w:color="0563C1"/>
            </w:tcBorders>
            <w:gridSpan w:val="13"/>
            <w:shd w:val="clear" w:color="auto" w:fill="DAE8F0"/>
          </w:tcPr>
          <w:p>
            <w:pPr>
              <w:spacing w:after="0"/>
              <w:rPr>
                <w:rFonts w:ascii="MS PGothic" w:cs="MS PGothic" w:eastAsia="MS PGothic" w:hAnsi="MS PGothic"/>
                <w:sz w:val="18"/>
                <w:szCs w:val="18"/>
                <w:color w:val="0563C1"/>
              </w:rPr>
            </w:pPr>
            <w:hyperlink r:id="rId519">
              <w:r>
                <w:rPr>
                  <w:rFonts w:ascii="MS PGothic" w:cs="MS PGothic" w:eastAsia="MS PGothic" w:hAnsi="MS PGothic"/>
                  <w:sz w:val="18"/>
                  <w:szCs w:val="18"/>
                  <w:color w:val="0563C1"/>
                </w:rPr>
                <w:t>to Exhibit 10 to the Martn Marieta Materials, Inc. Quarterly Report on Form 10-Q for the quarter ended June 30, 2012)</w:t>
              </w:r>
            </w:hyperlink>
          </w:p>
        </w:tc>
        <w:tc>
          <w:tcPr>
            <w:tcW w:w="60" w:type="dxa"/>
            <w:vAlign w:val="bottom"/>
            <w:tcBorders>
              <w:bottom w:val="single" w:sz="8" w:color="DAE8F0"/>
              <w:right w:val="single" w:sz="8" w:color="91BBD3"/>
            </w:tcBorders>
            <w:gridSpan w:val="3"/>
            <w:shd w:val="clear" w:color="auto" w:fill="DAE8F0"/>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680" w:type="dxa"/>
            <w:vAlign w:val="bottom"/>
            <w:tcBorders>
              <w:left w:val="single" w:sz="8" w:color="91BBD3"/>
              <w:right w:val="single" w:sz="8" w:color="91BBD3"/>
            </w:tcBorders>
            <w:shd w:val="clear" w:color="auto" w:fill="DAE8F0"/>
          </w:tcPr>
          <w:p>
            <w:pPr>
              <w:spacing w:after="0"/>
              <w:rPr>
                <w:sz w:val="22"/>
                <w:szCs w:val="22"/>
                <w:color w:val="auto"/>
              </w:rPr>
            </w:pPr>
          </w:p>
        </w:tc>
        <w:tc>
          <w:tcPr>
            <w:tcW w:w="100" w:type="dxa"/>
            <w:vAlign w:val="bottom"/>
            <w:shd w:val="clear" w:color="auto" w:fill="DAE8F0"/>
          </w:tcPr>
          <w:p>
            <w:pPr>
              <w:spacing w:after="0"/>
              <w:rPr>
                <w:sz w:val="22"/>
                <w:szCs w:val="22"/>
                <w:color w:val="auto"/>
              </w:rPr>
            </w:pPr>
          </w:p>
        </w:tc>
        <w:tc>
          <w:tcPr>
            <w:tcW w:w="9120" w:type="dxa"/>
            <w:vAlign w:val="bottom"/>
            <w:tcBorders>
              <w:right w:val="single" w:sz="8" w:color="91BBD3"/>
            </w:tcBorders>
            <w:gridSpan w:val="16"/>
            <w:shd w:val="clear" w:color="auto" w:fill="DAE8F0"/>
          </w:tcPr>
          <w:p>
            <w:pPr>
              <w:spacing w:after="0"/>
              <w:rPr>
                <w:rFonts w:ascii="MS PGothic" w:cs="MS PGothic" w:eastAsia="MS PGothic" w:hAnsi="MS PGothic"/>
                <w:sz w:val="18"/>
                <w:szCs w:val="18"/>
                <w:color w:val="0563C1"/>
              </w:rPr>
            </w:pPr>
            <w:hyperlink r:id="rId519">
              <w:r>
                <w:rPr>
                  <w:rFonts w:ascii="MS PGothic" w:cs="MS PGothic" w:eastAsia="MS PGothic" w:hAnsi="MS PGothic"/>
                  <w:sz w:val="18"/>
                  <w:szCs w:val="18"/>
                  <w:color w:val="0563C1"/>
                </w:rPr>
                <w:t>(Commission File No. 1-12744)**</w:t>
              </w:r>
            </w:hyperlink>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1680" w:type="dxa"/>
            <w:vAlign w:val="bottom"/>
            <w:tcBorders>
              <w:top w:val="single" w:sz="8" w:color="91BBD3"/>
            </w:tcBorders>
          </w:tcPr>
          <w:p>
            <w:pPr>
              <w:jc w:val="right"/>
              <w:ind w:right="290"/>
              <w:spacing w:after="0"/>
              <w:rPr>
                <w:sz w:val="20"/>
                <w:szCs w:val="20"/>
                <w:color w:val="auto"/>
              </w:rPr>
            </w:pPr>
            <w:r>
              <w:rPr>
                <w:rFonts w:ascii="MS PGothic" w:cs="MS PGothic" w:eastAsia="MS PGothic" w:hAnsi="MS PGothic"/>
                <w:sz w:val="18"/>
                <w:szCs w:val="18"/>
                <w:color w:val="auto"/>
                <w:w w:val="97"/>
              </w:rPr>
              <w:t xml:space="preserve">Form 10-K </w:t>
            </w:r>
            <w:r>
              <w:rPr>
                <w:rFonts w:ascii="Arial" w:cs="Arial" w:eastAsia="Arial" w:hAnsi="Arial"/>
                <w:sz w:val="23"/>
                <w:szCs w:val="23"/>
                <w:color w:val="0070C0"/>
                <w:w w:val="97"/>
              </w:rPr>
              <w:t>♦</w:t>
            </w:r>
            <w:r>
              <w:rPr>
                <w:rFonts w:ascii="MS PGothic" w:cs="MS PGothic" w:eastAsia="MS PGothic" w:hAnsi="MS PGothic"/>
                <w:sz w:val="18"/>
                <w:szCs w:val="18"/>
                <w:color w:val="auto"/>
                <w:w w:val="97"/>
              </w:rPr>
              <w:t xml:space="preserve"> 119</w:t>
            </w:r>
          </w:p>
        </w:tc>
        <w:tc>
          <w:tcPr>
            <w:tcW w:w="100" w:type="dxa"/>
            <w:vAlign w:val="bottom"/>
            <w:tcBorders>
              <w:top w:val="single" w:sz="8" w:color="91BBD3"/>
            </w:tcBorders>
          </w:tcPr>
          <w:p>
            <w:pPr>
              <w:spacing w:after="0"/>
              <w:rPr>
                <w:sz w:val="24"/>
                <w:szCs w:val="24"/>
                <w:color w:val="auto"/>
              </w:rPr>
            </w:pPr>
          </w:p>
        </w:tc>
        <w:tc>
          <w:tcPr>
            <w:tcW w:w="680" w:type="dxa"/>
            <w:vAlign w:val="bottom"/>
            <w:tcBorders>
              <w:top w:val="single" w:sz="8" w:color="0563C1"/>
            </w:tcBorders>
          </w:tcPr>
          <w:p>
            <w:pPr>
              <w:spacing w:after="0"/>
              <w:rPr>
                <w:sz w:val="24"/>
                <w:szCs w:val="24"/>
                <w:color w:val="auto"/>
              </w:rPr>
            </w:pPr>
          </w:p>
        </w:tc>
        <w:tc>
          <w:tcPr>
            <w:tcW w:w="440" w:type="dxa"/>
            <w:vAlign w:val="bottom"/>
            <w:tcBorders>
              <w:top w:val="single" w:sz="8" w:color="0563C1"/>
            </w:tcBorders>
          </w:tcPr>
          <w:p>
            <w:pPr>
              <w:spacing w:after="0"/>
              <w:rPr>
                <w:sz w:val="24"/>
                <w:szCs w:val="24"/>
                <w:color w:val="auto"/>
              </w:rPr>
            </w:pPr>
          </w:p>
        </w:tc>
        <w:tc>
          <w:tcPr>
            <w:tcW w:w="280" w:type="dxa"/>
            <w:vAlign w:val="bottom"/>
            <w:tcBorders>
              <w:top w:val="single" w:sz="8" w:color="0563C1"/>
            </w:tcBorders>
          </w:tcPr>
          <w:p>
            <w:pPr>
              <w:spacing w:after="0"/>
              <w:rPr>
                <w:sz w:val="24"/>
                <w:szCs w:val="24"/>
                <w:color w:val="auto"/>
              </w:rPr>
            </w:pPr>
          </w:p>
        </w:tc>
        <w:tc>
          <w:tcPr>
            <w:tcW w:w="960" w:type="dxa"/>
            <w:vAlign w:val="bottom"/>
            <w:tcBorders>
              <w:top w:val="single" w:sz="8" w:color="0563C1"/>
            </w:tcBorders>
          </w:tcPr>
          <w:p>
            <w:pPr>
              <w:spacing w:after="0"/>
              <w:rPr>
                <w:sz w:val="24"/>
                <w:szCs w:val="24"/>
                <w:color w:val="auto"/>
              </w:rPr>
            </w:pPr>
          </w:p>
        </w:tc>
        <w:tc>
          <w:tcPr>
            <w:tcW w:w="440" w:type="dxa"/>
            <w:vAlign w:val="bottom"/>
            <w:tcBorders>
              <w:top w:val="single" w:sz="8" w:color="91BBD3"/>
            </w:tcBorders>
          </w:tcPr>
          <w:p>
            <w:pPr>
              <w:spacing w:after="0"/>
              <w:rPr>
                <w:sz w:val="24"/>
                <w:szCs w:val="24"/>
                <w:color w:val="auto"/>
              </w:rPr>
            </w:pPr>
          </w:p>
        </w:tc>
        <w:tc>
          <w:tcPr>
            <w:tcW w:w="280" w:type="dxa"/>
            <w:vAlign w:val="bottom"/>
            <w:tcBorders>
              <w:top w:val="single" w:sz="8" w:color="91BBD3"/>
            </w:tcBorders>
          </w:tcPr>
          <w:p>
            <w:pPr>
              <w:spacing w:after="0"/>
              <w:rPr>
                <w:sz w:val="24"/>
                <w:szCs w:val="24"/>
                <w:color w:val="auto"/>
              </w:rPr>
            </w:pPr>
          </w:p>
        </w:tc>
        <w:tc>
          <w:tcPr>
            <w:tcW w:w="680" w:type="dxa"/>
            <w:vAlign w:val="bottom"/>
            <w:tcBorders>
              <w:top w:val="single" w:sz="8" w:color="91BBD3"/>
            </w:tcBorders>
          </w:tcPr>
          <w:p>
            <w:pPr>
              <w:spacing w:after="0"/>
              <w:rPr>
                <w:sz w:val="24"/>
                <w:szCs w:val="24"/>
                <w:color w:val="auto"/>
              </w:rPr>
            </w:pPr>
          </w:p>
        </w:tc>
        <w:tc>
          <w:tcPr>
            <w:tcW w:w="1980" w:type="dxa"/>
            <w:vAlign w:val="bottom"/>
            <w:tcBorders>
              <w:top w:val="single" w:sz="8" w:color="91BBD3"/>
            </w:tcBorders>
          </w:tcPr>
          <w:p>
            <w:pPr>
              <w:spacing w:after="0"/>
              <w:rPr>
                <w:sz w:val="24"/>
                <w:szCs w:val="24"/>
                <w:color w:val="auto"/>
              </w:rPr>
            </w:pPr>
          </w:p>
        </w:tc>
        <w:tc>
          <w:tcPr>
            <w:tcW w:w="1180" w:type="dxa"/>
            <w:vAlign w:val="bottom"/>
            <w:tcBorders>
              <w:top w:val="single" w:sz="8" w:color="91BBD3"/>
            </w:tcBorders>
          </w:tcPr>
          <w:p>
            <w:pPr>
              <w:spacing w:after="0"/>
              <w:rPr>
                <w:sz w:val="24"/>
                <w:szCs w:val="24"/>
                <w:color w:val="auto"/>
              </w:rPr>
            </w:pPr>
          </w:p>
        </w:tc>
        <w:tc>
          <w:tcPr>
            <w:tcW w:w="2080" w:type="dxa"/>
            <w:vAlign w:val="bottom"/>
            <w:tcBorders>
              <w:top w:val="single" w:sz="8" w:color="91BBD3"/>
            </w:tcBorders>
          </w:tcPr>
          <w:p>
            <w:pPr>
              <w:spacing w:after="0"/>
              <w:rPr>
                <w:sz w:val="24"/>
                <w:szCs w:val="24"/>
                <w:color w:val="auto"/>
              </w:rPr>
            </w:pPr>
          </w:p>
        </w:tc>
        <w:tc>
          <w:tcPr>
            <w:tcW w:w="20" w:type="dxa"/>
            <w:vAlign w:val="bottom"/>
            <w:tcBorders>
              <w:top w:val="single" w:sz="8" w:color="91BBD3"/>
            </w:tcBorders>
          </w:tcPr>
          <w:p>
            <w:pPr>
              <w:spacing w:after="0"/>
              <w:rPr>
                <w:sz w:val="24"/>
                <w:szCs w:val="24"/>
                <w:color w:val="auto"/>
              </w:rPr>
            </w:pPr>
          </w:p>
        </w:tc>
        <w:tc>
          <w:tcPr>
            <w:tcW w:w="20" w:type="dxa"/>
            <w:vAlign w:val="bottom"/>
            <w:tcBorders>
              <w:top w:val="single" w:sz="8" w:color="91BBD3"/>
            </w:tcBorders>
          </w:tcPr>
          <w:p>
            <w:pPr>
              <w:spacing w:after="0"/>
              <w:rPr>
                <w:sz w:val="24"/>
                <w:szCs w:val="24"/>
                <w:color w:val="auto"/>
              </w:rPr>
            </w:pPr>
          </w:p>
        </w:tc>
        <w:tc>
          <w:tcPr>
            <w:tcW w:w="20" w:type="dxa"/>
            <w:vAlign w:val="bottom"/>
            <w:tcBorders>
              <w:top w:val="single" w:sz="8" w:color="91BBD3"/>
            </w:tcBorders>
          </w:tcPr>
          <w:p>
            <w:pPr>
              <w:spacing w:after="0"/>
              <w:rPr>
                <w:sz w:val="24"/>
                <w:szCs w:val="24"/>
                <w:color w:val="auto"/>
              </w:rPr>
            </w:pPr>
          </w:p>
        </w:tc>
        <w:tc>
          <w:tcPr>
            <w:tcW w:w="4294967237" w:type="dxa"/>
            <w:vAlign w:val="bottom"/>
            <w:tcBorders>
              <w:top w:val="single" w:sz="8" w:color="91BBD3"/>
            </w:tcBorders>
          </w:tcPr>
          <w:p>
            <w:pPr>
              <w:spacing w:after="0"/>
              <w:rPr>
                <w:sz w:val="24"/>
                <w:szCs w:val="24"/>
                <w:color w:val="auto"/>
              </w:rPr>
            </w:pPr>
          </w:p>
        </w:tc>
        <w:tc>
          <w:tcPr>
            <w:tcW w:w="20" w:type="dxa"/>
            <w:vAlign w:val="bottom"/>
            <w:tcBorders>
              <w:top w:val="single" w:sz="8" w:color="91BBD3"/>
            </w:tcBorders>
          </w:tcPr>
          <w:p>
            <w:pPr>
              <w:spacing w:after="0"/>
              <w:rPr>
                <w:sz w:val="24"/>
                <w:szCs w:val="24"/>
                <w:color w:val="auto"/>
              </w:rPr>
            </w:pPr>
          </w:p>
        </w:tc>
        <w:tc>
          <w:tcPr>
            <w:tcW w:w="100" w:type="dxa"/>
            <w:vAlign w:val="bottom"/>
            <w:tcBorders>
              <w:top w:val="single" w:sz="8" w:color="91BBD3"/>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94967237"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-402590</wp:posOffset>
            </wp:positionV>
            <wp:extent cx="325755" cy="19685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2">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1" w:name="page122"/>
    <w:bookmarkEnd w:id="121"/>
    <w:tbl>
      <w:tblPr>
        <w:tblLayout w:type="fixed"/>
        <w:tblInd w:w="10" w:type="dxa"/>
        <w:tblCellMar>
          <w:top w:w="0" w:type="dxa"/>
          <w:left w:w="0" w:type="dxa"/>
          <w:bottom w:w="0" w:type="dxa"/>
          <w:right w:w="0" w:type="dxa"/>
        </w:tblCellMar>
      </w:tblPr>
      <w:tr>
        <w:trPr>
          <w:trHeight w:val="308"/>
        </w:trPr>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720" w:type="dxa"/>
            <w:vAlign w:val="bottom"/>
            <w:gridSpan w:val="10"/>
          </w:tcPr>
          <w:p>
            <w:pPr>
              <w:ind w:left="200"/>
              <w:spacing w:after="0"/>
              <w:rPr>
                <w:sz w:val="20"/>
                <w:szCs w:val="20"/>
                <w:color w:val="auto"/>
              </w:rPr>
            </w:pPr>
            <w:r>
              <w:rPr>
                <w:rFonts w:ascii="MS PGothic" w:cs="MS PGothic" w:eastAsia="MS PGothic" w:hAnsi="MS PGothic"/>
                <w:sz w:val="18"/>
                <w:szCs w:val="18"/>
                <w:color w:val="auto"/>
                <w:w w:val="93"/>
              </w:rPr>
              <w:t xml:space="preserve">Part IV </w:t>
            </w:r>
            <w:r>
              <w:rPr>
                <w:rFonts w:ascii="Arial" w:cs="Arial" w:eastAsia="Arial" w:hAnsi="Arial"/>
                <w:sz w:val="23"/>
                <w:szCs w:val="23"/>
                <w:color w:val="0070C0"/>
                <w:w w:val="93"/>
              </w:rPr>
              <w:t>♦</w:t>
            </w:r>
            <w:r>
              <w:rPr>
                <w:rFonts w:ascii="MS PGothic" w:cs="MS PGothic" w:eastAsia="MS PGothic" w:hAnsi="MS PGothic"/>
                <w:sz w:val="18"/>
                <w:szCs w:val="18"/>
                <w:color w:val="auto"/>
                <w:w w:val="93"/>
              </w:rPr>
              <w:t xml:space="preserve"> Item 15 – Exhibits and Financial Statement Schedules</w:t>
            </w:r>
          </w:p>
        </w:tc>
        <w:tc>
          <w:tcPr>
            <w:tcW w:w="0" w:type="dxa"/>
            <w:vAlign w:val="bottom"/>
          </w:tcPr>
          <w:p>
            <w:pPr>
              <w:spacing w:after="0"/>
              <w:rPr>
                <w:sz w:val="1"/>
                <w:szCs w:val="1"/>
                <w:color w:val="auto"/>
              </w:rPr>
            </w:pPr>
          </w:p>
        </w:tc>
      </w:tr>
      <w:tr>
        <w:trPr>
          <w:trHeight w:val="166"/>
        </w:trPr>
        <w:tc>
          <w:tcPr>
            <w:tcW w:w="1680" w:type="dxa"/>
            <w:vAlign w:val="bottom"/>
            <w:tcBorders>
              <w:bottom w:val="single" w:sz="8" w:color="91BBD3"/>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80" w:type="dxa"/>
            <w:vAlign w:val="bottom"/>
            <w:tcBorders>
              <w:bottom w:val="single" w:sz="8" w:color="007DC6"/>
            </w:tcBorders>
          </w:tcPr>
          <w:p>
            <w:pPr>
              <w:spacing w:after="0"/>
              <w:rPr>
                <w:sz w:val="14"/>
                <w:szCs w:val="14"/>
                <w:color w:val="auto"/>
              </w:rPr>
            </w:pPr>
          </w:p>
        </w:tc>
        <w:tc>
          <w:tcPr>
            <w:tcW w:w="740" w:type="dxa"/>
            <w:vAlign w:val="bottom"/>
            <w:tcBorders>
              <w:bottom w:val="single" w:sz="8" w:color="007DC6"/>
            </w:tcBorders>
          </w:tcPr>
          <w:p>
            <w:pPr>
              <w:spacing w:after="0"/>
              <w:rPr>
                <w:sz w:val="14"/>
                <w:szCs w:val="14"/>
                <w:color w:val="auto"/>
              </w:rPr>
            </w:pPr>
          </w:p>
        </w:tc>
        <w:tc>
          <w:tcPr>
            <w:tcW w:w="1360" w:type="dxa"/>
            <w:vAlign w:val="bottom"/>
            <w:tcBorders>
              <w:bottom w:val="single" w:sz="8" w:color="007DC6"/>
            </w:tcBorders>
          </w:tcPr>
          <w:p>
            <w:pPr>
              <w:spacing w:after="0"/>
              <w:rPr>
                <w:sz w:val="14"/>
                <w:szCs w:val="14"/>
                <w:color w:val="auto"/>
              </w:rPr>
            </w:pPr>
          </w:p>
        </w:tc>
        <w:tc>
          <w:tcPr>
            <w:tcW w:w="980" w:type="dxa"/>
            <w:vAlign w:val="bottom"/>
            <w:tcBorders>
              <w:bottom w:val="single" w:sz="8" w:color="007DC6"/>
            </w:tcBorders>
          </w:tcPr>
          <w:p>
            <w:pPr>
              <w:spacing w:after="0"/>
              <w:rPr>
                <w:sz w:val="14"/>
                <w:szCs w:val="14"/>
                <w:color w:val="auto"/>
              </w:rPr>
            </w:pPr>
          </w:p>
        </w:tc>
        <w:tc>
          <w:tcPr>
            <w:tcW w:w="640" w:type="dxa"/>
            <w:vAlign w:val="bottom"/>
            <w:tcBorders>
              <w:bottom w:val="single" w:sz="8" w:color="007DC6"/>
            </w:tcBorders>
          </w:tcPr>
          <w:p>
            <w:pPr>
              <w:spacing w:after="0"/>
              <w:rPr>
                <w:sz w:val="14"/>
                <w:szCs w:val="14"/>
                <w:color w:val="auto"/>
              </w:rPr>
            </w:pPr>
          </w:p>
        </w:tc>
        <w:tc>
          <w:tcPr>
            <w:tcW w:w="360" w:type="dxa"/>
            <w:vAlign w:val="bottom"/>
            <w:tcBorders>
              <w:bottom w:val="single" w:sz="8" w:color="007DC6"/>
            </w:tcBorders>
          </w:tcPr>
          <w:p>
            <w:pPr>
              <w:spacing w:after="0"/>
              <w:rPr>
                <w:sz w:val="14"/>
                <w:szCs w:val="14"/>
                <w:color w:val="auto"/>
              </w:rPr>
            </w:pPr>
          </w:p>
        </w:tc>
        <w:tc>
          <w:tcPr>
            <w:tcW w:w="600" w:type="dxa"/>
            <w:vAlign w:val="bottom"/>
            <w:tcBorders>
              <w:bottom w:val="single" w:sz="8" w:color="007DC6"/>
            </w:tcBorders>
          </w:tcPr>
          <w:p>
            <w:pPr>
              <w:spacing w:after="0"/>
              <w:rPr>
                <w:sz w:val="14"/>
                <w:szCs w:val="14"/>
                <w:color w:val="auto"/>
              </w:rPr>
            </w:pPr>
          </w:p>
        </w:tc>
        <w:tc>
          <w:tcPr>
            <w:tcW w:w="60" w:type="dxa"/>
            <w:vAlign w:val="bottom"/>
            <w:tcBorders>
              <w:bottom w:val="single" w:sz="8" w:color="007DC6"/>
            </w:tcBorders>
          </w:tcPr>
          <w:p>
            <w:pPr>
              <w:spacing w:after="0"/>
              <w:rPr>
                <w:sz w:val="14"/>
                <w:szCs w:val="14"/>
                <w:color w:val="auto"/>
              </w:rPr>
            </w:pPr>
          </w:p>
        </w:tc>
        <w:tc>
          <w:tcPr>
            <w:tcW w:w="1240" w:type="dxa"/>
            <w:vAlign w:val="bottom"/>
            <w:tcBorders>
              <w:bottom w:val="single" w:sz="8" w:color="007DC6"/>
            </w:tcBorders>
          </w:tcPr>
          <w:p>
            <w:pPr>
              <w:spacing w:after="0"/>
              <w:rPr>
                <w:sz w:val="14"/>
                <w:szCs w:val="14"/>
                <w:color w:val="auto"/>
              </w:rPr>
            </w:pPr>
          </w:p>
        </w:tc>
        <w:tc>
          <w:tcPr>
            <w:tcW w:w="400" w:type="dxa"/>
            <w:vAlign w:val="bottom"/>
            <w:tcBorders>
              <w:bottom w:val="single" w:sz="8" w:color="007DC6"/>
            </w:tcBorders>
          </w:tcPr>
          <w:p>
            <w:pPr>
              <w:spacing w:after="0"/>
              <w:rPr>
                <w:sz w:val="14"/>
                <w:szCs w:val="14"/>
                <w:color w:val="auto"/>
              </w:rPr>
            </w:pPr>
          </w:p>
        </w:tc>
        <w:tc>
          <w:tcPr>
            <w:tcW w:w="320" w:type="dxa"/>
            <w:vAlign w:val="bottom"/>
            <w:tcBorders>
              <w:bottom w:val="single" w:sz="8" w:color="007DC6"/>
            </w:tcBorders>
          </w:tcPr>
          <w:p>
            <w:pPr>
              <w:spacing w:after="0"/>
              <w:rPr>
                <w:sz w:val="14"/>
                <w:szCs w:val="14"/>
                <w:color w:val="auto"/>
              </w:rPr>
            </w:pPr>
          </w:p>
        </w:tc>
        <w:tc>
          <w:tcPr>
            <w:tcW w:w="1080" w:type="dxa"/>
            <w:vAlign w:val="bottom"/>
            <w:tcBorders>
              <w:bottom w:val="single" w:sz="8" w:color="007DC6"/>
            </w:tcBorders>
          </w:tcPr>
          <w:p>
            <w:pPr>
              <w:spacing w:after="0"/>
              <w:rPr>
                <w:sz w:val="14"/>
                <w:szCs w:val="14"/>
                <w:color w:val="auto"/>
              </w:rPr>
            </w:pPr>
          </w:p>
        </w:tc>
        <w:tc>
          <w:tcPr>
            <w:tcW w:w="12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4294967257" w:type="dxa"/>
            <w:vAlign w:val="bottom"/>
            <w:tcBorders>
              <w:bottom w:val="single" w:sz="8" w:color="007DC6"/>
            </w:tcBorders>
          </w:tcPr>
          <w:p>
            <w:pPr>
              <w:spacing w:after="0"/>
              <w:rPr>
                <w:sz w:val="14"/>
                <w:szCs w:val="14"/>
                <w:color w:val="auto"/>
              </w:rPr>
            </w:pPr>
          </w:p>
        </w:tc>
        <w:tc>
          <w:tcPr>
            <w:tcW w:w="120" w:type="dxa"/>
            <w:vAlign w:val="bottom"/>
            <w:tcBorders>
              <w:bottom w:val="single" w:sz="8" w:color="007DC6"/>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1"/>
        </w:trPr>
        <w:tc>
          <w:tcPr>
            <w:tcW w:w="1680" w:type="dxa"/>
            <w:vAlign w:val="bottom"/>
            <w:tcBorders>
              <w:left w:val="single" w:sz="8" w:color="91BBD3"/>
              <w:bottom w:val="single" w:sz="8" w:color="007DC6"/>
              <w:right w:val="single" w:sz="8" w:color="91BBD3"/>
            </w:tcBorders>
            <w:shd w:val="clear" w:color="auto" w:fill="007DC6"/>
          </w:tcPr>
          <w:p>
            <w:pPr>
              <w:ind w:left="440"/>
              <w:spacing w:after="0"/>
              <w:rPr>
                <w:sz w:val="20"/>
                <w:szCs w:val="20"/>
                <w:color w:val="auto"/>
              </w:rPr>
            </w:pPr>
            <w:r>
              <w:rPr>
                <w:rFonts w:ascii="Calibri" w:cs="Calibri" w:eastAsia="Calibri" w:hAnsi="Calibri"/>
                <w:sz w:val="18"/>
                <w:szCs w:val="18"/>
                <w:b w:val="1"/>
                <w:bCs w:val="1"/>
                <w:color w:val="FFFFFF"/>
              </w:rPr>
              <w:t>Exhibit No.</w:t>
            </w:r>
          </w:p>
        </w:tc>
        <w:tc>
          <w:tcPr>
            <w:tcW w:w="20" w:type="dxa"/>
            <w:vAlign w:val="bottom"/>
            <w:tcBorders>
              <w:bottom w:val="single" w:sz="8" w:color="007DC6"/>
            </w:tcBorders>
            <w:shd w:val="clear" w:color="auto" w:fill="007DC6"/>
          </w:tcPr>
          <w:p>
            <w:pPr>
              <w:spacing w:after="0"/>
              <w:rPr>
                <w:sz w:val="24"/>
                <w:szCs w:val="24"/>
                <w:color w:val="auto"/>
              </w:rPr>
            </w:pPr>
          </w:p>
        </w:tc>
        <w:tc>
          <w:tcPr>
            <w:tcW w:w="80" w:type="dxa"/>
            <w:vAlign w:val="bottom"/>
            <w:tcBorders>
              <w:bottom w:val="single" w:sz="8" w:color="007DC6"/>
            </w:tcBorders>
            <w:shd w:val="clear" w:color="auto" w:fill="007DC6"/>
          </w:tcPr>
          <w:p>
            <w:pPr>
              <w:spacing w:after="0"/>
              <w:rPr>
                <w:sz w:val="24"/>
                <w:szCs w:val="24"/>
                <w:color w:val="auto"/>
              </w:rPr>
            </w:pPr>
          </w:p>
        </w:tc>
        <w:tc>
          <w:tcPr>
            <w:tcW w:w="740" w:type="dxa"/>
            <w:vAlign w:val="bottom"/>
            <w:tcBorders>
              <w:bottom w:val="single" w:sz="8" w:color="007DC6"/>
            </w:tcBorders>
            <w:shd w:val="clear" w:color="auto" w:fill="007DC6"/>
          </w:tcPr>
          <w:p>
            <w:pPr>
              <w:spacing w:after="0"/>
              <w:rPr>
                <w:sz w:val="24"/>
                <w:szCs w:val="24"/>
                <w:color w:val="auto"/>
              </w:rPr>
            </w:pPr>
          </w:p>
        </w:tc>
        <w:tc>
          <w:tcPr>
            <w:tcW w:w="1360" w:type="dxa"/>
            <w:vAlign w:val="bottom"/>
            <w:tcBorders>
              <w:bottom w:val="single" w:sz="8" w:color="007DC6"/>
            </w:tcBorders>
            <w:shd w:val="clear" w:color="auto" w:fill="007DC6"/>
          </w:tcPr>
          <w:p>
            <w:pPr>
              <w:spacing w:after="0"/>
              <w:rPr>
                <w:sz w:val="24"/>
                <w:szCs w:val="24"/>
                <w:color w:val="auto"/>
              </w:rPr>
            </w:pPr>
          </w:p>
        </w:tc>
        <w:tc>
          <w:tcPr>
            <w:tcW w:w="980" w:type="dxa"/>
            <w:vAlign w:val="bottom"/>
            <w:tcBorders>
              <w:bottom w:val="single" w:sz="8" w:color="007DC6"/>
            </w:tcBorders>
            <w:shd w:val="clear" w:color="auto" w:fill="007DC6"/>
          </w:tcPr>
          <w:p>
            <w:pPr>
              <w:spacing w:after="0"/>
              <w:rPr>
                <w:sz w:val="24"/>
                <w:szCs w:val="24"/>
                <w:color w:val="auto"/>
              </w:rPr>
            </w:pPr>
          </w:p>
        </w:tc>
        <w:tc>
          <w:tcPr>
            <w:tcW w:w="640" w:type="dxa"/>
            <w:vAlign w:val="bottom"/>
            <w:tcBorders>
              <w:bottom w:val="single" w:sz="8" w:color="007DC6"/>
            </w:tcBorders>
            <w:shd w:val="clear" w:color="auto" w:fill="007DC6"/>
          </w:tcPr>
          <w:p>
            <w:pPr>
              <w:spacing w:after="0"/>
              <w:rPr>
                <w:sz w:val="24"/>
                <w:szCs w:val="24"/>
                <w:color w:val="auto"/>
              </w:rPr>
            </w:pPr>
          </w:p>
        </w:tc>
        <w:tc>
          <w:tcPr>
            <w:tcW w:w="360" w:type="dxa"/>
            <w:vAlign w:val="bottom"/>
            <w:tcBorders>
              <w:bottom w:val="single" w:sz="8" w:color="007DC6"/>
            </w:tcBorders>
            <w:shd w:val="clear" w:color="auto" w:fill="007DC6"/>
          </w:tcPr>
          <w:p>
            <w:pPr>
              <w:spacing w:after="0"/>
              <w:rPr>
                <w:sz w:val="24"/>
                <w:szCs w:val="24"/>
                <w:color w:val="auto"/>
              </w:rPr>
            </w:pPr>
          </w:p>
        </w:tc>
        <w:tc>
          <w:tcPr>
            <w:tcW w:w="600" w:type="dxa"/>
            <w:vAlign w:val="bottom"/>
            <w:tcBorders>
              <w:bottom w:val="single" w:sz="8" w:color="007DC6"/>
            </w:tcBorders>
            <w:shd w:val="clear" w:color="auto" w:fill="007DC6"/>
          </w:tcPr>
          <w:p>
            <w:pPr>
              <w:spacing w:after="0"/>
              <w:rPr>
                <w:sz w:val="24"/>
                <w:szCs w:val="24"/>
                <w:color w:val="auto"/>
              </w:rPr>
            </w:pPr>
          </w:p>
        </w:tc>
        <w:tc>
          <w:tcPr>
            <w:tcW w:w="60" w:type="dxa"/>
            <w:vAlign w:val="bottom"/>
            <w:tcBorders>
              <w:bottom w:val="single" w:sz="8" w:color="007DC6"/>
            </w:tcBorders>
            <w:shd w:val="clear" w:color="auto" w:fill="007DC6"/>
          </w:tcPr>
          <w:p>
            <w:pPr>
              <w:spacing w:after="0"/>
              <w:rPr>
                <w:sz w:val="24"/>
                <w:szCs w:val="24"/>
                <w:color w:val="auto"/>
              </w:rPr>
            </w:pPr>
          </w:p>
        </w:tc>
        <w:tc>
          <w:tcPr>
            <w:tcW w:w="1240" w:type="dxa"/>
            <w:vAlign w:val="bottom"/>
            <w:tcBorders>
              <w:bottom w:val="single" w:sz="8" w:color="007DC6"/>
            </w:tcBorders>
            <w:shd w:val="clear" w:color="auto" w:fill="007DC6"/>
          </w:tcPr>
          <w:p>
            <w:pPr>
              <w:spacing w:after="0"/>
              <w:rPr>
                <w:sz w:val="24"/>
                <w:szCs w:val="24"/>
                <w:color w:val="auto"/>
              </w:rPr>
            </w:pPr>
          </w:p>
        </w:tc>
        <w:tc>
          <w:tcPr>
            <w:tcW w:w="400" w:type="dxa"/>
            <w:vAlign w:val="bottom"/>
            <w:tcBorders>
              <w:bottom w:val="single" w:sz="8" w:color="007DC6"/>
            </w:tcBorders>
            <w:shd w:val="clear" w:color="auto" w:fill="007DC6"/>
          </w:tcPr>
          <w:p>
            <w:pPr>
              <w:spacing w:after="0"/>
              <w:rPr>
                <w:sz w:val="24"/>
                <w:szCs w:val="24"/>
                <w:color w:val="auto"/>
              </w:rPr>
            </w:pPr>
          </w:p>
        </w:tc>
        <w:tc>
          <w:tcPr>
            <w:tcW w:w="320" w:type="dxa"/>
            <w:vAlign w:val="bottom"/>
            <w:tcBorders>
              <w:bottom w:val="single" w:sz="8" w:color="007DC6"/>
            </w:tcBorders>
            <w:shd w:val="clear" w:color="auto" w:fill="007DC6"/>
          </w:tcPr>
          <w:p>
            <w:pPr>
              <w:spacing w:after="0"/>
              <w:rPr>
                <w:sz w:val="24"/>
                <w:szCs w:val="24"/>
                <w:color w:val="auto"/>
              </w:rPr>
            </w:pPr>
          </w:p>
        </w:tc>
        <w:tc>
          <w:tcPr>
            <w:tcW w:w="1080" w:type="dxa"/>
            <w:vAlign w:val="bottom"/>
            <w:tcBorders>
              <w:bottom w:val="single" w:sz="8" w:color="007DC6"/>
            </w:tcBorders>
            <w:shd w:val="clear" w:color="auto" w:fill="007DC6"/>
          </w:tcPr>
          <w:p>
            <w:pPr>
              <w:spacing w:after="0"/>
              <w:rPr>
                <w:sz w:val="24"/>
                <w:szCs w:val="24"/>
                <w:color w:val="auto"/>
              </w:rPr>
            </w:pPr>
          </w:p>
        </w:tc>
        <w:tc>
          <w:tcPr>
            <w:tcW w:w="1220" w:type="dxa"/>
            <w:vAlign w:val="bottom"/>
            <w:tcBorders>
              <w:bottom w:val="single" w:sz="8" w:color="007DC6"/>
            </w:tcBorders>
            <w:shd w:val="clear" w:color="auto" w:fill="007DC6"/>
          </w:tcPr>
          <w:p>
            <w:pPr>
              <w:spacing w:after="0"/>
              <w:rPr>
                <w:sz w:val="24"/>
                <w:szCs w:val="24"/>
                <w:color w:val="auto"/>
              </w:rPr>
            </w:pPr>
          </w:p>
        </w:tc>
        <w:tc>
          <w:tcPr>
            <w:tcW w:w="20" w:type="dxa"/>
            <w:vAlign w:val="bottom"/>
            <w:tcBorders>
              <w:bottom w:val="single" w:sz="8" w:color="007DC6"/>
            </w:tcBorders>
            <w:shd w:val="clear" w:color="auto" w:fill="007DC6"/>
          </w:tcPr>
          <w:p>
            <w:pPr>
              <w:spacing w:after="0"/>
              <w:rPr>
                <w:sz w:val="24"/>
                <w:szCs w:val="24"/>
                <w:color w:val="auto"/>
              </w:rPr>
            </w:pPr>
          </w:p>
        </w:tc>
        <w:tc>
          <w:tcPr>
            <w:tcW w:w="20" w:type="dxa"/>
            <w:vAlign w:val="bottom"/>
            <w:tcBorders>
              <w:bottom w:val="single" w:sz="8" w:color="007DC6"/>
            </w:tcBorders>
            <w:shd w:val="clear" w:color="auto" w:fill="007DC6"/>
          </w:tcPr>
          <w:p>
            <w:pPr>
              <w:spacing w:after="0"/>
              <w:rPr>
                <w:sz w:val="24"/>
                <w:szCs w:val="24"/>
                <w:color w:val="auto"/>
              </w:rPr>
            </w:pPr>
          </w:p>
        </w:tc>
        <w:tc>
          <w:tcPr>
            <w:tcW w:w="4294967257" w:type="dxa"/>
            <w:vAlign w:val="bottom"/>
            <w:tcBorders>
              <w:bottom w:val="single" w:sz="8" w:color="007DC6"/>
              <w:right w:val="single" w:sz="8" w:color="007DC6"/>
            </w:tcBorders>
            <w:shd w:val="clear" w:color="auto" w:fill="007DC6"/>
          </w:tcPr>
          <w:p>
            <w:pPr>
              <w:spacing w:after="0"/>
              <w:rPr>
                <w:sz w:val="24"/>
                <w:szCs w:val="24"/>
                <w:color w:val="auto"/>
              </w:rPr>
            </w:pPr>
          </w:p>
        </w:tc>
        <w:tc>
          <w:tcPr>
            <w:tcW w:w="120" w:type="dxa"/>
            <w:vAlign w:val="bottom"/>
            <w:tcBorders>
              <w:bottom w:val="single" w:sz="8" w:color="007DC6"/>
              <w:right w:val="single" w:sz="8" w:color="91BBD3"/>
            </w:tcBorders>
            <w:shd w:val="clear" w:color="auto" w:fill="007DC6"/>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680" w:type="dxa"/>
            <w:vAlign w:val="bottom"/>
            <w:tcBorders>
              <w:top w:val="single" w:sz="8" w:color="91BBD3"/>
              <w:left w:val="single" w:sz="8" w:color="91BBD3"/>
              <w:right w:val="single" w:sz="8" w:color="91BBD3"/>
            </w:tcBorders>
          </w:tcPr>
          <w:p>
            <w:pPr>
              <w:ind w:left="120"/>
              <w:spacing w:after="0" w:line="149" w:lineRule="exact"/>
              <w:rPr>
                <w:sz w:val="20"/>
                <w:szCs w:val="20"/>
                <w:color w:val="auto"/>
              </w:rPr>
            </w:pPr>
            <w:r>
              <w:rPr>
                <w:rFonts w:ascii="Calibri" w:cs="Calibri" w:eastAsia="Calibri" w:hAnsi="Calibri"/>
                <w:sz w:val="16"/>
                <w:szCs w:val="16"/>
                <w:b w:val="1"/>
                <w:bCs w:val="1"/>
                <w:color w:val="auto"/>
              </w:rPr>
              <w:t>10.23</w:t>
            </w:r>
          </w:p>
        </w:tc>
        <w:tc>
          <w:tcPr>
            <w:tcW w:w="20" w:type="dxa"/>
            <w:vAlign w:val="bottom"/>
            <w:tcBorders>
              <w:top w:val="single" w:sz="8" w:color="91BBD3"/>
            </w:tcBorders>
          </w:tcPr>
          <w:p>
            <w:pPr>
              <w:spacing w:after="0"/>
              <w:rPr>
                <w:sz w:val="12"/>
                <w:szCs w:val="12"/>
                <w:color w:val="auto"/>
              </w:rPr>
            </w:pPr>
          </w:p>
        </w:tc>
        <w:tc>
          <w:tcPr>
            <w:tcW w:w="80" w:type="dxa"/>
            <w:vAlign w:val="bottom"/>
            <w:tcBorders>
              <w:top w:val="single" w:sz="8" w:color="91BBD3"/>
            </w:tcBorders>
          </w:tcPr>
          <w:p>
            <w:pPr>
              <w:spacing w:after="0"/>
              <w:rPr>
                <w:sz w:val="12"/>
                <w:szCs w:val="12"/>
                <w:color w:val="auto"/>
              </w:rPr>
            </w:pPr>
          </w:p>
        </w:tc>
        <w:tc>
          <w:tcPr>
            <w:tcW w:w="9000" w:type="dxa"/>
            <w:vAlign w:val="bottom"/>
            <w:tcBorders>
              <w:top w:val="single" w:sz="8" w:color="91BBD3"/>
              <w:bottom w:val="single" w:sz="8" w:color="0563C1"/>
            </w:tcBorders>
            <w:gridSpan w:val="12"/>
          </w:tcPr>
          <w:p>
            <w:pPr>
              <w:spacing w:after="0" w:line="149" w:lineRule="exact"/>
              <w:rPr>
                <w:rFonts w:ascii="MS PGothic" w:cs="MS PGothic" w:eastAsia="MS PGothic" w:hAnsi="MS PGothic"/>
                <w:sz w:val="18"/>
                <w:szCs w:val="18"/>
                <w:color w:val="0563C1"/>
                <w:w w:val="97"/>
              </w:rPr>
            </w:pPr>
            <w:hyperlink r:id="rId523">
              <w:r>
                <w:rPr>
                  <w:rFonts w:ascii="MS PGothic" w:cs="MS PGothic" w:eastAsia="MS PGothic" w:hAnsi="MS PGothic"/>
                  <w:sz w:val="18"/>
                  <w:szCs w:val="18"/>
                  <w:color w:val="0563C1"/>
                  <w:w w:val="97"/>
                </w:rPr>
                <w:t>Form of Opton Award Agreement under the Martn Marieta Materials, Inc. Amended and Restated Stock-Based Award Plan</w:t>
              </w:r>
            </w:hyperlink>
          </w:p>
        </w:tc>
        <w:tc>
          <w:tcPr>
            <w:tcW w:w="120" w:type="dxa"/>
            <w:vAlign w:val="bottom"/>
            <w:tcBorders>
              <w:top w:val="single" w:sz="8" w:color="91BBD3"/>
              <w:right w:val="single" w:sz="8" w:color="91BBD3"/>
            </w:tcBorders>
            <w:gridSpan w:val="4"/>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0" w:type="dxa"/>
            <w:vAlign w:val="bottom"/>
            <w:tcBorders>
              <w:bottom w:val="single" w:sz="8" w:color="0563C1"/>
            </w:tcBorders>
            <w:gridSpan w:val="15"/>
          </w:tcPr>
          <w:p>
            <w:pPr>
              <w:spacing w:after="0"/>
              <w:rPr>
                <w:rFonts w:ascii="MS PGothic" w:cs="MS PGothic" w:eastAsia="MS PGothic" w:hAnsi="MS PGothic"/>
                <w:sz w:val="18"/>
                <w:szCs w:val="18"/>
                <w:color w:val="0563C1"/>
                <w:w w:val="98"/>
              </w:rPr>
            </w:pPr>
            <w:hyperlink r:id="rId523">
              <w:r>
                <w:rPr>
                  <w:rFonts w:ascii="MS PGothic" w:cs="MS PGothic" w:eastAsia="MS PGothic" w:hAnsi="MS PGothic"/>
                  <w:sz w:val="18"/>
                  <w:szCs w:val="18"/>
                  <w:color w:val="0563C1"/>
                  <w:w w:val="98"/>
                </w:rPr>
                <w:t>(incorporated by reference to Exhibit 10.11 to the Martn Marieta Materials, Inc. Annual Report on Form 10-K for the fscal</w:t>
              </w:r>
            </w:hyperlink>
          </w:p>
        </w:tc>
        <w:tc>
          <w:tcPr>
            <w:tcW w:w="120" w:type="dxa"/>
            <w:vAlign w:val="bottom"/>
            <w:tcBorders>
              <w:right w:val="single" w:sz="8" w:color="91BBD3"/>
            </w:tcBorders>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120" w:type="dxa"/>
            <w:vAlign w:val="bottom"/>
            <w:tcBorders>
              <w:right w:val="single" w:sz="8" w:color="91BBD3"/>
            </w:tcBorders>
            <w:gridSpan w:val="16"/>
          </w:tcPr>
          <w:p>
            <w:pPr>
              <w:spacing w:after="0"/>
              <w:rPr>
                <w:rFonts w:ascii="MS PGothic" w:cs="MS PGothic" w:eastAsia="MS PGothic" w:hAnsi="MS PGothic"/>
                <w:sz w:val="18"/>
                <w:szCs w:val="18"/>
                <w:color w:val="0563C1"/>
              </w:rPr>
            </w:pPr>
            <w:hyperlink r:id="rId523">
              <w:r>
                <w:rPr>
                  <w:rFonts w:ascii="MS PGothic" w:cs="MS PGothic" w:eastAsia="MS PGothic" w:hAnsi="MS PGothic"/>
                  <w:sz w:val="18"/>
                  <w:szCs w:val="18"/>
                  <w:color w:val="0563C1"/>
                </w:rPr>
                <w:t>year ended December 31, 2008) (Commission File No. 1-12744)**</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680" w:type="dxa"/>
            <w:vAlign w:val="bottom"/>
            <w:tcBorders>
              <w:left w:val="single" w:sz="8" w:color="91BBD3"/>
              <w:bottom w:val="single" w:sz="8" w:color="91BBD3"/>
              <w:right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80" w:type="dxa"/>
            <w:vAlign w:val="bottom"/>
            <w:tcBorders>
              <w:bottom w:val="single" w:sz="8" w:color="91BBD3"/>
            </w:tcBorders>
          </w:tcPr>
          <w:p>
            <w:pPr>
              <w:spacing w:after="0"/>
              <w:rPr>
                <w:sz w:val="4"/>
                <w:szCs w:val="4"/>
                <w:color w:val="auto"/>
              </w:rPr>
            </w:pPr>
          </w:p>
        </w:tc>
        <w:tc>
          <w:tcPr>
            <w:tcW w:w="740" w:type="dxa"/>
            <w:vAlign w:val="bottom"/>
            <w:tcBorders>
              <w:top w:val="single" w:sz="8" w:color="0563C1"/>
              <w:bottom w:val="single" w:sz="8" w:color="91BBD3"/>
            </w:tcBorders>
          </w:tcPr>
          <w:p>
            <w:pPr>
              <w:spacing w:after="0"/>
              <w:rPr>
                <w:sz w:val="4"/>
                <w:szCs w:val="4"/>
                <w:color w:val="auto"/>
              </w:rPr>
            </w:pPr>
          </w:p>
        </w:tc>
        <w:tc>
          <w:tcPr>
            <w:tcW w:w="1360" w:type="dxa"/>
            <w:vAlign w:val="bottom"/>
            <w:tcBorders>
              <w:top w:val="single" w:sz="8" w:color="0563C1"/>
              <w:bottom w:val="single" w:sz="8" w:color="91BBD3"/>
            </w:tcBorders>
          </w:tcPr>
          <w:p>
            <w:pPr>
              <w:spacing w:after="0"/>
              <w:rPr>
                <w:sz w:val="4"/>
                <w:szCs w:val="4"/>
                <w:color w:val="auto"/>
              </w:rPr>
            </w:pPr>
          </w:p>
        </w:tc>
        <w:tc>
          <w:tcPr>
            <w:tcW w:w="980" w:type="dxa"/>
            <w:vAlign w:val="bottom"/>
            <w:tcBorders>
              <w:top w:val="single" w:sz="8" w:color="0563C1"/>
              <w:bottom w:val="single" w:sz="8" w:color="91BBD3"/>
            </w:tcBorders>
          </w:tcPr>
          <w:p>
            <w:pPr>
              <w:spacing w:after="0"/>
              <w:rPr>
                <w:sz w:val="4"/>
                <w:szCs w:val="4"/>
                <w:color w:val="auto"/>
              </w:rPr>
            </w:pPr>
          </w:p>
        </w:tc>
        <w:tc>
          <w:tcPr>
            <w:tcW w:w="640" w:type="dxa"/>
            <w:vAlign w:val="bottom"/>
            <w:tcBorders>
              <w:top w:val="single" w:sz="8" w:color="0563C1"/>
              <w:bottom w:val="single" w:sz="8" w:color="91BBD3"/>
            </w:tcBorders>
          </w:tcPr>
          <w:p>
            <w:pPr>
              <w:spacing w:after="0"/>
              <w:rPr>
                <w:sz w:val="4"/>
                <w:szCs w:val="4"/>
                <w:color w:val="auto"/>
              </w:rPr>
            </w:pPr>
          </w:p>
        </w:tc>
        <w:tc>
          <w:tcPr>
            <w:tcW w:w="360" w:type="dxa"/>
            <w:vAlign w:val="bottom"/>
            <w:tcBorders>
              <w:top w:val="single" w:sz="8" w:color="0563C1"/>
              <w:bottom w:val="single" w:sz="8" w:color="91BBD3"/>
            </w:tcBorders>
          </w:tcPr>
          <w:p>
            <w:pPr>
              <w:spacing w:after="0"/>
              <w:rPr>
                <w:sz w:val="4"/>
                <w:szCs w:val="4"/>
                <w:color w:val="auto"/>
              </w:rPr>
            </w:pPr>
          </w:p>
        </w:tc>
        <w:tc>
          <w:tcPr>
            <w:tcW w:w="600" w:type="dxa"/>
            <w:vAlign w:val="bottom"/>
            <w:tcBorders>
              <w:top w:val="single" w:sz="8" w:color="0563C1"/>
              <w:bottom w:val="single" w:sz="8" w:color="91BBD3"/>
            </w:tcBorders>
          </w:tcPr>
          <w:p>
            <w:pPr>
              <w:spacing w:after="0"/>
              <w:rPr>
                <w:sz w:val="4"/>
                <w:szCs w:val="4"/>
                <w:color w:val="auto"/>
              </w:rPr>
            </w:pPr>
          </w:p>
        </w:tc>
        <w:tc>
          <w:tcPr>
            <w:tcW w:w="60" w:type="dxa"/>
            <w:vAlign w:val="bottom"/>
            <w:tcBorders>
              <w:bottom w:val="single" w:sz="8" w:color="91BBD3"/>
            </w:tcBorders>
          </w:tcPr>
          <w:p>
            <w:pPr>
              <w:spacing w:after="0"/>
              <w:rPr>
                <w:sz w:val="4"/>
                <w:szCs w:val="4"/>
                <w:color w:val="auto"/>
              </w:rPr>
            </w:pPr>
          </w:p>
        </w:tc>
        <w:tc>
          <w:tcPr>
            <w:tcW w:w="1240" w:type="dxa"/>
            <w:vAlign w:val="bottom"/>
            <w:tcBorders>
              <w:bottom w:val="single" w:sz="8" w:color="91BBD3"/>
            </w:tcBorders>
          </w:tcPr>
          <w:p>
            <w:pPr>
              <w:spacing w:after="0"/>
              <w:rPr>
                <w:sz w:val="4"/>
                <w:szCs w:val="4"/>
                <w:color w:val="auto"/>
              </w:rPr>
            </w:pPr>
          </w:p>
        </w:tc>
        <w:tc>
          <w:tcPr>
            <w:tcW w:w="400" w:type="dxa"/>
            <w:vAlign w:val="bottom"/>
            <w:tcBorders>
              <w:bottom w:val="single" w:sz="8" w:color="91BBD3"/>
            </w:tcBorders>
          </w:tcPr>
          <w:p>
            <w:pPr>
              <w:spacing w:after="0"/>
              <w:rPr>
                <w:sz w:val="4"/>
                <w:szCs w:val="4"/>
                <w:color w:val="auto"/>
              </w:rPr>
            </w:pPr>
          </w:p>
        </w:tc>
        <w:tc>
          <w:tcPr>
            <w:tcW w:w="320" w:type="dxa"/>
            <w:vAlign w:val="bottom"/>
            <w:tcBorders>
              <w:bottom w:val="single" w:sz="8" w:color="91BBD3"/>
            </w:tcBorders>
          </w:tcPr>
          <w:p>
            <w:pPr>
              <w:spacing w:after="0"/>
              <w:rPr>
                <w:sz w:val="4"/>
                <w:szCs w:val="4"/>
                <w:color w:val="auto"/>
              </w:rPr>
            </w:pPr>
          </w:p>
        </w:tc>
        <w:tc>
          <w:tcPr>
            <w:tcW w:w="1080" w:type="dxa"/>
            <w:vAlign w:val="bottom"/>
            <w:tcBorders>
              <w:bottom w:val="single" w:sz="8" w:color="91BBD3"/>
            </w:tcBorders>
          </w:tcPr>
          <w:p>
            <w:pPr>
              <w:spacing w:after="0"/>
              <w:rPr>
                <w:sz w:val="4"/>
                <w:szCs w:val="4"/>
                <w:color w:val="auto"/>
              </w:rPr>
            </w:pPr>
          </w:p>
        </w:tc>
        <w:tc>
          <w:tcPr>
            <w:tcW w:w="122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4294967257" w:type="dxa"/>
            <w:vAlign w:val="bottom"/>
            <w:tcBorders>
              <w:bottom w:val="single" w:sz="8" w:color="91BBD3"/>
            </w:tcBorders>
          </w:tcPr>
          <w:p>
            <w:pPr>
              <w:spacing w:after="0"/>
              <w:rPr>
                <w:sz w:val="4"/>
                <w:szCs w:val="4"/>
                <w:color w:val="auto"/>
              </w:rPr>
            </w:pPr>
          </w:p>
        </w:tc>
        <w:tc>
          <w:tcPr>
            <w:tcW w:w="120" w:type="dxa"/>
            <w:vAlign w:val="bottom"/>
            <w:tcBorders>
              <w:bottom w:val="single" w:sz="8" w:color="91BBD3"/>
              <w:right w:val="single" w:sz="8" w:color="91BBD3"/>
            </w:tcBorders>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right w:val="single" w:sz="8" w:color="91BBD3"/>
            </w:tcBorders>
            <w:shd w:val="clear" w:color="auto" w:fill="DAE8F0"/>
          </w:tcPr>
          <w:p>
            <w:pPr>
              <w:ind w:left="120"/>
              <w:spacing w:after="0" w:line="169" w:lineRule="exact"/>
              <w:rPr>
                <w:sz w:val="20"/>
                <w:szCs w:val="20"/>
                <w:color w:val="auto"/>
              </w:rPr>
            </w:pPr>
            <w:r>
              <w:rPr>
                <w:rFonts w:ascii="Calibri" w:cs="Calibri" w:eastAsia="Calibri" w:hAnsi="Calibri"/>
                <w:sz w:val="18"/>
                <w:szCs w:val="18"/>
                <w:b w:val="1"/>
                <w:bCs w:val="1"/>
                <w:color w:val="auto"/>
              </w:rPr>
              <w:t>10.24</w:t>
            </w:r>
          </w:p>
        </w:tc>
        <w:tc>
          <w:tcPr>
            <w:tcW w:w="20" w:type="dxa"/>
            <w:vAlign w:val="bottom"/>
            <w:shd w:val="clear" w:color="auto" w:fill="DAE8F0"/>
          </w:tcPr>
          <w:p>
            <w:pPr>
              <w:spacing w:after="0"/>
              <w:rPr>
                <w:sz w:val="14"/>
                <w:szCs w:val="14"/>
                <w:color w:val="auto"/>
              </w:rPr>
            </w:pPr>
          </w:p>
        </w:tc>
        <w:tc>
          <w:tcPr>
            <w:tcW w:w="80" w:type="dxa"/>
            <w:vAlign w:val="bottom"/>
            <w:shd w:val="clear" w:color="auto" w:fill="DAE8F0"/>
          </w:tcPr>
          <w:p>
            <w:pPr>
              <w:spacing w:after="0"/>
              <w:rPr>
                <w:sz w:val="14"/>
                <w:szCs w:val="14"/>
                <w:color w:val="auto"/>
              </w:rPr>
            </w:pPr>
          </w:p>
        </w:tc>
        <w:tc>
          <w:tcPr>
            <w:tcW w:w="9120" w:type="dxa"/>
            <w:vAlign w:val="bottom"/>
            <w:tcBorders>
              <w:right w:val="single" w:sz="8" w:color="91BBD3"/>
            </w:tcBorders>
            <w:gridSpan w:val="16"/>
            <w:shd w:val="clear" w:color="auto" w:fill="DAE8F0"/>
          </w:tcPr>
          <w:p>
            <w:pPr>
              <w:spacing w:after="0" w:line="169" w:lineRule="exact"/>
              <w:rPr>
                <w:rFonts w:ascii="MS PGothic" w:cs="MS PGothic" w:eastAsia="MS PGothic" w:hAnsi="MS PGothic"/>
                <w:sz w:val="18"/>
                <w:szCs w:val="18"/>
                <w:color w:val="0563C1"/>
                <w:w w:val="99"/>
              </w:rPr>
            </w:pPr>
            <w:hyperlink r:id="rId524">
              <w:r>
                <w:rPr>
                  <w:rFonts w:ascii="MS PGothic" w:cs="MS PGothic" w:eastAsia="MS PGothic" w:hAnsi="MS PGothic"/>
                  <w:sz w:val="18"/>
                  <w:szCs w:val="18"/>
                  <w:color w:val="0563C1"/>
                  <w:w w:val="99"/>
                </w:rPr>
                <w:t>Form of Amendment to the Stock Unit Agreement under the Martn Marieta Materials, Inc. Amended and Restated Stock-</w:t>
              </w:r>
            </w:hyperlink>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80" w:type="dxa"/>
            <w:vAlign w:val="bottom"/>
            <w:tcBorders>
              <w:left w:val="single" w:sz="8" w:color="91BBD3"/>
              <w:right w:val="single" w:sz="8" w:color="91BBD3"/>
            </w:tcBorders>
            <w:shd w:val="clear" w:color="auto" w:fill="DAE8F0"/>
          </w:tcPr>
          <w:p>
            <w:pPr>
              <w:spacing w:after="0" w:line="20" w:lineRule="exact"/>
              <w:rPr>
                <w:sz w:val="1"/>
                <w:szCs w:val="1"/>
                <w:color w:val="auto"/>
              </w:rPr>
            </w:pPr>
          </w:p>
        </w:tc>
        <w:tc>
          <w:tcPr>
            <w:tcW w:w="20" w:type="dxa"/>
            <w:vAlign w:val="bottom"/>
            <w:shd w:val="clear" w:color="auto" w:fill="DAE8F0"/>
          </w:tcPr>
          <w:p>
            <w:pPr>
              <w:spacing w:after="0" w:line="20" w:lineRule="exact"/>
              <w:rPr>
                <w:sz w:val="1"/>
                <w:szCs w:val="1"/>
                <w:color w:val="auto"/>
              </w:rPr>
            </w:pPr>
          </w:p>
        </w:tc>
        <w:tc>
          <w:tcPr>
            <w:tcW w:w="80" w:type="dxa"/>
            <w:vAlign w:val="bottom"/>
            <w:shd w:val="clear" w:color="auto" w:fill="DAE8F0"/>
          </w:tcPr>
          <w:p>
            <w:pPr>
              <w:spacing w:after="0" w:line="20" w:lineRule="exact"/>
              <w:rPr>
                <w:sz w:val="1"/>
                <w:szCs w:val="1"/>
                <w:color w:val="auto"/>
              </w:rPr>
            </w:pPr>
          </w:p>
        </w:tc>
        <w:tc>
          <w:tcPr>
            <w:tcW w:w="740" w:type="dxa"/>
            <w:vAlign w:val="bottom"/>
            <w:shd w:val="clear" w:color="auto" w:fill="0563C1"/>
          </w:tcPr>
          <w:p>
            <w:pPr>
              <w:spacing w:after="0" w:line="20" w:lineRule="exact"/>
              <w:rPr>
                <w:sz w:val="1"/>
                <w:szCs w:val="1"/>
                <w:color w:val="auto"/>
              </w:rPr>
            </w:pPr>
          </w:p>
        </w:tc>
        <w:tc>
          <w:tcPr>
            <w:tcW w:w="1360" w:type="dxa"/>
            <w:vAlign w:val="bottom"/>
            <w:shd w:val="clear" w:color="auto" w:fill="0563C1"/>
          </w:tcPr>
          <w:p>
            <w:pPr>
              <w:spacing w:after="0" w:line="20" w:lineRule="exact"/>
              <w:rPr>
                <w:sz w:val="1"/>
                <w:szCs w:val="1"/>
                <w:color w:val="auto"/>
              </w:rPr>
            </w:pPr>
          </w:p>
        </w:tc>
        <w:tc>
          <w:tcPr>
            <w:tcW w:w="980" w:type="dxa"/>
            <w:vAlign w:val="bottom"/>
            <w:shd w:val="clear" w:color="auto" w:fill="0563C1"/>
          </w:tcPr>
          <w:p>
            <w:pPr>
              <w:spacing w:after="0" w:line="20" w:lineRule="exact"/>
              <w:rPr>
                <w:sz w:val="1"/>
                <w:szCs w:val="1"/>
                <w:color w:val="auto"/>
              </w:rPr>
            </w:pPr>
          </w:p>
        </w:tc>
        <w:tc>
          <w:tcPr>
            <w:tcW w:w="64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660" w:type="dxa"/>
            <w:vAlign w:val="bottom"/>
            <w:gridSpan w:val="2"/>
            <w:shd w:val="clear" w:color="auto" w:fill="0563C1"/>
          </w:tcPr>
          <w:p>
            <w:pPr>
              <w:spacing w:after="0" w:line="20" w:lineRule="exact"/>
              <w:rPr>
                <w:sz w:val="1"/>
                <w:szCs w:val="1"/>
                <w:color w:val="auto"/>
              </w:rPr>
            </w:pPr>
          </w:p>
        </w:tc>
        <w:tc>
          <w:tcPr>
            <w:tcW w:w="124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1080" w:type="dxa"/>
            <w:vAlign w:val="bottom"/>
            <w:shd w:val="clear" w:color="auto" w:fill="0563C1"/>
          </w:tcPr>
          <w:p>
            <w:pPr>
              <w:spacing w:after="0" w:line="20" w:lineRule="exact"/>
              <w:rPr>
                <w:sz w:val="1"/>
                <w:szCs w:val="1"/>
                <w:color w:val="auto"/>
              </w:rPr>
            </w:pPr>
          </w:p>
        </w:tc>
        <w:tc>
          <w:tcPr>
            <w:tcW w:w="12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294967257" w:type="dxa"/>
            <w:vAlign w:val="bottom"/>
            <w:tcBorders>
              <w:righ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91BBD3"/>
            </w:tcBorders>
            <w:shd w:val="clear" w:color="auto" w:fill="DAE8F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Borders>
              <w:left w:val="single" w:sz="8" w:color="91BBD3"/>
              <w:right w:val="single" w:sz="8" w:color="91BBD3"/>
            </w:tcBorders>
            <w:shd w:val="clear" w:color="auto" w:fill="DAE8F0"/>
          </w:tcPr>
          <w:p>
            <w:pPr>
              <w:spacing w:after="0"/>
              <w:rPr>
                <w:sz w:val="17"/>
                <w:szCs w:val="17"/>
                <w:color w:val="auto"/>
              </w:rPr>
            </w:pPr>
          </w:p>
        </w:tc>
        <w:tc>
          <w:tcPr>
            <w:tcW w:w="20" w:type="dxa"/>
            <w:vAlign w:val="bottom"/>
            <w:shd w:val="clear" w:color="auto" w:fill="DAE8F0"/>
          </w:tcPr>
          <w:p>
            <w:pPr>
              <w:spacing w:after="0"/>
              <w:rPr>
                <w:sz w:val="17"/>
                <w:szCs w:val="17"/>
                <w:color w:val="auto"/>
              </w:rPr>
            </w:pPr>
          </w:p>
        </w:tc>
        <w:tc>
          <w:tcPr>
            <w:tcW w:w="80" w:type="dxa"/>
            <w:vAlign w:val="bottom"/>
            <w:shd w:val="clear" w:color="auto" w:fill="DAE8F0"/>
          </w:tcPr>
          <w:p>
            <w:pPr>
              <w:spacing w:after="0"/>
              <w:rPr>
                <w:sz w:val="17"/>
                <w:szCs w:val="17"/>
                <w:color w:val="auto"/>
              </w:rPr>
            </w:pPr>
          </w:p>
        </w:tc>
        <w:tc>
          <w:tcPr>
            <w:tcW w:w="9120" w:type="dxa"/>
            <w:vAlign w:val="bottom"/>
            <w:tcBorders>
              <w:right w:val="single" w:sz="8" w:color="91BBD3"/>
            </w:tcBorders>
            <w:gridSpan w:val="16"/>
            <w:shd w:val="clear" w:color="auto" w:fill="DAE8F0"/>
          </w:tcPr>
          <w:p>
            <w:pPr>
              <w:spacing w:after="0"/>
              <w:rPr>
                <w:rFonts w:ascii="MS PGothic" w:cs="MS PGothic" w:eastAsia="MS PGothic" w:hAnsi="MS PGothic"/>
                <w:sz w:val="18"/>
                <w:szCs w:val="18"/>
                <w:color w:val="0563C1"/>
                <w:w w:val="99"/>
              </w:rPr>
            </w:pPr>
            <w:hyperlink r:id="rId524">
              <w:r>
                <w:rPr>
                  <w:rFonts w:ascii="MS PGothic" w:cs="MS PGothic" w:eastAsia="MS PGothic" w:hAnsi="MS PGothic"/>
                  <w:sz w:val="18"/>
                  <w:szCs w:val="18"/>
                  <w:color w:val="0563C1"/>
                  <w:w w:val="99"/>
                </w:rPr>
                <w:t>Based Award Plan (incorporated by reference to Exhibit 10.13 to the Martn Marieta Materials, Inc. Annual Report on Form</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680" w:type="dxa"/>
            <w:vAlign w:val="bottom"/>
            <w:tcBorders>
              <w:top w:val="single" w:sz="8" w:color="DAE8F0"/>
              <w:left w:val="single" w:sz="8" w:color="91BBD3"/>
              <w:bottom w:val="single" w:sz="8" w:color="91BBD3"/>
              <w:right w:val="single" w:sz="8" w:color="91BBD3"/>
            </w:tcBorders>
            <w:shd w:val="clear" w:color="auto" w:fill="DAE8F0"/>
          </w:tcPr>
          <w:p>
            <w:pPr>
              <w:spacing w:after="0"/>
              <w:rPr>
                <w:sz w:val="22"/>
                <w:szCs w:val="22"/>
                <w:color w:val="auto"/>
              </w:rPr>
            </w:pPr>
          </w:p>
        </w:tc>
        <w:tc>
          <w:tcPr>
            <w:tcW w:w="20" w:type="dxa"/>
            <w:vAlign w:val="bottom"/>
            <w:tcBorders>
              <w:top w:val="single" w:sz="8" w:color="DAE8F0"/>
              <w:bottom w:val="single" w:sz="8" w:color="91BBD3"/>
            </w:tcBorders>
            <w:shd w:val="clear" w:color="auto" w:fill="DAE8F0"/>
          </w:tcPr>
          <w:p>
            <w:pPr>
              <w:spacing w:after="0"/>
              <w:rPr>
                <w:sz w:val="22"/>
                <w:szCs w:val="22"/>
                <w:color w:val="auto"/>
              </w:rPr>
            </w:pPr>
          </w:p>
        </w:tc>
        <w:tc>
          <w:tcPr>
            <w:tcW w:w="80" w:type="dxa"/>
            <w:vAlign w:val="bottom"/>
            <w:tcBorders>
              <w:top w:val="single" w:sz="8" w:color="DAE8F0"/>
              <w:bottom w:val="single" w:sz="8" w:color="91BBD3"/>
            </w:tcBorders>
            <w:shd w:val="clear" w:color="auto" w:fill="DAE8F0"/>
          </w:tcPr>
          <w:p>
            <w:pPr>
              <w:spacing w:after="0"/>
              <w:rPr>
                <w:sz w:val="22"/>
                <w:szCs w:val="22"/>
                <w:color w:val="auto"/>
              </w:rPr>
            </w:pPr>
          </w:p>
        </w:tc>
        <w:tc>
          <w:tcPr>
            <w:tcW w:w="5980" w:type="dxa"/>
            <w:vAlign w:val="bottom"/>
            <w:tcBorders>
              <w:top w:val="single" w:sz="8" w:color="0563C1"/>
              <w:bottom w:val="single" w:sz="8" w:color="0563C1"/>
            </w:tcBorders>
            <w:gridSpan w:val="8"/>
            <w:shd w:val="clear" w:color="auto" w:fill="DAE8F0"/>
          </w:tcPr>
          <w:p>
            <w:pPr>
              <w:spacing w:after="0"/>
              <w:rPr>
                <w:rFonts w:ascii="MS PGothic" w:cs="MS PGothic" w:eastAsia="MS PGothic" w:hAnsi="MS PGothic"/>
                <w:sz w:val="18"/>
                <w:szCs w:val="18"/>
                <w:color w:val="0563C1"/>
                <w:w w:val="94"/>
              </w:rPr>
            </w:pPr>
            <w:hyperlink r:id="rId524">
              <w:r>
                <w:rPr>
                  <w:rFonts w:ascii="MS PGothic" w:cs="MS PGothic" w:eastAsia="MS PGothic" w:hAnsi="MS PGothic"/>
                  <w:sz w:val="18"/>
                  <w:szCs w:val="18"/>
                  <w:color w:val="0563C1"/>
                  <w:w w:val="94"/>
                </w:rPr>
                <w:t>10-K for the fscal year ended December 31, 2008) (Commission File No. 1-12744)**</w:t>
              </w:r>
            </w:hyperlink>
          </w:p>
        </w:tc>
        <w:tc>
          <w:tcPr>
            <w:tcW w:w="3020" w:type="dxa"/>
            <w:vAlign w:val="bottom"/>
            <w:tcBorders>
              <w:top w:val="single" w:sz="8" w:color="0563C1"/>
              <w:bottom w:val="single" w:sz="8" w:color="91BBD3"/>
              <w:right w:val="single" w:sz="8" w:color="DAE8F0"/>
            </w:tcBorders>
            <w:gridSpan w:val="7"/>
            <w:shd w:val="clear" w:color="auto" w:fill="DAE8F0"/>
          </w:tcPr>
          <w:p>
            <w:pPr>
              <w:spacing w:after="0"/>
              <w:rPr>
                <w:sz w:val="22"/>
                <w:szCs w:val="22"/>
                <w:color w:val="auto"/>
              </w:rPr>
            </w:pPr>
          </w:p>
        </w:tc>
        <w:tc>
          <w:tcPr>
            <w:tcW w:w="120" w:type="dxa"/>
            <w:vAlign w:val="bottom"/>
            <w:tcBorders>
              <w:top w:val="single" w:sz="8" w:color="DAE8F0"/>
              <w:bottom w:val="single" w:sz="8" w:color="91BBD3"/>
              <w:right w:val="single" w:sz="8" w:color="91BBD3"/>
            </w:tcBorders>
            <w:shd w:val="clear" w:color="auto" w:fill="DAE8F0"/>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right w:val="single" w:sz="8" w:color="91BBD3"/>
            </w:tcBorders>
          </w:tcPr>
          <w:p>
            <w:pPr>
              <w:ind w:left="120"/>
              <w:spacing w:after="0" w:line="169" w:lineRule="exact"/>
              <w:rPr>
                <w:sz w:val="20"/>
                <w:szCs w:val="20"/>
                <w:color w:val="auto"/>
              </w:rPr>
            </w:pPr>
            <w:r>
              <w:rPr>
                <w:rFonts w:ascii="Calibri" w:cs="Calibri" w:eastAsia="Calibri" w:hAnsi="Calibri"/>
                <w:sz w:val="18"/>
                <w:szCs w:val="18"/>
                <w:b w:val="1"/>
                <w:bCs w:val="1"/>
                <w:color w:val="auto"/>
              </w:rPr>
              <w:t>10.25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0" w:type="dxa"/>
            <w:vAlign w:val="bottom"/>
            <w:tcBorders>
              <w:bottom w:val="single" w:sz="8" w:color="0563C1"/>
            </w:tcBorders>
            <w:gridSpan w:val="12"/>
          </w:tcPr>
          <w:p>
            <w:pPr>
              <w:spacing w:after="0" w:line="169" w:lineRule="exact"/>
              <w:rPr>
                <w:rFonts w:ascii="MS PGothic" w:cs="MS PGothic" w:eastAsia="MS PGothic" w:hAnsi="MS PGothic"/>
                <w:sz w:val="18"/>
                <w:szCs w:val="18"/>
                <w:color w:val="0563C1"/>
                <w:w w:val="94"/>
              </w:rPr>
            </w:pPr>
            <w:hyperlink r:id="rId525">
              <w:r>
                <w:rPr>
                  <w:rFonts w:ascii="MS PGothic" w:cs="MS PGothic" w:eastAsia="MS PGothic" w:hAnsi="MS PGothic"/>
                  <w:sz w:val="18"/>
                  <w:szCs w:val="18"/>
                  <w:color w:val="0563C1"/>
                  <w:w w:val="94"/>
                </w:rPr>
                <w:t>Form of Restricted Stock Unit Agreement for Directors under the Martn Marieta Materials, Inc. Amended and Restated Stock-</w:t>
              </w:r>
            </w:hyperlink>
          </w:p>
        </w:tc>
        <w:tc>
          <w:tcPr>
            <w:tcW w:w="120" w:type="dxa"/>
            <w:vAlign w:val="bottom"/>
            <w:tcBorders>
              <w:right w:val="single" w:sz="8" w:color="91BBD3"/>
            </w:tcBorders>
            <w:gridSpan w:val="4"/>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120" w:type="dxa"/>
            <w:vAlign w:val="bottom"/>
            <w:tcBorders>
              <w:right w:val="single" w:sz="8" w:color="91BBD3"/>
            </w:tcBorders>
            <w:gridSpan w:val="16"/>
          </w:tcPr>
          <w:p>
            <w:pPr>
              <w:spacing w:after="0"/>
              <w:rPr>
                <w:rFonts w:ascii="MS PGothic" w:cs="MS PGothic" w:eastAsia="MS PGothic" w:hAnsi="MS PGothic"/>
                <w:sz w:val="18"/>
                <w:szCs w:val="18"/>
                <w:color w:val="0563C1"/>
                <w:w w:val="99"/>
              </w:rPr>
            </w:pPr>
            <w:hyperlink r:id="rId525">
              <w:r>
                <w:rPr>
                  <w:rFonts w:ascii="MS PGothic" w:cs="MS PGothic" w:eastAsia="MS PGothic" w:hAnsi="MS PGothic"/>
                  <w:sz w:val="18"/>
                  <w:szCs w:val="18"/>
                  <w:color w:val="0563C1"/>
                  <w:w w:val="99"/>
                </w:rPr>
                <w:t>Based Award Plan (incorporated by reference to Exhibit 10.14 to the Martn Marieta Materials, Inc. Annual Report on Form</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0" w:type="dxa"/>
            <w:vAlign w:val="bottom"/>
            <w:tcBorders>
              <w:top w:val="single" w:sz="8" w:color="0563C1"/>
            </w:tcBorders>
            <w:gridSpan w:val="15"/>
          </w:tcPr>
          <w:p>
            <w:pPr>
              <w:spacing w:after="0"/>
              <w:rPr>
                <w:rFonts w:ascii="MS PGothic" w:cs="MS PGothic" w:eastAsia="MS PGothic" w:hAnsi="MS PGothic"/>
                <w:sz w:val="18"/>
                <w:szCs w:val="18"/>
                <w:color w:val="0563C1"/>
              </w:rPr>
            </w:pPr>
            <w:hyperlink r:id="rId525">
              <w:r>
                <w:rPr>
                  <w:rFonts w:ascii="MS PGothic" w:cs="MS PGothic" w:eastAsia="MS PGothic" w:hAnsi="MS PGothic"/>
                  <w:sz w:val="18"/>
                  <w:szCs w:val="18"/>
                  <w:color w:val="0563C1"/>
                </w:rPr>
                <w:t>10-K for the fscal year ended December 31, 2013) (Commission File No. 1-12744)**</w:t>
              </w:r>
            </w:hyperlink>
          </w:p>
        </w:tc>
        <w:tc>
          <w:tcPr>
            <w:tcW w:w="120" w:type="dxa"/>
            <w:vAlign w:val="bottom"/>
            <w:tcBorders>
              <w:right w:val="single" w:sz="8" w:color="91BBD3"/>
            </w:tcBorders>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680" w:type="dxa"/>
            <w:vAlign w:val="bottom"/>
            <w:tcBorders>
              <w:left w:val="single" w:sz="8" w:color="91BBD3"/>
              <w:bottom w:val="single" w:sz="8" w:color="91BBD3"/>
              <w:right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80" w:type="dxa"/>
            <w:vAlign w:val="bottom"/>
            <w:tcBorders>
              <w:bottom w:val="single" w:sz="8" w:color="91BBD3"/>
            </w:tcBorders>
          </w:tcPr>
          <w:p>
            <w:pPr>
              <w:spacing w:after="0"/>
              <w:rPr>
                <w:sz w:val="4"/>
                <w:szCs w:val="4"/>
                <w:color w:val="auto"/>
              </w:rPr>
            </w:pPr>
          </w:p>
        </w:tc>
        <w:tc>
          <w:tcPr>
            <w:tcW w:w="740" w:type="dxa"/>
            <w:vAlign w:val="bottom"/>
            <w:tcBorders>
              <w:top w:val="single" w:sz="8" w:color="0563C1"/>
              <w:bottom w:val="single" w:sz="8" w:color="91BBD3"/>
            </w:tcBorders>
          </w:tcPr>
          <w:p>
            <w:pPr>
              <w:spacing w:after="0"/>
              <w:rPr>
                <w:sz w:val="4"/>
                <w:szCs w:val="4"/>
                <w:color w:val="auto"/>
              </w:rPr>
            </w:pPr>
          </w:p>
        </w:tc>
        <w:tc>
          <w:tcPr>
            <w:tcW w:w="1360" w:type="dxa"/>
            <w:vAlign w:val="bottom"/>
            <w:tcBorders>
              <w:top w:val="single" w:sz="8" w:color="0563C1"/>
              <w:bottom w:val="single" w:sz="8" w:color="91BBD3"/>
            </w:tcBorders>
          </w:tcPr>
          <w:p>
            <w:pPr>
              <w:spacing w:after="0"/>
              <w:rPr>
                <w:sz w:val="4"/>
                <w:szCs w:val="4"/>
                <w:color w:val="auto"/>
              </w:rPr>
            </w:pPr>
          </w:p>
        </w:tc>
        <w:tc>
          <w:tcPr>
            <w:tcW w:w="980" w:type="dxa"/>
            <w:vAlign w:val="bottom"/>
            <w:tcBorders>
              <w:top w:val="single" w:sz="8" w:color="0563C1"/>
              <w:bottom w:val="single" w:sz="8" w:color="91BBD3"/>
            </w:tcBorders>
          </w:tcPr>
          <w:p>
            <w:pPr>
              <w:spacing w:after="0"/>
              <w:rPr>
                <w:sz w:val="4"/>
                <w:szCs w:val="4"/>
                <w:color w:val="auto"/>
              </w:rPr>
            </w:pPr>
          </w:p>
        </w:tc>
        <w:tc>
          <w:tcPr>
            <w:tcW w:w="640" w:type="dxa"/>
            <w:vAlign w:val="bottom"/>
            <w:tcBorders>
              <w:top w:val="single" w:sz="8" w:color="0563C1"/>
              <w:bottom w:val="single" w:sz="8" w:color="91BBD3"/>
            </w:tcBorders>
          </w:tcPr>
          <w:p>
            <w:pPr>
              <w:spacing w:after="0"/>
              <w:rPr>
                <w:sz w:val="4"/>
                <w:szCs w:val="4"/>
                <w:color w:val="auto"/>
              </w:rPr>
            </w:pPr>
          </w:p>
        </w:tc>
        <w:tc>
          <w:tcPr>
            <w:tcW w:w="360" w:type="dxa"/>
            <w:vAlign w:val="bottom"/>
            <w:tcBorders>
              <w:top w:val="single" w:sz="8" w:color="0563C1"/>
              <w:bottom w:val="single" w:sz="8" w:color="91BBD3"/>
            </w:tcBorders>
          </w:tcPr>
          <w:p>
            <w:pPr>
              <w:spacing w:after="0"/>
              <w:rPr>
                <w:sz w:val="4"/>
                <w:szCs w:val="4"/>
                <w:color w:val="auto"/>
              </w:rPr>
            </w:pPr>
          </w:p>
        </w:tc>
        <w:tc>
          <w:tcPr>
            <w:tcW w:w="600" w:type="dxa"/>
            <w:vAlign w:val="bottom"/>
            <w:tcBorders>
              <w:top w:val="single" w:sz="8" w:color="0563C1"/>
              <w:bottom w:val="single" w:sz="8" w:color="91BBD3"/>
            </w:tcBorders>
          </w:tcPr>
          <w:p>
            <w:pPr>
              <w:spacing w:after="0"/>
              <w:rPr>
                <w:sz w:val="4"/>
                <w:szCs w:val="4"/>
                <w:color w:val="auto"/>
              </w:rPr>
            </w:pPr>
          </w:p>
        </w:tc>
        <w:tc>
          <w:tcPr>
            <w:tcW w:w="60" w:type="dxa"/>
            <w:vAlign w:val="bottom"/>
            <w:tcBorders>
              <w:top w:val="single" w:sz="8" w:color="0563C1"/>
              <w:bottom w:val="single" w:sz="8" w:color="91BBD3"/>
            </w:tcBorders>
          </w:tcPr>
          <w:p>
            <w:pPr>
              <w:spacing w:after="0"/>
              <w:rPr>
                <w:sz w:val="4"/>
                <w:szCs w:val="4"/>
                <w:color w:val="auto"/>
              </w:rPr>
            </w:pPr>
          </w:p>
        </w:tc>
        <w:tc>
          <w:tcPr>
            <w:tcW w:w="1240" w:type="dxa"/>
            <w:vAlign w:val="bottom"/>
            <w:tcBorders>
              <w:top w:val="single" w:sz="8" w:color="0563C1"/>
              <w:bottom w:val="single" w:sz="8" w:color="91BBD3"/>
            </w:tcBorders>
          </w:tcPr>
          <w:p>
            <w:pPr>
              <w:spacing w:after="0"/>
              <w:rPr>
                <w:sz w:val="4"/>
                <w:szCs w:val="4"/>
                <w:color w:val="auto"/>
              </w:rPr>
            </w:pPr>
          </w:p>
        </w:tc>
        <w:tc>
          <w:tcPr>
            <w:tcW w:w="400" w:type="dxa"/>
            <w:vAlign w:val="bottom"/>
            <w:tcBorders>
              <w:bottom w:val="single" w:sz="8" w:color="91BBD3"/>
            </w:tcBorders>
          </w:tcPr>
          <w:p>
            <w:pPr>
              <w:spacing w:after="0"/>
              <w:rPr>
                <w:sz w:val="4"/>
                <w:szCs w:val="4"/>
                <w:color w:val="auto"/>
              </w:rPr>
            </w:pPr>
          </w:p>
        </w:tc>
        <w:tc>
          <w:tcPr>
            <w:tcW w:w="320" w:type="dxa"/>
            <w:vAlign w:val="bottom"/>
            <w:tcBorders>
              <w:bottom w:val="single" w:sz="8" w:color="91BBD3"/>
            </w:tcBorders>
          </w:tcPr>
          <w:p>
            <w:pPr>
              <w:spacing w:after="0"/>
              <w:rPr>
                <w:sz w:val="4"/>
                <w:szCs w:val="4"/>
                <w:color w:val="auto"/>
              </w:rPr>
            </w:pPr>
          </w:p>
        </w:tc>
        <w:tc>
          <w:tcPr>
            <w:tcW w:w="1080" w:type="dxa"/>
            <w:vAlign w:val="bottom"/>
            <w:tcBorders>
              <w:bottom w:val="single" w:sz="8" w:color="91BBD3"/>
            </w:tcBorders>
          </w:tcPr>
          <w:p>
            <w:pPr>
              <w:spacing w:after="0"/>
              <w:rPr>
                <w:sz w:val="4"/>
                <w:szCs w:val="4"/>
                <w:color w:val="auto"/>
              </w:rPr>
            </w:pPr>
          </w:p>
        </w:tc>
        <w:tc>
          <w:tcPr>
            <w:tcW w:w="122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4294967257" w:type="dxa"/>
            <w:vAlign w:val="bottom"/>
            <w:tcBorders>
              <w:bottom w:val="single" w:sz="8" w:color="91BBD3"/>
            </w:tcBorders>
          </w:tcPr>
          <w:p>
            <w:pPr>
              <w:spacing w:after="0"/>
              <w:rPr>
                <w:sz w:val="4"/>
                <w:szCs w:val="4"/>
                <w:color w:val="auto"/>
              </w:rPr>
            </w:pPr>
          </w:p>
        </w:tc>
        <w:tc>
          <w:tcPr>
            <w:tcW w:w="120" w:type="dxa"/>
            <w:vAlign w:val="bottom"/>
            <w:tcBorders>
              <w:bottom w:val="single" w:sz="8" w:color="91BBD3"/>
              <w:right w:val="single" w:sz="8" w:color="91BBD3"/>
            </w:tcBorders>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bottom w:val="single" w:sz="8" w:color="DAE8F0"/>
              <w:right w:val="single" w:sz="8" w:color="91BBD3"/>
            </w:tcBorders>
            <w:shd w:val="clear" w:color="auto" w:fill="DAE8F0"/>
          </w:tcPr>
          <w:p>
            <w:pPr>
              <w:ind w:left="120"/>
              <w:spacing w:after="0" w:line="169" w:lineRule="exact"/>
              <w:rPr>
                <w:sz w:val="20"/>
                <w:szCs w:val="20"/>
                <w:color w:val="auto"/>
              </w:rPr>
            </w:pPr>
            <w:r>
              <w:rPr>
                <w:rFonts w:ascii="Calibri" w:cs="Calibri" w:eastAsia="Calibri" w:hAnsi="Calibri"/>
                <w:sz w:val="18"/>
                <w:szCs w:val="18"/>
                <w:b w:val="1"/>
                <w:bCs w:val="1"/>
                <w:color w:val="auto"/>
              </w:rPr>
              <w:t>10.26</w:t>
            </w:r>
          </w:p>
        </w:tc>
        <w:tc>
          <w:tcPr>
            <w:tcW w:w="20" w:type="dxa"/>
            <w:vAlign w:val="bottom"/>
            <w:tcBorders>
              <w:bottom w:val="single" w:sz="8" w:color="DAE8F0"/>
            </w:tcBorders>
            <w:shd w:val="clear" w:color="auto" w:fill="DAE8F0"/>
          </w:tcPr>
          <w:p>
            <w:pPr>
              <w:spacing w:after="0"/>
              <w:rPr>
                <w:sz w:val="14"/>
                <w:szCs w:val="14"/>
                <w:color w:val="auto"/>
              </w:rPr>
            </w:pPr>
          </w:p>
        </w:tc>
        <w:tc>
          <w:tcPr>
            <w:tcW w:w="80" w:type="dxa"/>
            <w:vAlign w:val="bottom"/>
            <w:tcBorders>
              <w:bottom w:val="single" w:sz="8" w:color="DAE8F0"/>
            </w:tcBorders>
            <w:shd w:val="clear" w:color="auto" w:fill="DAE8F0"/>
          </w:tcPr>
          <w:p>
            <w:pPr>
              <w:spacing w:after="0"/>
              <w:rPr>
                <w:sz w:val="14"/>
                <w:szCs w:val="14"/>
                <w:color w:val="auto"/>
              </w:rPr>
            </w:pPr>
          </w:p>
        </w:tc>
        <w:tc>
          <w:tcPr>
            <w:tcW w:w="9020" w:type="dxa"/>
            <w:vAlign w:val="bottom"/>
            <w:tcBorders>
              <w:bottom w:val="single" w:sz="8" w:color="0563C1"/>
            </w:tcBorders>
            <w:gridSpan w:val="13"/>
            <w:shd w:val="clear" w:color="auto" w:fill="DAE8F0"/>
          </w:tcPr>
          <w:p>
            <w:pPr>
              <w:spacing w:after="0" w:line="169" w:lineRule="exact"/>
              <w:rPr>
                <w:rFonts w:ascii="MS PGothic" w:cs="MS PGothic" w:eastAsia="MS PGothic" w:hAnsi="MS PGothic"/>
                <w:sz w:val="18"/>
                <w:szCs w:val="18"/>
                <w:color w:val="0563C1"/>
                <w:w w:val="99"/>
              </w:rPr>
            </w:pPr>
            <w:hyperlink r:id="rId526">
              <w:r>
                <w:rPr>
                  <w:rFonts w:ascii="MS PGothic" w:cs="MS PGothic" w:eastAsia="MS PGothic" w:hAnsi="MS PGothic"/>
                  <w:sz w:val="18"/>
                  <w:szCs w:val="18"/>
                  <w:color w:val="0563C1"/>
                  <w:w w:val="99"/>
                </w:rPr>
                <w:t>Form of Special Restricted Stock Unit Agreement under the Martn Marieta Materials, Inc. Amended and Restated Stock-</w:t>
              </w:r>
            </w:hyperlink>
          </w:p>
        </w:tc>
        <w:tc>
          <w:tcPr>
            <w:tcW w:w="100" w:type="dxa"/>
            <w:vAlign w:val="bottom"/>
            <w:tcBorders>
              <w:bottom w:val="single" w:sz="8" w:color="DAE8F0"/>
              <w:right w:val="single" w:sz="8" w:color="91BBD3"/>
            </w:tcBorders>
            <w:gridSpan w:val="3"/>
            <w:shd w:val="clear" w:color="auto" w:fill="DAE8F0"/>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shd w:val="clear" w:color="auto" w:fill="DAE8F0"/>
          </w:tcPr>
          <w:p>
            <w:pPr>
              <w:spacing w:after="0"/>
              <w:rPr>
                <w:sz w:val="17"/>
                <w:szCs w:val="17"/>
                <w:color w:val="auto"/>
              </w:rPr>
            </w:pPr>
          </w:p>
        </w:tc>
        <w:tc>
          <w:tcPr>
            <w:tcW w:w="20" w:type="dxa"/>
            <w:vAlign w:val="bottom"/>
            <w:shd w:val="clear" w:color="auto" w:fill="DAE8F0"/>
          </w:tcPr>
          <w:p>
            <w:pPr>
              <w:spacing w:after="0"/>
              <w:rPr>
                <w:sz w:val="17"/>
                <w:szCs w:val="17"/>
                <w:color w:val="auto"/>
              </w:rPr>
            </w:pPr>
          </w:p>
        </w:tc>
        <w:tc>
          <w:tcPr>
            <w:tcW w:w="80" w:type="dxa"/>
            <w:vAlign w:val="bottom"/>
            <w:shd w:val="clear" w:color="auto" w:fill="DAE8F0"/>
          </w:tcPr>
          <w:p>
            <w:pPr>
              <w:spacing w:after="0"/>
              <w:rPr>
                <w:sz w:val="17"/>
                <w:szCs w:val="17"/>
                <w:color w:val="auto"/>
              </w:rPr>
            </w:pPr>
          </w:p>
        </w:tc>
        <w:tc>
          <w:tcPr>
            <w:tcW w:w="9120" w:type="dxa"/>
            <w:vAlign w:val="bottom"/>
            <w:tcBorders>
              <w:right w:val="single" w:sz="8" w:color="91BBD3"/>
            </w:tcBorders>
            <w:gridSpan w:val="16"/>
            <w:shd w:val="clear" w:color="auto" w:fill="DAE8F0"/>
          </w:tcPr>
          <w:p>
            <w:pPr>
              <w:spacing w:after="0"/>
              <w:rPr>
                <w:rFonts w:ascii="MS PGothic" w:cs="MS PGothic" w:eastAsia="MS PGothic" w:hAnsi="MS PGothic"/>
                <w:sz w:val="18"/>
                <w:szCs w:val="18"/>
                <w:color w:val="0563C1"/>
                <w:w w:val="99"/>
              </w:rPr>
            </w:pPr>
            <w:hyperlink r:id="rId526">
              <w:r>
                <w:rPr>
                  <w:rFonts w:ascii="MS PGothic" w:cs="MS PGothic" w:eastAsia="MS PGothic" w:hAnsi="MS PGothic"/>
                  <w:sz w:val="18"/>
                  <w:szCs w:val="18"/>
                  <w:color w:val="0563C1"/>
                  <w:w w:val="99"/>
                </w:rPr>
                <w:t>Based Award Plan (incorporated by reference to Exhibit 10.19 to the Martn Marieta Materials, Inc. Annual Report on Form</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680" w:type="dxa"/>
            <w:vAlign w:val="bottom"/>
            <w:tcBorders>
              <w:top w:val="single" w:sz="8" w:color="DAE8F0"/>
              <w:left w:val="single" w:sz="8" w:color="91BBD3"/>
              <w:bottom w:val="single" w:sz="8" w:color="91BBD3"/>
              <w:right w:val="single" w:sz="8" w:color="91BBD3"/>
            </w:tcBorders>
            <w:shd w:val="clear" w:color="auto" w:fill="DAE8F0"/>
          </w:tcPr>
          <w:p>
            <w:pPr>
              <w:spacing w:after="0"/>
              <w:rPr>
                <w:sz w:val="22"/>
                <w:szCs w:val="22"/>
                <w:color w:val="auto"/>
              </w:rPr>
            </w:pPr>
          </w:p>
        </w:tc>
        <w:tc>
          <w:tcPr>
            <w:tcW w:w="20" w:type="dxa"/>
            <w:vAlign w:val="bottom"/>
            <w:tcBorders>
              <w:top w:val="single" w:sz="8" w:color="DAE8F0"/>
              <w:bottom w:val="single" w:sz="8" w:color="91BBD3"/>
            </w:tcBorders>
            <w:shd w:val="clear" w:color="auto" w:fill="DAE8F0"/>
          </w:tcPr>
          <w:p>
            <w:pPr>
              <w:spacing w:after="0"/>
              <w:rPr>
                <w:sz w:val="22"/>
                <w:szCs w:val="22"/>
                <w:color w:val="auto"/>
              </w:rPr>
            </w:pPr>
          </w:p>
        </w:tc>
        <w:tc>
          <w:tcPr>
            <w:tcW w:w="80" w:type="dxa"/>
            <w:vAlign w:val="bottom"/>
            <w:tcBorders>
              <w:top w:val="single" w:sz="8" w:color="DAE8F0"/>
              <w:bottom w:val="single" w:sz="8" w:color="91BBD3"/>
            </w:tcBorders>
            <w:shd w:val="clear" w:color="auto" w:fill="DAE8F0"/>
          </w:tcPr>
          <w:p>
            <w:pPr>
              <w:spacing w:after="0"/>
              <w:rPr>
                <w:sz w:val="22"/>
                <w:szCs w:val="22"/>
                <w:color w:val="auto"/>
              </w:rPr>
            </w:pPr>
          </w:p>
        </w:tc>
        <w:tc>
          <w:tcPr>
            <w:tcW w:w="5980" w:type="dxa"/>
            <w:vAlign w:val="bottom"/>
            <w:tcBorders>
              <w:top w:val="single" w:sz="8" w:color="0563C1"/>
              <w:bottom w:val="single" w:sz="8" w:color="0563C1"/>
            </w:tcBorders>
            <w:gridSpan w:val="8"/>
            <w:shd w:val="clear" w:color="auto" w:fill="DAE8F0"/>
          </w:tcPr>
          <w:p>
            <w:pPr>
              <w:spacing w:after="0"/>
              <w:rPr>
                <w:rFonts w:ascii="MS PGothic" w:cs="MS PGothic" w:eastAsia="MS PGothic" w:hAnsi="MS PGothic"/>
                <w:sz w:val="18"/>
                <w:szCs w:val="18"/>
                <w:color w:val="0563C1"/>
                <w:w w:val="94"/>
              </w:rPr>
            </w:pPr>
            <w:hyperlink r:id="rId526">
              <w:r>
                <w:rPr>
                  <w:rFonts w:ascii="MS PGothic" w:cs="MS PGothic" w:eastAsia="MS PGothic" w:hAnsi="MS PGothic"/>
                  <w:sz w:val="18"/>
                  <w:szCs w:val="18"/>
                  <w:color w:val="0563C1"/>
                  <w:w w:val="94"/>
                </w:rPr>
                <w:t>10-K for the fscal year ended December 31, 2014) (Commission File No. 1-12744)**</w:t>
              </w:r>
            </w:hyperlink>
          </w:p>
        </w:tc>
        <w:tc>
          <w:tcPr>
            <w:tcW w:w="3020" w:type="dxa"/>
            <w:vAlign w:val="bottom"/>
            <w:tcBorders>
              <w:top w:val="single" w:sz="8" w:color="0563C1"/>
              <w:bottom w:val="single" w:sz="8" w:color="91BBD3"/>
              <w:right w:val="single" w:sz="8" w:color="DAE8F0"/>
            </w:tcBorders>
            <w:gridSpan w:val="7"/>
            <w:shd w:val="clear" w:color="auto" w:fill="DAE8F0"/>
          </w:tcPr>
          <w:p>
            <w:pPr>
              <w:spacing w:after="0"/>
              <w:rPr>
                <w:sz w:val="22"/>
                <w:szCs w:val="22"/>
                <w:color w:val="auto"/>
              </w:rPr>
            </w:pPr>
          </w:p>
        </w:tc>
        <w:tc>
          <w:tcPr>
            <w:tcW w:w="120" w:type="dxa"/>
            <w:vAlign w:val="bottom"/>
            <w:tcBorders>
              <w:top w:val="single" w:sz="8" w:color="DAE8F0"/>
              <w:bottom w:val="single" w:sz="8" w:color="91BBD3"/>
              <w:right w:val="single" w:sz="8" w:color="91BBD3"/>
            </w:tcBorders>
            <w:shd w:val="clear" w:color="auto" w:fill="DAE8F0"/>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right w:val="single" w:sz="8" w:color="91BBD3"/>
            </w:tcBorders>
          </w:tcPr>
          <w:p>
            <w:pPr>
              <w:ind w:left="120"/>
              <w:spacing w:after="0" w:line="169" w:lineRule="exact"/>
              <w:rPr>
                <w:sz w:val="20"/>
                <w:szCs w:val="20"/>
                <w:color w:val="auto"/>
              </w:rPr>
            </w:pPr>
            <w:r>
              <w:rPr>
                <w:rFonts w:ascii="Calibri" w:cs="Calibri" w:eastAsia="Calibri" w:hAnsi="Calibri"/>
                <w:sz w:val="18"/>
                <w:szCs w:val="18"/>
                <w:b w:val="1"/>
                <w:bCs w:val="1"/>
                <w:color w:val="auto"/>
              </w:rPr>
              <w:t>10.27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0" w:type="dxa"/>
            <w:vAlign w:val="bottom"/>
            <w:tcBorders>
              <w:bottom w:val="single" w:sz="8" w:color="0563C1"/>
            </w:tcBorders>
            <w:gridSpan w:val="12"/>
          </w:tcPr>
          <w:p>
            <w:pPr>
              <w:spacing w:after="0" w:line="169" w:lineRule="exact"/>
              <w:rPr>
                <w:rFonts w:ascii="MS PGothic" w:cs="MS PGothic" w:eastAsia="MS PGothic" w:hAnsi="MS PGothic"/>
                <w:sz w:val="18"/>
                <w:szCs w:val="18"/>
                <w:color w:val="0563C1"/>
                <w:w w:val="96"/>
              </w:rPr>
            </w:pPr>
            <w:hyperlink r:id="rId527">
              <w:r>
                <w:rPr>
                  <w:rFonts w:ascii="MS PGothic" w:cs="MS PGothic" w:eastAsia="MS PGothic" w:hAnsi="MS PGothic"/>
                  <w:sz w:val="18"/>
                  <w:szCs w:val="18"/>
                  <w:color w:val="0563C1"/>
                  <w:w w:val="96"/>
                </w:rPr>
                <w:t>Form of Performance-Based Restricted Stock Unit Award Agreement under the Martn Marieta Materials, Inc. Amended and</w:t>
              </w:r>
            </w:hyperlink>
          </w:p>
        </w:tc>
        <w:tc>
          <w:tcPr>
            <w:tcW w:w="120" w:type="dxa"/>
            <w:vAlign w:val="bottom"/>
            <w:tcBorders>
              <w:right w:val="single" w:sz="8" w:color="91BBD3"/>
            </w:tcBorders>
            <w:gridSpan w:val="4"/>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20" w:type="dxa"/>
            <w:vAlign w:val="bottom"/>
            <w:tcBorders>
              <w:bottom w:val="single" w:sz="8" w:color="0563C1"/>
            </w:tcBorders>
            <w:gridSpan w:val="13"/>
          </w:tcPr>
          <w:p>
            <w:pPr>
              <w:spacing w:after="0"/>
              <w:rPr>
                <w:rFonts w:ascii="MS PGothic" w:cs="MS PGothic" w:eastAsia="MS PGothic" w:hAnsi="MS PGothic"/>
                <w:sz w:val="18"/>
                <w:szCs w:val="18"/>
                <w:color w:val="0563C1"/>
                <w:w w:val="96"/>
              </w:rPr>
            </w:pPr>
            <w:hyperlink r:id="rId527">
              <w:r>
                <w:rPr>
                  <w:rFonts w:ascii="MS PGothic" w:cs="MS PGothic" w:eastAsia="MS PGothic" w:hAnsi="MS PGothic"/>
                  <w:sz w:val="18"/>
                  <w:szCs w:val="18"/>
                  <w:color w:val="0563C1"/>
                  <w:w w:val="96"/>
                </w:rPr>
                <w:t>Restated Stock-Based Award Plan (incorporated by reference to Exhibit 10.02 to the Martn Marieta Materials, Inc. Quarterly</w:t>
              </w:r>
            </w:hyperlink>
          </w:p>
        </w:tc>
        <w:tc>
          <w:tcPr>
            <w:tcW w:w="100" w:type="dxa"/>
            <w:vAlign w:val="bottom"/>
            <w:tcBorders>
              <w:right w:val="single" w:sz="8" w:color="91BBD3"/>
            </w:tcBorders>
            <w:gridSpan w:val="3"/>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120" w:type="dxa"/>
            <w:vAlign w:val="bottom"/>
            <w:tcBorders>
              <w:right w:val="single" w:sz="8" w:color="91BBD3"/>
            </w:tcBorders>
            <w:gridSpan w:val="16"/>
          </w:tcPr>
          <w:p>
            <w:pPr>
              <w:spacing w:after="0"/>
              <w:rPr>
                <w:rFonts w:ascii="MS PGothic" w:cs="MS PGothic" w:eastAsia="MS PGothic" w:hAnsi="MS PGothic"/>
                <w:sz w:val="18"/>
                <w:szCs w:val="18"/>
                <w:color w:val="0563C1"/>
              </w:rPr>
            </w:pPr>
            <w:hyperlink r:id="rId527">
              <w:r>
                <w:rPr>
                  <w:rFonts w:ascii="MS PGothic" w:cs="MS PGothic" w:eastAsia="MS PGothic" w:hAnsi="MS PGothic"/>
                  <w:sz w:val="18"/>
                  <w:szCs w:val="18"/>
                  <w:color w:val="0563C1"/>
                </w:rPr>
                <w:t>Report on Form 10-Q for the quarter ended March 31, 2017) (Commission File No. 1-12744)**</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680" w:type="dxa"/>
            <w:vAlign w:val="bottom"/>
            <w:tcBorders>
              <w:left w:val="single" w:sz="8" w:color="91BBD3"/>
              <w:bottom w:val="single" w:sz="8" w:color="91BBD3"/>
              <w:right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80" w:type="dxa"/>
            <w:vAlign w:val="bottom"/>
            <w:tcBorders>
              <w:bottom w:val="single" w:sz="8" w:color="91BBD3"/>
            </w:tcBorders>
          </w:tcPr>
          <w:p>
            <w:pPr>
              <w:spacing w:after="0"/>
              <w:rPr>
                <w:sz w:val="4"/>
                <w:szCs w:val="4"/>
                <w:color w:val="auto"/>
              </w:rPr>
            </w:pPr>
          </w:p>
        </w:tc>
        <w:tc>
          <w:tcPr>
            <w:tcW w:w="740" w:type="dxa"/>
            <w:vAlign w:val="bottom"/>
            <w:tcBorders>
              <w:top w:val="single" w:sz="8" w:color="0563C1"/>
              <w:bottom w:val="single" w:sz="8" w:color="91BBD3"/>
            </w:tcBorders>
          </w:tcPr>
          <w:p>
            <w:pPr>
              <w:spacing w:after="0"/>
              <w:rPr>
                <w:sz w:val="4"/>
                <w:szCs w:val="4"/>
                <w:color w:val="auto"/>
              </w:rPr>
            </w:pPr>
          </w:p>
        </w:tc>
        <w:tc>
          <w:tcPr>
            <w:tcW w:w="1360" w:type="dxa"/>
            <w:vAlign w:val="bottom"/>
            <w:tcBorders>
              <w:top w:val="single" w:sz="8" w:color="0563C1"/>
              <w:bottom w:val="single" w:sz="8" w:color="91BBD3"/>
            </w:tcBorders>
          </w:tcPr>
          <w:p>
            <w:pPr>
              <w:spacing w:after="0"/>
              <w:rPr>
                <w:sz w:val="4"/>
                <w:szCs w:val="4"/>
                <w:color w:val="auto"/>
              </w:rPr>
            </w:pPr>
          </w:p>
        </w:tc>
        <w:tc>
          <w:tcPr>
            <w:tcW w:w="980" w:type="dxa"/>
            <w:vAlign w:val="bottom"/>
            <w:tcBorders>
              <w:top w:val="single" w:sz="8" w:color="0563C1"/>
              <w:bottom w:val="single" w:sz="8" w:color="91BBD3"/>
            </w:tcBorders>
          </w:tcPr>
          <w:p>
            <w:pPr>
              <w:spacing w:after="0"/>
              <w:rPr>
                <w:sz w:val="4"/>
                <w:szCs w:val="4"/>
                <w:color w:val="auto"/>
              </w:rPr>
            </w:pPr>
          </w:p>
        </w:tc>
        <w:tc>
          <w:tcPr>
            <w:tcW w:w="640" w:type="dxa"/>
            <w:vAlign w:val="bottom"/>
            <w:tcBorders>
              <w:top w:val="single" w:sz="8" w:color="0563C1"/>
              <w:bottom w:val="single" w:sz="8" w:color="91BBD3"/>
            </w:tcBorders>
          </w:tcPr>
          <w:p>
            <w:pPr>
              <w:spacing w:after="0"/>
              <w:rPr>
                <w:sz w:val="4"/>
                <w:szCs w:val="4"/>
                <w:color w:val="auto"/>
              </w:rPr>
            </w:pPr>
          </w:p>
        </w:tc>
        <w:tc>
          <w:tcPr>
            <w:tcW w:w="360" w:type="dxa"/>
            <w:vAlign w:val="bottom"/>
            <w:tcBorders>
              <w:top w:val="single" w:sz="8" w:color="0563C1"/>
              <w:bottom w:val="single" w:sz="8" w:color="91BBD3"/>
            </w:tcBorders>
          </w:tcPr>
          <w:p>
            <w:pPr>
              <w:spacing w:after="0"/>
              <w:rPr>
                <w:sz w:val="4"/>
                <w:szCs w:val="4"/>
                <w:color w:val="auto"/>
              </w:rPr>
            </w:pPr>
          </w:p>
        </w:tc>
        <w:tc>
          <w:tcPr>
            <w:tcW w:w="600" w:type="dxa"/>
            <w:vAlign w:val="bottom"/>
            <w:tcBorders>
              <w:top w:val="single" w:sz="8" w:color="0563C1"/>
              <w:bottom w:val="single" w:sz="8" w:color="91BBD3"/>
            </w:tcBorders>
          </w:tcPr>
          <w:p>
            <w:pPr>
              <w:spacing w:after="0"/>
              <w:rPr>
                <w:sz w:val="4"/>
                <w:szCs w:val="4"/>
                <w:color w:val="auto"/>
              </w:rPr>
            </w:pPr>
          </w:p>
        </w:tc>
        <w:tc>
          <w:tcPr>
            <w:tcW w:w="60" w:type="dxa"/>
            <w:vAlign w:val="bottom"/>
            <w:tcBorders>
              <w:top w:val="single" w:sz="8" w:color="0563C1"/>
              <w:bottom w:val="single" w:sz="8" w:color="91BBD3"/>
            </w:tcBorders>
          </w:tcPr>
          <w:p>
            <w:pPr>
              <w:spacing w:after="0"/>
              <w:rPr>
                <w:sz w:val="4"/>
                <w:szCs w:val="4"/>
                <w:color w:val="auto"/>
              </w:rPr>
            </w:pPr>
          </w:p>
        </w:tc>
        <w:tc>
          <w:tcPr>
            <w:tcW w:w="1240" w:type="dxa"/>
            <w:vAlign w:val="bottom"/>
            <w:tcBorders>
              <w:top w:val="single" w:sz="8" w:color="0563C1"/>
              <w:bottom w:val="single" w:sz="8" w:color="91BBD3"/>
            </w:tcBorders>
          </w:tcPr>
          <w:p>
            <w:pPr>
              <w:spacing w:after="0"/>
              <w:rPr>
                <w:sz w:val="4"/>
                <w:szCs w:val="4"/>
                <w:color w:val="auto"/>
              </w:rPr>
            </w:pPr>
          </w:p>
        </w:tc>
        <w:tc>
          <w:tcPr>
            <w:tcW w:w="400" w:type="dxa"/>
            <w:vAlign w:val="bottom"/>
            <w:tcBorders>
              <w:top w:val="single" w:sz="8" w:color="0563C1"/>
              <w:bottom w:val="single" w:sz="8" w:color="91BBD3"/>
            </w:tcBorders>
          </w:tcPr>
          <w:p>
            <w:pPr>
              <w:spacing w:after="0"/>
              <w:rPr>
                <w:sz w:val="4"/>
                <w:szCs w:val="4"/>
                <w:color w:val="auto"/>
              </w:rPr>
            </w:pPr>
          </w:p>
        </w:tc>
        <w:tc>
          <w:tcPr>
            <w:tcW w:w="320" w:type="dxa"/>
            <w:vAlign w:val="bottom"/>
            <w:tcBorders>
              <w:top w:val="single" w:sz="8" w:color="0563C1"/>
              <w:bottom w:val="single" w:sz="8" w:color="91BBD3"/>
            </w:tcBorders>
          </w:tcPr>
          <w:p>
            <w:pPr>
              <w:spacing w:after="0"/>
              <w:rPr>
                <w:sz w:val="4"/>
                <w:szCs w:val="4"/>
                <w:color w:val="auto"/>
              </w:rPr>
            </w:pPr>
          </w:p>
        </w:tc>
        <w:tc>
          <w:tcPr>
            <w:tcW w:w="1080" w:type="dxa"/>
            <w:vAlign w:val="bottom"/>
            <w:tcBorders>
              <w:bottom w:val="single" w:sz="8" w:color="91BBD3"/>
            </w:tcBorders>
          </w:tcPr>
          <w:p>
            <w:pPr>
              <w:spacing w:after="0"/>
              <w:rPr>
                <w:sz w:val="4"/>
                <w:szCs w:val="4"/>
                <w:color w:val="auto"/>
              </w:rPr>
            </w:pPr>
          </w:p>
        </w:tc>
        <w:tc>
          <w:tcPr>
            <w:tcW w:w="122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4294967257" w:type="dxa"/>
            <w:vAlign w:val="bottom"/>
            <w:tcBorders>
              <w:bottom w:val="single" w:sz="8" w:color="91BBD3"/>
            </w:tcBorders>
          </w:tcPr>
          <w:p>
            <w:pPr>
              <w:spacing w:after="0"/>
              <w:rPr>
                <w:sz w:val="4"/>
                <w:szCs w:val="4"/>
                <w:color w:val="auto"/>
              </w:rPr>
            </w:pPr>
          </w:p>
        </w:tc>
        <w:tc>
          <w:tcPr>
            <w:tcW w:w="120" w:type="dxa"/>
            <w:vAlign w:val="bottom"/>
            <w:tcBorders>
              <w:bottom w:val="single" w:sz="8" w:color="91BBD3"/>
              <w:right w:val="single" w:sz="8" w:color="91BBD3"/>
            </w:tcBorders>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bottom w:val="single" w:sz="8" w:color="DAE8F0"/>
              <w:right w:val="single" w:sz="8" w:color="91BBD3"/>
            </w:tcBorders>
            <w:shd w:val="clear" w:color="auto" w:fill="DAE8F0"/>
          </w:tcPr>
          <w:p>
            <w:pPr>
              <w:ind w:left="120"/>
              <w:spacing w:after="0" w:line="169" w:lineRule="exact"/>
              <w:rPr>
                <w:sz w:val="20"/>
                <w:szCs w:val="20"/>
                <w:color w:val="auto"/>
              </w:rPr>
            </w:pPr>
            <w:r>
              <w:rPr>
                <w:rFonts w:ascii="Calibri" w:cs="Calibri" w:eastAsia="Calibri" w:hAnsi="Calibri"/>
                <w:sz w:val="18"/>
                <w:szCs w:val="18"/>
                <w:b w:val="1"/>
                <w:bCs w:val="1"/>
                <w:color w:val="auto"/>
              </w:rPr>
              <w:t>10.28</w:t>
            </w:r>
          </w:p>
        </w:tc>
        <w:tc>
          <w:tcPr>
            <w:tcW w:w="20" w:type="dxa"/>
            <w:vAlign w:val="bottom"/>
            <w:tcBorders>
              <w:bottom w:val="single" w:sz="8" w:color="DAE8F0"/>
            </w:tcBorders>
            <w:shd w:val="clear" w:color="auto" w:fill="DAE8F0"/>
          </w:tcPr>
          <w:p>
            <w:pPr>
              <w:spacing w:after="0"/>
              <w:rPr>
                <w:sz w:val="14"/>
                <w:szCs w:val="14"/>
                <w:color w:val="auto"/>
              </w:rPr>
            </w:pPr>
          </w:p>
        </w:tc>
        <w:tc>
          <w:tcPr>
            <w:tcW w:w="80" w:type="dxa"/>
            <w:vAlign w:val="bottom"/>
            <w:tcBorders>
              <w:bottom w:val="single" w:sz="8" w:color="DAE8F0"/>
            </w:tcBorders>
            <w:shd w:val="clear" w:color="auto" w:fill="DAE8F0"/>
          </w:tcPr>
          <w:p>
            <w:pPr>
              <w:spacing w:after="0"/>
              <w:rPr>
                <w:sz w:val="14"/>
                <w:szCs w:val="14"/>
                <w:color w:val="auto"/>
              </w:rPr>
            </w:pPr>
          </w:p>
        </w:tc>
        <w:tc>
          <w:tcPr>
            <w:tcW w:w="9000" w:type="dxa"/>
            <w:vAlign w:val="bottom"/>
            <w:tcBorders>
              <w:bottom w:val="single" w:sz="8" w:color="0563C1"/>
              <w:right w:val="single" w:sz="8" w:color="DAE8F0"/>
            </w:tcBorders>
            <w:gridSpan w:val="15"/>
            <w:shd w:val="clear" w:color="auto" w:fill="DAE8F0"/>
          </w:tcPr>
          <w:p>
            <w:pPr>
              <w:spacing w:after="0" w:line="169" w:lineRule="exact"/>
              <w:rPr>
                <w:rFonts w:ascii="MS PGothic" w:cs="MS PGothic" w:eastAsia="MS PGothic" w:hAnsi="MS PGothic"/>
                <w:sz w:val="18"/>
                <w:szCs w:val="18"/>
                <w:color w:val="0563C1"/>
                <w:w w:val="97"/>
              </w:rPr>
            </w:pPr>
            <w:hyperlink r:id="rId528">
              <w:r>
                <w:rPr>
                  <w:rFonts w:ascii="MS PGothic" w:cs="MS PGothic" w:eastAsia="MS PGothic" w:hAnsi="MS PGothic"/>
                  <w:sz w:val="18"/>
                  <w:szCs w:val="18"/>
                  <w:color w:val="0563C1"/>
                  <w:w w:val="97"/>
                </w:rPr>
                <w:t>Ofer Leter, dated as of June 9, 2017, by and between Martn Marieta Materials, Inc. and James A. J. Nickolas (incorporated</w:t>
              </w:r>
            </w:hyperlink>
          </w:p>
        </w:tc>
        <w:tc>
          <w:tcPr>
            <w:tcW w:w="120" w:type="dxa"/>
            <w:vAlign w:val="bottom"/>
            <w:tcBorders>
              <w:bottom w:val="single" w:sz="8" w:color="DAE8F0"/>
              <w:right w:val="single" w:sz="8" w:color="91BBD3"/>
            </w:tcBorders>
            <w:shd w:val="clear" w:color="auto" w:fill="DAE8F0"/>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bottom w:val="single" w:sz="8" w:color="DAE8F0"/>
              <w:right w:val="single" w:sz="8" w:color="91BBD3"/>
            </w:tcBorders>
            <w:shd w:val="clear" w:color="auto" w:fill="DAE8F0"/>
          </w:tcPr>
          <w:p>
            <w:pPr>
              <w:spacing w:after="0"/>
              <w:rPr>
                <w:sz w:val="17"/>
                <w:szCs w:val="17"/>
                <w:color w:val="auto"/>
              </w:rPr>
            </w:pPr>
          </w:p>
        </w:tc>
        <w:tc>
          <w:tcPr>
            <w:tcW w:w="20" w:type="dxa"/>
            <w:vAlign w:val="bottom"/>
            <w:tcBorders>
              <w:bottom w:val="single" w:sz="8" w:color="DAE8F0"/>
            </w:tcBorders>
            <w:shd w:val="clear" w:color="auto" w:fill="DAE8F0"/>
          </w:tcPr>
          <w:p>
            <w:pPr>
              <w:spacing w:after="0"/>
              <w:rPr>
                <w:sz w:val="17"/>
                <w:szCs w:val="17"/>
                <w:color w:val="auto"/>
              </w:rPr>
            </w:pPr>
          </w:p>
        </w:tc>
        <w:tc>
          <w:tcPr>
            <w:tcW w:w="80" w:type="dxa"/>
            <w:vAlign w:val="bottom"/>
            <w:tcBorders>
              <w:bottom w:val="single" w:sz="8" w:color="DAE8F0"/>
            </w:tcBorders>
            <w:shd w:val="clear" w:color="auto" w:fill="DAE8F0"/>
          </w:tcPr>
          <w:p>
            <w:pPr>
              <w:spacing w:after="0"/>
              <w:rPr>
                <w:sz w:val="17"/>
                <w:szCs w:val="17"/>
                <w:color w:val="auto"/>
              </w:rPr>
            </w:pPr>
          </w:p>
        </w:tc>
        <w:tc>
          <w:tcPr>
            <w:tcW w:w="9020" w:type="dxa"/>
            <w:vAlign w:val="bottom"/>
            <w:tcBorders>
              <w:bottom w:val="single" w:sz="8" w:color="0563C1"/>
            </w:tcBorders>
            <w:gridSpan w:val="13"/>
            <w:shd w:val="clear" w:color="auto" w:fill="DAE8F0"/>
          </w:tcPr>
          <w:p>
            <w:pPr>
              <w:spacing w:after="0"/>
              <w:rPr>
                <w:rFonts w:ascii="MS PGothic" w:cs="MS PGothic" w:eastAsia="MS PGothic" w:hAnsi="MS PGothic"/>
                <w:sz w:val="18"/>
                <w:szCs w:val="18"/>
                <w:color w:val="0563C1"/>
                <w:w w:val="95"/>
              </w:rPr>
            </w:pPr>
            <w:hyperlink r:id="rId528">
              <w:r>
                <w:rPr>
                  <w:rFonts w:ascii="MS PGothic" w:cs="MS PGothic" w:eastAsia="MS PGothic" w:hAnsi="MS PGothic"/>
                  <w:sz w:val="18"/>
                  <w:szCs w:val="18"/>
                  <w:color w:val="0563C1"/>
                  <w:w w:val="95"/>
                </w:rPr>
                <w:t>by reference to Exhibit 10.01 to the Martn Marieta Materials, Inc. Quarterly Report on Form 10‑Q for the quarter ended June</w:t>
              </w:r>
            </w:hyperlink>
          </w:p>
        </w:tc>
        <w:tc>
          <w:tcPr>
            <w:tcW w:w="100" w:type="dxa"/>
            <w:vAlign w:val="bottom"/>
            <w:tcBorders>
              <w:bottom w:val="single" w:sz="8" w:color="DAE8F0"/>
              <w:right w:val="single" w:sz="8" w:color="91BBD3"/>
            </w:tcBorders>
            <w:gridSpan w:val="3"/>
            <w:shd w:val="clear" w:color="auto" w:fill="DAE8F0"/>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680" w:type="dxa"/>
            <w:vAlign w:val="bottom"/>
            <w:tcBorders>
              <w:left w:val="single" w:sz="8" w:color="91BBD3"/>
              <w:bottom w:val="single" w:sz="8" w:color="91BBD3"/>
              <w:right w:val="single" w:sz="8" w:color="91BBD3"/>
            </w:tcBorders>
            <w:shd w:val="clear" w:color="auto" w:fill="DAE8F0"/>
          </w:tcPr>
          <w:p>
            <w:pPr>
              <w:spacing w:after="0"/>
              <w:rPr>
                <w:sz w:val="22"/>
                <w:szCs w:val="22"/>
                <w:color w:val="auto"/>
              </w:rPr>
            </w:pPr>
          </w:p>
        </w:tc>
        <w:tc>
          <w:tcPr>
            <w:tcW w:w="20" w:type="dxa"/>
            <w:vAlign w:val="bottom"/>
            <w:tcBorders>
              <w:bottom w:val="single" w:sz="8" w:color="91BBD3"/>
            </w:tcBorders>
            <w:shd w:val="clear" w:color="auto" w:fill="DAE8F0"/>
          </w:tcPr>
          <w:p>
            <w:pPr>
              <w:spacing w:after="0"/>
              <w:rPr>
                <w:sz w:val="22"/>
                <w:szCs w:val="22"/>
                <w:color w:val="auto"/>
              </w:rPr>
            </w:pPr>
          </w:p>
        </w:tc>
        <w:tc>
          <w:tcPr>
            <w:tcW w:w="80" w:type="dxa"/>
            <w:vAlign w:val="bottom"/>
            <w:tcBorders>
              <w:bottom w:val="single" w:sz="8" w:color="91BBD3"/>
            </w:tcBorders>
            <w:shd w:val="clear" w:color="auto" w:fill="DAE8F0"/>
          </w:tcPr>
          <w:p>
            <w:pPr>
              <w:spacing w:after="0"/>
              <w:rPr>
                <w:sz w:val="22"/>
                <w:szCs w:val="22"/>
                <w:color w:val="auto"/>
              </w:rPr>
            </w:pPr>
          </w:p>
        </w:tc>
        <w:tc>
          <w:tcPr>
            <w:tcW w:w="3080" w:type="dxa"/>
            <w:vAlign w:val="bottom"/>
            <w:tcBorders>
              <w:bottom w:val="single" w:sz="8" w:color="0563C1"/>
            </w:tcBorders>
            <w:gridSpan w:val="3"/>
            <w:shd w:val="clear" w:color="auto" w:fill="DAE8F0"/>
          </w:tcPr>
          <w:p>
            <w:pPr>
              <w:spacing w:after="0"/>
              <w:rPr>
                <w:rFonts w:ascii="MS PGothic" w:cs="MS PGothic" w:eastAsia="MS PGothic" w:hAnsi="MS PGothic"/>
                <w:sz w:val="18"/>
                <w:szCs w:val="18"/>
                <w:color w:val="0563C1"/>
                <w:w w:val="94"/>
              </w:rPr>
            </w:pPr>
            <w:hyperlink r:id="rId528">
              <w:r>
                <w:rPr>
                  <w:rFonts w:ascii="MS PGothic" w:cs="MS PGothic" w:eastAsia="MS PGothic" w:hAnsi="MS PGothic"/>
                  <w:sz w:val="18"/>
                  <w:szCs w:val="18"/>
                  <w:color w:val="0563C1"/>
                  <w:w w:val="94"/>
                </w:rPr>
                <w:t>30, 2018) (Commission File No. 1-12744)**</w:t>
              </w:r>
            </w:hyperlink>
          </w:p>
        </w:tc>
        <w:tc>
          <w:tcPr>
            <w:tcW w:w="6040" w:type="dxa"/>
            <w:vAlign w:val="bottom"/>
            <w:tcBorders>
              <w:bottom w:val="single" w:sz="8" w:color="91BBD3"/>
              <w:right w:val="single" w:sz="8" w:color="91BBD3"/>
            </w:tcBorders>
            <w:gridSpan w:val="13"/>
            <w:shd w:val="clear" w:color="auto" w:fill="DAE8F0"/>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right w:val="single" w:sz="8" w:color="91BBD3"/>
            </w:tcBorders>
          </w:tcPr>
          <w:p>
            <w:pPr>
              <w:ind w:left="120"/>
              <w:spacing w:after="0" w:line="169" w:lineRule="exact"/>
              <w:rPr>
                <w:sz w:val="20"/>
                <w:szCs w:val="20"/>
                <w:color w:val="auto"/>
              </w:rPr>
            </w:pPr>
            <w:r>
              <w:rPr>
                <w:rFonts w:ascii="Calibri" w:cs="Calibri" w:eastAsia="Calibri" w:hAnsi="Calibri"/>
                <w:sz w:val="18"/>
                <w:szCs w:val="18"/>
                <w:b w:val="1"/>
                <w:bCs w:val="1"/>
                <w:color w:val="auto"/>
              </w:rPr>
              <w:t>10.29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40" w:type="dxa"/>
            <w:vAlign w:val="bottom"/>
            <w:tcBorders>
              <w:bottom w:val="single" w:sz="8" w:color="0563C1"/>
            </w:tcBorders>
            <w:gridSpan w:val="14"/>
          </w:tcPr>
          <w:p>
            <w:pPr>
              <w:spacing w:after="0" w:line="169" w:lineRule="exact"/>
              <w:rPr>
                <w:rFonts w:ascii="MS PGothic" w:cs="MS PGothic" w:eastAsia="MS PGothic" w:hAnsi="MS PGothic"/>
                <w:sz w:val="18"/>
                <w:szCs w:val="18"/>
                <w:color w:val="0563C1"/>
              </w:rPr>
            </w:pPr>
            <w:hyperlink r:id="rId529">
              <w:r>
                <w:rPr>
                  <w:rFonts w:ascii="MS PGothic" w:cs="MS PGothic" w:eastAsia="MS PGothic" w:hAnsi="MS PGothic"/>
                  <w:sz w:val="18"/>
                  <w:szCs w:val="18"/>
                  <w:color w:val="0563C1"/>
                </w:rPr>
                <w:t>Form of First Amendment to the Martn Marieta Materials, Inc. Third Amended and Restated Employment Protecton</w:t>
              </w:r>
            </w:hyperlink>
          </w:p>
        </w:tc>
        <w:tc>
          <w:tcPr>
            <w:tcW w:w="80" w:type="dxa"/>
            <w:vAlign w:val="bottom"/>
            <w:tcBorders>
              <w:right w:val="single" w:sz="8" w:color="91BBD3"/>
            </w:tcBorders>
            <w:gridSpan w:val="2"/>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40" w:type="dxa"/>
            <w:vAlign w:val="bottom"/>
            <w:tcBorders>
              <w:bottom w:val="single" w:sz="8" w:color="0563C1"/>
            </w:tcBorders>
            <w:gridSpan w:val="14"/>
          </w:tcPr>
          <w:p>
            <w:pPr>
              <w:spacing w:after="0"/>
              <w:rPr>
                <w:rFonts w:ascii="MS PGothic" w:cs="MS PGothic" w:eastAsia="MS PGothic" w:hAnsi="MS PGothic"/>
                <w:sz w:val="18"/>
                <w:szCs w:val="18"/>
                <w:color w:val="0563C1"/>
                <w:w w:val="97"/>
              </w:rPr>
            </w:pPr>
            <w:hyperlink r:id="rId529">
              <w:r>
                <w:rPr>
                  <w:rFonts w:ascii="MS PGothic" w:cs="MS PGothic" w:eastAsia="MS PGothic" w:hAnsi="MS PGothic"/>
                  <w:sz w:val="18"/>
                  <w:szCs w:val="18"/>
                  <w:color w:val="0563C1"/>
                  <w:w w:val="97"/>
                </w:rPr>
                <w:t>Agreement (incorporated by reference to Exhibit 10.1 to the Martn Marieta Materials, Inc. Current Report on Form 8‑K, fled</w:t>
              </w:r>
            </w:hyperlink>
          </w:p>
        </w:tc>
        <w:tc>
          <w:tcPr>
            <w:tcW w:w="80" w:type="dxa"/>
            <w:vAlign w:val="bottom"/>
            <w:tcBorders>
              <w:right w:val="single" w:sz="8" w:color="91BBD3"/>
            </w:tcBorders>
            <w:gridSpan w:val="2"/>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120" w:type="dxa"/>
            <w:vAlign w:val="bottom"/>
            <w:tcBorders>
              <w:right w:val="single" w:sz="8" w:color="91BBD3"/>
            </w:tcBorders>
            <w:gridSpan w:val="16"/>
          </w:tcPr>
          <w:p>
            <w:pPr>
              <w:spacing w:after="0"/>
              <w:rPr>
                <w:rFonts w:ascii="MS PGothic" w:cs="MS PGothic" w:eastAsia="MS PGothic" w:hAnsi="MS PGothic"/>
                <w:sz w:val="18"/>
                <w:szCs w:val="18"/>
                <w:color w:val="0563C1"/>
              </w:rPr>
            </w:pPr>
            <w:hyperlink r:id="rId529">
              <w:r>
                <w:rPr>
                  <w:rFonts w:ascii="MS PGothic" w:cs="MS PGothic" w:eastAsia="MS PGothic" w:hAnsi="MS PGothic"/>
                  <w:sz w:val="18"/>
                  <w:szCs w:val="18"/>
                  <w:color w:val="0563C1"/>
                </w:rPr>
                <w:t>on December 18, 2018) (Commission File No. 1-12744)**</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680" w:type="dxa"/>
            <w:vAlign w:val="bottom"/>
            <w:tcBorders>
              <w:left w:val="single" w:sz="8" w:color="91BBD3"/>
              <w:bottom w:val="single" w:sz="8" w:color="91BBD3"/>
              <w:right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80" w:type="dxa"/>
            <w:vAlign w:val="bottom"/>
            <w:tcBorders>
              <w:bottom w:val="single" w:sz="8" w:color="91BBD3"/>
            </w:tcBorders>
          </w:tcPr>
          <w:p>
            <w:pPr>
              <w:spacing w:after="0"/>
              <w:rPr>
                <w:sz w:val="4"/>
                <w:szCs w:val="4"/>
                <w:color w:val="auto"/>
              </w:rPr>
            </w:pPr>
          </w:p>
        </w:tc>
        <w:tc>
          <w:tcPr>
            <w:tcW w:w="740" w:type="dxa"/>
            <w:vAlign w:val="bottom"/>
            <w:tcBorders>
              <w:top w:val="single" w:sz="8" w:color="0563C1"/>
              <w:bottom w:val="single" w:sz="8" w:color="91BBD3"/>
            </w:tcBorders>
          </w:tcPr>
          <w:p>
            <w:pPr>
              <w:spacing w:after="0"/>
              <w:rPr>
                <w:sz w:val="4"/>
                <w:szCs w:val="4"/>
                <w:color w:val="auto"/>
              </w:rPr>
            </w:pPr>
          </w:p>
        </w:tc>
        <w:tc>
          <w:tcPr>
            <w:tcW w:w="1360" w:type="dxa"/>
            <w:vAlign w:val="bottom"/>
            <w:tcBorders>
              <w:top w:val="single" w:sz="8" w:color="0563C1"/>
              <w:bottom w:val="single" w:sz="8" w:color="91BBD3"/>
            </w:tcBorders>
          </w:tcPr>
          <w:p>
            <w:pPr>
              <w:spacing w:after="0"/>
              <w:rPr>
                <w:sz w:val="4"/>
                <w:szCs w:val="4"/>
                <w:color w:val="auto"/>
              </w:rPr>
            </w:pPr>
          </w:p>
        </w:tc>
        <w:tc>
          <w:tcPr>
            <w:tcW w:w="980" w:type="dxa"/>
            <w:vAlign w:val="bottom"/>
            <w:tcBorders>
              <w:top w:val="single" w:sz="8" w:color="0563C1"/>
              <w:bottom w:val="single" w:sz="8" w:color="91BBD3"/>
            </w:tcBorders>
          </w:tcPr>
          <w:p>
            <w:pPr>
              <w:spacing w:after="0"/>
              <w:rPr>
                <w:sz w:val="4"/>
                <w:szCs w:val="4"/>
                <w:color w:val="auto"/>
              </w:rPr>
            </w:pPr>
          </w:p>
        </w:tc>
        <w:tc>
          <w:tcPr>
            <w:tcW w:w="640" w:type="dxa"/>
            <w:vAlign w:val="bottom"/>
            <w:tcBorders>
              <w:top w:val="single" w:sz="8" w:color="0563C1"/>
              <w:bottom w:val="single" w:sz="8" w:color="91BBD3"/>
            </w:tcBorders>
          </w:tcPr>
          <w:p>
            <w:pPr>
              <w:spacing w:after="0"/>
              <w:rPr>
                <w:sz w:val="4"/>
                <w:szCs w:val="4"/>
                <w:color w:val="auto"/>
              </w:rPr>
            </w:pPr>
          </w:p>
        </w:tc>
        <w:tc>
          <w:tcPr>
            <w:tcW w:w="360" w:type="dxa"/>
            <w:vAlign w:val="bottom"/>
            <w:tcBorders>
              <w:top w:val="single" w:sz="8" w:color="0563C1"/>
              <w:bottom w:val="single" w:sz="8" w:color="91BBD3"/>
            </w:tcBorders>
          </w:tcPr>
          <w:p>
            <w:pPr>
              <w:spacing w:after="0"/>
              <w:rPr>
                <w:sz w:val="4"/>
                <w:szCs w:val="4"/>
                <w:color w:val="auto"/>
              </w:rPr>
            </w:pPr>
          </w:p>
        </w:tc>
        <w:tc>
          <w:tcPr>
            <w:tcW w:w="600" w:type="dxa"/>
            <w:vAlign w:val="bottom"/>
            <w:tcBorders>
              <w:bottom w:val="single" w:sz="8" w:color="91BBD3"/>
            </w:tcBorders>
          </w:tcPr>
          <w:p>
            <w:pPr>
              <w:spacing w:after="0"/>
              <w:rPr>
                <w:sz w:val="4"/>
                <w:szCs w:val="4"/>
                <w:color w:val="auto"/>
              </w:rPr>
            </w:pPr>
          </w:p>
        </w:tc>
        <w:tc>
          <w:tcPr>
            <w:tcW w:w="60" w:type="dxa"/>
            <w:vAlign w:val="bottom"/>
            <w:tcBorders>
              <w:bottom w:val="single" w:sz="8" w:color="91BBD3"/>
            </w:tcBorders>
          </w:tcPr>
          <w:p>
            <w:pPr>
              <w:spacing w:after="0"/>
              <w:rPr>
                <w:sz w:val="4"/>
                <w:szCs w:val="4"/>
                <w:color w:val="auto"/>
              </w:rPr>
            </w:pPr>
          </w:p>
        </w:tc>
        <w:tc>
          <w:tcPr>
            <w:tcW w:w="1240" w:type="dxa"/>
            <w:vAlign w:val="bottom"/>
            <w:tcBorders>
              <w:bottom w:val="single" w:sz="8" w:color="91BBD3"/>
            </w:tcBorders>
          </w:tcPr>
          <w:p>
            <w:pPr>
              <w:spacing w:after="0"/>
              <w:rPr>
                <w:sz w:val="4"/>
                <w:szCs w:val="4"/>
                <w:color w:val="auto"/>
              </w:rPr>
            </w:pPr>
          </w:p>
        </w:tc>
        <w:tc>
          <w:tcPr>
            <w:tcW w:w="400" w:type="dxa"/>
            <w:vAlign w:val="bottom"/>
            <w:tcBorders>
              <w:bottom w:val="single" w:sz="8" w:color="91BBD3"/>
            </w:tcBorders>
          </w:tcPr>
          <w:p>
            <w:pPr>
              <w:spacing w:after="0"/>
              <w:rPr>
                <w:sz w:val="4"/>
                <w:szCs w:val="4"/>
                <w:color w:val="auto"/>
              </w:rPr>
            </w:pPr>
          </w:p>
        </w:tc>
        <w:tc>
          <w:tcPr>
            <w:tcW w:w="320" w:type="dxa"/>
            <w:vAlign w:val="bottom"/>
            <w:tcBorders>
              <w:bottom w:val="single" w:sz="8" w:color="91BBD3"/>
            </w:tcBorders>
          </w:tcPr>
          <w:p>
            <w:pPr>
              <w:spacing w:after="0"/>
              <w:rPr>
                <w:sz w:val="4"/>
                <w:szCs w:val="4"/>
                <w:color w:val="auto"/>
              </w:rPr>
            </w:pPr>
          </w:p>
        </w:tc>
        <w:tc>
          <w:tcPr>
            <w:tcW w:w="1080" w:type="dxa"/>
            <w:vAlign w:val="bottom"/>
            <w:tcBorders>
              <w:bottom w:val="single" w:sz="8" w:color="91BBD3"/>
            </w:tcBorders>
          </w:tcPr>
          <w:p>
            <w:pPr>
              <w:spacing w:after="0"/>
              <w:rPr>
                <w:sz w:val="4"/>
                <w:szCs w:val="4"/>
                <w:color w:val="auto"/>
              </w:rPr>
            </w:pPr>
          </w:p>
        </w:tc>
        <w:tc>
          <w:tcPr>
            <w:tcW w:w="122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4294967257" w:type="dxa"/>
            <w:vAlign w:val="bottom"/>
            <w:tcBorders>
              <w:bottom w:val="single" w:sz="8" w:color="91BBD3"/>
            </w:tcBorders>
          </w:tcPr>
          <w:p>
            <w:pPr>
              <w:spacing w:after="0"/>
              <w:rPr>
                <w:sz w:val="4"/>
                <w:szCs w:val="4"/>
                <w:color w:val="auto"/>
              </w:rPr>
            </w:pPr>
          </w:p>
        </w:tc>
        <w:tc>
          <w:tcPr>
            <w:tcW w:w="120" w:type="dxa"/>
            <w:vAlign w:val="bottom"/>
            <w:tcBorders>
              <w:bottom w:val="single" w:sz="8" w:color="91BBD3"/>
              <w:right w:val="single" w:sz="8" w:color="91BBD3"/>
            </w:tcBorders>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bottom w:val="single" w:sz="8" w:color="DAE8F0"/>
              <w:right w:val="single" w:sz="8" w:color="91BBD3"/>
            </w:tcBorders>
            <w:shd w:val="clear" w:color="auto" w:fill="DAE8F0"/>
          </w:tcPr>
          <w:p>
            <w:pPr>
              <w:ind w:left="120"/>
              <w:spacing w:after="0" w:line="169" w:lineRule="exact"/>
              <w:rPr>
                <w:sz w:val="20"/>
                <w:szCs w:val="20"/>
                <w:color w:val="auto"/>
              </w:rPr>
            </w:pPr>
            <w:r>
              <w:rPr>
                <w:rFonts w:ascii="Calibri" w:cs="Calibri" w:eastAsia="Calibri" w:hAnsi="Calibri"/>
                <w:sz w:val="18"/>
                <w:szCs w:val="18"/>
                <w:b w:val="1"/>
                <w:bCs w:val="1"/>
                <w:color w:val="auto"/>
              </w:rPr>
              <w:t>10.30</w:t>
            </w:r>
          </w:p>
        </w:tc>
        <w:tc>
          <w:tcPr>
            <w:tcW w:w="20" w:type="dxa"/>
            <w:vAlign w:val="bottom"/>
            <w:tcBorders>
              <w:bottom w:val="single" w:sz="8" w:color="DAE8F0"/>
            </w:tcBorders>
            <w:shd w:val="clear" w:color="auto" w:fill="DAE8F0"/>
          </w:tcPr>
          <w:p>
            <w:pPr>
              <w:spacing w:after="0"/>
              <w:rPr>
                <w:sz w:val="14"/>
                <w:szCs w:val="14"/>
                <w:color w:val="auto"/>
              </w:rPr>
            </w:pPr>
          </w:p>
        </w:tc>
        <w:tc>
          <w:tcPr>
            <w:tcW w:w="80" w:type="dxa"/>
            <w:vAlign w:val="bottom"/>
            <w:tcBorders>
              <w:bottom w:val="single" w:sz="8" w:color="DAE8F0"/>
            </w:tcBorders>
            <w:shd w:val="clear" w:color="auto" w:fill="DAE8F0"/>
          </w:tcPr>
          <w:p>
            <w:pPr>
              <w:spacing w:after="0"/>
              <w:rPr>
                <w:sz w:val="14"/>
                <w:szCs w:val="14"/>
                <w:color w:val="auto"/>
              </w:rPr>
            </w:pPr>
          </w:p>
        </w:tc>
        <w:tc>
          <w:tcPr>
            <w:tcW w:w="9040" w:type="dxa"/>
            <w:vAlign w:val="bottom"/>
            <w:tcBorders>
              <w:bottom w:val="single" w:sz="8" w:color="0563C1"/>
            </w:tcBorders>
            <w:gridSpan w:val="14"/>
            <w:shd w:val="clear" w:color="auto" w:fill="DAE8F0"/>
          </w:tcPr>
          <w:p>
            <w:pPr>
              <w:spacing w:after="0" w:line="169" w:lineRule="exact"/>
              <w:rPr>
                <w:rFonts w:ascii="MS PGothic" w:cs="MS PGothic" w:eastAsia="MS PGothic" w:hAnsi="MS PGothic"/>
                <w:sz w:val="18"/>
                <w:szCs w:val="18"/>
                <w:color w:val="0563C1"/>
                <w:w w:val="95"/>
              </w:rPr>
            </w:pPr>
            <w:hyperlink r:id="rId530">
              <w:r>
                <w:rPr>
                  <w:rFonts w:ascii="MS PGothic" w:cs="MS PGothic" w:eastAsia="MS PGothic" w:hAnsi="MS PGothic"/>
                  <w:sz w:val="18"/>
                  <w:szCs w:val="18"/>
                  <w:color w:val="0563C1"/>
                  <w:w w:val="95"/>
                </w:rPr>
                <w:t>Form of Restricted Stock Unit Award Agreement under the Martn Marieta Materials, Inc. Amended and Restated Stock-Based</w:t>
              </w:r>
            </w:hyperlink>
          </w:p>
        </w:tc>
        <w:tc>
          <w:tcPr>
            <w:tcW w:w="80" w:type="dxa"/>
            <w:vAlign w:val="bottom"/>
            <w:tcBorders>
              <w:bottom w:val="single" w:sz="8" w:color="DAE8F0"/>
              <w:right w:val="single" w:sz="8" w:color="91BBD3"/>
            </w:tcBorders>
            <w:gridSpan w:val="2"/>
            <w:shd w:val="clear" w:color="auto" w:fill="DAE8F0"/>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bottom w:val="single" w:sz="8" w:color="DAE8F0"/>
              <w:right w:val="single" w:sz="8" w:color="91BBD3"/>
            </w:tcBorders>
            <w:shd w:val="clear" w:color="auto" w:fill="DAE8F0"/>
          </w:tcPr>
          <w:p>
            <w:pPr>
              <w:spacing w:after="0"/>
              <w:rPr>
                <w:sz w:val="17"/>
                <w:szCs w:val="17"/>
                <w:color w:val="auto"/>
              </w:rPr>
            </w:pPr>
          </w:p>
        </w:tc>
        <w:tc>
          <w:tcPr>
            <w:tcW w:w="20" w:type="dxa"/>
            <w:vAlign w:val="bottom"/>
            <w:tcBorders>
              <w:bottom w:val="single" w:sz="8" w:color="DAE8F0"/>
            </w:tcBorders>
            <w:shd w:val="clear" w:color="auto" w:fill="DAE8F0"/>
          </w:tcPr>
          <w:p>
            <w:pPr>
              <w:spacing w:after="0"/>
              <w:rPr>
                <w:sz w:val="17"/>
                <w:szCs w:val="17"/>
                <w:color w:val="auto"/>
              </w:rPr>
            </w:pPr>
          </w:p>
        </w:tc>
        <w:tc>
          <w:tcPr>
            <w:tcW w:w="80" w:type="dxa"/>
            <w:vAlign w:val="bottom"/>
            <w:tcBorders>
              <w:bottom w:val="single" w:sz="8" w:color="DAE8F0"/>
            </w:tcBorders>
            <w:shd w:val="clear" w:color="auto" w:fill="DAE8F0"/>
          </w:tcPr>
          <w:p>
            <w:pPr>
              <w:spacing w:after="0"/>
              <w:rPr>
                <w:sz w:val="17"/>
                <w:szCs w:val="17"/>
                <w:color w:val="auto"/>
              </w:rPr>
            </w:pPr>
          </w:p>
        </w:tc>
        <w:tc>
          <w:tcPr>
            <w:tcW w:w="9040" w:type="dxa"/>
            <w:vAlign w:val="bottom"/>
            <w:tcBorders>
              <w:bottom w:val="single" w:sz="8" w:color="0563C1"/>
            </w:tcBorders>
            <w:gridSpan w:val="14"/>
            <w:shd w:val="clear" w:color="auto" w:fill="DAE8F0"/>
          </w:tcPr>
          <w:p>
            <w:pPr>
              <w:spacing w:after="0"/>
              <w:rPr>
                <w:rFonts w:ascii="MS PGothic" w:cs="MS PGothic" w:eastAsia="MS PGothic" w:hAnsi="MS PGothic"/>
                <w:sz w:val="18"/>
                <w:szCs w:val="18"/>
                <w:color w:val="0563C1"/>
                <w:w w:val="97"/>
              </w:rPr>
            </w:pPr>
            <w:hyperlink r:id="rId530">
              <w:r>
                <w:rPr>
                  <w:rFonts w:ascii="MS PGothic" w:cs="MS PGothic" w:eastAsia="MS PGothic" w:hAnsi="MS PGothic"/>
                  <w:sz w:val="18"/>
                  <w:szCs w:val="18"/>
                  <w:color w:val="0563C1"/>
                  <w:w w:val="97"/>
                </w:rPr>
                <w:t>Award Plan (incorporated by reference to Exhibit 10.2 to the Martn Marieta Materials, Inc. Current Report on Form 8‑K, fled</w:t>
              </w:r>
            </w:hyperlink>
          </w:p>
        </w:tc>
        <w:tc>
          <w:tcPr>
            <w:tcW w:w="80" w:type="dxa"/>
            <w:vAlign w:val="bottom"/>
            <w:tcBorders>
              <w:bottom w:val="single" w:sz="8" w:color="DAE8F0"/>
              <w:right w:val="single" w:sz="8" w:color="91BBD3"/>
            </w:tcBorders>
            <w:gridSpan w:val="2"/>
            <w:shd w:val="clear" w:color="auto" w:fill="DAE8F0"/>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680" w:type="dxa"/>
            <w:vAlign w:val="bottom"/>
            <w:tcBorders>
              <w:left w:val="single" w:sz="8" w:color="91BBD3"/>
              <w:bottom w:val="single" w:sz="8" w:color="91BBD3"/>
              <w:right w:val="single" w:sz="8" w:color="91BBD3"/>
            </w:tcBorders>
            <w:shd w:val="clear" w:color="auto" w:fill="DAE8F0"/>
          </w:tcPr>
          <w:p>
            <w:pPr>
              <w:spacing w:after="0"/>
              <w:rPr>
                <w:sz w:val="22"/>
                <w:szCs w:val="22"/>
                <w:color w:val="auto"/>
              </w:rPr>
            </w:pPr>
          </w:p>
        </w:tc>
        <w:tc>
          <w:tcPr>
            <w:tcW w:w="20" w:type="dxa"/>
            <w:vAlign w:val="bottom"/>
            <w:tcBorders>
              <w:bottom w:val="single" w:sz="8" w:color="91BBD3"/>
            </w:tcBorders>
            <w:shd w:val="clear" w:color="auto" w:fill="DAE8F0"/>
          </w:tcPr>
          <w:p>
            <w:pPr>
              <w:spacing w:after="0"/>
              <w:rPr>
                <w:sz w:val="22"/>
                <w:szCs w:val="22"/>
                <w:color w:val="auto"/>
              </w:rPr>
            </w:pPr>
          </w:p>
        </w:tc>
        <w:tc>
          <w:tcPr>
            <w:tcW w:w="80" w:type="dxa"/>
            <w:vAlign w:val="bottom"/>
            <w:tcBorders>
              <w:bottom w:val="single" w:sz="8" w:color="91BBD3"/>
            </w:tcBorders>
            <w:shd w:val="clear" w:color="auto" w:fill="DAE8F0"/>
          </w:tcPr>
          <w:p>
            <w:pPr>
              <w:spacing w:after="0"/>
              <w:rPr>
                <w:sz w:val="22"/>
                <w:szCs w:val="22"/>
                <w:color w:val="auto"/>
              </w:rPr>
            </w:pPr>
          </w:p>
        </w:tc>
        <w:tc>
          <w:tcPr>
            <w:tcW w:w="4080" w:type="dxa"/>
            <w:vAlign w:val="bottom"/>
            <w:tcBorders>
              <w:bottom w:val="single" w:sz="8" w:color="0563C1"/>
            </w:tcBorders>
            <w:gridSpan w:val="5"/>
            <w:shd w:val="clear" w:color="auto" w:fill="DAE8F0"/>
          </w:tcPr>
          <w:p>
            <w:pPr>
              <w:spacing w:after="0"/>
              <w:rPr>
                <w:rFonts w:ascii="MS PGothic" w:cs="MS PGothic" w:eastAsia="MS PGothic" w:hAnsi="MS PGothic"/>
                <w:sz w:val="18"/>
                <w:szCs w:val="18"/>
                <w:color w:val="0563C1"/>
                <w:w w:val="94"/>
              </w:rPr>
            </w:pPr>
            <w:hyperlink r:id="rId530">
              <w:r>
                <w:rPr>
                  <w:rFonts w:ascii="MS PGothic" w:cs="MS PGothic" w:eastAsia="MS PGothic" w:hAnsi="MS PGothic"/>
                  <w:sz w:val="18"/>
                  <w:szCs w:val="18"/>
                  <w:color w:val="0563C1"/>
                  <w:w w:val="94"/>
                </w:rPr>
                <w:t>on December 18, 2018) (Commission File No. 1-12744)**</w:t>
              </w:r>
            </w:hyperlink>
          </w:p>
        </w:tc>
        <w:tc>
          <w:tcPr>
            <w:tcW w:w="5040" w:type="dxa"/>
            <w:vAlign w:val="bottom"/>
            <w:tcBorders>
              <w:bottom w:val="single" w:sz="8" w:color="91BBD3"/>
              <w:right w:val="single" w:sz="8" w:color="91BBD3"/>
            </w:tcBorders>
            <w:gridSpan w:val="11"/>
            <w:shd w:val="clear" w:color="auto" w:fill="DAE8F0"/>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right w:val="single" w:sz="8" w:color="91BBD3"/>
            </w:tcBorders>
          </w:tcPr>
          <w:p>
            <w:pPr>
              <w:ind w:left="120"/>
              <w:spacing w:after="0" w:line="169" w:lineRule="exact"/>
              <w:rPr>
                <w:sz w:val="20"/>
                <w:szCs w:val="20"/>
                <w:color w:val="auto"/>
              </w:rPr>
            </w:pPr>
            <w:r>
              <w:rPr>
                <w:rFonts w:ascii="Calibri" w:cs="Calibri" w:eastAsia="Calibri" w:hAnsi="Calibri"/>
                <w:sz w:val="18"/>
                <w:szCs w:val="18"/>
                <w:b w:val="1"/>
                <w:bCs w:val="1"/>
                <w:color w:val="auto"/>
              </w:rPr>
              <w:t>10.31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0" w:type="dxa"/>
            <w:vAlign w:val="bottom"/>
            <w:tcBorders>
              <w:bottom w:val="single" w:sz="8" w:color="0563C1"/>
            </w:tcBorders>
            <w:gridSpan w:val="15"/>
          </w:tcPr>
          <w:p>
            <w:pPr>
              <w:spacing w:after="0" w:line="169" w:lineRule="exact"/>
              <w:rPr>
                <w:rFonts w:ascii="MS PGothic" w:cs="MS PGothic" w:eastAsia="MS PGothic" w:hAnsi="MS PGothic"/>
                <w:sz w:val="18"/>
                <w:szCs w:val="18"/>
                <w:color w:val="0563C1"/>
                <w:w w:val="97"/>
              </w:rPr>
            </w:pPr>
            <w:hyperlink r:id="rId531">
              <w:r>
                <w:rPr>
                  <w:rFonts w:ascii="MS PGothic" w:cs="MS PGothic" w:eastAsia="MS PGothic" w:hAnsi="MS PGothic"/>
                  <w:sz w:val="18"/>
                  <w:szCs w:val="18"/>
                  <w:color w:val="0563C1"/>
                  <w:w w:val="97"/>
                </w:rPr>
                <w:t>Form of Performance Share Unit Award Agreement under the Martn Marieta Materials, Inc. Amended and Restated Stock-</w:t>
              </w:r>
            </w:hyperlink>
          </w:p>
        </w:tc>
        <w:tc>
          <w:tcPr>
            <w:tcW w:w="120" w:type="dxa"/>
            <w:vAlign w:val="bottom"/>
            <w:tcBorders>
              <w:right w:val="single" w:sz="8" w:color="91BBD3"/>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40" w:type="dxa"/>
            <w:vAlign w:val="bottom"/>
            <w:tcBorders>
              <w:bottom w:val="single" w:sz="8" w:color="0563C1"/>
            </w:tcBorders>
            <w:gridSpan w:val="14"/>
          </w:tcPr>
          <w:p>
            <w:pPr>
              <w:spacing w:after="0"/>
              <w:rPr>
                <w:rFonts w:ascii="MS PGothic" w:cs="MS PGothic" w:eastAsia="MS PGothic" w:hAnsi="MS PGothic"/>
                <w:sz w:val="18"/>
                <w:szCs w:val="18"/>
                <w:color w:val="0563C1"/>
                <w:w w:val="98"/>
              </w:rPr>
            </w:pPr>
            <w:hyperlink r:id="rId531">
              <w:r>
                <w:rPr>
                  <w:rFonts w:ascii="MS PGothic" w:cs="MS PGothic" w:eastAsia="MS PGothic" w:hAnsi="MS PGothic"/>
                  <w:sz w:val="18"/>
                  <w:szCs w:val="18"/>
                  <w:color w:val="0563C1"/>
                  <w:w w:val="98"/>
                </w:rPr>
                <w:t>Based Award Plan (incorporated by reference to Exhibit 10.3 to the Martn Marieta Materials, Inc. Current Report on Form</w:t>
              </w:r>
            </w:hyperlink>
          </w:p>
        </w:tc>
        <w:tc>
          <w:tcPr>
            <w:tcW w:w="80" w:type="dxa"/>
            <w:vAlign w:val="bottom"/>
            <w:tcBorders>
              <w:right w:val="single" w:sz="8" w:color="91BBD3"/>
            </w:tcBorders>
            <w:gridSpan w:val="2"/>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120" w:type="dxa"/>
            <w:vAlign w:val="bottom"/>
            <w:tcBorders>
              <w:right w:val="single" w:sz="8" w:color="91BBD3"/>
            </w:tcBorders>
            <w:gridSpan w:val="16"/>
          </w:tcPr>
          <w:p>
            <w:pPr>
              <w:spacing w:after="0"/>
              <w:rPr>
                <w:rFonts w:ascii="MS PGothic" w:cs="MS PGothic" w:eastAsia="MS PGothic" w:hAnsi="MS PGothic"/>
                <w:sz w:val="18"/>
                <w:szCs w:val="18"/>
                <w:color w:val="0563C1"/>
              </w:rPr>
            </w:pPr>
            <w:hyperlink r:id="rId531">
              <w:r>
                <w:rPr>
                  <w:rFonts w:ascii="MS PGothic" w:cs="MS PGothic" w:eastAsia="MS PGothic" w:hAnsi="MS PGothic"/>
                  <w:sz w:val="18"/>
                  <w:szCs w:val="18"/>
                  <w:color w:val="0563C1"/>
                </w:rPr>
                <w:t>8‑K, fled on December 18, 2018) (Commission File No. 1-12744)**</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680" w:type="dxa"/>
            <w:vAlign w:val="bottom"/>
            <w:tcBorders>
              <w:left w:val="single" w:sz="8" w:color="91BBD3"/>
              <w:bottom w:val="single" w:sz="8" w:color="91BBD3"/>
              <w:right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80" w:type="dxa"/>
            <w:vAlign w:val="bottom"/>
            <w:tcBorders>
              <w:bottom w:val="single" w:sz="8" w:color="91BBD3"/>
            </w:tcBorders>
          </w:tcPr>
          <w:p>
            <w:pPr>
              <w:spacing w:after="0"/>
              <w:rPr>
                <w:sz w:val="4"/>
                <w:szCs w:val="4"/>
                <w:color w:val="auto"/>
              </w:rPr>
            </w:pPr>
          </w:p>
        </w:tc>
        <w:tc>
          <w:tcPr>
            <w:tcW w:w="740" w:type="dxa"/>
            <w:vAlign w:val="bottom"/>
            <w:tcBorders>
              <w:top w:val="single" w:sz="8" w:color="0563C1"/>
              <w:bottom w:val="single" w:sz="8" w:color="91BBD3"/>
            </w:tcBorders>
          </w:tcPr>
          <w:p>
            <w:pPr>
              <w:spacing w:after="0"/>
              <w:rPr>
                <w:sz w:val="4"/>
                <w:szCs w:val="4"/>
                <w:color w:val="auto"/>
              </w:rPr>
            </w:pPr>
          </w:p>
        </w:tc>
        <w:tc>
          <w:tcPr>
            <w:tcW w:w="1360" w:type="dxa"/>
            <w:vAlign w:val="bottom"/>
            <w:tcBorders>
              <w:top w:val="single" w:sz="8" w:color="0563C1"/>
              <w:bottom w:val="single" w:sz="8" w:color="91BBD3"/>
            </w:tcBorders>
          </w:tcPr>
          <w:p>
            <w:pPr>
              <w:spacing w:after="0"/>
              <w:rPr>
                <w:sz w:val="4"/>
                <w:szCs w:val="4"/>
                <w:color w:val="auto"/>
              </w:rPr>
            </w:pPr>
          </w:p>
        </w:tc>
        <w:tc>
          <w:tcPr>
            <w:tcW w:w="980" w:type="dxa"/>
            <w:vAlign w:val="bottom"/>
            <w:tcBorders>
              <w:top w:val="single" w:sz="8" w:color="0563C1"/>
              <w:bottom w:val="single" w:sz="8" w:color="91BBD3"/>
            </w:tcBorders>
          </w:tcPr>
          <w:p>
            <w:pPr>
              <w:spacing w:after="0"/>
              <w:rPr>
                <w:sz w:val="4"/>
                <w:szCs w:val="4"/>
                <w:color w:val="auto"/>
              </w:rPr>
            </w:pPr>
          </w:p>
        </w:tc>
        <w:tc>
          <w:tcPr>
            <w:tcW w:w="640" w:type="dxa"/>
            <w:vAlign w:val="bottom"/>
            <w:tcBorders>
              <w:top w:val="single" w:sz="8" w:color="0563C1"/>
              <w:bottom w:val="single" w:sz="8" w:color="91BBD3"/>
            </w:tcBorders>
          </w:tcPr>
          <w:p>
            <w:pPr>
              <w:spacing w:after="0"/>
              <w:rPr>
                <w:sz w:val="4"/>
                <w:szCs w:val="4"/>
                <w:color w:val="auto"/>
              </w:rPr>
            </w:pPr>
          </w:p>
        </w:tc>
        <w:tc>
          <w:tcPr>
            <w:tcW w:w="360" w:type="dxa"/>
            <w:vAlign w:val="bottom"/>
            <w:tcBorders>
              <w:top w:val="single" w:sz="8" w:color="0563C1"/>
              <w:bottom w:val="single" w:sz="8" w:color="91BBD3"/>
            </w:tcBorders>
          </w:tcPr>
          <w:p>
            <w:pPr>
              <w:spacing w:after="0"/>
              <w:rPr>
                <w:sz w:val="4"/>
                <w:szCs w:val="4"/>
                <w:color w:val="auto"/>
              </w:rPr>
            </w:pPr>
          </w:p>
        </w:tc>
        <w:tc>
          <w:tcPr>
            <w:tcW w:w="600" w:type="dxa"/>
            <w:vAlign w:val="bottom"/>
            <w:tcBorders>
              <w:top w:val="single" w:sz="8" w:color="0563C1"/>
              <w:bottom w:val="single" w:sz="8" w:color="91BBD3"/>
            </w:tcBorders>
          </w:tcPr>
          <w:p>
            <w:pPr>
              <w:spacing w:after="0"/>
              <w:rPr>
                <w:sz w:val="4"/>
                <w:szCs w:val="4"/>
                <w:color w:val="auto"/>
              </w:rPr>
            </w:pPr>
          </w:p>
        </w:tc>
        <w:tc>
          <w:tcPr>
            <w:tcW w:w="60" w:type="dxa"/>
            <w:vAlign w:val="bottom"/>
            <w:tcBorders>
              <w:top w:val="single" w:sz="8" w:color="0563C1"/>
              <w:bottom w:val="single" w:sz="8" w:color="91BBD3"/>
            </w:tcBorders>
          </w:tcPr>
          <w:p>
            <w:pPr>
              <w:spacing w:after="0"/>
              <w:rPr>
                <w:sz w:val="4"/>
                <w:szCs w:val="4"/>
                <w:color w:val="auto"/>
              </w:rPr>
            </w:pPr>
          </w:p>
        </w:tc>
        <w:tc>
          <w:tcPr>
            <w:tcW w:w="1240" w:type="dxa"/>
            <w:vAlign w:val="bottom"/>
            <w:tcBorders>
              <w:bottom w:val="single" w:sz="8" w:color="91BBD3"/>
            </w:tcBorders>
          </w:tcPr>
          <w:p>
            <w:pPr>
              <w:spacing w:after="0"/>
              <w:rPr>
                <w:sz w:val="4"/>
                <w:szCs w:val="4"/>
                <w:color w:val="auto"/>
              </w:rPr>
            </w:pPr>
          </w:p>
        </w:tc>
        <w:tc>
          <w:tcPr>
            <w:tcW w:w="400" w:type="dxa"/>
            <w:vAlign w:val="bottom"/>
            <w:tcBorders>
              <w:bottom w:val="single" w:sz="8" w:color="91BBD3"/>
            </w:tcBorders>
          </w:tcPr>
          <w:p>
            <w:pPr>
              <w:spacing w:after="0"/>
              <w:rPr>
                <w:sz w:val="4"/>
                <w:szCs w:val="4"/>
                <w:color w:val="auto"/>
              </w:rPr>
            </w:pPr>
          </w:p>
        </w:tc>
        <w:tc>
          <w:tcPr>
            <w:tcW w:w="320" w:type="dxa"/>
            <w:vAlign w:val="bottom"/>
            <w:tcBorders>
              <w:bottom w:val="single" w:sz="8" w:color="91BBD3"/>
            </w:tcBorders>
          </w:tcPr>
          <w:p>
            <w:pPr>
              <w:spacing w:after="0"/>
              <w:rPr>
                <w:sz w:val="4"/>
                <w:szCs w:val="4"/>
                <w:color w:val="auto"/>
              </w:rPr>
            </w:pPr>
          </w:p>
        </w:tc>
        <w:tc>
          <w:tcPr>
            <w:tcW w:w="1080" w:type="dxa"/>
            <w:vAlign w:val="bottom"/>
            <w:tcBorders>
              <w:bottom w:val="single" w:sz="8" w:color="91BBD3"/>
            </w:tcBorders>
          </w:tcPr>
          <w:p>
            <w:pPr>
              <w:spacing w:after="0"/>
              <w:rPr>
                <w:sz w:val="4"/>
                <w:szCs w:val="4"/>
                <w:color w:val="auto"/>
              </w:rPr>
            </w:pPr>
          </w:p>
        </w:tc>
        <w:tc>
          <w:tcPr>
            <w:tcW w:w="122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4294967257" w:type="dxa"/>
            <w:vAlign w:val="bottom"/>
            <w:tcBorders>
              <w:bottom w:val="single" w:sz="8" w:color="91BBD3"/>
            </w:tcBorders>
          </w:tcPr>
          <w:p>
            <w:pPr>
              <w:spacing w:after="0"/>
              <w:rPr>
                <w:sz w:val="4"/>
                <w:szCs w:val="4"/>
                <w:color w:val="auto"/>
              </w:rPr>
            </w:pPr>
          </w:p>
        </w:tc>
        <w:tc>
          <w:tcPr>
            <w:tcW w:w="120" w:type="dxa"/>
            <w:vAlign w:val="bottom"/>
            <w:tcBorders>
              <w:bottom w:val="single" w:sz="8" w:color="91BBD3"/>
              <w:right w:val="single" w:sz="8" w:color="91BBD3"/>
            </w:tcBorders>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bottom w:val="single" w:sz="8" w:color="DAE8F0"/>
              <w:right w:val="single" w:sz="8" w:color="91BBD3"/>
            </w:tcBorders>
            <w:shd w:val="clear" w:color="auto" w:fill="DAE8F0"/>
          </w:tcPr>
          <w:p>
            <w:pPr>
              <w:ind w:left="120"/>
              <w:spacing w:after="0" w:line="169" w:lineRule="exact"/>
              <w:rPr>
                <w:sz w:val="20"/>
                <w:szCs w:val="20"/>
                <w:color w:val="auto"/>
              </w:rPr>
            </w:pPr>
            <w:r>
              <w:rPr>
                <w:rFonts w:ascii="Calibri" w:cs="Calibri" w:eastAsia="Calibri" w:hAnsi="Calibri"/>
                <w:sz w:val="18"/>
                <w:szCs w:val="18"/>
                <w:b w:val="1"/>
                <w:bCs w:val="1"/>
                <w:color w:val="auto"/>
              </w:rPr>
              <w:t>10.32</w:t>
            </w:r>
          </w:p>
        </w:tc>
        <w:tc>
          <w:tcPr>
            <w:tcW w:w="20" w:type="dxa"/>
            <w:vAlign w:val="bottom"/>
            <w:tcBorders>
              <w:bottom w:val="single" w:sz="8" w:color="DAE8F0"/>
            </w:tcBorders>
            <w:shd w:val="clear" w:color="auto" w:fill="DAE8F0"/>
          </w:tcPr>
          <w:p>
            <w:pPr>
              <w:spacing w:after="0"/>
              <w:rPr>
                <w:sz w:val="14"/>
                <w:szCs w:val="14"/>
                <w:color w:val="auto"/>
              </w:rPr>
            </w:pPr>
          </w:p>
        </w:tc>
        <w:tc>
          <w:tcPr>
            <w:tcW w:w="80" w:type="dxa"/>
            <w:vAlign w:val="bottom"/>
            <w:tcBorders>
              <w:bottom w:val="single" w:sz="8" w:color="DAE8F0"/>
            </w:tcBorders>
            <w:shd w:val="clear" w:color="auto" w:fill="DAE8F0"/>
          </w:tcPr>
          <w:p>
            <w:pPr>
              <w:spacing w:after="0"/>
              <w:rPr>
                <w:sz w:val="14"/>
                <w:szCs w:val="14"/>
                <w:color w:val="auto"/>
              </w:rPr>
            </w:pPr>
          </w:p>
        </w:tc>
        <w:tc>
          <w:tcPr>
            <w:tcW w:w="9040" w:type="dxa"/>
            <w:vAlign w:val="bottom"/>
            <w:tcBorders>
              <w:bottom w:val="single" w:sz="8" w:color="0563C1"/>
            </w:tcBorders>
            <w:gridSpan w:val="14"/>
            <w:shd w:val="clear" w:color="auto" w:fill="DAE8F0"/>
          </w:tcPr>
          <w:p>
            <w:pPr>
              <w:spacing w:after="0" w:line="169" w:lineRule="exact"/>
              <w:rPr>
                <w:rFonts w:ascii="MS PGothic" w:cs="MS PGothic" w:eastAsia="MS PGothic" w:hAnsi="MS PGothic"/>
                <w:sz w:val="18"/>
                <w:szCs w:val="18"/>
                <w:color w:val="0563C1"/>
                <w:w w:val="97"/>
              </w:rPr>
            </w:pPr>
            <w:hyperlink r:id="rId532">
              <w:r>
                <w:rPr>
                  <w:rFonts w:ascii="MS PGothic" w:cs="MS PGothic" w:eastAsia="MS PGothic" w:hAnsi="MS PGothic"/>
                  <w:sz w:val="18"/>
                  <w:szCs w:val="18"/>
                  <w:color w:val="0563C1"/>
                  <w:w w:val="97"/>
                </w:rPr>
                <w:t>Form of Directors’ Restricted Stock Unit Award Agreement under the Martn Marieta Materials, Inc. Amended and Restated</w:t>
              </w:r>
            </w:hyperlink>
          </w:p>
        </w:tc>
        <w:tc>
          <w:tcPr>
            <w:tcW w:w="4294967257" w:type="dxa"/>
            <w:vAlign w:val="bottom"/>
            <w:tcBorders>
              <w:bottom w:val="single" w:sz="8" w:color="0000EE"/>
              <w:right w:val="single" w:sz="8" w:color="DAE8F0"/>
            </w:tcBorders>
            <w:shd w:val="clear" w:color="auto" w:fill="DAE8F0"/>
          </w:tcPr>
          <w:p>
            <w:pPr>
              <w:spacing w:after="0"/>
              <w:rPr>
                <w:sz w:val="14"/>
                <w:szCs w:val="14"/>
                <w:color w:val="auto"/>
              </w:rPr>
            </w:pPr>
          </w:p>
        </w:tc>
        <w:tc>
          <w:tcPr>
            <w:tcW w:w="120" w:type="dxa"/>
            <w:vAlign w:val="bottom"/>
            <w:tcBorders>
              <w:bottom w:val="single" w:sz="8" w:color="DAE8F0"/>
              <w:right w:val="single" w:sz="8" w:color="91BBD3"/>
            </w:tcBorders>
            <w:shd w:val="clear" w:color="auto" w:fill="DAE8F0"/>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bottom w:val="single" w:sz="8" w:color="DAE8F0"/>
              <w:right w:val="single" w:sz="8" w:color="91BBD3"/>
            </w:tcBorders>
            <w:shd w:val="clear" w:color="auto" w:fill="DAE8F0"/>
          </w:tcPr>
          <w:p>
            <w:pPr>
              <w:spacing w:after="0"/>
              <w:rPr>
                <w:sz w:val="17"/>
                <w:szCs w:val="17"/>
                <w:color w:val="auto"/>
              </w:rPr>
            </w:pPr>
          </w:p>
        </w:tc>
        <w:tc>
          <w:tcPr>
            <w:tcW w:w="20" w:type="dxa"/>
            <w:vAlign w:val="bottom"/>
            <w:tcBorders>
              <w:bottom w:val="single" w:sz="8" w:color="DAE8F0"/>
            </w:tcBorders>
            <w:shd w:val="clear" w:color="auto" w:fill="DAE8F0"/>
          </w:tcPr>
          <w:p>
            <w:pPr>
              <w:spacing w:after="0"/>
              <w:rPr>
                <w:sz w:val="17"/>
                <w:szCs w:val="17"/>
                <w:color w:val="auto"/>
              </w:rPr>
            </w:pPr>
          </w:p>
        </w:tc>
        <w:tc>
          <w:tcPr>
            <w:tcW w:w="80" w:type="dxa"/>
            <w:vAlign w:val="bottom"/>
            <w:tcBorders>
              <w:bottom w:val="single" w:sz="8" w:color="DAE8F0"/>
            </w:tcBorders>
            <w:shd w:val="clear" w:color="auto" w:fill="DAE8F0"/>
          </w:tcPr>
          <w:p>
            <w:pPr>
              <w:spacing w:after="0"/>
              <w:rPr>
                <w:sz w:val="17"/>
                <w:szCs w:val="17"/>
                <w:color w:val="auto"/>
              </w:rPr>
            </w:pPr>
          </w:p>
        </w:tc>
        <w:tc>
          <w:tcPr>
            <w:tcW w:w="9000" w:type="dxa"/>
            <w:vAlign w:val="bottom"/>
            <w:tcBorders>
              <w:bottom w:val="single" w:sz="8" w:color="0563C1"/>
              <w:right w:val="single" w:sz="8" w:color="DAE8F0"/>
            </w:tcBorders>
            <w:gridSpan w:val="15"/>
            <w:shd w:val="clear" w:color="auto" w:fill="DAE8F0"/>
          </w:tcPr>
          <w:p>
            <w:pPr>
              <w:spacing w:after="0"/>
              <w:rPr>
                <w:rFonts w:ascii="MS PGothic" w:cs="MS PGothic" w:eastAsia="MS PGothic" w:hAnsi="MS PGothic"/>
                <w:sz w:val="18"/>
                <w:szCs w:val="18"/>
                <w:color w:val="0563C1"/>
                <w:w w:val="97"/>
              </w:rPr>
            </w:pPr>
            <w:hyperlink r:id="rId532">
              <w:r>
                <w:rPr>
                  <w:rFonts w:ascii="MS PGothic" w:cs="MS PGothic" w:eastAsia="MS PGothic" w:hAnsi="MS PGothic"/>
                  <w:sz w:val="18"/>
                  <w:szCs w:val="18"/>
                  <w:color w:val="0563C1"/>
                  <w:w w:val="97"/>
                </w:rPr>
                <w:t>Stock-Based Award Plan (incorporated by reference to Exhibit 10.27 to the Martn Marieta Materials, Inc. Annual Report on</w:t>
              </w:r>
            </w:hyperlink>
          </w:p>
        </w:tc>
        <w:tc>
          <w:tcPr>
            <w:tcW w:w="120" w:type="dxa"/>
            <w:vAlign w:val="bottom"/>
            <w:tcBorders>
              <w:bottom w:val="single" w:sz="8" w:color="DAE8F0"/>
              <w:right w:val="single" w:sz="8" w:color="91BBD3"/>
            </w:tcBorders>
            <w:shd w:val="clear" w:color="auto" w:fill="DAE8F0"/>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680" w:type="dxa"/>
            <w:vAlign w:val="bottom"/>
            <w:tcBorders>
              <w:left w:val="single" w:sz="8" w:color="91BBD3"/>
              <w:right w:val="single" w:sz="8" w:color="91BBD3"/>
            </w:tcBorders>
            <w:shd w:val="clear" w:color="auto" w:fill="DAE8F0"/>
          </w:tcPr>
          <w:p>
            <w:pPr>
              <w:spacing w:after="0"/>
              <w:rPr>
                <w:sz w:val="21"/>
                <w:szCs w:val="21"/>
                <w:color w:val="auto"/>
              </w:rPr>
            </w:pPr>
          </w:p>
        </w:tc>
        <w:tc>
          <w:tcPr>
            <w:tcW w:w="20" w:type="dxa"/>
            <w:vAlign w:val="bottom"/>
            <w:shd w:val="clear" w:color="auto" w:fill="DAE8F0"/>
          </w:tcPr>
          <w:p>
            <w:pPr>
              <w:spacing w:after="0"/>
              <w:rPr>
                <w:sz w:val="21"/>
                <w:szCs w:val="21"/>
                <w:color w:val="auto"/>
              </w:rPr>
            </w:pPr>
          </w:p>
        </w:tc>
        <w:tc>
          <w:tcPr>
            <w:tcW w:w="80" w:type="dxa"/>
            <w:vAlign w:val="bottom"/>
            <w:shd w:val="clear" w:color="auto" w:fill="DAE8F0"/>
          </w:tcPr>
          <w:p>
            <w:pPr>
              <w:spacing w:after="0"/>
              <w:rPr>
                <w:sz w:val="21"/>
                <w:szCs w:val="21"/>
                <w:color w:val="auto"/>
              </w:rPr>
            </w:pPr>
          </w:p>
        </w:tc>
        <w:tc>
          <w:tcPr>
            <w:tcW w:w="9120" w:type="dxa"/>
            <w:vAlign w:val="bottom"/>
            <w:tcBorders>
              <w:right w:val="single" w:sz="8" w:color="91BBD3"/>
            </w:tcBorders>
            <w:gridSpan w:val="16"/>
            <w:shd w:val="clear" w:color="auto" w:fill="DAE8F0"/>
          </w:tcPr>
          <w:p>
            <w:pPr>
              <w:spacing w:after="0"/>
              <w:rPr>
                <w:rFonts w:ascii="MS PGothic" w:cs="MS PGothic" w:eastAsia="MS PGothic" w:hAnsi="MS PGothic"/>
                <w:sz w:val="18"/>
                <w:szCs w:val="18"/>
                <w:color w:val="0563C1"/>
              </w:rPr>
            </w:pPr>
            <w:hyperlink r:id="rId532">
              <w:r>
                <w:rPr>
                  <w:rFonts w:ascii="MS PGothic" w:cs="MS PGothic" w:eastAsia="MS PGothic" w:hAnsi="MS PGothic"/>
                  <w:sz w:val="18"/>
                  <w:szCs w:val="18"/>
                  <w:color w:val="0563C1"/>
                </w:rPr>
                <w:t>Form 10-K for the fscal year ended December 31, 2018) (Commission File No. 1-12744)**</w:t>
              </w:r>
            </w:hyperlink>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80" w:type="dxa"/>
            <w:vAlign w:val="bottom"/>
            <w:tcBorders>
              <w:top w:val="single" w:sz="8" w:color="DAE8F0"/>
            </w:tcBorders>
            <w:shd w:val="clear" w:color="auto" w:fill="91BBD3"/>
          </w:tcPr>
          <w:p>
            <w:pPr>
              <w:spacing w:after="0" w:line="20" w:lineRule="exact"/>
              <w:rPr>
                <w:sz w:val="1"/>
                <w:szCs w:val="1"/>
                <w:color w:val="auto"/>
              </w:rPr>
            </w:pPr>
          </w:p>
        </w:tc>
        <w:tc>
          <w:tcPr>
            <w:tcW w:w="740" w:type="dxa"/>
            <w:vAlign w:val="bottom"/>
            <w:tcBorders>
              <w:top w:val="single" w:sz="8" w:color="0563C1"/>
            </w:tcBorders>
            <w:shd w:val="clear" w:color="auto" w:fill="91BBD3"/>
          </w:tcPr>
          <w:p>
            <w:pPr>
              <w:spacing w:after="0" w:line="20" w:lineRule="exact"/>
              <w:rPr>
                <w:sz w:val="1"/>
                <w:szCs w:val="1"/>
                <w:color w:val="auto"/>
              </w:rPr>
            </w:pPr>
          </w:p>
        </w:tc>
        <w:tc>
          <w:tcPr>
            <w:tcW w:w="1360" w:type="dxa"/>
            <w:vAlign w:val="bottom"/>
            <w:tcBorders>
              <w:top w:val="single" w:sz="8" w:color="0563C1"/>
            </w:tcBorders>
            <w:shd w:val="clear" w:color="auto" w:fill="91BBD3"/>
          </w:tcPr>
          <w:p>
            <w:pPr>
              <w:spacing w:after="0" w:line="20" w:lineRule="exact"/>
              <w:rPr>
                <w:sz w:val="1"/>
                <w:szCs w:val="1"/>
                <w:color w:val="auto"/>
              </w:rPr>
            </w:pPr>
          </w:p>
        </w:tc>
        <w:tc>
          <w:tcPr>
            <w:tcW w:w="980" w:type="dxa"/>
            <w:vAlign w:val="bottom"/>
            <w:tcBorders>
              <w:top w:val="single" w:sz="8" w:color="0563C1"/>
            </w:tcBorders>
            <w:shd w:val="clear" w:color="auto" w:fill="91BBD3"/>
          </w:tcPr>
          <w:p>
            <w:pPr>
              <w:spacing w:after="0" w:line="20" w:lineRule="exact"/>
              <w:rPr>
                <w:sz w:val="1"/>
                <w:szCs w:val="1"/>
                <w:color w:val="auto"/>
              </w:rPr>
            </w:pPr>
          </w:p>
        </w:tc>
        <w:tc>
          <w:tcPr>
            <w:tcW w:w="640" w:type="dxa"/>
            <w:vAlign w:val="bottom"/>
            <w:tcBorders>
              <w:top w:val="single" w:sz="8" w:color="0563C1"/>
            </w:tcBorders>
            <w:shd w:val="clear" w:color="auto" w:fill="91BBD3"/>
          </w:tcPr>
          <w:p>
            <w:pPr>
              <w:spacing w:after="0" w:line="20" w:lineRule="exact"/>
              <w:rPr>
                <w:sz w:val="1"/>
                <w:szCs w:val="1"/>
                <w:color w:val="auto"/>
              </w:rPr>
            </w:pPr>
          </w:p>
        </w:tc>
        <w:tc>
          <w:tcPr>
            <w:tcW w:w="360" w:type="dxa"/>
            <w:vAlign w:val="bottom"/>
            <w:tcBorders>
              <w:top w:val="single" w:sz="8" w:color="0563C1"/>
            </w:tcBorders>
            <w:shd w:val="clear" w:color="auto" w:fill="91BBD3"/>
          </w:tcPr>
          <w:p>
            <w:pPr>
              <w:spacing w:after="0" w:line="20" w:lineRule="exact"/>
              <w:rPr>
                <w:sz w:val="1"/>
                <w:szCs w:val="1"/>
                <w:color w:val="auto"/>
              </w:rPr>
            </w:pPr>
          </w:p>
        </w:tc>
        <w:tc>
          <w:tcPr>
            <w:tcW w:w="600" w:type="dxa"/>
            <w:vAlign w:val="bottom"/>
            <w:tcBorders>
              <w:top w:val="single" w:sz="8" w:color="0563C1"/>
            </w:tcBorders>
            <w:shd w:val="clear" w:color="auto" w:fill="91BBD3"/>
          </w:tcPr>
          <w:p>
            <w:pPr>
              <w:spacing w:after="0" w:line="20" w:lineRule="exact"/>
              <w:rPr>
                <w:sz w:val="1"/>
                <w:szCs w:val="1"/>
                <w:color w:val="auto"/>
              </w:rPr>
            </w:pPr>
          </w:p>
        </w:tc>
        <w:tc>
          <w:tcPr>
            <w:tcW w:w="60" w:type="dxa"/>
            <w:vAlign w:val="bottom"/>
            <w:tcBorders>
              <w:top w:val="single" w:sz="8" w:color="0563C1"/>
            </w:tcBorders>
            <w:shd w:val="clear" w:color="auto" w:fill="91BBD3"/>
          </w:tcPr>
          <w:p>
            <w:pPr>
              <w:spacing w:after="0" w:line="20" w:lineRule="exact"/>
              <w:rPr>
                <w:sz w:val="1"/>
                <w:szCs w:val="1"/>
                <w:color w:val="auto"/>
              </w:rPr>
            </w:pPr>
          </w:p>
        </w:tc>
        <w:tc>
          <w:tcPr>
            <w:tcW w:w="1240" w:type="dxa"/>
            <w:vAlign w:val="bottom"/>
            <w:tcBorders>
              <w:top w:val="single" w:sz="8" w:color="0563C1"/>
            </w:tcBorders>
            <w:shd w:val="clear" w:color="auto" w:fill="91BBD3"/>
          </w:tcPr>
          <w:p>
            <w:pPr>
              <w:spacing w:after="0" w:line="20" w:lineRule="exact"/>
              <w:rPr>
                <w:sz w:val="1"/>
                <w:szCs w:val="1"/>
                <w:color w:val="auto"/>
              </w:rPr>
            </w:pPr>
          </w:p>
        </w:tc>
        <w:tc>
          <w:tcPr>
            <w:tcW w:w="400" w:type="dxa"/>
            <w:vAlign w:val="bottom"/>
            <w:tcBorders>
              <w:top w:val="single" w:sz="8" w:color="0563C1"/>
            </w:tcBorders>
            <w:shd w:val="clear" w:color="auto" w:fill="91BBD3"/>
          </w:tcPr>
          <w:p>
            <w:pPr>
              <w:spacing w:after="0" w:line="20" w:lineRule="exact"/>
              <w:rPr>
                <w:sz w:val="1"/>
                <w:szCs w:val="1"/>
                <w:color w:val="auto"/>
              </w:rPr>
            </w:pPr>
          </w:p>
        </w:tc>
        <w:tc>
          <w:tcPr>
            <w:tcW w:w="320" w:type="dxa"/>
            <w:vAlign w:val="bottom"/>
            <w:tcBorders>
              <w:top w:val="single" w:sz="8" w:color="DAE8F0"/>
            </w:tcBorders>
            <w:shd w:val="clear" w:color="auto" w:fill="91BBD3"/>
          </w:tcPr>
          <w:p>
            <w:pPr>
              <w:spacing w:after="0" w:line="20" w:lineRule="exact"/>
              <w:rPr>
                <w:sz w:val="1"/>
                <w:szCs w:val="1"/>
                <w:color w:val="auto"/>
              </w:rPr>
            </w:pPr>
          </w:p>
        </w:tc>
        <w:tc>
          <w:tcPr>
            <w:tcW w:w="1080" w:type="dxa"/>
            <w:vAlign w:val="bottom"/>
            <w:tcBorders>
              <w:top w:val="single" w:sz="8" w:color="DAE8F0"/>
            </w:tcBorders>
            <w:shd w:val="clear" w:color="auto" w:fill="91BBD3"/>
          </w:tcPr>
          <w:p>
            <w:pPr>
              <w:spacing w:after="0" w:line="20" w:lineRule="exact"/>
              <w:rPr>
                <w:sz w:val="1"/>
                <w:szCs w:val="1"/>
                <w:color w:val="auto"/>
              </w:rPr>
            </w:pPr>
          </w:p>
        </w:tc>
        <w:tc>
          <w:tcPr>
            <w:tcW w:w="12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4294967257"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2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80" w:type="dxa"/>
            <w:vAlign w:val="bottom"/>
            <w:tcBorders>
              <w:left w:val="single" w:sz="8" w:color="91BBD3"/>
              <w:right w:val="single" w:sz="8" w:color="91BBD3"/>
            </w:tcBorders>
          </w:tcPr>
          <w:p>
            <w:pPr>
              <w:ind w:left="120"/>
              <w:spacing w:after="0" w:line="169" w:lineRule="exact"/>
              <w:rPr>
                <w:sz w:val="20"/>
                <w:szCs w:val="20"/>
                <w:color w:val="auto"/>
              </w:rPr>
            </w:pPr>
            <w:r>
              <w:rPr>
                <w:rFonts w:ascii="Calibri" w:cs="Calibri" w:eastAsia="Calibri" w:hAnsi="Calibri"/>
                <w:sz w:val="18"/>
                <w:szCs w:val="18"/>
                <w:b w:val="1"/>
                <w:bCs w:val="1"/>
                <w:color w:val="auto"/>
              </w:rPr>
              <w:t>10.33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120" w:type="dxa"/>
            <w:vAlign w:val="bottom"/>
            <w:tcBorders>
              <w:right w:val="single" w:sz="8" w:color="91BBD3"/>
            </w:tcBorders>
            <w:gridSpan w:val="16"/>
          </w:tcPr>
          <w:p>
            <w:pPr>
              <w:spacing w:after="0" w:line="169" w:lineRule="exact"/>
              <w:rPr>
                <w:rFonts w:ascii="MS PGothic" w:cs="MS PGothic" w:eastAsia="MS PGothic" w:hAnsi="MS PGothic"/>
                <w:sz w:val="18"/>
                <w:szCs w:val="18"/>
                <w:color w:val="0563C1"/>
              </w:rPr>
            </w:pPr>
            <w:hyperlink r:id="rId533">
              <w:r>
                <w:rPr>
                  <w:rFonts w:ascii="MS PGothic" w:cs="MS PGothic" w:eastAsia="MS PGothic" w:hAnsi="MS PGothic"/>
                  <w:sz w:val="18"/>
                  <w:szCs w:val="18"/>
                  <w:color w:val="0563C1"/>
                </w:rPr>
                <w:t>Martn Marieta Nonqualifed Deferred Cash Compensaton Plan (incorporated by reference to Exhibit 10.1 to the Martn</w:t>
              </w:r>
            </w:hyperlink>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0" w:type="dxa"/>
            <w:vAlign w:val="bottom"/>
            <w:tcBorders>
              <w:top w:val="single" w:sz="8" w:color="0563C1"/>
            </w:tcBorders>
            <w:gridSpan w:val="15"/>
          </w:tcPr>
          <w:p>
            <w:pPr>
              <w:spacing w:after="0"/>
              <w:rPr>
                <w:rFonts w:ascii="MS PGothic" w:cs="MS PGothic" w:eastAsia="MS PGothic" w:hAnsi="MS PGothic"/>
                <w:sz w:val="18"/>
                <w:szCs w:val="18"/>
                <w:color w:val="0563C1"/>
              </w:rPr>
            </w:pPr>
            <w:hyperlink r:id="rId533">
              <w:r>
                <w:rPr>
                  <w:rFonts w:ascii="MS PGothic" w:cs="MS PGothic" w:eastAsia="MS PGothic" w:hAnsi="MS PGothic"/>
                  <w:sz w:val="18"/>
                  <w:szCs w:val="18"/>
                  <w:color w:val="0563C1"/>
                </w:rPr>
                <w:t>Marieta Materials, Inc. Current Report on Form 8-K, fled on June 29, 2020 (Commission File No. 1-12744))**</w:t>
              </w:r>
            </w:hyperlink>
          </w:p>
        </w:tc>
        <w:tc>
          <w:tcPr>
            <w:tcW w:w="120" w:type="dxa"/>
            <w:vAlign w:val="bottom"/>
            <w:tcBorders>
              <w:right w:val="single" w:sz="8" w:color="91BBD3"/>
            </w:tcBorders>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680" w:type="dxa"/>
            <w:vAlign w:val="bottom"/>
            <w:tcBorders>
              <w:left w:val="single" w:sz="8" w:color="91BBD3"/>
              <w:bottom w:val="single" w:sz="8" w:color="91BBD3"/>
              <w:right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80" w:type="dxa"/>
            <w:vAlign w:val="bottom"/>
            <w:tcBorders>
              <w:bottom w:val="single" w:sz="8" w:color="91BBD3"/>
            </w:tcBorders>
          </w:tcPr>
          <w:p>
            <w:pPr>
              <w:spacing w:after="0"/>
              <w:rPr>
                <w:sz w:val="4"/>
                <w:szCs w:val="4"/>
                <w:color w:val="auto"/>
              </w:rPr>
            </w:pPr>
          </w:p>
        </w:tc>
        <w:tc>
          <w:tcPr>
            <w:tcW w:w="740" w:type="dxa"/>
            <w:vAlign w:val="bottom"/>
            <w:tcBorders>
              <w:top w:val="single" w:sz="8" w:color="0563C1"/>
              <w:bottom w:val="single" w:sz="8" w:color="91BBD3"/>
            </w:tcBorders>
          </w:tcPr>
          <w:p>
            <w:pPr>
              <w:spacing w:after="0"/>
              <w:rPr>
                <w:sz w:val="4"/>
                <w:szCs w:val="4"/>
                <w:color w:val="auto"/>
              </w:rPr>
            </w:pPr>
          </w:p>
        </w:tc>
        <w:tc>
          <w:tcPr>
            <w:tcW w:w="1360" w:type="dxa"/>
            <w:vAlign w:val="bottom"/>
            <w:tcBorders>
              <w:top w:val="single" w:sz="8" w:color="0563C1"/>
              <w:bottom w:val="single" w:sz="8" w:color="91BBD3"/>
            </w:tcBorders>
          </w:tcPr>
          <w:p>
            <w:pPr>
              <w:spacing w:after="0"/>
              <w:rPr>
                <w:sz w:val="4"/>
                <w:szCs w:val="4"/>
                <w:color w:val="auto"/>
              </w:rPr>
            </w:pPr>
          </w:p>
        </w:tc>
        <w:tc>
          <w:tcPr>
            <w:tcW w:w="980" w:type="dxa"/>
            <w:vAlign w:val="bottom"/>
            <w:tcBorders>
              <w:top w:val="single" w:sz="8" w:color="0563C1"/>
              <w:bottom w:val="single" w:sz="8" w:color="91BBD3"/>
            </w:tcBorders>
          </w:tcPr>
          <w:p>
            <w:pPr>
              <w:spacing w:after="0"/>
              <w:rPr>
                <w:sz w:val="4"/>
                <w:szCs w:val="4"/>
                <w:color w:val="auto"/>
              </w:rPr>
            </w:pPr>
          </w:p>
        </w:tc>
        <w:tc>
          <w:tcPr>
            <w:tcW w:w="640" w:type="dxa"/>
            <w:vAlign w:val="bottom"/>
            <w:tcBorders>
              <w:top w:val="single" w:sz="8" w:color="0563C1"/>
              <w:bottom w:val="single" w:sz="8" w:color="91BBD3"/>
            </w:tcBorders>
          </w:tcPr>
          <w:p>
            <w:pPr>
              <w:spacing w:after="0"/>
              <w:rPr>
                <w:sz w:val="4"/>
                <w:szCs w:val="4"/>
                <w:color w:val="auto"/>
              </w:rPr>
            </w:pPr>
          </w:p>
        </w:tc>
        <w:tc>
          <w:tcPr>
            <w:tcW w:w="360" w:type="dxa"/>
            <w:vAlign w:val="bottom"/>
            <w:tcBorders>
              <w:top w:val="single" w:sz="8" w:color="0563C1"/>
              <w:bottom w:val="single" w:sz="8" w:color="91BBD3"/>
            </w:tcBorders>
          </w:tcPr>
          <w:p>
            <w:pPr>
              <w:spacing w:after="0"/>
              <w:rPr>
                <w:sz w:val="4"/>
                <w:szCs w:val="4"/>
                <w:color w:val="auto"/>
              </w:rPr>
            </w:pPr>
          </w:p>
        </w:tc>
        <w:tc>
          <w:tcPr>
            <w:tcW w:w="600" w:type="dxa"/>
            <w:vAlign w:val="bottom"/>
            <w:tcBorders>
              <w:top w:val="single" w:sz="8" w:color="0563C1"/>
              <w:bottom w:val="single" w:sz="8" w:color="91BBD3"/>
            </w:tcBorders>
          </w:tcPr>
          <w:p>
            <w:pPr>
              <w:spacing w:after="0"/>
              <w:rPr>
                <w:sz w:val="4"/>
                <w:szCs w:val="4"/>
                <w:color w:val="auto"/>
              </w:rPr>
            </w:pPr>
          </w:p>
        </w:tc>
        <w:tc>
          <w:tcPr>
            <w:tcW w:w="60" w:type="dxa"/>
            <w:vAlign w:val="bottom"/>
            <w:tcBorders>
              <w:top w:val="single" w:sz="8" w:color="0563C1"/>
              <w:bottom w:val="single" w:sz="8" w:color="91BBD3"/>
            </w:tcBorders>
          </w:tcPr>
          <w:p>
            <w:pPr>
              <w:spacing w:after="0"/>
              <w:rPr>
                <w:sz w:val="4"/>
                <w:szCs w:val="4"/>
                <w:color w:val="auto"/>
              </w:rPr>
            </w:pPr>
          </w:p>
        </w:tc>
        <w:tc>
          <w:tcPr>
            <w:tcW w:w="1240" w:type="dxa"/>
            <w:vAlign w:val="bottom"/>
            <w:tcBorders>
              <w:top w:val="single" w:sz="8" w:color="0563C1"/>
              <w:bottom w:val="single" w:sz="8" w:color="91BBD3"/>
            </w:tcBorders>
          </w:tcPr>
          <w:p>
            <w:pPr>
              <w:spacing w:after="0"/>
              <w:rPr>
                <w:sz w:val="4"/>
                <w:szCs w:val="4"/>
                <w:color w:val="auto"/>
              </w:rPr>
            </w:pPr>
          </w:p>
        </w:tc>
        <w:tc>
          <w:tcPr>
            <w:tcW w:w="400" w:type="dxa"/>
            <w:vAlign w:val="bottom"/>
            <w:tcBorders>
              <w:top w:val="single" w:sz="8" w:color="0563C1"/>
              <w:bottom w:val="single" w:sz="8" w:color="91BBD3"/>
            </w:tcBorders>
          </w:tcPr>
          <w:p>
            <w:pPr>
              <w:spacing w:after="0"/>
              <w:rPr>
                <w:sz w:val="4"/>
                <w:szCs w:val="4"/>
                <w:color w:val="auto"/>
              </w:rPr>
            </w:pPr>
          </w:p>
        </w:tc>
        <w:tc>
          <w:tcPr>
            <w:tcW w:w="320" w:type="dxa"/>
            <w:vAlign w:val="bottom"/>
            <w:tcBorders>
              <w:top w:val="single" w:sz="8" w:color="0563C1"/>
              <w:bottom w:val="single" w:sz="8" w:color="91BBD3"/>
            </w:tcBorders>
          </w:tcPr>
          <w:p>
            <w:pPr>
              <w:spacing w:after="0"/>
              <w:rPr>
                <w:sz w:val="4"/>
                <w:szCs w:val="4"/>
                <w:color w:val="auto"/>
              </w:rPr>
            </w:pPr>
          </w:p>
        </w:tc>
        <w:tc>
          <w:tcPr>
            <w:tcW w:w="1080" w:type="dxa"/>
            <w:vAlign w:val="bottom"/>
            <w:tcBorders>
              <w:top w:val="single" w:sz="8" w:color="0563C1"/>
              <w:bottom w:val="single" w:sz="8" w:color="91BBD3"/>
            </w:tcBorders>
          </w:tcPr>
          <w:p>
            <w:pPr>
              <w:spacing w:after="0"/>
              <w:rPr>
                <w:sz w:val="4"/>
                <w:szCs w:val="4"/>
                <w:color w:val="auto"/>
              </w:rPr>
            </w:pPr>
          </w:p>
        </w:tc>
        <w:tc>
          <w:tcPr>
            <w:tcW w:w="122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4294967257" w:type="dxa"/>
            <w:vAlign w:val="bottom"/>
            <w:tcBorders>
              <w:bottom w:val="single" w:sz="8" w:color="91BBD3"/>
            </w:tcBorders>
          </w:tcPr>
          <w:p>
            <w:pPr>
              <w:spacing w:after="0"/>
              <w:rPr>
                <w:sz w:val="4"/>
                <w:szCs w:val="4"/>
                <w:color w:val="auto"/>
              </w:rPr>
            </w:pPr>
          </w:p>
        </w:tc>
        <w:tc>
          <w:tcPr>
            <w:tcW w:w="120" w:type="dxa"/>
            <w:vAlign w:val="bottom"/>
            <w:tcBorders>
              <w:bottom w:val="single" w:sz="8" w:color="91BBD3"/>
              <w:right w:val="single" w:sz="8" w:color="91BBD3"/>
            </w:tcBorders>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bottom w:val="single" w:sz="8" w:color="DAE8F0"/>
              <w:right w:val="single" w:sz="8" w:color="91BBD3"/>
            </w:tcBorders>
            <w:shd w:val="clear" w:color="auto" w:fill="DAE8F0"/>
          </w:tcPr>
          <w:p>
            <w:pPr>
              <w:ind w:left="120"/>
              <w:spacing w:after="0" w:line="169" w:lineRule="exact"/>
              <w:rPr>
                <w:sz w:val="20"/>
                <w:szCs w:val="20"/>
                <w:color w:val="auto"/>
              </w:rPr>
            </w:pPr>
            <w:r>
              <w:rPr>
                <w:rFonts w:ascii="Calibri" w:cs="Calibri" w:eastAsia="Calibri" w:hAnsi="Calibri"/>
                <w:sz w:val="18"/>
                <w:szCs w:val="18"/>
                <w:b w:val="1"/>
                <w:bCs w:val="1"/>
                <w:color w:val="auto"/>
              </w:rPr>
              <w:t>10.34</w:t>
            </w:r>
          </w:p>
        </w:tc>
        <w:tc>
          <w:tcPr>
            <w:tcW w:w="20" w:type="dxa"/>
            <w:vAlign w:val="bottom"/>
            <w:tcBorders>
              <w:bottom w:val="single" w:sz="8" w:color="DAE8F0"/>
            </w:tcBorders>
            <w:shd w:val="clear" w:color="auto" w:fill="DAE8F0"/>
          </w:tcPr>
          <w:p>
            <w:pPr>
              <w:spacing w:after="0"/>
              <w:rPr>
                <w:sz w:val="14"/>
                <w:szCs w:val="14"/>
                <w:color w:val="auto"/>
              </w:rPr>
            </w:pPr>
          </w:p>
        </w:tc>
        <w:tc>
          <w:tcPr>
            <w:tcW w:w="80" w:type="dxa"/>
            <w:vAlign w:val="bottom"/>
            <w:tcBorders>
              <w:bottom w:val="single" w:sz="8" w:color="DAE8F0"/>
            </w:tcBorders>
            <w:shd w:val="clear" w:color="auto" w:fill="DAE8F0"/>
          </w:tcPr>
          <w:p>
            <w:pPr>
              <w:spacing w:after="0"/>
              <w:rPr>
                <w:sz w:val="14"/>
                <w:szCs w:val="14"/>
                <w:color w:val="auto"/>
              </w:rPr>
            </w:pPr>
          </w:p>
        </w:tc>
        <w:tc>
          <w:tcPr>
            <w:tcW w:w="9000" w:type="dxa"/>
            <w:vAlign w:val="bottom"/>
            <w:tcBorders>
              <w:bottom w:val="single" w:sz="8" w:color="0563C1"/>
            </w:tcBorders>
            <w:gridSpan w:val="12"/>
            <w:shd w:val="clear" w:color="auto" w:fill="DAE8F0"/>
          </w:tcPr>
          <w:p>
            <w:pPr>
              <w:spacing w:after="0" w:line="169" w:lineRule="exact"/>
              <w:rPr>
                <w:rFonts w:ascii="MS PGothic" w:cs="MS PGothic" w:eastAsia="MS PGothic" w:hAnsi="MS PGothic"/>
                <w:sz w:val="18"/>
                <w:szCs w:val="18"/>
                <w:color w:val="0563C1"/>
              </w:rPr>
            </w:pPr>
            <w:hyperlink r:id="rId534">
              <w:r>
                <w:rPr>
                  <w:rFonts w:ascii="MS PGothic" w:cs="MS PGothic" w:eastAsia="MS PGothic" w:hAnsi="MS PGothic"/>
                  <w:sz w:val="18"/>
                  <w:szCs w:val="18"/>
                  <w:color w:val="0563C1"/>
                </w:rPr>
                <w:t>Martn Marieta Nonqualifed Deferred Cash Compensaton Plan Adopton Agreement (incorporated by reference to Exhibit</w:t>
              </w:r>
            </w:hyperlink>
          </w:p>
        </w:tc>
        <w:tc>
          <w:tcPr>
            <w:tcW w:w="0" w:type="dxa"/>
            <w:vAlign w:val="bottom"/>
            <w:tcBorders>
              <w:bottom w:val="single" w:sz="8" w:color="0000EE"/>
              <w:right w:val="single" w:sz="8" w:color="DAE8F0"/>
            </w:tcBorders>
            <w:gridSpan w:val="3"/>
            <w:shd w:val="clear" w:color="auto" w:fill="DAE8F0"/>
          </w:tcPr>
          <w:p>
            <w:pPr>
              <w:spacing w:after="0"/>
              <w:rPr>
                <w:sz w:val="14"/>
                <w:szCs w:val="14"/>
                <w:color w:val="auto"/>
              </w:rPr>
            </w:pPr>
          </w:p>
        </w:tc>
        <w:tc>
          <w:tcPr>
            <w:tcW w:w="120" w:type="dxa"/>
            <w:vAlign w:val="bottom"/>
            <w:tcBorders>
              <w:bottom w:val="single" w:sz="8" w:color="DAE8F0"/>
              <w:right w:val="single" w:sz="8" w:color="91BBD3"/>
            </w:tcBorders>
            <w:shd w:val="clear" w:color="auto" w:fill="DAE8F0"/>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bottom w:val="single" w:sz="8" w:color="DAE8F0"/>
              <w:right w:val="single" w:sz="8" w:color="91BBD3"/>
            </w:tcBorders>
            <w:shd w:val="clear" w:color="auto" w:fill="DAE8F0"/>
          </w:tcPr>
          <w:p>
            <w:pPr>
              <w:spacing w:after="0"/>
              <w:rPr>
                <w:sz w:val="17"/>
                <w:szCs w:val="17"/>
                <w:color w:val="auto"/>
              </w:rPr>
            </w:pPr>
          </w:p>
        </w:tc>
        <w:tc>
          <w:tcPr>
            <w:tcW w:w="20" w:type="dxa"/>
            <w:vAlign w:val="bottom"/>
            <w:tcBorders>
              <w:bottom w:val="single" w:sz="8" w:color="DAE8F0"/>
            </w:tcBorders>
            <w:shd w:val="clear" w:color="auto" w:fill="DAE8F0"/>
          </w:tcPr>
          <w:p>
            <w:pPr>
              <w:spacing w:after="0"/>
              <w:rPr>
                <w:sz w:val="17"/>
                <w:szCs w:val="17"/>
                <w:color w:val="auto"/>
              </w:rPr>
            </w:pPr>
          </w:p>
        </w:tc>
        <w:tc>
          <w:tcPr>
            <w:tcW w:w="80" w:type="dxa"/>
            <w:vAlign w:val="bottom"/>
            <w:tcBorders>
              <w:bottom w:val="single" w:sz="8" w:color="DAE8F0"/>
            </w:tcBorders>
            <w:shd w:val="clear" w:color="auto" w:fill="DAE8F0"/>
          </w:tcPr>
          <w:p>
            <w:pPr>
              <w:spacing w:after="0"/>
              <w:rPr>
                <w:sz w:val="17"/>
                <w:szCs w:val="17"/>
                <w:color w:val="auto"/>
              </w:rPr>
            </w:pPr>
          </w:p>
        </w:tc>
        <w:tc>
          <w:tcPr>
            <w:tcW w:w="9000" w:type="dxa"/>
            <w:vAlign w:val="bottom"/>
            <w:tcBorders>
              <w:bottom w:val="single" w:sz="8" w:color="0563C1"/>
              <w:right w:val="single" w:sz="8" w:color="DAE8F0"/>
            </w:tcBorders>
            <w:gridSpan w:val="15"/>
            <w:shd w:val="clear" w:color="auto" w:fill="DAE8F0"/>
          </w:tcPr>
          <w:p>
            <w:pPr>
              <w:spacing w:after="0"/>
              <w:rPr>
                <w:rFonts w:ascii="MS PGothic" w:cs="MS PGothic" w:eastAsia="MS PGothic" w:hAnsi="MS PGothic"/>
                <w:sz w:val="18"/>
                <w:szCs w:val="18"/>
                <w:color w:val="0563C1"/>
              </w:rPr>
            </w:pPr>
            <w:hyperlink r:id="rId534">
              <w:r>
                <w:rPr>
                  <w:rFonts w:ascii="MS PGothic" w:cs="MS PGothic" w:eastAsia="MS PGothic" w:hAnsi="MS PGothic"/>
                  <w:sz w:val="18"/>
                  <w:szCs w:val="18"/>
                  <w:color w:val="0563C1"/>
                </w:rPr>
                <w:t>10.2 to the Martn Marieta Materials, Inc. Current Report on Form 8-K, fled on June 29, 2020 (Commission File No. 1-</w:t>
              </w:r>
            </w:hyperlink>
          </w:p>
        </w:tc>
        <w:tc>
          <w:tcPr>
            <w:tcW w:w="120" w:type="dxa"/>
            <w:vAlign w:val="bottom"/>
            <w:tcBorders>
              <w:bottom w:val="single" w:sz="8" w:color="DAE8F0"/>
              <w:right w:val="single" w:sz="8" w:color="91BBD3"/>
            </w:tcBorders>
            <w:shd w:val="clear" w:color="auto" w:fill="DAE8F0"/>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680" w:type="dxa"/>
            <w:vAlign w:val="bottom"/>
            <w:tcBorders>
              <w:left w:val="single" w:sz="8" w:color="91BBD3"/>
              <w:bottom w:val="single" w:sz="8" w:color="91BBD3"/>
              <w:right w:val="single" w:sz="8" w:color="91BBD3"/>
            </w:tcBorders>
            <w:shd w:val="clear" w:color="auto" w:fill="DAE8F0"/>
          </w:tcPr>
          <w:p>
            <w:pPr>
              <w:spacing w:after="0"/>
              <w:rPr>
                <w:sz w:val="22"/>
                <w:szCs w:val="22"/>
                <w:color w:val="auto"/>
              </w:rPr>
            </w:pPr>
          </w:p>
        </w:tc>
        <w:tc>
          <w:tcPr>
            <w:tcW w:w="100" w:type="dxa"/>
            <w:vAlign w:val="bottom"/>
            <w:tcBorders>
              <w:bottom w:val="single" w:sz="8" w:color="91BBD3"/>
            </w:tcBorders>
            <w:gridSpan w:val="2"/>
            <w:shd w:val="clear" w:color="auto" w:fill="DAE8F0"/>
          </w:tcPr>
          <w:p>
            <w:pPr>
              <w:spacing w:after="0"/>
              <w:rPr>
                <w:sz w:val="22"/>
                <w:szCs w:val="22"/>
                <w:color w:val="auto"/>
              </w:rPr>
            </w:pPr>
          </w:p>
        </w:tc>
        <w:tc>
          <w:tcPr>
            <w:tcW w:w="740" w:type="dxa"/>
            <w:vAlign w:val="bottom"/>
            <w:tcBorders>
              <w:bottom w:val="single" w:sz="8" w:color="0563C1"/>
            </w:tcBorders>
            <w:shd w:val="clear" w:color="auto" w:fill="DAE8F0"/>
          </w:tcPr>
          <w:p>
            <w:pPr>
              <w:spacing w:after="0"/>
              <w:rPr>
                <w:rFonts w:ascii="MS PGothic" w:cs="MS PGothic" w:eastAsia="MS PGothic" w:hAnsi="MS PGothic"/>
                <w:sz w:val="18"/>
                <w:szCs w:val="18"/>
                <w:color w:val="0563C1"/>
                <w:w w:val="97"/>
              </w:rPr>
            </w:pPr>
            <w:hyperlink r:id="rId534">
              <w:r>
                <w:rPr>
                  <w:rFonts w:ascii="MS PGothic" w:cs="MS PGothic" w:eastAsia="MS PGothic" w:hAnsi="MS PGothic"/>
                  <w:sz w:val="18"/>
                  <w:szCs w:val="18"/>
                  <w:color w:val="0563C1"/>
                  <w:w w:val="97"/>
                </w:rPr>
                <w:t>12744))**</w:t>
              </w:r>
            </w:hyperlink>
          </w:p>
        </w:tc>
        <w:tc>
          <w:tcPr>
            <w:tcW w:w="1360" w:type="dxa"/>
            <w:vAlign w:val="bottom"/>
            <w:tcBorders>
              <w:bottom w:val="single" w:sz="8" w:color="91BBD3"/>
            </w:tcBorders>
            <w:shd w:val="clear" w:color="auto" w:fill="DAE8F0"/>
          </w:tcPr>
          <w:p>
            <w:pPr>
              <w:spacing w:after="0"/>
              <w:rPr>
                <w:sz w:val="22"/>
                <w:szCs w:val="22"/>
                <w:color w:val="auto"/>
              </w:rPr>
            </w:pPr>
          </w:p>
        </w:tc>
        <w:tc>
          <w:tcPr>
            <w:tcW w:w="980" w:type="dxa"/>
            <w:vAlign w:val="bottom"/>
            <w:tcBorders>
              <w:bottom w:val="single" w:sz="8" w:color="91BBD3"/>
            </w:tcBorders>
            <w:shd w:val="clear" w:color="auto" w:fill="DAE8F0"/>
          </w:tcPr>
          <w:p>
            <w:pPr>
              <w:spacing w:after="0"/>
              <w:rPr>
                <w:sz w:val="22"/>
                <w:szCs w:val="22"/>
                <w:color w:val="auto"/>
              </w:rPr>
            </w:pPr>
          </w:p>
        </w:tc>
        <w:tc>
          <w:tcPr>
            <w:tcW w:w="640" w:type="dxa"/>
            <w:vAlign w:val="bottom"/>
            <w:tcBorders>
              <w:bottom w:val="single" w:sz="8" w:color="91BBD3"/>
            </w:tcBorders>
            <w:shd w:val="clear" w:color="auto" w:fill="DAE8F0"/>
          </w:tcPr>
          <w:p>
            <w:pPr>
              <w:spacing w:after="0"/>
              <w:rPr>
                <w:sz w:val="22"/>
                <w:szCs w:val="22"/>
                <w:color w:val="auto"/>
              </w:rPr>
            </w:pPr>
          </w:p>
        </w:tc>
        <w:tc>
          <w:tcPr>
            <w:tcW w:w="360" w:type="dxa"/>
            <w:vAlign w:val="bottom"/>
            <w:tcBorders>
              <w:bottom w:val="single" w:sz="8" w:color="91BBD3"/>
            </w:tcBorders>
            <w:shd w:val="clear" w:color="auto" w:fill="DAE8F0"/>
          </w:tcPr>
          <w:p>
            <w:pPr>
              <w:spacing w:after="0"/>
              <w:rPr>
                <w:sz w:val="22"/>
                <w:szCs w:val="22"/>
                <w:color w:val="auto"/>
              </w:rPr>
            </w:pPr>
          </w:p>
        </w:tc>
        <w:tc>
          <w:tcPr>
            <w:tcW w:w="600" w:type="dxa"/>
            <w:vAlign w:val="bottom"/>
            <w:tcBorders>
              <w:bottom w:val="single" w:sz="8" w:color="91BBD3"/>
            </w:tcBorders>
            <w:shd w:val="clear" w:color="auto" w:fill="DAE8F0"/>
          </w:tcPr>
          <w:p>
            <w:pPr>
              <w:spacing w:after="0"/>
              <w:rPr>
                <w:sz w:val="22"/>
                <w:szCs w:val="22"/>
                <w:color w:val="auto"/>
              </w:rPr>
            </w:pPr>
          </w:p>
        </w:tc>
        <w:tc>
          <w:tcPr>
            <w:tcW w:w="60" w:type="dxa"/>
            <w:vAlign w:val="bottom"/>
            <w:tcBorders>
              <w:bottom w:val="single" w:sz="8" w:color="91BBD3"/>
            </w:tcBorders>
            <w:shd w:val="clear" w:color="auto" w:fill="DAE8F0"/>
          </w:tcPr>
          <w:p>
            <w:pPr>
              <w:spacing w:after="0"/>
              <w:rPr>
                <w:sz w:val="22"/>
                <w:szCs w:val="22"/>
                <w:color w:val="auto"/>
              </w:rPr>
            </w:pPr>
          </w:p>
        </w:tc>
        <w:tc>
          <w:tcPr>
            <w:tcW w:w="1240" w:type="dxa"/>
            <w:vAlign w:val="bottom"/>
            <w:tcBorders>
              <w:bottom w:val="single" w:sz="8" w:color="91BBD3"/>
            </w:tcBorders>
            <w:shd w:val="clear" w:color="auto" w:fill="DAE8F0"/>
          </w:tcPr>
          <w:p>
            <w:pPr>
              <w:spacing w:after="0"/>
              <w:rPr>
                <w:sz w:val="22"/>
                <w:szCs w:val="22"/>
                <w:color w:val="auto"/>
              </w:rPr>
            </w:pPr>
          </w:p>
        </w:tc>
        <w:tc>
          <w:tcPr>
            <w:tcW w:w="400" w:type="dxa"/>
            <w:vAlign w:val="bottom"/>
            <w:tcBorders>
              <w:bottom w:val="single" w:sz="8" w:color="91BBD3"/>
            </w:tcBorders>
            <w:shd w:val="clear" w:color="auto" w:fill="DAE8F0"/>
          </w:tcPr>
          <w:p>
            <w:pPr>
              <w:spacing w:after="0"/>
              <w:rPr>
                <w:sz w:val="22"/>
                <w:szCs w:val="22"/>
                <w:color w:val="auto"/>
              </w:rPr>
            </w:pPr>
          </w:p>
        </w:tc>
        <w:tc>
          <w:tcPr>
            <w:tcW w:w="320" w:type="dxa"/>
            <w:vAlign w:val="bottom"/>
            <w:tcBorders>
              <w:bottom w:val="single" w:sz="8" w:color="91BBD3"/>
            </w:tcBorders>
            <w:shd w:val="clear" w:color="auto" w:fill="DAE8F0"/>
          </w:tcPr>
          <w:p>
            <w:pPr>
              <w:spacing w:after="0"/>
              <w:rPr>
                <w:sz w:val="22"/>
                <w:szCs w:val="22"/>
                <w:color w:val="auto"/>
              </w:rPr>
            </w:pPr>
          </w:p>
        </w:tc>
        <w:tc>
          <w:tcPr>
            <w:tcW w:w="1080" w:type="dxa"/>
            <w:vAlign w:val="bottom"/>
            <w:tcBorders>
              <w:bottom w:val="single" w:sz="8" w:color="91BBD3"/>
            </w:tcBorders>
            <w:shd w:val="clear" w:color="auto" w:fill="DAE8F0"/>
          </w:tcPr>
          <w:p>
            <w:pPr>
              <w:spacing w:after="0"/>
              <w:rPr>
                <w:sz w:val="22"/>
                <w:szCs w:val="22"/>
                <w:color w:val="auto"/>
              </w:rPr>
            </w:pPr>
          </w:p>
        </w:tc>
        <w:tc>
          <w:tcPr>
            <w:tcW w:w="1220" w:type="dxa"/>
            <w:vAlign w:val="bottom"/>
            <w:tcBorders>
              <w:bottom w:val="single" w:sz="8" w:color="91BBD3"/>
            </w:tcBorders>
            <w:shd w:val="clear" w:color="auto" w:fill="DAE8F0"/>
          </w:tcPr>
          <w:p>
            <w:pPr>
              <w:spacing w:after="0"/>
              <w:rPr>
                <w:sz w:val="22"/>
                <w:szCs w:val="22"/>
                <w:color w:val="auto"/>
              </w:rPr>
            </w:pPr>
          </w:p>
        </w:tc>
        <w:tc>
          <w:tcPr>
            <w:tcW w:w="20" w:type="dxa"/>
            <w:vAlign w:val="bottom"/>
            <w:tcBorders>
              <w:bottom w:val="single" w:sz="8" w:color="91BBD3"/>
            </w:tcBorders>
            <w:shd w:val="clear" w:color="auto" w:fill="DAE8F0"/>
          </w:tcPr>
          <w:p>
            <w:pPr>
              <w:spacing w:after="0"/>
              <w:rPr>
                <w:sz w:val="22"/>
                <w:szCs w:val="22"/>
                <w:color w:val="auto"/>
              </w:rPr>
            </w:pPr>
          </w:p>
        </w:tc>
        <w:tc>
          <w:tcPr>
            <w:tcW w:w="20" w:type="dxa"/>
            <w:vAlign w:val="bottom"/>
            <w:tcBorders>
              <w:bottom w:val="single" w:sz="8" w:color="91BBD3"/>
            </w:tcBorders>
            <w:shd w:val="clear" w:color="auto" w:fill="DAE8F0"/>
          </w:tcPr>
          <w:p>
            <w:pPr>
              <w:spacing w:after="0"/>
              <w:rPr>
                <w:sz w:val="22"/>
                <w:szCs w:val="22"/>
                <w:color w:val="auto"/>
              </w:rPr>
            </w:pPr>
          </w:p>
        </w:tc>
        <w:tc>
          <w:tcPr>
            <w:tcW w:w="4294967257" w:type="dxa"/>
            <w:vAlign w:val="bottom"/>
            <w:tcBorders>
              <w:bottom w:val="single" w:sz="8" w:color="91BBD3"/>
              <w:right w:val="single" w:sz="8" w:color="DAE8F0"/>
            </w:tcBorders>
            <w:shd w:val="clear" w:color="auto" w:fill="DAE8F0"/>
          </w:tcPr>
          <w:p>
            <w:pPr>
              <w:spacing w:after="0"/>
              <w:rPr>
                <w:sz w:val="22"/>
                <w:szCs w:val="22"/>
                <w:color w:val="auto"/>
              </w:rPr>
            </w:pPr>
          </w:p>
        </w:tc>
        <w:tc>
          <w:tcPr>
            <w:tcW w:w="120" w:type="dxa"/>
            <w:vAlign w:val="bottom"/>
            <w:tcBorders>
              <w:bottom w:val="single" w:sz="8" w:color="91BBD3"/>
              <w:right w:val="single" w:sz="8" w:color="91BBD3"/>
            </w:tcBorders>
            <w:shd w:val="clear" w:color="auto" w:fill="DAE8F0"/>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right w:val="single" w:sz="8" w:color="91BBD3"/>
            </w:tcBorders>
          </w:tcPr>
          <w:p>
            <w:pPr>
              <w:ind w:left="120"/>
              <w:spacing w:after="0" w:line="169" w:lineRule="exact"/>
              <w:rPr>
                <w:sz w:val="20"/>
                <w:szCs w:val="20"/>
                <w:color w:val="auto"/>
              </w:rPr>
            </w:pPr>
            <w:r>
              <w:rPr>
                <w:rFonts w:ascii="Calibri" w:cs="Calibri" w:eastAsia="Calibri" w:hAnsi="Calibri"/>
                <w:sz w:val="18"/>
                <w:szCs w:val="18"/>
                <w:b w:val="1"/>
                <w:bCs w:val="1"/>
                <w:color w:val="auto"/>
              </w:rPr>
              <w:t>10.35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0" w:type="dxa"/>
            <w:vAlign w:val="bottom"/>
            <w:tcBorders>
              <w:bottom w:val="single" w:sz="8" w:color="0563C1"/>
            </w:tcBorders>
            <w:gridSpan w:val="12"/>
          </w:tcPr>
          <w:p>
            <w:pPr>
              <w:spacing w:after="0" w:line="169" w:lineRule="exact"/>
              <w:rPr>
                <w:rFonts w:ascii="MS PGothic" w:cs="MS PGothic" w:eastAsia="MS PGothic" w:hAnsi="MS PGothic"/>
                <w:sz w:val="18"/>
                <w:szCs w:val="18"/>
                <w:color w:val="0563C1"/>
                <w:w w:val="97"/>
              </w:rPr>
            </w:pPr>
            <w:hyperlink r:id="rId535">
              <w:r>
                <w:rPr>
                  <w:rFonts w:ascii="MS PGothic" w:cs="MS PGothic" w:eastAsia="MS PGothic" w:hAnsi="MS PGothic"/>
                  <w:sz w:val="18"/>
                  <w:szCs w:val="18"/>
                  <w:color w:val="0563C1"/>
                  <w:w w:val="97"/>
                </w:rPr>
                <w:t>Ofer Leter, dated as of January 11, 2019, by and between Martn Marieta Materials, Inc. and Robert J. Cardin (incorporated</w:t>
              </w:r>
            </w:hyperlink>
          </w:p>
        </w:tc>
        <w:tc>
          <w:tcPr>
            <w:tcW w:w="120" w:type="dxa"/>
            <w:vAlign w:val="bottom"/>
            <w:tcBorders>
              <w:right w:val="single" w:sz="8" w:color="91BBD3"/>
            </w:tcBorders>
            <w:gridSpan w:val="4"/>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20" w:type="dxa"/>
            <w:vAlign w:val="bottom"/>
            <w:tcBorders>
              <w:bottom w:val="single" w:sz="8" w:color="0563C1"/>
            </w:tcBorders>
            <w:gridSpan w:val="13"/>
          </w:tcPr>
          <w:p>
            <w:pPr>
              <w:spacing w:after="0"/>
              <w:rPr>
                <w:rFonts w:ascii="MS PGothic" w:cs="MS PGothic" w:eastAsia="MS PGothic" w:hAnsi="MS PGothic"/>
                <w:sz w:val="18"/>
                <w:szCs w:val="18"/>
                <w:color w:val="0563C1"/>
                <w:w w:val="95"/>
              </w:rPr>
            </w:pPr>
            <w:hyperlink r:id="rId535">
              <w:r>
                <w:rPr>
                  <w:rFonts w:ascii="MS PGothic" w:cs="MS PGothic" w:eastAsia="MS PGothic" w:hAnsi="MS PGothic"/>
                  <w:sz w:val="18"/>
                  <w:szCs w:val="18"/>
                  <w:color w:val="0563C1"/>
                  <w:w w:val="95"/>
                </w:rPr>
                <w:t>by reference to Exhibit 10.01 to the Martn Marieta Materials, Inc. Quarterly Report on Form 10‑Q for the quarter ended June</w:t>
              </w:r>
            </w:hyperlink>
          </w:p>
        </w:tc>
        <w:tc>
          <w:tcPr>
            <w:tcW w:w="100" w:type="dxa"/>
            <w:vAlign w:val="bottom"/>
            <w:tcBorders>
              <w:right w:val="single" w:sz="8" w:color="91BBD3"/>
            </w:tcBorders>
            <w:gridSpan w:val="3"/>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120" w:type="dxa"/>
            <w:vAlign w:val="bottom"/>
            <w:tcBorders>
              <w:right w:val="single" w:sz="8" w:color="91BBD3"/>
            </w:tcBorders>
            <w:gridSpan w:val="16"/>
          </w:tcPr>
          <w:p>
            <w:pPr>
              <w:spacing w:after="0"/>
              <w:rPr>
                <w:rFonts w:ascii="MS PGothic" w:cs="MS PGothic" w:eastAsia="MS PGothic" w:hAnsi="MS PGothic"/>
                <w:sz w:val="18"/>
                <w:szCs w:val="18"/>
                <w:color w:val="0563C1"/>
              </w:rPr>
            </w:pPr>
            <w:hyperlink r:id="rId535">
              <w:r>
                <w:rPr>
                  <w:rFonts w:ascii="MS PGothic" w:cs="MS PGothic" w:eastAsia="MS PGothic" w:hAnsi="MS PGothic"/>
                  <w:sz w:val="18"/>
                  <w:szCs w:val="18"/>
                  <w:color w:val="0563C1"/>
                </w:rPr>
                <w:t>30, 2019) (Commission File No. 1-12744)**</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1680" w:type="dxa"/>
            <w:vAlign w:val="bottom"/>
            <w:tcBorders>
              <w:left w:val="single" w:sz="8" w:color="91BBD3"/>
              <w:bottom w:val="single" w:sz="8" w:color="91BBD3"/>
              <w:right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80" w:type="dxa"/>
            <w:vAlign w:val="bottom"/>
            <w:tcBorders>
              <w:bottom w:val="single" w:sz="8" w:color="91BBD3"/>
            </w:tcBorders>
          </w:tcPr>
          <w:p>
            <w:pPr>
              <w:spacing w:after="0"/>
              <w:rPr>
                <w:sz w:val="4"/>
                <w:szCs w:val="4"/>
                <w:color w:val="auto"/>
              </w:rPr>
            </w:pPr>
          </w:p>
        </w:tc>
        <w:tc>
          <w:tcPr>
            <w:tcW w:w="740" w:type="dxa"/>
            <w:vAlign w:val="bottom"/>
            <w:tcBorders>
              <w:top w:val="single" w:sz="8" w:color="0563C1"/>
              <w:bottom w:val="single" w:sz="8" w:color="91BBD3"/>
            </w:tcBorders>
          </w:tcPr>
          <w:p>
            <w:pPr>
              <w:spacing w:after="0"/>
              <w:rPr>
                <w:sz w:val="4"/>
                <w:szCs w:val="4"/>
                <w:color w:val="auto"/>
              </w:rPr>
            </w:pPr>
          </w:p>
        </w:tc>
        <w:tc>
          <w:tcPr>
            <w:tcW w:w="1360" w:type="dxa"/>
            <w:vAlign w:val="bottom"/>
            <w:tcBorders>
              <w:top w:val="single" w:sz="8" w:color="0563C1"/>
              <w:bottom w:val="single" w:sz="8" w:color="91BBD3"/>
            </w:tcBorders>
          </w:tcPr>
          <w:p>
            <w:pPr>
              <w:spacing w:after="0"/>
              <w:rPr>
                <w:sz w:val="4"/>
                <w:szCs w:val="4"/>
                <w:color w:val="auto"/>
              </w:rPr>
            </w:pPr>
          </w:p>
        </w:tc>
        <w:tc>
          <w:tcPr>
            <w:tcW w:w="980" w:type="dxa"/>
            <w:vAlign w:val="bottom"/>
            <w:tcBorders>
              <w:top w:val="single" w:sz="8" w:color="0563C1"/>
              <w:bottom w:val="single" w:sz="8" w:color="91BBD3"/>
            </w:tcBorders>
          </w:tcPr>
          <w:p>
            <w:pPr>
              <w:spacing w:after="0"/>
              <w:rPr>
                <w:sz w:val="4"/>
                <w:szCs w:val="4"/>
                <w:color w:val="auto"/>
              </w:rPr>
            </w:pPr>
          </w:p>
        </w:tc>
        <w:tc>
          <w:tcPr>
            <w:tcW w:w="640" w:type="dxa"/>
            <w:vAlign w:val="bottom"/>
            <w:tcBorders>
              <w:bottom w:val="single" w:sz="8" w:color="91BBD3"/>
            </w:tcBorders>
          </w:tcPr>
          <w:p>
            <w:pPr>
              <w:spacing w:after="0"/>
              <w:rPr>
                <w:sz w:val="4"/>
                <w:szCs w:val="4"/>
                <w:color w:val="auto"/>
              </w:rPr>
            </w:pPr>
          </w:p>
        </w:tc>
        <w:tc>
          <w:tcPr>
            <w:tcW w:w="360" w:type="dxa"/>
            <w:vAlign w:val="bottom"/>
            <w:tcBorders>
              <w:bottom w:val="single" w:sz="8" w:color="91BBD3"/>
            </w:tcBorders>
          </w:tcPr>
          <w:p>
            <w:pPr>
              <w:spacing w:after="0"/>
              <w:rPr>
                <w:sz w:val="4"/>
                <w:szCs w:val="4"/>
                <w:color w:val="auto"/>
              </w:rPr>
            </w:pPr>
          </w:p>
        </w:tc>
        <w:tc>
          <w:tcPr>
            <w:tcW w:w="600" w:type="dxa"/>
            <w:vAlign w:val="bottom"/>
            <w:tcBorders>
              <w:bottom w:val="single" w:sz="8" w:color="91BBD3"/>
            </w:tcBorders>
          </w:tcPr>
          <w:p>
            <w:pPr>
              <w:spacing w:after="0"/>
              <w:rPr>
                <w:sz w:val="4"/>
                <w:szCs w:val="4"/>
                <w:color w:val="auto"/>
              </w:rPr>
            </w:pPr>
          </w:p>
        </w:tc>
        <w:tc>
          <w:tcPr>
            <w:tcW w:w="60" w:type="dxa"/>
            <w:vAlign w:val="bottom"/>
            <w:tcBorders>
              <w:bottom w:val="single" w:sz="8" w:color="91BBD3"/>
            </w:tcBorders>
          </w:tcPr>
          <w:p>
            <w:pPr>
              <w:spacing w:after="0"/>
              <w:rPr>
                <w:sz w:val="4"/>
                <w:szCs w:val="4"/>
                <w:color w:val="auto"/>
              </w:rPr>
            </w:pPr>
          </w:p>
        </w:tc>
        <w:tc>
          <w:tcPr>
            <w:tcW w:w="1240" w:type="dxa"/>
            <w:vAlign w:val="bottom"/>
            <w:tcBorders>
              <w:bottom w:val="single" w:sz="8" w:color="91BBD3"/>
            </w:tcBorders>
          </w:tcPr>
          <w:p>
            <w:pPr>
              <w:spacing w:after="0"/>
              <w:rPr>
                <w:sz w:val="4"/>
                <w:szCs w:val="4"/>
                <w:color w:val="auto"/>
              </w:rPr>
            </w:pPr>
          </w:p>
        </w:tc>
        <w:tc>
          <w:tcPr>
            <w:tcW w:w="400" w:type="dxa"/>
            <w:vAlign w:val="bottom"/>
            <w:tcBorders>
              <w:bottom w:val="single" w:sz="8" w:color="91BBD3"/>
            </w:tcBorders>
          </w:tcPr>
          <w:p>
            <w:pPr>
              <w:spacing w:after="0"/>
              <w:rPr>
                <w:sz w:val="4"/>
                <w:szCs w:val="4"/>
                <w:color w:val="auto"/>
              </w:rPr>
            </w:pPr>
          </w:p>
        </w:tc>
        <w:tc>
          <w:tcPr>
            <w:tcW w:w="320" w:type="dxa"/>
            <w:vAlign w:val="bottom"/>
            <w:tcBorders>
              <w:bottom w:val="single" w:sz="8" w:color="91BBD3"/>
            </w:tcBorders>
          </w:tcPr>
          <w:p>
            <w:pPr>
              <w:spacing w:after="0"/>
              <w:rPr>
                <w:sz w:val="4"/>
                <w:szCs w:val="4"/>
                <w:color w:val="auto"/>
              </w:rPr>
            </w:pPr>
          </w:p>
        </w:tc>
        <w:tc>
          <w:tcPr>
            <w:tcW w:w="1080" w:type="dxa"/>
            <w:vAlign w:val="bottom"/>
            <w:tcBorders>
              <w:bottom w:val="single" w:sz="8" w:color="91BBD3"/>
            </w:tcBorders>
          </w:tcPr>
          <w:p>
            <w:pPr>
              <w:spacing w:after="0"/>
              <w:rPr>
                <w:sz w:val="4"/>
                <w:szCs w:val="4"/>
                <w:color w:val="auto"/>
              </w:rPr>
            </w:pPr>
          </w:p>
        </w:tc>
        <w:tc>
          <w:tcPr>
            <w:tcW w:w="122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4294967257" w:type="dxa"/>
            <w:vAlign w:val="bottom"/>
            <w:tcBorders>
              <w:bottom w:val="single" w:sz="8" w:color="91BBD3"/>
            </w:tcBorders>
          </w:tcPr>
          <w:p>
            <w:pPr>
              <w:spacing w:after="0"/>
              <w:rPr>
                <w:sz w:val="4"/>
                <w:szCs w:val="4"/>
                <w:color w:val="auto"/>
              </w:rPr>
            </w:pPr>
          </w:p>
        </w:tc>
        <w:tc>
          <w:tcPr>
            <w:tcW w:w="120" w:type="dxa"/>
            <w:vAlign w:val="bottom"/>
            <w:tcBorders>
              <w:bottom w:val="single" w:sz="8" w:color="91BBD3"/>
              <w:right w:val="single" w:sz="8" w:color="91BBD3"/>
            </w:tcBorders>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right w:val="single" w:sz="8" w:color="91BBD3"/>
            </w:tcBorders>
            <w:shd w:val="clear" w:color="auto" w:fill="DAE8F0"/>
          </w:tcPr>
          <w:p>
            <w:pPr>
              <w:ind w:left="120"/>
              <w:spacing w:after="0" w:line="169" w:lineRule="exact"/>
              <w:rPr>
                <w:sz w:val="20"/>
                <w:szCs w:val="20"/>
                <w:color w:val="auto"/>
              </w:rPr>
            </w:pPr>
            <w:r>
              <w:rPr>
                <w:rFonts w:ascii="Calibri" w:cs="Calibri" w:eastAsia="Calibri" w:hAnsi="Calibri"/>
                <w:sz w:val="18"/>
                <w:szCs w:val="18"/>
                <w:b w:val="1"/>
                <w:bCs w:val="1"/>
                <w:color w:val="auto"/>
              </w:rPr>
              <w:t>*21.01</w:t>
            </w:r>
          </w:p>
        </w:tc>
        <w:tc>
          <w:tcPr>
            <w:tcW w:w="20" w:type="dxa"/>
            <w:vAlign w:val="bottom"/>
            <w:shd w:val="clear" w:color="auto" w:fill="DAE8F0"/>
          </w:tcPr>
          <w:p>
            <w:pPr>
              <w:spacing w:after="0"/>
              <w:rPr>
                <w:sz w:val="14"/>
                <w:szCs w:val="14"/>
                <w:color w:val="auto"/>
              </w:rPr>
            </w:pPr>
          </w:p>
        </w:tc>
        <w:tc>
          <w:tcPr>
            <w:tcW w:w="80" w:type="dxa"/>
            <w:vAlign w:val="bottom"/>
            <w:shd w:val="clear" w:color="auto" w:fill="DAE8F0"/>
          </w:tcPr>
          <w:p>
            <w:pPr>
              <w:spacing w:after="0"/>
              <w:rPr>
                <w:sz w:val="14"/>
                <w:szCs w:val="14"/>
                <w:color w:val="auto"/>
              </w:rPr>
            </w:pPr>
          </w:p>
        </w:tc>
        <w:tc>
          <w:tcPr>
            <w:tcW w:w="9120" w:type="dxa"/>
            <w:vAlign w:val="bottom"/>
            <w:tcBorders>
              <w:right w:val="single" w:sz="8" w:color="91BBD3"/>
            </w:tcBorders>
            <w:gridSpan w:val="16"/>
            <w:shd w:val="clear" w:color="auto" w:fill="DAE8F0"/>
          </w:tcPr>
          <w:p>
            <w:pPr>
              <w:spacing w:after="0" w:line="169" w:lineRule="exact"/>
              <w:rPr>
                <w:sz w:val="20"/>
                <w:szCs w:val="20"/>
                <w:color w:val="auto"/>
              </w:rPr>
            </w:pPr>
            <w:r>
              <w:rPr>
                <w:rFonts w:ascii="MS PGothic" w:cs="MS PGothic" w:eastAsia="MS PGothic" w:hAnsi="MS PGothic"/>
                <w:sz w:val="18"/>
                <w:szCs w:val="18"/>
                <w:color w:val="0563C1"/>
              </w:rPr>
              <w:t>List of subsidiaries of Martn Marieta Materials, Inc.</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680" w:type="dxa"/>
            <w:vAlign w:val="bottom"/>
            <w:tcBorders>
              <w:top w:val="single" w:sz="8" w:color="DAE8F0"/>
              <w:left w:val="single" w:sz="8" w:color="91BBD3"/>
              <w:bottom w:val="single" w:sz="8" w:color="91BBD3"/>
              <w:right w:val="single" w:sz="8" w:color="91BBD3"/>
            </w:tcBorders>
            <w:shd w:val="clear" w:color="auto" w:fill="DAE8F0"/>
          </w:tcPr>
          <w:p>
            <w:pPr>
              <w:spacing w:after="0"/>
              <w:rPr>
                <w:sz w:val="5"/>
                <w:szCs w:val="5"/>
                <w:color w:val="auto"/>
              </w:rPr>
            </w:pPr>
          </w:p>
        </w:tc>
        <w:tc>
          <w:tcPr>
            <w:tcW w:w="20" w:type="dxa"/>
            <w:vAlign w:val="bottom"/>
            <w:tcBorders>
              <w:top w:val="single" w:sz="8" w:color="DAE8F0"/>
              <w:bottom w:val="single" w:sz="8" w:color="91BBD3"/>
            </w:tcBorders>
            <w:shd w:val="clear" w:color="auto" w:fill="DAE8F0"/>
          </w:tcPr>
          <w:p>
            <w:pPr>
              <w:spacing w:after="0"/>
              <w:rPr>
                <w:sz w:val="5"/>
                <w:szCs w:val="5"/>
                <w:color w:val="auto"/>
              </w:rPr>
            </w:pPr>
          </w:p>
        </w:tc>
        <w:tc>
          <w:tcPr>
            <w:tcW w:w="80" w:type="dxa"/>
            <w:vAlign w:val="bottom"/>
            <w:tcBorders>
              <w:top w:val="single" w:sz="8" w:color="DAE8F0"/>
              <w:bottom w:val="single" w:sz="8" w:color="91BBD3"/>
            </w:tcBorders>
            <w:shd w:val="clear" w:color="auto" w:fill="DAE8F0"/>
          </w:tcPr>
          <w:p>
            <w:pPr>
              <w:spacing w:after="0"/>
              <w:rPr>
                <w:sz w:val="5"/>
                <w:szCs w:val="5"/>
                <w:color w:val="auto"/>
              </w:rPr>
            </w:pPr>
          </w:p>
        </w:tc>
        <w:tc>
          <w:tcPr>
            <w:tcW w:w="740" w:type="dxa"/>
            <w:vAlign w:val="bottom"/>
            <w:tcBorders>
              <w:top w:val="single" w:sz="8" w:color="0563C1"/>
              <w:bottom w:val="single" w:sz="8" w:color="91BBD3"/>
            </w:tcBorders>
            <w:shd w:val="clear" w:color="auto" w:fill="DAE8F0"/>
          </w:tcPr>
          <w:p>
            <w:pPr>
              <w:spacing w:after="0"/>
              <w:rPr>
                <w:sz w:val="5"/>
                <w:szCs w:val="5"/>
                <w:color w:val="auto"/>
              </w:rPr>
            </w:pPr>
          </w:p>
        </w:tc>
        <w:tc>
          <w:tcPr>
            <w:tcW w:w="1360" w:type="dxa"/>
            <w:vAlign w:val="bottom"/>
            <w:tcBorders>
              <w:top w:val="single" w:sz="8" w:color="0563C1"/>
              <w:bottom w:val="single" w:sz="8" w:color="91BBD3"/>
            </w:tcBorders>
            <w:shd w:val="clear" w:color="auto" w:fill="DAE8F0"/>
          </w:tcPr>
          <w:p>
            <w:pPr>
              <w:spacing w:after="0"/>
              <w:rPr>
                <w:sz w:val="5"/>
                <w:szCs w:val="5"/>
                <w:color w:val="auto"/>
              </w:rPr>
            </w:pPr>
          </w:p>
        </w:tc>
        <w:tc>
          <w:tcPr>
            <w:tcW w:w="980" w:type="dxa"/>
            <w:vAlign w:val="bottom"/>
            <w:tcBorders>
              <w:top w:val="single" w:sz="8" w:color="0563C1"/>
              <w:bottom w:val="single" w:sz="8" w:color="91BBD3"/>
            </w:tcBorders>
            <w:shd w:val="clear" w:color="auto" w:fill="DAE8F0"/>
          </w:tcPr>
          <w:p>
            <w:pPr>
              <w:spacing w:after="0"/>
              <w:rPr>
                <w:sz w:val="5"/>
                <w:szCs w:val="5"/>
                <w:color w:val="auto"/>
              </w:rPr>
            </w:pPr>
          </w:p>
        </w:tc>
        <w:tc>
          <w:tcPr>
            <w:tcW w:w="640" w:type="dxa"/>
            <w:vAlign w:val="bottom"/>
            <w:tcBorders>
              <w:top w:val="single" w:sz="8" w:color="0563C1"/>
              <w:bottom w:val="single" w:sz="8" w:color="91BBD3"/>
            </w:tcBorders>
            <w:shd w:val="clear" w:color="auto" w:fill="DAE8F0"/>
          </w:tcPr>
          <w:p>
            <w:pPr>
              <w:spacing w:after="0"/>
              <w:rPr>
                <w:sz w:val="5"/>
                <w:szCs w:val="5"/>
                <w:color w:val="auto"/>
              </w:rPr>
            </w:pPr>
          </w:p>
        </w:tc>
        <w:tc>
          <w:tcPr>
            <w:tcW w:w="360" w:type="dxa"/>
            <w:vAlign w:val="bottom"/>
            <w:tcBorders>
              <w:top w:val="single" w:sz="8" w:color="DAE8F0"/>
              <w:bottom w:val="single" w:sz="8" w:color="91BBD3"/>
            </w:tcBorders>
            <w:shd w:val="clear" w:color="auto" w:fill="DAE8F0"/>
          </w:tcPr>
          <w:p>
            <w:pPr>
              <w:spacing w:after="0"/>
              <w:rPr>
                <w:sz w:val="5"/>
                <w:szCs w:val="5"/>
                <w:color w:val="auto"/>
              </w:rPr>
            </w:pPr>
          </w:p>
        </w:tc>
        <w:tc>
          <w:tcPr>
            <w:tcW w:w="600" w:type="dxa"/>
            <w:vAlign w:val="bottom"/>
            <w:tcBorders>
              <w:top w:val="single" w:sz="8" w:color="DAE8F0"/>
              <w:bottom w:val="single" w:sz="8" w:color="91BBD3"/>
            </w:tcBorders>
            <w:shd w:val="clear" w:color="auto" w:fill="DAE8F0"/>
          </w:tcPr>
          <w:p>
            <w:pPr>
              <w:spacing w:after="0"/>
              <w:rPr>
                <w:sz w:val="5"/>
                <w:szCs w:val="5"/>
                <w:color w:val="auto"/>
              </w:rPr>
            </w:pPr>
          </w:p>
        </w:tc>
        <w:tc>
          <w:tcPr>
            <w:tcW w:w="60" w:type="dxa"/>
            <w:vAlign w:val="bottom"/>
            <w:tcBorders>
              <w:top w:val="single" w:sz="8" w:color="DAE8F0"/>
              <w:bottom w:val="single" w:sz="8" w:color="91BBD3"/>
            </w:tcBorders>
            <w:shd w:val="clear" w:color="auto" w:fill="DAE8F0"/>
          </w:tcPr>
          <w:p>
            <w:pPr>
              <w:spacing w:after="0"/>
              <w:rPr>
                <w:sz w:val="5"/>
                <w:szCs w:val="5"/>
                <w:color w:val="auto"/>
              </w:rPr>
            </w:pPr>
          </w:p>
        </w:tc>
        <w:tc>
          <w:tcPr>
            <w:tcW w:w="1240" w:type="dxa"/>
            <w:vAlign w:val="bottom"/>
            <w:tcBorders>
              <w:top w:val="single" w:sz="8" w:color="DAE8F0"/>
              <w:bottom w:val="single" w:sz="8" w:color="91BBD3"/>
            </w:tcBorders>
            <w:shd w:val="clear" w:color="auto" w:fill="DAE8F0"/>
          </w:tcPr>
          <w:p>
            <w:pPr>
              <w:spacing w:after="0"/>
              <w:rPr>
                <w:sz w:val="5"/>
                <w:szCs w:val="5"/>
                <w:color w:val="auto"/>
              </w:rPr>
            </w:pPr>
          </w:p>
        </w:tc>
        <w:tc>
          <w:tcPr>
            <w:tcW w:w="400" w:type="dxa"/>
            <w:vAlign w:val="bottom"/>
            <w:tcBorders>
              <w:top w:val="single" w:sz="8" w:color="DAE8F0"/>
              <w:bottom w:val="single" w:sz="8" w:color="91BBD3"/>
            </w:tcBorders>
            <w:shd w:val="clear" w:color="auto" w:fill="DAE8F0"/>
          </w:tcPr>
          <w:p>
            <w:pPr>
              <w:spacing w:after="0"/>
              <w:rPr>
                <w:sz w:val="5"/>
                <w:szCs w:val="5"/>
                <w:color w:val="auto"/>
              </w:rPr>
            </w:pPr>
          </w:p>
        </w:tc>
        <w:tc>
          <w:tcPr>
            <w:tcW w:w="320" w:type="dxa"/>
            <w:vAlign w:val="bottom"/>
            <w:tcBorders>
              <w:top w:val="single" w:sz="8" w:color="DAE8F0"/>
              <w:bottom w:val="single" w:sz="8" w:color="91BBD3"/>
            </w:tcBorders>
            <w:shd w:val="clear" w:color="auto" w:fill="DAE8F0"/>
          </w:tcPr>
          <w:p>
            <w:pPr>
              <w:spacing w:after="0"/>
              <w:rPr>
                <w:sz w:val="5"/>
                <w:szCs w:val="5"/>
                <w:color w:val="auto"/>
              </w:rPr>
            </w:pPr>
          </w:p>
        </w:tc>
        <w:tc>
          <w:tcPr>
            <w:tcW w:w="1080" w:type="dxa"/>
            <w:vAlign w:val="bottom"/>
            <w:tcBorders>
              <w:top w:val="single" w:sz="8" w:color="DAE8F0"/>
              <w:bottom w:val="single" w:sz="8" w:color="91BBD3"/>
            </w:tcBorders>
            <w:shd w:val="clear" w:color="auto" w:fill="DAE8F0"/>
          </w:tcPr>
          <w:p>
            <w:pPr>
              <w:spacing w:after="0"/>
              <w:rPr>
                <w:sz w:val="5"/>
                <w:szCs w:val="5"/>
                <w:color w:val="auto"/>
              </w:rPr>
            </w:pPr>
          </w:p>
        </w:tc>
        <w:tc>
          <w:tcPr>
            <w:tcW w:w="1220" w:type="dxa"/>
            <w:vAlign w:val="bottom"/>
            <w:tcBorders>
              <w:top w:val="single" w:sz="8" w:color="DAE8F0"/>
              <w:bottom w:val="single" w:sz="8" w:color="91BBD3"/>
            </w:tcBorders>
            <w:shd w:val="clear" w:color="auto" w:fill="DAE8F0"/>
          </w:tcPr>
          <w:p>
            <w:pPr>
              <w:spacing w:after="0"/>
              <w:rPr>
                <w:sz w:val="5"/>
                <w:szCs w:val="5"/>
                <w:color w:val="auto"/>
              </w:rPr>
            </w:pPr>
          </w:p>
        </w:tc>
        <w:tc>
          <w:tcPr>
            <w:tcW w:w="20" w:type="dxa"/>
            <w:vAlign w:val="bottom"/>
            <w:tcBorders>
              <w:top w:val="single" w:sz="8" w:color="DAE8F0"/>
              <w:bottom w:val="single" w:sz="8" w:color="91BBD3"/>
            </w:tcBorders>
            <w:shd w:val="clear" w:color="auto" w:fill="DAE8F0"/>
          </w:tcPr>
          <w:p>
            <w:pPr>
              <w:spacing w:after="0"/>
              <w:rPr>
                <w:sz w:val="5"/>
                <w:szCs w:val="5"/>
                <w:color w:val="auto"/>
              </w:rPr>
            </w:pPr>
          </w:p>
        </w:tc>
        <w:tc>
          <w:tcPr>
            <w:tcW w:w="20" w:type="dxa"/>
            <w:vAlign w:val="bottom"/>
            <w:tcBorders>
              <w:top w:val="single" w:sz="8" w:color="DAE8F0"/>
              <w:bottom w:val="single" w:sz="8" w:color="91BBD3"/>
            </w:tcBorders>
            <w:shd w:val="clear" w:color="auto" w:fill="DAE8F0"/>
          </w:tcPr>
          <w:p>
            <w:pPr>
              <w:spacing w:after="0"/>
              <w:rPr>
                <w:sz w:val="5"/>
                <w:szCs w:val="5"/>
                <w:color w:val="auto"/>
              </w:rPr>
            </w:pPr>
          </w:p>
        </w:tc>
        <w:tc>
          <w:tcPr>
            <w:tcW w:w="4294967257" w:type="dxa"/>
            <w:vAlign w:val="bottom"/>
            <w:tcBorders>
              <w:top w:val="single" w:sz="8" w:color="DAE8F0"/>
              <w:bottom w:val="single" w:sz="8" w:color="91BBD3"/>
              <w:right w:val="single" w:sz="8" w:color="DAE8F0"/>
            </w:tcBorders>
            <w:shd w:val="clear" w:color="auto" w:fill="DAE8F0"/>
          </w:tcPr>
          <w:p>
            <w:pPr>
              <w:spacing w:after="0"/>
              <w:rPr>
                <w:sz w:val="5"/>
                <w:szCs w:val="5"/>
                <w:color w:val="auto"/>
              </w:rPr>
            </w:pPr>
          </w:p>
        </w:tc>
        <w:tc>
          <w:tcPr>
            <w:tcW w:w="120" w:type="dxa"/>
            <w:vAlign w:val="bottom"/>
            <w:tcBorders>
              <w:top w:val="single" w:sz="8" w:color="DAE8F0"/>
              <w:bottom w:val="single" w:sz="8" w:color="91BBD3"/>
              <w:right w:val="single" w:sz="8" w:color="91BBD3"/>
            </w:tcBorders>
            <w:shd w:val="clear" w:color="auto" w:fill="DAE8F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right w:val="single" w:sz="8" w:color="91BBD3"/>
            </w:tcBorders>
          </w:tcPr>
          <w:p>
            <w:pPr>
              <w:ind w:left="120"/>
              <w:spacing w:after="0" w:line="169" w:lineRule="exact"/>
              <w:rPr>
                <w:sz w:val="20"/>
                <w:szCs w:val="20"/>
                <w:color w:val="auto"/>
              </w:rPr>
            </w:pPr>
            <w:r>
              <w:rPr>
                <w:rFonts w:ascii="Calibri" w:cs="Calibri" w:eastAsia="Calibri" w:hAnsi="Calibri"/>
                <w:sz w:val="18"/>
                <w:szCs w:val="18"/>
                <w:b w:val="1"/>
                <w:bCs w:val="1"/>
                <w:color w:val="auto"/>
              </w:rPr>
              <w:t>*23.01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40" w:type="dxa"/>
            <w:vAlign w:val="bottom"/>
            <w:tcBorders>
              <w:bottom w:val="single" w:sz="8" w:color="0563C1"/>
            </w:tcBorders>
            <w:gridSpan w:val="14"/>
          </w:tcPr>
          <w:p>
            <w:pPr>
              <w:spacing w:after="0" w:line="169" w:lineRule="exact"/>
              <w:rPr>
                <w:sz w:val="20"/>
                <w:szCs w:val="20"/>
                <w:color w:val="auto"/>
              </w:rPr>
            </w:pPr>
            <w:r>
              <w:rPr>
                <w:rFonts w:ascii="MS PGothic" w:cs="MS PGothic" w:eastAsia="MS PGothic" w:hAnsi="MS PGothic"/>
                <w:sz w:val="18"/>
                <w:szCs w:val="18"/>
                <w:color w:val="0563C1"/>
                <w:w w:val="98"/>
              </w:rPr>
              <w:t>Consent of PricewaterhouseCoopers LLP, Independent Registered Public Accountng Firm for Martn Marieta Materials, Inc.</w:t>
            </w:r>
          </w:p>
        </w:tc>
        <w:tc>
          <w:tcPr>
            <w:tcW w:w="80" w:type="dxa"/>
            <w:vAlign w:val="bottom"/>
            <w:tcBorders>
              <w:right w:val="single" w:sz="8" w:color="91BBD3"/>
            </w:tcBorders>
            <w:gridSpan w:val="2"/>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120" w:type="dxa"/>
            <w:vAlign w:val="bottom"/>
            <w:tcBorders>
              <w:right w:val="single" w:sz="8" w:color="91BBD3"/>
            </w:tcBorders>
            <w:gridSpan w:val="16"/>
          </w:tcPr>
          <w:p>
            <w:pPr>
              <w:spacing w:after="0"/>
              <w:rPr>
                <w:sz w:val="20"/>
                <w:szCs w:val="20"/>
                <w:color w:val="auto"/>
              </w:rPr>
            </w:pPr>
            <w:r>
              <w:rPr>
                <w:rFonts w:ascii="MS PGothic" w:cs="MS PGothic" w:eastAsia="MS PGothic" w:hAnsi="MS PGothic"/>
                <w:sz w:val="18"/>
                <w:szCs w:val="18"/>
                <w:color w:val="0563C1"/>
              </w:rPr>
              <w:t>and consolidated subsidiaries</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680" w:type="dxa"/>
            <w:vAlign w:val="bottom"/>
            <w:tcBorders>
              <w:left w:val="single" w:sz="8" w:color="91BBD3"/>
              <w:bottom w:val="single" w:sz="8" w:color="91BBD3"/>
              <w:right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80" w:type="dxa"/>
            <w:vAlign w:val="bottom"/>
            <w:tcBorders>
              <w:bottom w:val="single" w:sz="8" w:color="91BBD3"/>
            </w:tcBorders>
          </w:tcPr>
          <w:p>
            <w:pPr>
              <w:spacing w:after="0"/>
              <w:rPr>
                <w:sz w:val="4"/>
                <w:szCs w:val="4"/>
                <w:color w:val="auto"/>
              </w:rPr>
            </w:pPr>
          </w:p>
        </w:tc>
        <w:tc>
          <w:tcPr>
            <w:tcW w:w="740" w:type="dxa"/>
            <w:vAlign w:val="bottom"/>
            <w:tcBorders>
              <w:top w:val="single" w:sz="8" w:color="0563C1"/>
              <w:bottom w:val="single" w:sz="8" w:color="91BBD3"/>
            </w:tcBorders>
          </w:tcPr>
          <w:p>
            <w:pPr>
              <w:spacing w:after="0"/>
              <w:rPr>
                <w:sz w:val="4"/>
                <w:szCs w:val="4"/>
                <w:color w:val="auto"/>
              </w:rPr>
            </w:pPr>
          </w:p>
        </w:tc>
        <w:tc>
          <w:tcPr>
            <w:tcW w:w="1360" w:type="dxa"/>
            <w:vAlign w:val="bottom"/>
            <w:tcBorders>
              <w:top w:val="single" w:sz="8" w:color="0563C1"/>
              <w:bottom w:val="single" w:sz="8" w:color="91BBD3"/>
            </w:tcBorders>
          </w:tcPr>
          <w:p>
            <w:pPr>
              <w:spacing w:after="0"/>
              <w:rPr>
                <w:sz w:val="4"/>
                <w:szCs w:val="4"/>
                <w:color w:val="auto"/>
              </w:rPr>
            </w:pPr>
          </w:p>
        </w:tc>
        <w:tc>
          <w:tcPr>
            <w:tcW w:w="980" w:type="dxa"/>
            <w:vAlign w:val="bottom"/>
            <w:tcBorders>
              <w:bottom w:val="single" w:sz="8" w:color="91BBD3"/>
            </w:tcBorders>
          </w:tcPr>
          <w:p>
            <w:pPr>
              <w:spacing w:after="0"/>
              <w:rPr>
                <w:sz w:val="4"/>
                <w:szCs w:val="4"/>
                <w:color w:val="auto"/>
              </w:rPr>
            </w:pPr>
          </w:p>
        </w:tc>
        <w:tc>
          <w:tcPr>
            <w:tcW w:w="640" w:type="dxa"/>
            <w:vAlign w:val="bottom"/>
            <w:tcBorders>
              <w:bottom w:val="single" w:sz="8" w:color="91BBD3"/>
            </w:tcBorders>
          </w:tcPr>
          <w:p>
            <w:pPr>
              <w:spacing w:after="0"/>
              <w:rPr>
                <w:sz w:val="4"/>
                <w:szCs w:val="4"/>
                <w:color w:val="auto"/>
              </w:rPr>
            </w:pPr>
          </w:p>
        </w:tc>
        <w:tc>
          <w:tcPr>
            <w:tcW w:w="360" w:type="dxa"/>
            <w:vAlign w:val="bottom"/>
            <w:tcBorders>
              <w:bottom w:val="single" w:sz="8" w:color="91BBD3"/>
            </w:tcBorders>
          </w:tcPr>
          <w:p>
            <w:pPr>
              <w:spacing w:after="0"/>
              <w:rPr>
                <w:sz w:val="4"/>
                <w:szCs w:val="4"/>
                <w:color w:val="auto"/>
              </w:rPr>
            </w:pPr>
          </w:p>
        </w:tc>
        <w:tc>
          <w:tcPr>
            <w:tcW w:w="600" w:type="dxa"/>
            <w:vAlign w:val="bottom"/>
            <w:tcBorders>
              <w:bottom w:val="single" w:sz="8" w:color="91BBD3"/>
            </w:tcBorders>
          </w:tcPr>
          <w:p>
            <w:pPr>
              <w:spacing w:after="0"/>
              <w:rPr>
                <w:sz w:val="4"/>
                <w:szCs w:val="4"/>
                <w:color w:val="auto"/>
              </w:rPr>
            </w:pPr>
          </w:p>
        </w:tc>
        <w:tc>
          <w:tcPr>
            <w:tcW w:w="60" w:type="dxa"/>
            <w:vAlign w:val="bottom"/>
            <w:tcBorders>
              <w:bottom w:val="single" w:sz="8" w:color="91BBD3"/>
            </w:tcBorders>
          </w:tcPr>
          <w:p>
            <w:pPr>
              <w:spacing w:after="0"/>
              <w:rPr>
                <w:sz w:val="4"/>
                <w:szCs w:val="4"/>
                <w:color w:val="auto"/>
              </w:rPr>
            </w:pPr>
          </w:p>
        </w:tc>
        <w:tc>
          <w:tcPr>
            <w:tcW w:w="1240" w:type="dxa"/>
            <w:vAlign w:val="bottom"/>
            <w:tcBorders>
              <w:bottom w:val="single" w:sz="8" w:color="91BBD3"/>
            </w:tcBorders>
          </w:tcPr>
          <w:p>
            <w:pPr>
              <w:spacing w:after="0"/>
              <w:rPr>
                <w:sz w:val="4"/>
                <w:szCs w:val="4"/>
                <w:color w:val="auto"/>
              </w:rPr>
            </w:pPr>
          </w:p>
        </w:tc>
        <w:tc>
          <w:tcPr>
            <w:tcW w:w="400" w:type="dxa"/>
            <w:vAlign w:val="bottom"/>
            <w:tcBorders>
              <w:bottom w:val="single" w:sz="8" w:color="91BBD3"/>
            </w:tcBorders>
          </w:tcPr>
          <w:p>
            <w:pPr>
              <w:spacing w:after="0"/>
              <w:rPr>
                <w:sz w:val="4"/>
                <w:szCs w:val="4"/>
                <w:color w:val="auto"/>
              </w:rPr>
            </w:pPr>
          </w:p>
        </w:tc>
        <w:tc>
          <w:tcPr>
            <w:tcW w:w="320" w:type="dxa"/>
            <w:vAlign w:val="bottom"/>
            <w:tcBorders>
              <w:bottom w:val="single" w:sz="8" w:color="91BBD3"/>
            </w:tcBorders>
          </w:tcPr>
          <w:p>
            <w:pPr>
              <w:spacing w:after="0"/>
              <w:rPr>
                <w:sz w:val="4"/>
                <w:szCs w:val="4"/>
                <w:color w:val="auto"/>
              </w:rPr>
            </w:pPr>
          </w:p>
        </w:tc>
        <w:tc>
          <w:tcPr>
            <w:tcW w:w="1080" w:type="dxa"/>
            <w:vAlign w:val="bottom"/>
            <w:tcBorders>
              <w:bottom w:val="single" w:sz="8" w:color="91BBD3"/>
            </w:tcBorders>
          </w:tcPr>
          <w:p>
            <w:pPr>
              <w:spacing w:after="0"/>
              <w:rPr>
                <w:sz w:val="4"/>
                <w:szCs w:val="4"/>
                <w:color w:val="auto"/>
              </w:rPr>
            </w:pPr>
          </w:p>
        </w:tc>
        <w:tc>
          <w:tcPr>
            <w:tcW w:w="122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4294967257" w:type="dxa"/>
            <w:vAlign w:val="bottom"/>
            <w:tcBorders>
              <w:bottom w:val="single" w:sz="8" w:color="91BBD3"/>
            </w:tcBorders>
          </w:tcPr>
          <w:p>
            <w:pPr>
              <w:spacing w:after="0"/>
              <w:rPr>
                <w:sz w:val="4"/>
                <w:szCs w:val="4"/>
                <w:color w:val="auto"/>
              </w:rPr>
            </w:pPr>
          </w:p>
        </w:tc>
        <w:tc>
          <w:tcPr>
            <w:tcW w:w="120" w:type="dxa"/>
            <w:vAlign w:val="bottom"/>
            <w:tcBorders>
              <w:bottom w:val="single" w:sz="8" w:color="91BBD3"/>
              <w:right w:val="single" w:sz="8" w:color="91BBD3"/>
            </w:tcBorders>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6"/>
        </w:trPr>
        <w:tc>
          <w:tcPr>
            <w:tcW w:w="1680" w:type="dxa"/>
            <w:vAlign w:val="bottom"/>
          </w:tcPr>
          <w:p>
            <w:pPr>
              <w:ind w:left="20"/>
              <w:spacing w:after="0"/>
              <w:rPr>
                <w:sz w:val="20"/>
                <w:szCs w:val="20"/>
                <w:color w:val="auto"/>
              </w:rPr>
            </w:pPr>
            <w:r>
              <w:rPr>
                <w:rFonts w:ascii="MS PGothic" w:cs="MS PGothic" w:eastAsia="MS PGothic" w:hAnsi="MS PGothic"/>
                <w:sz w:val="18"/>
                <w:szCs w:val="18"/>
                <w:color w:val="auto"/>
              </w:rPr>
              <w:t xml:space="preserve">Form 10-K </w:t>
            </w:r>
            <w:r>
              <w:rPr>
                <w:rFonts w:ascii="Arial" w:cs="Arial" w:eastAsia="Arial" w:hAnsi="Arial"/>
                <w:sz w:val="23"/>
                <w:szCs w:val="23"/>
                <w:color w:val="0070C0"/>
              </w:rPr>
              <w:t>♦</w:t>
            </w:r>
            <w:r>
              <w:rPr>
                <w:rFonts w:ascii="MS PGothic" w:cs="MS PGothic" w:eastAsia="MS PGothic" w:hAnsi="MS PGothic"/>
                <w:sz w:val="18"/>
                <w:szCs w:val="18"/>
                <w:color w:val="auto"/>
              </w:rPr>
              <w:t xml:space="preserve"> 120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57"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94967257"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-402590</wp:posOffset>
            </wp:positionV>
            <wp:extent cx="325755" cy="19685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38">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2" w:name="page123"/>
    <w:bookmarkEnd w:id="122"/>
    <w:tbl>
      <w:tblPr>
        <w:tblLayout w:type="fixed"/>
        <w:tblInd w:w="10" w:type="dxa"/>
        <w:tblCellMar>
          <w:top w:w="0" w:type="dxa"/>
          <w:left w:w="0" w:type="dxa"/>
          <w:bottom w:w="0" w:type="dxa"/>
          <w:right w:w="0" w:type="dxa"/>
        </w:tblCellMar>
      </w:tblPr>
      <w:tr>
        <w:trPr>
          <w:trHeight w:val="308"/>
        </w:trPr>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gridSpan w:val="6"/>
          </w:tcPr>
          <w:p>
            <w:pPr>
              <w:ind w:left="2200"/>
              <w:spacing w:after="0"/>
              <w:rPr>
                <w:sz w:val="20"/>
                <w:szCs w:val="20"/>
                <w:color w:val="auto"/>
              </w:rPr>
            </w:pPr>
            <w:r>
              <w:rPr>
                <w:rFonts w:ascii="MS PGothic" w:cs="MS PGothic" w:eastAsia="MS PGothic" w:hAnsi="MS PGothic"/>
                <w:sz w:val="18"/>
                <w:szCs w:val="18"/>
                <w:color w:val="auto"/>
                <w:w w:val="93"/>
              </w:rPr>
              <w:t xml:space="preserve">Part IV </w:t>
            </w:r>
            <w:r>
              <w:rPr>
                <w:rFonts w:ascii="Arial" w:cs="Arial" w:eastAsia="Arial" w:hAnsi="Arial"/>
                <w:sz w:val="23"/>
                <w:szCs w:val="23"/>
                <w:color w:val="0070C0"/>
                <w:w w:val="93"/>
              </w:rPr>
              <w:t>♦</w:t>
            </w:r>
            <w:r>
              <w:rPr>
                <w:rFonts w:ascii="MS PGothic" w:cs="MS PGothic" w:eastAsia="MS PGothic" w:hAnsi="MS PGothic"/>
                <w:sz w:val="18"/>
                <w:szCs w:val="18"/>
                <w:color w:val="auto"/>
                <w:w w:val="93"/>
              </w:rPr>
              <w:t xml:space="preserve"> Item 15 – Exhibits and Financial Statement Schedules</w:t>
            </w:r>
          </w:p>
        </w:tc>
        <w:tc>
          <w:tcPr>
            <w:tcW w:w="0" w:type="dxa"/>
            <w:vAlign w:val="bottom"/>
          </w:tcPr>
          <w:p>
            <w:pPr>
              <w:spacing w:after="0"/>
              <w:rPr>
                <w:sz w:val="1"/>
                <w:szCs w:val="1"/>
                <w:color w:val="auto"/>
              </w:rPr>
            </w:pPr>
          </w:p>
        </w:tc>
      </w:tr>
      <w:tr>
        <w:trPr>
          <w:trHeight w:val="166"/>
        </w:trPr>
        <w:tc>
          <w:tcPr>
            <w:tcW w:w="1680" w:type="dxa"/>
            <w:vAlign w:val="bottom"/>
            <w:tcBorders>
              <w:bottom w:val="single" w:sz="8" w:color="91BBD3"/>
            </w:tcBorders>
          </w:tcPr>
          <w:p>
            <w:pPr>
              <w:spacing w:after="0"/>
              <w:rPr>
                <w:sz w:val="14"/>
                <w:szCs w:val="14"/>
                <w:color w:val="auto"/>
              </w:rPr>
            </w:pPr>
          </w:p>
        </w:tc>
        <w:tc>
          <w:tcPr>
            <w:tcW w:w="100" w:type="dxa"/>
            <w:vAlign w:val="bottom"/>
            <w:tcBorders>
              <w:bottom w:val="single" w:sz="8" w:color="007DC6"/>
            </w:tcBorders>
          </w:tcPr>
          <w:p>
            <w:pPr>
              <w:spacing w:after="0"/>
              <w:rPr>
                <w:sz w:val="14"/>
                <w:szCs w:val="14"/>
                <w:color w:val="auto"/>
              </w:rPr>
            </w:pPr>
          </w:p>
        </w:tc>
        <w:tc>
          <w:tcPr>
            <w:tcW w:w="2140" w:type="dxa"/>
            <w:vAlign w:val="bottom"/>
            <w:tcBorders>
              <w:bottom w:val="single" w:sz="8" w:color="007DC6"/>
            </w:tcBorders>
          </w:tcPr>
          <w:p>
            <w:pPr>
              <w:spacing w:after="0"/>
              <w:rPr>
                <w:sz w:val="14"/>
                <w:szCs w:val="14"/>
                <w:color w:val="auto"/>
              </w:rPr>
            </w:pPr>
          </w:p>
        </w:tc>
        <w:tc>
          <w:tcPr>
            <w:tcW w:w="280" w:type="dxa"/>
            <w:vAlign w:val="bottom"/>
            <w:tcBorders>
              <w:bottom w:val="single" w:sz="8" w:color="007DC6"/>
            </w:tcBorders>
          </w:tcPr>
          <w:p>
            <w:pPr>
              <w:spacing w:after="0"/>
              <w:rPr>
                <w:sz w:val="14"/>
                <w:szCs w:val="14"/>
                <w:color w:val="auto"/>
              </w:rPr>
            </w:pPr>
          </w:p>
        </w:tc>
        <w:tc>
          <w:tcPr>
            <w:tcW w:w="320" w:type="dxa"/>
            <w:vAlign w:val="bottom"/>
            <w:tcBorders>
              <w:bottom w:val="single" w:sz="8" w:color="007DC6"/>
            </w:tcBorders>
          </w:tcPr>
          <w:p>
            <w:pPr>
              <w:spacing w:after="0"/>
              <w:rPr>
                <w:sz w:val="14"/>
                <w:szCs w:val="14"/>
                <w:color w:val="auto"/>
              </w:rPr>
            </w:pPr>
          </w:p>
        </w:tc>
        <w:tc>
          <w:tcPr>
            <w:tcW w:w="2260" w:type="dxa"/>
            <w:vAlign w:val="bottom"/>
            <w:tcBorders>
              <w:bottom w:val="single" w:sz="8" w:color="007DC6"/>
            </w:tcBorders>
          </w:tcPr>
          <w:p>
            <w:pPr>
              <w:spacing w:after="0"/>
              <w:rPr>
                <w:sz w:val="14"/>
                <w:szCs w:val="14"/>
                <w:color w:val="auto"/>
              </w:rPr>
            </w:pPr>
          </w:p>
        </w:tc>
        <w:tc>
          <w:tcPr>
            <w:tcW w:w="780" w:type="dxa"/>
            <w:vAlign w:val="bottom"/>
            <w:tcBorders>
              <w:bottom w:val="single" w:sz="8" w:color="007DC6"/>
            </w:tcBorders>
          </w:tcPr>
          <w:p>
            <w:pPr>
              <w:spacing w:after="0"/>
              <w:rPr>
                <w:sz w:val="14"/>
                <w:szCs w:val="14"/>
                <w:color w:val="auto"/>
              </w:rPr>
            </w:pPr>
          </w:p>
        </w:tc>
        <w:tc>
          <w:tcPr>
            <w:tcW w:w="32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100" w:type="dxa"/>
            <w:vAlign w:val="bottom"/>
            <w:tcBorders>
              <w:bottom w:val="single" w:sz="8" w:color="007DC6"/>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1680" w:type="dxa"/>
            <w:vAlign w:val="bottom"/>
            <w:tcBorders>
              <w:left w:val="single" w:sz="8" w:color="91BBD3"/>
              <w:bottom w:val="single" w:sz="8" w:color="007DC6"/>
              <w:right w:val="single" w:sz="8" w:color="91BBD3"/>
            </w:tcBorders>
            <w:shd w:val="clear" w:color="auto" w:fill="007DC6"/>
          </w:tcPr>
          <w:p>
            <w:pPr>
              <w:ind w:left="440"/>
              <w:spacing w:after="0"/>
              <w:rPr>
                <w:sz w:val="20"/>
                <w:szCs w:val="20"/>
                <w:color w:val="auto"/>
              </w:rPr>
            </w:pPr>
            <w:r>
              <w:rPr>
                <w:rFonts w:ascii="Calibri" w:cs="Calibri" w:eastAsia="Calibri" w:hAnsi="Calibri"/>
                <w:sz w:val="18"/>
                <w:szCs w:val="18"/>
                <w:b w:val="1"/>
                <w:bCs w:val="1"/>
                <w:color w:val="FFFFFF"/>
              </w:rPr>
              <w:t>Exhibit No.</w:t>
            </w:r>
          </w:p>
        </w:tc>
        <w:tc>
          <w:tcPr>
            <w:tcW w:w="100" w:type="dxa"/>
            <w:vAlign w:val="bottom"/>
            <w:tcBorders>
              <w:bottom w:val="single" w:sz="8" w:color="007DC6"/>
            </w:tcBorders>
            <w:shd w:val="clear" w:color="auto" w:fill="007DC6"/>
          </w:tcPr>
          <w:p>
            <w:pPr>
              <w:spacing w:after="0"/>
              <w:rPr>
                <w:sz w:val="24"/>
                <w:szCs w:val="24"/>
                <w:color w:val="auto"/>
              </w:rPr>
            </w:pPr>
          </w:p>
        </w:tc>
        <w:tc>
          <w:tcPr>
            <w:tcW w:w="2140" w:type="dxa"/>
            <w:vAlign w:val="bottom"/>
            <w:tcBorders>
              <w:bottom w:val="single" w:sz="8" w:color="007DC6"/>
            </w:tcBorders>
            <w:shd w:val="clear" w:color="auto" w:fill="007DC6"/>
          </w:tcPr>
          <w:p>
            <w:pPr>
              <w:spacing w:after="0"/>
              <w:rPr>
                <w:sz w:val="24"/>
                <w:szCs w:val="24"/>
                <w:color w:val="auto"/>
              </w:rPr>
            </w:pPr>
          </w:p>
        </w:tc>
        <w:tc>
          <w:tcPr>
            <w:tcW w:w="280" w:type="dxa"/>
            <w:vAlign w:val="bottom"/>
            <w:tcBorders>
              <w:bottom w:val="single" w:sz="8" w:color="007DC6"/>
            </w:tcBorders>
            <w:shd w:val="clear" w:color="auto" w:fill="007DC6"/>
          </w:tcPr>
          <w:p>
            <w:pPr>
              <w:spacing w:after="0"/>
              <w:rPr>
                <w:sz w:val="24"/>
                <w:szCs w:val="24"/>
                <w:color w:val="auto"/>
              </w:rPr>
            </w:pPr>
          </w:p>
        </w:tc>
        <w:tc>
          <w:tcPr>
            <w:tcW w:w="320" w:type="dxa"/>
            <w:vAlign w:val="bottom"/>
            <w:tcBorders>
              <w:bottom w:val="single" w:sz="8" w:color="007DC6"/>
            </w:tcBorders>
            <w:shd w:val="clear" w:color="auto" w:fill="007DC6"/>
          </w:tcPr>
          <w:p>
            <w:pPr>
              <w:spacing w:after="0"/>
              <w:rPr>
                <w:sz w:val="24"/>
                <w:szCs w:val="24"/>
                <w:color w:val="auto"/>
              </w:rPr>
            </w:pPr>
          </w:p>
        </w:tc>
        <w:tc>
          <w:tcPr>
            <w:tcW w:w="2260" w:type="dxa"/>
            <w:vAlign w:val="bottom"/>
            <w:tcBorders>
              <w:bottom w:val="single" w:sz="8" w:color="007DC6"/>
            </w:tcBorders>
            <w:shd w:val="clear" w:color="auto" w:fill="007DC6"/>
          </w:tcPr>
          <w:p>
            <w:pPr>
              <w:spacing w:after="0"/>
              <w:rPr>
                <w:sz w:val="24"/>
                <w:szCs w:val="24"/>
                <w:color w:val="auto"/>
              </w:rPr>
            </w:pPr>
          </w:p>
        </w:tc>
        <w:tc>
          <w:tcPr>
            <w:tcW w:w="780" w:type="dxa"/>
            <w:vAlign w:val="bottom"/>
            <w:tcBorders>
              <w:bottom w:val="single" w:sz="8" w:color="007DC6"/>
            </w:tcBorders>
            <w:shd w:val="clear" w:color="auto" w:fill="007DC6"/>
          </w:tcPr>
          <w:p>
            <w:pPr>
              <w:spacing w:after="0"/>
              <w:rPr>
                <w:sz w:val="24"/>
                <w:szCs w:val="24"/>
                <w:color w:val="auto"/>
              </w:rPr>
            </w:pPr>
          </w:p>
        </w:tc>
        <w:tc>
          <w:tcPr>
            <w:tcW w:w="3220" w:type="dxa"/>
            <w:vAlign w:val="bottom"/>
            <w:tcBorders>
              <w:bottom w:val="single" w:sz="8" w:color="007DC6"/>
            </w:tcBorders>
            <w:shd w:val="clear" w:color="auto" w:fill="007DC6"/>
          </w:tcPr>
          <w:p>
            <w:pPr>
              <w:spacing w:after="0"/>
              <w:rPr>
                <w:sz w:val="24"/>
                <w:szCs w:val="24"/>
                <w:color w:val="auto"/>
              </w:rPr>
            </w:pPr>
          </w:p>
        </w:tc>
        <w:tc>
          <w:tcPr>
            <w:tcW w:w="20" w:type="dxa"/>
            <w:vAlign w:val="bottom"/>
            <w:tcBorders>
              <w:bottom w:val="single" w:sz="8" w:color="007DC6"/>
            </w:tcBorders>
            <w:shd w:val="clear" w:color="auto" w:fill="007DC6"/>
          </w:tcPr>
          <w:p>
            <w:pPr>
              <w:spacing w:after="0"/>
              <w:rPr>
                <w:sz w:val="24"/>
                <w:szCs w:val="24"/>
                <w:color w:val="auto"/>
              </w:rPr>
            </w:pPr>
          </w:p>
        </w:tc>
        <w:tc>
          <w:tcPr>
            <w:tcW w:w="100" w:type="dxa"/>
            <w:vAlign w:val="bottom"/>
            <w:tcBorders>
              <w:bottom w:val="single" w:sz="8" w:color="007DC6"/>
              <w:right w:val="single" w:sz="8" w:color="91BBD3"/>
            </w:tcBorders>
            <w:shd w:val="clear" w:color="auto" w:fill="007DC6"/>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91BBD3"/>
              <w:left w:val="single" w:sz="8" w:color="91BBD3"/>
              <w:right w:val="single" w:sz="8" w:color="91BBD3"/>
            </w:tcBorders>
            <w:vMerge w:val="restart"/>
            <w:shd w:val="clear" w:color="auto" w:fill="DAE8F0"/>
          </w:tcPr>
          <w:p>
            <w:pPr>
              <w:ind w:left="120"/>
              <w:spacing w:after="0" w:line="169" w:lineRule="exact"/>
              <w:rPr>
                <w:sz w:val="20"/>
                <w:szCs w:val="20"/>
                <w:color w:val="auto"/>
              </w:rPr>
            </w:pPr>
            <w:r>
              <w:rPr>
                <w:rFonts w:ascii="Calibri" w:cs="Calibri" w:eastAsia="Calibri" w:hAnsi="Calibri"/>
                <w:sz w:val="18"/>
                <w:szCs w:val="18"/>
                <w:b w:val="1"/>
                <w:bCs w:val="1"/>
                <w:color w:val="auto"/>
              </w:rPr>
              <w:t>*24.01</w:t>
            </w:r>
          </w:p>
        </w:tc>
        <w:tc>
          <w:tcPr>
            <w:tcW w:w="100" w:type="dxa"/>
            <w:vAlign w:val="bottom"/>
            <w:tcBorders>
              <w:top w:val="single" w:sz="8" w:color="91BBD3"/>
            </w:tcBorders>
            <w:vMerge w:val="restart"/>
            <w:shd w:val="clear" w:color="auto" w:fill="DAE8F0"/>
          </w:tcPr>
          <w:p>
            <w:pPr>
              <w:spacing w:after="0" w:line="20" w:lineRule="exact"/>
              <w:rPr>
                <w:sz w:val="1"/>
                <w:szCs w:val="1"/>
                <w:color w:val="auto"/>
              </w:rPr>
            </w:pPr>
          </w:p>
        </w:tc>
        <w:tc>
          <w:tcPr>
            <w:tcW w:w="9120" w:type="dxa"/>
            <w:vAlign w:val="bottom"/>
            <w:tcBorders>
              <w:top w:val="single" w:sz="8" w:color="91BBD3"/>
              <w:right w:val="single" w:sz="8" w:color="91BBD3"/>
            </w:tcBorders>
            <w:gridSpan w:val="8"/>
            <w:vMerge w:val="restart"/>
            <w:shd w:val="clear" w:color="auto" w:fill="DAE8F0"/>
          </w:tcPr>
          <w:p>
            <w:pPr>
              <w:spacing w:after="0" w:line="169" w:lineRule="exact"/>
              <w:rPr>
                <w:sz w:val="20"/>
                <w:szCs w:val="20"/>
                <w:color w:val="auto"/>
              </w:rPr>
            </w:pPr>
            <w:r>
              <w:rPr>
                <w:rFonts w:ascii="MS PGothic" w:cs="MS PGothic" w:eastAsia="MS PGothic" w:hAnsi="MS PGothic"/>
                <w:sz w:val="18"/>
                <w:szCs w:val="18"/>
                <w:color w:val="0563C1"/>
              </w:rPr>
              <w:t>Powers of Atorney (included in this Form 10-K immediately following Signatures)</w:t>
            </w:r>
          </w:p>
        </w:tc>
        <w:tc>
          <w:tcPr>
            <w:tcW w:w="3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680" w:type="dxa"/>
            <w:vAlign w:val="bottom"/>
            <w:tcBorders>
              <w:left w:val="single" w:sz="8" w:color="91BBD3"/>
              <w:right w:val="single" w:sz="8" w:color="91BBD3"/>
            </w:tcBorders>
            <w:vMerge w:val="continue"/>
            <w:shd w:val="clear" w:color="auto" w:fill="DAE8F0"/>
          </w:tcPr>
          <w:p>
            <w:pPr>
              <w:spacing w:after="0"/>
              <w:rPr>
                <w:sz w:val="12"/>
                <w:szCs w:val="12"/>
                <w:color w:val="auto"/>
              </w:rPr>
            </w:pPr>
          </w:p>
        </w:tc>
        <w:tc>
          <w:tcPr>
            <w:tcW w:w="100" w:type="dxa"/>
            <w:vAlign w:val="bottom"/>
            <w:vMerge w:val="continue"/>
            <w:shd w:val="clear" w:color="auto" w:fill="DAE8F0"/>
          </w:tcPr>
          <w:p>
            <w:pPr>
              <w:spacing w:after="0"/>
              <w:rPr>
                <w:sz w:val="12"/>
                <w:szCs w:val="12"/>
                <w:color w:val="auto"/>
              </w:rPr>
            </w:pPr>
          </w:p>
        </w:tc>
        <w:tc>
          <w:tcPr>
            <w:tcW w:w="9120" w:type="dxa"/>
            <w:vAlign w:val="bottom"/>
            <w:tcBorders>
              <w:right w:val="single" w:sz="8" w:color="91BBD3"/>
            </w:tcBorders>
            <w:gridSpan w:val="8"/>
            <w:vMerge w:val="continue"/>
            <w:shd w:val="clear" w:color="auto" w:fill="DAE8F0"/>
          </w:tcPr>
          <w:p>
            <w:pPr>
              <w:spacing w:after="0"/>
              <w:rPr>
                <w:sz w:val="12"/>
                <w:szCs w:val="12"/>
                <w:color w:val="auto"/>
              </w:rPr>
            </w:pP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1680" w:type="dxa"/>
            <w:vAlign w:val="bottom"/>
            <w:tcBorders>
              <w:top w:val="single" w:sz="8" w:color="DAE8F0"/>
              <w:left w:val="single" w:sz="8" w:color="91BBD3"/>
              <w:bottom w:val="single" w:sz="8" w:color="91BBD3"/>
              <w:right w:val="single" w:sz="8" w:color="91BBD3"/>
            </w:tcBorders>
            <w:shd w:val="clear" w:color="auto" w:fill="DAE8F0"/>
          </w:tcPr>
          <w:p>
            <w:pPr>
              <w:spacing w:after="0"/>
              <w:rPr>
                <w:sz w:val="5"/>
                <w:szCs w:val="5"/>
                <w:color w:val="auto"/>
              </w:rPr>
            </w:pPr>
          </w:p>
        </w:tc>
        <w:tc>
          <w:tcPr>
            <w:tcW w:w="100" w:type="dxa"/>
            <w:vAlign w:val="bottom"/>
            <w:tcBorders>
              <w:top w:val="single" w:sz="8" w:color="DAE8F0"/>
              <w:bottom w:val="single" w:sz="8" w:color="91BBD3"/>
            </w:tcBorders>
            <w:shd w:val="clear" w:color="auto" w:fill="DAE8F0"/>
          </w:tcPr>
          <w:p>
            <w:pPr>
              <w:spacing w:after="0"/>
              <w:rPr>
                <w:sz w:val="5"/>
                <w:szCs w:val="5"/>
                <w:color w:val="auto"/>
              </w:rPr>
            </w:pPr>
          </w:p>
        </w:tc>
        <w:tc>
          <w:tcPr>
            <w:tcW w:w="2140" w:type="dxa"/>
            <w:vAlign w:val="bottom"/>
            <w:tcBorders>
              <w:top w:val="single" w:sz="8" w:color="0563C1"/>
              <w:bottom w:val="single" w:sz="8" w:color="91BBD3"/>
            </w:tcBorders>
            <w:shd w:val="clear" w:color="auto" w:fill="DAE8F0"/>
          </w:tcPr>
          <w:p>
            <w:pPr>
              <w:spacing w:after="0"/>
              <w:rPr>
                <w:sz w:val="5"/>
                <w:szCs w:val="5"/>
                <w:color w:val="auto"/>
              </w:rPr>
            </w:pPr>
          </w:p>
        </w:tc>
        <w:tc>
          <w:tcPr>
            <w:tcW w:w="280" w:type="dxa"/>
            <w:vAlign w:val="bottom"/>
            <w:tcBorders>
              <w:top w:val="single" w:sz="8" w:color="0563C1"/>
              <w:bottom w:val="single" w:sz="8" w:color="91BBD3"/>
            </w:tcBorders>
            <w:shd w:val="clear" w:color="auto" w:fill="DAE8F0"/>
          </w:tcPr>
          <w:p>
            <w:pPr>
              <w:spacing w:after="0"/>
              <w:rPr>
                <w:sz w:val="5"/>
                <w:szCs w:val="5"/>
                <w:color w:val="auto"/>
              </w:rPr>
            </w:pPr>
          </w:p>
        </w:tc>
        <w:tc>
          <w:tcPr>
            <w:tcW w:w="320" w:type="dxa"/>
            <w:vAlign w:val="bottom"/>
            <w:tcBorders>
              <w:top w:val="single" w:sz="8" w:color="0563C1"/>
              <w:bottom w:val="single" w:sz="8" w:color="91BBD3"/>
            </w:tcBorders>
            <w:shd w:val="clear" w:color="auto" w:fill="DAE8F0"/>
          </w:tcPr>
          <w:p>
            <w:pPr>
              <w:spacing w:after="0"/>
              <w:rPr>
                <w:sz w:val="5"/>
                <w:szCs w:val="5"/>
                <w:color w:val="auto"/>
              </w:rPr>
            </w:pPr>
          </w:p>
        </w:tc>
        <w:tc>
          <w:tcPr>
            <w:tcW w:w="2260" w:type="dxa"/>
            <w:vAlign w:val="bottom"/>
            <w:tcBorders>
              <w:top w:val="single" w:sz="8" w:color="0563C1"/>
              <w:bottom w:val="single" w:sz="8" w:color="91BBD3"/>
            </w:tcBorders>
            <w:shd w:val="clear" w:color="auto" w:fill="DAE8F0"/>
          </w:tcPr>
          <w:p>
            <w:pPr>
              <w:spacing w:after="0"/>
              <w:rPr>
                <w:sz w:val="5"/>
                <w:szCs w:val="5"/>
                <w:color w:val="auto"/>
              </w:rPr>
            </w:pPr>
          </w:p>
        </w:tc>
        <w:tc>
          <w:tcPr>
            <w:tcW w:w="780" w:type="dxa"/>
            <w:vAlign w:val="bottom"/>
            <w:tcBorders>
              <w:top w:val="single" w:sz="8" w:color="0563C1"/>
              <w:bottom w:val="single" w:sz="8" w:color="91BBD3"/>
            </w:tcBorders>
            <w:shd w:val="clear" w:color="auto" w:fill="DAE8F0"/>
          </w:tcPr>
          <w:p>
            <w:pPr>
              <w:spacing w:after="0"/>
              <w:rPr>
                <w:sz w:val="5"/>
                <w:szCs w:val="5"/>
                <w:color w:val="auto"/>
              </w:rPr>
            </w:pPr>
          </w:p>
        </w:tc>
        <w:tc>
          <w:tcPr>
            <w:tcW w:w="3220" w:type="dxa"/>
            <w:vAlign w:val="bottom"/>
            <w:tcBorders>
              <w:top w:val="single" w:sz="8" w:color="DAE8F0"/>
              <w:bottom w:val="single" w:sz="8" w:color="91BBD3"/>
            </w:tcBorders>
            <w:shd w:val="clear" w:color="auto" w:fill="DAE8F0"/>
          </w:tcPr>
          <w:p>
            <w:pPr>
              <w:spacing w:after="0"/>
              <w:rPr>
                <w:sz w:val="5"/>
                <w:szCs w:val="5"/>
                <w:color w:val="auto"/>
              </w:rPr>
            </w:pPr>
          </w:p>
        </w:tc>
        <w:tc>
          <w:tcPr>
            <w:tcW w:w="20" w:type="dxa"/>
            <w:vAlign w:val="bottom"/>
            <w:tcBorders>
              <w:top w:val="single" w:sz="8" w:color="DAE8F0"/>
              <w:bottom w:val="single" w:sz="8" w:color="91BBD3"/>
            </w:tcBorders>
            <w:shd w:val="clear" w:color="auto" w:fill="DAE8F0"/>
          </w:tcPr>
          <w:p>
            <w:pPr>
              <w:spacing w:after="0"/>
              <w:rPr>
                <w:sz w:val="5"/>
                <w:szCs w:val="5"/>
                <w:color w:val="auto"/>
              </w:rPr>
            </w:pPr>
          </w:p>
        </w:tc>
        <w:tc>
          <w:tcPr>
            <w:tcW w:w="100" w:type="dxa"/>
            <w:vAlign w:val="bottom"/>
            <w:tcBorders>
              <w:top w:val="single" w:sz="8" w:color="DAE8F0"/>
              <w:bottom w:val="single" w:sz="8" w:color="91BBD3"/>
              <w:right w:val="single" w:sz="8" w:color="91BBD3"/>
            </w:tcBorders>
            <w:shd w:val="clear" w:color="auto" w:fill="DAE8F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right w:val="single" w:sz="8" w:color="91BBD3"/>
            </w:tcBorders>
          </w:tcPr>
          <w:p>
            <w:pPr>
              <w:ind w:left="120"/>
              <w:spacing w:after="0" w:line="169" w:lineRule="exact"/>
              <w:rPr>
                <w:sz w:val="20"/>
                <w:szCs w:val="20"/>
                <w:color w:val="auto"/>
              </w:rPr>
            </w:pPr>
            <w:r>
              <w:rPr>
                <w:rFonts w:ascii="Calibri" w:cs="Calibri" w:eastAsia="Calibri" w:hAnsi="Calibri"/>
                <w:sz w:val="18"/>
                <w:szCs w:val="18"/>
                <w:b w:val="1"/>
                <w:bCs w:val="1"/>
                <w:color w:val="auto"/>
              </w:rPr>
              <w:t>*31.01</w:t>
            </w:r>
          </w:p>
        </w:tc>
        <w:tc>
          <w:tcPr>
            <w:tcW w:w="100" w:type="dxa"/>
            <w:vAlign w:val="bottom"/>
          </w:tcPr>
          <w:p>
            <w:pPr>
              <w:spacing w:after="0"/>
              <w:rPr>
                <w:sz w:val="14"/>
                <w:szCs w:val="14"/>
                <w:color w:val="auto"/>
              </w:rPr>
            </w:pPr>
          </w:p>
        </w:tc>
        <w:tc>
          <w:tcPr>
            <w:tcW w:w="9020" w:type="dxa"/>
            <w:vAlign w:val="bottom"/>
            <w:tcBorders>
              <w:bottom w:val="single" w:sz="8" w:color="0563C1"/>
            </w:tcBorders>
            <w:gridSpan w:val="7"/>
          </w:tcPr>
          <w:p>
            <w:pPr>
              <w:spacing w:after="0" w:line="169" w:lineRule="exact"/>
              <w:rPr>
                <w:sz w:val="20"/>
                <w:szCs w:val="20"/>
                <w:color w:val="auto"/>
              </w:rPr>
            </w:pPr>
            <w:r>
              <w:rPr>
                <w:rFonts w:ascii="MS PGothic" w:cs="MS PGothic" w:eastAsia="MS PGothic" w:hAnsi="MS PGothic"/>
                <w:sz w:val="18"/>
                <w:szCs w:val="18"/>
                <w:color w:val="0563C1"/>
                <w:w w:val="97"/>
              </w:rPr>
              <w:t>Certfcaton dated February 24, 2023 of Chief Executve Ofcer pursuant to Securites and Exchange Act of 1934, rule 13a‑14,</w:t>
            </w:r>
          </w:p>
        </w:tc>
        <w:tc>
          <w:tcPr>
            <w:tcW w:w="100" w:type="dxa"/>
            <w:vAlign w:val="bottom"/>
            <w:tcBorders>
              <w:right w:val="single" w:sz="8" w:color="91BBD3"/>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8"/>
          </w:tcPr>
          <w:p>
            <w:pPr>
              <w:spacing w:after="0"/>
              <w:rPr>
                <w:sz w:val="20"/>
                <w:szCs w:val="20"/>
                <w:color w:val="auto"/>
              </w:rPr>
            </w:pPr>
            <w:r>
              <w:rPr>
                <w:rFonts w:ascii="MS PGothic" w:cs="MS PGothic" w:eastAsia="MS PGothic" w:hAnsi="MS PGothic"/>
                <w:sz w:val="18"/>
                <w:szCs w:val="18"/>
                <w:color w:val="0563C1"/>
              </w:rPr>
              <w:t>as adopted pursuant to Secton 302 of the Sarbanes-Oxley Act of 2002</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680" w:type="dxa"/>
            <w:vAlign w:val="bottom"/>
            <w:tcBorders>
              <w:left w:val="single" w:sz="8" w:color="91BBD3"/>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2140" w:type="dxa"/>
            <w:vAlign w:val="bottom"/>
            <w:tcBorders>
              <w:top w:val="single" w:sz="8" w:color="0563C1"/>
              <w:bottom w:val="single" w:sz="8" w:color="91BBD3"/>
            </w:tcBorders>
          </w:tcPr>
          <w:p>
            <w:pPr>
              <w:spacing w:after="0"/>
              <w:rPr>
                <w:sz w:val="4"/>
                <w:szCs w:val="4"/>
                <w:color w:val="auto"/>
              </w:rPr>
            </w:pPr>
          </w:p>
        </w:tc>
        <w:tc>
          <w:tcPr>
            <w:tcW w:w="280" w:type="dxa"/>
            <w:vAlign w:val="bottom"/>
            <w:tcBorders>
              <w:top w:val="single" w:sz="8" w:color="0563C1"/>
              <w:bottom w:val="single" w:sz="8" w:color="91BBD3"/>
            </w:tcBorders>
          </w:tcPr>
          <w:p>
            <w:pPr>
              <w:spacing w:after="0"/>
              <w:rPr>
                <w:sz w:val="4"/>
                <w:szCs w:val="4"/>
                <w:color w:val="auto"/>
              </w:rPr>
            </w:pPr>
          </w:p>
        </w:tc>
        <w:tc>
          <w:tcPr>
            <w:tcW w:w="320" w:type="dxa"/>
            <w:vAlign w:val="bottom"/>
            <w:tcBorders>
              <w:top w:val="single" w:sz="8" w:color="0563C1"/>
              <w:bottom w:val="single" w:sz="8" w:color="91BBD3"/>
            </w:tcBorders>
          </w:tcPr>
          <w:p>
            <w:pPr>
              <w:spacing w:after="0"/>
              <w:rPr>
                <w:sz w:val="4"/>
                <w:szCs w:val="4"/>
                <w:color w:val="auto"/>
              </w:rPr>
            </w:pPr>
          </w:p>
        </w:tc>
        <w:tc>
          <w:tcPr>
            <w:tcW w:w="2260" w:type="dxa"/>
            <w:vAlign w:val="bottom"/>
            <w:tcBorders>
              <w:top w:val="single" w:sz="8" w:color="0563C1"/>
              <w:bottom w:val="single" w:sz="8" w:color="91BBD3"/>
            </w:tcBorders>
          </w:tcPr>
          <w:p>
            <w:pPr>
              <w:spacing w:after="0"/>
              <w:rPr>
                <w:sz w:val="4"/>
                <w:szCs w:val="4"/>
                <w:color w:val="auto"/>
              </w:rPr>
            </w:pPr>
          </w:p>
        </w:tc>
        <w:tc>
          <w:tcPr>
            <w:tcW w:w="780" w:type="dxa"/>
            <w:vAlign w:val="bottom"/>
            <w:tcBorders>
              <w:bottom w:val="single" w:sz="8" w:color="91BBD3"/>
            </w:tcBorders>
          </w:tcPr>
          <w:p>
            <w:pPr>
              <w:spacing w:after="0"/>
              <w:rPr>
                <w:sz w:val="4"/>
                <w:szCs w:val="4"/>
                <w:color w:val="auto"/>
              </w:rPr>
            </w:pPr>
          </w:p>
        </w:tc>
        <w:tc>
          <w:tcPr>
            <w:tcW w:w="322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100" w:type="dxa"/>
            <w:vAlign w:val="bottom"/>
            <w:tcBorders>
              <w:bottom w:val="single" w:sz="8" w:color="91BBD3"/>
              <w:right w:val="single" w:sz="8" w:color="91BBD3"/>
            </w:tcBorders>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bottom w:val="single" w:sz="8" w:color="DAE8F0"/>
              <w:right w:val="single" w:sz="8" w:color="91BBD3"/>
            </w:tcBorders>
            <w:shd w:val="clear" w:color="auto" w:fill="DAE8F0"/>
          </w:tcPr>
          <w:p>
            <w:pPr>
              <w:ind w:left="120"/>
              <w:spacing w:after="0" w:line="169" w:lineRule="exact"/>
              <w:rPr>
                <w:sz w:val="20"/>
                <w:szCs w:val="20"/>
                <w:color w:val="auto"/>
              </w:rPr>
            </w:pPr>
            <w:r>
              <w:rPr>
                <w:rFonts w:ascii="Calibri" w:cs="Calibri" w:eastAsia="Calibri" w:hAnsi="Calibri"/>
                <w:sz w:val="18"/>
                <w:szCs w:val="18"/>
                <w:b w:val="1"/>
                <w:bCs w:val="1"/>
                <w:color w:val="auto"/>
              </w:rPr>
              <w:t>*31.02</w:t>
            </w:r>
          </w:p>
        </w:tc>
        <w:tc>
          <w:tcPr>
            <w:tcW w:w="100" w:type="dxa"/>
            <w:vAlign w:val="bottom"/>
            <w:tcBorders>
              <w:bottom w:val="single" w:sz="8" w:color="DAE8F0"/>
            </w:tcBorders>
            <w:shd w:val="clear" w:color="auto" w:fill="DAE8F0"/>
          </w:tcPr>
          <w:p>
            <w:pPr>
              <w:spacing w:after="0"/>
              <w:rPr>
                <w:sz w:val="14"/>
                <w:szCs w:val="14"/>
                <w:color w:val="auto"/>
              </w:rPr>
            </w:pPr>
          </w:p>
        </w:tc>
        <w:tc>
          <w:tcPr>
            <w:tcW w:w="9000" w:type="dxa"/>
            <w:vAlign w:val="bottom"/>
            <w:tcBorders>
              <w:bottom w:val="single" w:sz="8" w:color="0563C1"/>
            </w:tcBorders>
            <w:gridSpan w:val="6"/>
            <w:shd w:val="clear" w:color="auto" w:fill="DAE8F0"/>
          </w:tcPr>
          <w:p>
            <w:pPr>
              <w:spacing w:after="0" w:line="169" w:lineRule="exact"/>
              <w:rPr>
                <w:sz w:val="20"/>
                <w:szCs w:val="20"/>
                <w:color w:val="auto"/>
              </w:rPr>
            </w:pPr>
            <w:r>
              <w:rPr>
                <w:rFonts w:ascii="MS PGothic" w:cs="MS PGothic" w:eastAsia="MS PGothic" w:hAnsi="MS PGothic"/>
                <w:sz w:val="18"/>
                <w:szCs w:val="18"/>
                <w:color w:val="0563C1"/>
                <w:w w:val="97"/>
              </w:rPr>
              <w:t>Certfcaton dated February 24, 2023 of Chief Financial Ofcer pursuant to Securites and Exchange Act of 1934, rule 13a‑14,</w:t>
            </w:r>
          </w:p>
        </w:tc>
        <w:tc>
          <w:tcPr>
            <w:tcW w:w="120" w:type="dxa"/>
            <w:vAlign w:val="bottom"/>
            <w:tcBorders>
              <w:bottom w:val="single" w:sz="8" w:color="DAE8F0"/>
              <w:right w:val="single" w:sz="8" w:color="91BBD3"/>
            </w:tcBorders>
            <w:gridSpan w:val="2"/>
            <w:shd w:val="clear" w:color="auto" w:fill="DAE8F0"/>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680" w:type="dxa"/>
            <w:vAlign w:val="bottom"/>
            <w:tcBorders>
              <w:left w:val="single" w:sz="8" w:color="91BBD3"/>
              <w:bottom w:val="single" w:sz="8" w:color="91BBD3"/>
              <w:right w:val="single" w:sz="8" w:color="91BBD3"/>
            </w:tcBorders>
            <w:shd w:val="clear" w:color="auto" w:fill="DAE8F0"/>
          </w:tcPr>
          <w:p>
            <w:pPr>
              <w:spacing w:after="0"/>
              <w:rPr>
                <w:sz w:val="22"/>
                <w:szCs w:val="22"/>
                <w:color w:val="auto"/>
              </w:rPr>
            </w:pPr>
          </w:p>
        </w:tc>
        <w:tc>
          <w:tcPr>
            <w:tcW w:w="100" w:type="dxa"/>
            <w:vAlign w:val="bottom"/>
            <w:tcBorders>
              <w:bottom w:val="single" w:sz="8" w:color="91BBD3"/>
            </w:tcBorders>
            <w:shd w:val="clear" w:color="auto" w:fill="DAE8F0"/>
          </w:tcPr>
          <w:p>
            <w:pPr>
              <w:spacing w:after="0"/>
              <w:rPr>
                <w:sz w:val="22"/>
                <w:szCs w:val="22"/>
                <w:color w:val="auto"/>
              </w:rPr>
            </w:pPr>
          </w:p>
        </w:tc>
        <w:tc>
          <w:tcPr>
            <w:tcW w:w="5000" w:type="dxa"/>
            <w:vAlign w:val="bottom"/>
            <w:tcBorders>
              <w:bottom w:val="single" w:sz="8" w:color="0563C1"/>
            </w:tcBorders>
            <w:gridSpan w:val="4"/>
            <w:shd w:val="clear" w:color="auto" w:fill="DAE8F0"/>
          </w:tcPr>
          <w:p>
            <w:pPr>
              <w:spacing w:after="0"/>
              <w:rPr>
                <w:sz w:val="20"/>
                <w:szCs w:val="20"/>
                <w:color w:val="auto"/>
              </w:rPr>
            </w:pPr>
            <w:r>
              <w:rPr>
                <w:rFonts w:ascii="MS PGothic" w:cs="MS PGothic" w:eastAsia="MS PGothic" w:hAnsi="MS PGothic"/>
                <w:sz w:val="18"/>
                <w:szCs w:val="18"/>
                <w:color w:val="0563C1"/>
                <w:w w:val="92"/>
              </w:rPr>
              <w:t>as adopted pursuant to Secton 302 of the Sarbanes-Oxley Act of 2002</w:t>
            </w:r>
          </w:p>
        </w:tc>
        <w:tc>
          <w:tcPr>
            <w:tcW w:w="4120" w:type="dxa"/>
            <w:vAlign w:val="bottom"/>
            <w:tcBorders>
              <w:bottom w:val="single" w:sz="8" w:color="91BBD3"/>
              <w:right w:val="single" w:sz="8" w:color="91BBD3"/>
            </w:tcBorders>
            <w:gridSpan w:val="4"/>
            <w:shd w:val="clear" w:color="auto" w:fill="DAE8F0"/>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right w:val="single" w:sz="8" w:color="91BBD3"/>
            </w:tcBorders>
          </w:tcPr>
          <w:p>
            <w:pPr>
              <w:ind w:left="120"/>
              <w:spacing w:after="0" w:line="169" w:lineRule="exact"/>
              <w:rPr>
                <w:sz w:val="20"/>
                <w:szCs w:val="20"/>
                <w:color w:val="auto"/>
              </w:rPr>
            </w:pPr>
            <w:r>
              <w:rPr>
                <w:rFonts w:ascii="Calibri" w:cs="Calibri" w:eastAsia="Calibri" w:hAnsi="Calibri"/>
                <w:sz w:val="18"/>
                <w:szCs w:val="18"/>
                <w:b w:val="1"/>
                <w:bCs w:val="1"/>
                <w:color w:val="auto"/>
              </w:rPr>
              <w:t>*32.01</w:t>
            </w:r>
          </w:p>
        </w:tc>
        <w:tc>
          <w:tcPr>
            <w:tcW w:w="100" w:type="dxa"/>
            <w:vAlign w:val="bottom"/>
          </w:tcPr>
          <w:p>
            <w:pPr>
              <w:spacing w:after="0"/>
              <w:rPr>
                <w:sz w:val="14"/>
                <w:szCs w:val="14"/>
                <w:color w:val="auto"/>
              </w:rPr>
            </w:pPr>
          </w:p>
        </w:tc>
        <w:tc>
          <w:tcPr>
            <w:tcW w:w="9000" w:type="dxa"/>
            <w:vAlign w:val="bottom"/>
            <w:tcBorders>
              <w:bottom w:val="single" w:sz="8" w:color="0563C1"/>
            </w:tcBorders>
            <w:gridSpan w:val="6"/>
          </w:tcPr>
          <w:p>
            <w:pPr>
              <w:spacing w:after="0" w:line="169" w:lineRule="exact"/>
              <w:rPr>
                <w:sz w:val="20"/>
                <w:szCs w:val="20"/>
                <w:color w:val="auto"/>
              </w:rPr>
            </w:pPr>
            <w:r>
              <w:rPr>
                <w:rFonts w:ascii="MS PGothic" w:cs="MS PGothic" w:eastAsia="MS PGothic" w:hAnsi="MS PGothic"/>
                <w:sz w:val="18"/>
                <w:szCs w:val="18"/>
                <w:color w:val="0563C1"/>
                <w:w w:val="99"/>
              </w:rPr>
              <w:t>Certfcaton dated February 24, 2023 of Chief Executve Ofcer required by 18 U.S.C. 1350, as adopted pursuant to Secton</w:t>
            </w:r>
          </w:p>
        </w:tc>
        <w:tc>
          <w:tcPr>
            <w:tcW w:w="120" w:type="dxa"/>
            <w:vAlign w:val="bottom"/>
            <w:tcBorders>
              <w:right w:val="single" w:sz="8" w:color="91BBD3"/>
            </w:tcBorders>
            <w:gridSpan w:val="2"/>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8"/>
          </w:tcPr>
          <w:p>
            <w:pPr>
              <w:spacing w:after="0"/>
              <w:rPr>
                <w:sz w:val="20"/>
                <w:szCs w:val="20"/>
                <w:color w:val="auto"/>
              </w:rPr>
            </w:pPr>
            <w:r>
              <w:rPr>
                <w:rFonts w:ascii="MS PGothic" w:cs="MS PGothic" w:eastAsia="MS PGothic" w:hAnsi="MS PGothic"/>
                <w:sz w:val="18"/>
                <w:szCs w:val="18"/>
                <w:color w:val="0563C1"/>
              </w:rPr>
              <w:t>906 of the Sarbanes-Oxley Act of 2002</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680" w:type="dxa"/>
            <w:vAlign w:val="bottom"/>
            <w:tcBorders>
              <w:left w:val="single" w:sz="8" w:color="91BBD3"/>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2140" w:type="dxa"/>
            <w:vAlign w:val="bottom"/>
            <w:tcBorders>
              <w:top w:val="single" w:sz="8" w:color="0563C1"/>
              <w:bottom w:val="single" w:sz="8" w:color="91BBD3"/>
            </w:tcBorders>
          </w:tcPr>
          <w:p>
            <w:pPr>
              <w:spacing w:after="0"/>
              <w:rPr>
                <w:sz w:val="4"/>
                <w:szCs w:val="4"/>
                <w:color w:val="auto"/>
              </w:rPr>
            </w:pPr>
          </w:p>
        </w:tc>
        <w:tc>
          <w:tcPr>
            <w:tcW w:w="280" w:type="dxa"/>
            <w:vAlign w:val="bottom"/>
            <w:tcBorders>
              <w:top w:val="single" w:sz="8" w:color="0563C1"/>
              <w:bottom w:val="single" w:sz="8" w:color="91BBD3"/>
            </w:tcBorders>
          </w:tcPr>
          <w:p>
            <w:pPr>
              <w:spacing w:after="0"/>
              <w:rPr>
                <w:sz w:val="4"/>
                <w:szCs w:val="4"/>
                <w:color w:val="auto"/>
              </w:rPr>
            </w:pPr>
          </w:p>
        </w:tc>
        <w:tc>
          <w:tcPr>
            <w:tcW w:w="320" w:type="dxa"/>
            <w:vAlign w:val="bottom"/>
            <w:tcBorders>
              <w:top w:val="single" w:sz="8" w:color="0563C1"/>
              <w:bottom w:val="single" w:sz="8" w:color="91BBD3"/>
            </w:tcBorders>
          </w:tcPr>
          <w:p>
            <w:pPr>
              <w:spacing w:after="0"/>
              <w:rPr>
                <w:sz w:val="4"/>
                <w:szCs w:val="4"/>
                <w:color w:val="auto"/>
              </w:rPr>
            </w:pPr>
          </w:p>
        </w:tc>
        <w:tc>
          <w:tcPr>
            <w:tcW w:w="2260" w:type="dxa"/>
            <w:vAlign w:val="bottom"/>
            <w:tcBorders>
              <w:bottom w:val="single" w:sz="8" w:color="91BBD3"/>
            </w:tcBorders>
          </w:tcPr>
          <w:p>
            <w:pPr>
              <w:spacing w:after="0"/>
              <w:rPr>
                <w:sz w:val="4"/>
                <w:szCs w:val="4"/>
                <w:color w:val="auto"/>
              </w:rPr>
            </w:pPr>
          </w:p>
        </w:tc>
        <w:tc>
          <w:tcPr>
            <w:tcW w:w="780" w:type="dxa"/>
            <w:vAlign w:val="bottom"/>
            <w:tcBorders>
              <w:bottom w:val="single" w:sz="8" w:color="91BBD3"/>
            </w:tcBorders>
          </w:tcPr>
          <w:p>
            <w:pPr>
              <w:spacing w:after="0"/>
              <w:rPr>
                <w:sz w:val="4"/>
                <w:szCs w:val="4"/>
                <w:color w:val="auto"/>
              </w:rPr>
            </w:pPr>
          </w:p>
        </w:tc>
        <w:tc>
          <w:tcPr>
            <w:tcW w:w="322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100" w:type="dxa"/>
            <w:vAlign w:val="bottom"/>
            <w:tcBorders>
              <w:bottom w:val="single" w:sz="8" w:color="91BBD3"/>
              <w:right w:val="single" w:sz="8" w:color="91BBD3"/>
            </w:tcBorders>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right w:val="single" w:sz="8" w:color="91BBD3"/>
            </w:tcBorders>
            <w:shd w:val="clear" w:color="auto" w:fill="DAE8F0"/>
          </w:tcPr>
          <w:p>
            <w:pPr>
              <w:ind w:left="120"/>
              <w:spacing w:after="0" w:line="169" w:lineRule="exact"/>
              <w:rPr>
                <w:sz w:val="20"/>
                <w:szCs w:val="20"/>
                <w:color w:val="auto"/>
              </w:rPr>
            </w:pPr>
            <w:r>
              <w:rPr>
                <w:rFonts w:ascii="Calibri" w:cs="Calibri" w:eastAsia="Calibri" w:hAnsi="Calibri"/>
                <w:sz w:val="18"/>
                <w:szCs w:val="18"/>
                <w:b w:val="1"/>
                <w:bCs w:val="1"/>
                <w:color w:val="auto"/>
              </w:rPr>
              <w:t>*32.02</w:t>
            </w:r>
          </w:p>
        </w:tc>
        <w:tc>
          <w:tcPr>
            <w:tcW w:w="100" w:type="dxa"/>
            <w:vAlign w:val="bottom"/>
            <w:shd w:val="clear" w:color="auto" w:fill="DAE8F0"/>
          </w:tcPr>
          <w:p>
            <w:pPr>
              <w:spacing w:after="0"/>
              <w:rPr>
                <w:sz w:val="14"/>
                <w:szCs w:val="14"/>
                <w:color w:val="auto"/>
              </w:rPr>
            </w:pPr>
          </w:p>
        </w:tc>
        <w:tc>
          <w:tcPr>
            <w:tcW w:w="9120" w:type="dxa"/>
            <w:vAlign w:val="bottom"/>
            <w:tcBorders>
              <w:right w:val="single" w:sz="8" w:color="91BBD3"/>
            </w:tcBorders>
            <w:gridSpan w:val="8"/>
            <w:shd w:val="clear" w:color="auto" w:fill="DAE8F0"/>
          </w:tcPr>
          <w:p>
            <w:pPr>
              <w:spacing w:after="0" w:line="169" w:lineRule="exact"/>
              <w:rPr>
                <w:sz w:val="20"/>
                <w:szCs w:val="20"/>
                <w:color w:val="auto"/>
              </w:rPr>
            </w:pPr>
            <w:r>
              <w:rPr>
                <w:rFonts w:ascii="MS PGothic" w:cs="MS PGothic" w:eastAsia="MS PGothic" w:hAnsi="MS PGothic"/>
                <w:sz w:val="18"/>
                <w:szCs w:val="18"/>
                <w:color w:val="0563C1"/>
                <w:w w:val="97"/>
              </w:rPr>
              <w:t>Certfcaton dated February 24, 2023 of Chief Financial Ofcer required by 18 U.S.C. 1350, as adopted pursuant to Secton 906</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680" w:type="dxa"/>
            <w:vAlign w:val="bottom"/>
            <w:tcBorders>
              <w:top w:val="single" w:sz="8" w:color="DAE8F0"/>
              <w:left w:val="single" w:sz="8" w:color="91BBD3"/>
              <w:right w:val="single" w:sz="8" w:color="91BBD3"/>
            </w:tcBorders>
            <w:shd w:val="clear" w:color="auto" w:fill="DAE8F0"/>
          </w:tcPr>
          <w:p>
            <w:pPr>
              <w:spacing w:after="0"/>
              <w:rPr>
                <w:sz w:val="22"/>
                <w:szCs w:val="22"/>
                <w:color w:val="auto"/>
              </w:rPr>
            </w:pPr>
          </w:p>
        </w:tc>
        <w:tc>
          <w:tcPr>
            <w:tcW w:w="100" w:type="dxa"/>
            <w:vAlign w:val="bottom"/>
            <w:tcBorders>
              <w:top w:val="single" w:sz="8" w:color="DAE8F0"/>
            </w:tcBorders>
            <w:shd w:val="clear" w:color="auto" w:fill="DAE8F0"/>
          </w:tcPr>
          <w:p>
            <w:pPr>
              <w:spacing w:after="0"/>
              <w:rPr>
                <w:sz w:val="22"/>
                <w:szCs w:val="22"/>
                <w:color w:val="auto"/>
              </w:rPr>
            </w:pPr>
          </w:p>
        </w:tc>
        <w:tc>
          <w:tcPr>
            <w:tcW w:w="9000" w:type="dxa"/>
            <w:vAlign w:val="bottom"/>
            <w:tcBorders>
              <w:top w:val="single" w:sz="8" w:color="0563C1"/>
            </w:tcBorders>
            <w:gridSpan w:val="6"/>
            <w:shd w:val="clear" w:color="auto" w:fill="DAE8F0"/>
          </w:tcPr>
          <w:p>
            <w:pPr>
              <w:spacing w:after="0"/>
              <w:rPr>
                <w:sz w:val="20"/>
                <w:szCs w:val="20"/>
                <w:color w:val="auto"/>
              </w:rPr>
            </w:pPr>
            <w:r>
              <w:rPr>
                <w:rFonts w:ascii="MS PGothic" w:cs="MS PGothic" w:eastAsia="MS PGothic" w:hAnsi="MS PGothic"/>
                <w:sz w:val="18"/>
                <w:szCs w:val="18"/>
                <w:color w:val="0563C1"/>
              </w:rPr>
              <w:t>of the Sarbanes-Oxley Act of 2002</w:t>
            </w:r>
          </w:p>
        </w:tc>
        <w:tc>
          <w:tcPr>
            <w:tcW w:w="120" w:type="dxa"/>
            <w:vAlign w:val="bottom"/>
            <w:tcBorders>
              <w:top w:val="single" w:sz="8" w:color="DAE8F0"/>
              <w:right w:val="single" w:sz="8" w:color="91BBD3"/>
            </w:tcBorders>
            <w:gridSpan w:val="2"/>
            <w:shd w:val="clear" w:color="auto" w:fill="DAE8F0"/>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680" w:type="dxa"/>
            <w:vAlign w:val="bottom"/>
            <w:tcBorders>
              <w:top w:val="single" w:sz="8" w:color="91BBD3"/>
              <w:left w:val="single" w:sz="8" w:color="91BBD3"/>
              <w:right w:val="single" w:sz="8" w:color="91BBD3"/>
            </w:tcBorders>
          </w:tcPr>
          <w:p>
            <w:pPr>
              <w:ind w:left="120"/>
              <w:spacing w:after="0" w:line="169" w:lineRule="exact"/>
              <w:rPr>
                <w:sz w:val="20"/>
                <w:szCs w:val="20"/>
                <w:color w:val="auto"/>
              </w:rPr>
            </w:pPr>
            <w:r>
              <w:rPr>
                <w:rFonts w:ascii="Calibri" w:cs="Calibri" w:eastAsia="Calibri" w:hAnsi="Calibri"/>
                <w:sz w:val="18"/>
                <w:szCs w:val="18"/>
                <w:b w:val="1"/>
                <w:bCs w:val="1"/>
                <w:color w:val="auto"/>
              </w:rPr>
              <w:t>*95</w:t>
            </w:r>
          </w:p>
        </w:tc>
        <w:tc>
          <w:tcPr>
            <w:tcW w:w="100" w:type="dxa"/>
            <w:vAlign w:val="bottom"/>
            <w:tcBorders>
              <w:top w:val="single" w:sz="8" w:color="91BBD3"/>
            </w:tcBorders>
          </w:tcPr>
          <w:p>
            <w:pPr>
              <w:spacing w:after="0"/>
              <w:rPr>
                <w:sz w:val="14"/>
                <w:szCs w:val="14"/>
                <w:color w:val="auto"/>
              </w:rPr>
            </w:pPr>
          </w:p>
        </w:tc>
        <w:tc>
          <w:tcPr>
            <w:tcW w:w="2420" w:type="dxa"/>
            <w:vAlign w:val="bottom"/>
            <w:tcBorders>
              <w:top w:val="single" w:sz="8" w:color="0563C1"/>
            </w:tcBorders>
            <w:gridSpan w:val="2"/>
          </w:tcPr>
          <w:p>
            <w:pPr>
              <w:spacing w:after="0" w:line="169" w:lineRule="exact"/>
              <w:rPr>
                <w:sz w:val="20"/>
                <w:szCs w:val="20"/>
                <w:color w:val="auto"/>
              </w:rPr>
            </w:pPr>
            <w:r>
              <w:rPr>
                <w:rFonts w:ascii="MS PGothic" w:cs="MS PGothic" w:eastAsia="MS PGothic" w:hAnsi="MS PGothic"/>
                <w:sz w:val="18"/>
                <w:szCs w:val="18"/>
                <w:color w:val="007DC6"/>
              </w:rPr>
              <w:t>Mine Safety Disclosure Exhibit</w:t>
            </w:r>
          </w:p>
        </w:tc>
        <w:tc>
          <w:tcPr>
            <w:tcW w:w="6700" w:type="dxa"/>
            <w:vAlign w:val="bottom"/>
            <w:tcBorders>
              <w:top w:val="single" w:sz="8" w:color="91BBD3"/>
              <w:right w:val="single" w:sz="8" w:color="91BBD3"/>
            </w:tcBorders>
            <w:gridSpan w:val="6"/>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680" w:type="dxa"/>
            <w:vAlign w:val="bottom"/>
            <w:tcBorders>
              <w:left w:val="single" w:sz="8" w:color="91BBD3"/>
              <w:bottom w:val="single" w:sz="8" w:color="91BBD3"/>
              <w:right w:val="single" w:sz="8" w:color="91BBD3"/>
            </w:tcBorders>
          </w:tcPr>
          <w:p>
            <w:pPr>
              <w:spacing w:after="0"/>
              <w:rPr>
                <w:sz w:val="5"/>
                <w:szCs w:val="5"/>
                <w:color w:val="auto"/>
              </w:rPr>
            </w:pPr>
          </w:p>
        </w:tc>
        <w:tc>
          <w:tcPr>
            <w:tcW w:w="100" w:type="dxa"/>
            <w:vAlign w:val="bottom"/>
            <w:tcBorders>
              <w:bottom w:val="single" w:sz="8" w:color="91BBD3"/>
            </w:tcBorders>
          </w:tcPr>
          <w:p>
            <w:pPr>
              <w:spacing w:after="0"/>
              <w:rPr>
                <w:sz w:val="5"/>
                <w:szCs w:val="5"/>
                <w:color w:val="auto"/>
              </w:rPr>
            </w:pPr>
          </w:p>
        </w:tc>
        <w:tc>
          <w:tcPr>
            <w:tcW w:w="2140" w:type="dxa"/>
            <w:vAlign w:val="bottom"/>
            <w:tcBorders>
              <w:top w:val="single" w:sz="8" w:color="007DC6"/>
              <w:bottom w:val="single" w:sz="8" w:color="91BBD3"/>
            </w:tcBorders>
          </w:tcPr>
          <w:p>
            <w:pPr>
              <w:spacing w:after="0"/>
              <w:rPr>
                <w:sz w:val="5"/>
                <w:szCs w:val="5"/>
                <w:color w:val="auto"/>
              </w:rPr>
            </w:pPr>
          </w:p>
        </w:tc>
        <w:tc>
          <w:tcPr>
            <w:tcW w:w="280" w:type="dxa"/>
            <w:vAlign w:val="bottom"/>
            <w:tcBorders>
              <w:bottom w:val="single" w:sz="8" w:color="91BBD3"/>
            </w:tcBorders>
          </w:tcPr>
          <w:p>
            <w:pPr>
              <w:spacing w:after="0"/>
              <w:rPr>
                <w:sz w:val="5"/>
                <w:szCs w:val="5"/>
                <w:color w:val="auto"/>
              </w:rPr>
            </w:pPr>
          </w:p>
        </w:tc>
        <w:tc>
          <w:tcPr>
            <w:tcW w:w="320" w:type="dxa"/>
            <w:vAlign w:val="bottom"/>
            <w:tcBorders>
              <w:bottom w:val="single" w:sz="8" w:color="91BBD3"/>
            </w:tcBorders>
          </w:tcPr>
          <w:p>
            <w:pPr>
              <w:spacing w:after="0"/>
              <w:rPr>
                <w:sz w:val="5"/>
                <w:szCs w:val="5"/>
                <w:color w:val="auto"/>
              </w:rPr>
            </w:pPr>
          </w:p>
        </w:tc>
        <w:tc>
          <w:tcPr>
            <w:tcW w:w="2260" w:type="dxa"/>
            <w:vAlign w:val="bottom"/>
            <w:tcBorders>
              <w:bottom w:val="single" w:sz="8" w:color="91BBD3"/>
            </w:tcBorders>
          </w:tcPr>
          <w:p>
            <w:pPr>
              <w:spacing w:after="0"/>
              <w:rPr>
                <w:sz w:val="5"/>
                <w:szCs w:val="5"/>
                <w:color w:val="auto"/>
              </w:rPr>
            </w:pPr>
          </w:p>
        </w:tc>
        <w:tc>
          <w:tcPr>
            <w:tcW w:w="780" w:type="dxa"/>
            <w:vAlign w:val="bottom"/>
            <w:tcBorders>
              <w:bottom w:val="single" w:sz="8" w:color="91BBD3"/>
            </w:tcBorders>
          </w:tcPr>
          <w:p>
            <w:pPr>
              <w:spacing w:after="0"/>
              <w:rPr>
                <w:sz w:val="5"/>
                <w:szCs w:val="5"/>
                <w:color w:val="auto"/>
              </w:rPr>
            </w:pPr>
          </w:p>
        </w:tc>
        <w:tc>
          <w:tcPr>
            <w:tcW w:w="3220" w:type="dxa"/>
            <w:vAlign w:val="bottom"/>
            <w:tcBorders>
              <w:bottom w:val="single" w:sz="8" w:color="91BBD3"/>
            </w:tcBorders>
          </w:tcPr>
          <w:p>
            <w:pPr>
              <w:spacing w:after="0"/>
              <w:rPr>
                <w:sz w:val="5"/>
                <w:szCs w:val="5"/>
                <w:color w:val="auto"/>
              </w:rPr>
            </w:pPr>
          </w:p>
        </w:tc>
        <w:tc>
          <w:tcPr>
            <w:tcW w:w="20" w:type="dxa"/>
            <w:vAlign w:val="bottom"/>
            <w:tcBorders>
              <w:bottom w:val="single" w:sz="8" w:color="91BBD3"/>
            </w:tcBorders>
          </w:tcPr>
          <w:p>
            <w:pPr>
              <w:spacing w:after="0"/>
              <w:rPr>
                <w:sz w:val="5"/>
                <w:szCs w:val="5"/>
                <w:color w:val="auto"/>
              </w:rPr>
            </w:pPr>
          </w:p>
        </w:tc>
        <w:tc>
          <w:tcPr>
            <w:tcW w:w="100" w:type="dxa"/>
            <w:vAlign w:val="bottom"/>
            <w:tcBorders>
              <w:bottom w:val="single" w:sz="8" w:color="91BBD3"/>
              <w:right w:val="single" w:sz="8" w:color="91BBD3"/>
            </w:tcBorders>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1680" w:type="dxa"/>
            <w:vAlign w:val="bottom"/>
            <w:tcBorders>
              <w:left w:val="single" w:sz="8" w:color="91BBD3"/>
              <w:bottom w:val="single" w:sz="8" w:color="DAE8F0"/>
              <w:right w:val="single" w:sz="8" w:color="91BBD3"/>
            </w:tcBorders>
            <w:shd w:val="clear" w:color="auto" w:fill="DAE8F0"/>
          </w:tcPr>
          <w:p>
            <w:pPr>
              <w:ind w:left="120"/>
              <w:spacing w:after="0" w:line="208" w:lineRule="exact"/>
              <w:rPr>
                <w:sz w:val="20"/>
                <w:szCs w:val="20"/>
                <w:color w:val="auto"/>
              </w:rPr>
            </w:pPr>
            <w:r>
              <w:rPr>
                <w:rFonts w:ascii="Calibri" w:cs="Calibri" w:eastAsia="Calibri" w:hAnsi="Calibri"/>
                <w:sz w:val="18"/>
                <w:szCs w:val="18"/>
                <w:b w:val="1"/>
                <w:bCs w:val="1"/>
                <w:color w:val="auto"/>
              </w:rPr>
              <w:t>*101</w:t>
            </w:r>
          </w:p>
        </w:tc>
        <w:tc>
          <w:tcPr>
            <w:tcW w:w="100" w:type="dxa"/>
            <w:vAlign w:val="bottom"/>
            <w:tcBorders>
              <w:bottom w:val="single" w:sz="8" w:color="DAE8F0"/>
            </w:tcBorders>
            <w:shd w:val="clear" w:color="auto" w:fill="DAE8F0"/>
          </w:tcPr>
          <w:p>
            <w:pPr>
              <w:spacing w:after="0"/>
              <w:rPr>
                <w:sz w:val="21"/>
                <w:szCs w:val="21"/>
                <w:color w:val="auto"/>
              </w:rPr>
            </w:pPr>
          </w:p>
        </w:tc>
        <w:tc>
          <w:tcPr>
            <w:tcW w:w="9120" w:type="dxa"/>
            <w:vAlign w:val="bottom"/>
            <w:tcBorders>
              <w:bottom w:val="single" w:sz="8" w:color="DAE8F0"/>
              <w:right w:val="single" w:sz="8" w:color="91BBD3"/>
            </w:tcBorders>
            <w:gridSpan w:val="8"/>
            <w:shd w:val="clear" w:color="auto" w:fill="DAE8F0"/>
          </w:tcPr>
          <w:p>
            <w:pPr>
              <w:spacing w:after="0"/>
              <w:rPr>
                <w:sz w:val="20"/>
                <w:szCs w:val="20"/>
                <w:color w:val="auto"/>
              </w:rPr>
            </w:pPr>
            <w:r>
              <w:rPr>
                <w:rFonts w:ascii="MS PGothic" w:cs="MS PGothic" w:eastAsia="MS PGothic" w:hAnsi="MS PGothic"/>
                <w:sz w:val="18"/>
                <w:szCs w:val="18"/>
                <w:color w:val="auto"/>
              </w:rPr>
              <w:t>The following fnancial informaton formated in Inline XBRL:</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680" w:type="dxa"/>
            <w:vAlign w:val="bottom"/>
            <w:tcBorders>
              <w:top w:val="single" w:sz="8" w:color="91BBD3"/>
              <w:left w:val="single" w:sz="8" w:color="91BBD3"/>
              <w:right w:val="single" w:sz="8" w:color="91BBD3"/>
            </w:tcBorders>
          </w:tcPr>
          <w:p>
            <w:pPr>
              <w:ind w:left="120"/>
              <w:spacing w:after="0" w:line="201" w:lineRule="exact"/>
              <w:rPr>
                <w:sz w:val="20"/>
                <w:szCs w:val="20"/>
                <w:color w:val="auto"/>
              </w:rPr>
            </w:pPr>
            <w:r>
              <w:rPr>
                <w:rFonts w:ascii="Calibri" w:cs="Calibri" w:eastAsia="Calibri" w:hAnsi="Calibri"/>
                <w:sz w:val="18"/>
                <w:szCs w:val="18"/>
                <w:b w:val="1"/>
                <w:bCs w:val="1"/>
                <w:color w:val="auto"/>
              </w:rPr>
              <w:t>*101.INS</w:t>
            </w:r>
          </w:p>
        </w:tc>
        <w:tc>
          <w:tcPr>
            <w:tcW w:w="100" w:type="dxa"/>
            <w:vAlign w:val="bottom"/>
            <w:tcBorders>
              <w:top w:val="single" w:sz="8" w:color="91BBD3"/>
            </w:tcBorders>
          </w:tcPr>
          <w:p>
            <w:pPr>
              <w:spacing w:after="0"/>
              <w:rPr>
                <w:sz w:val="17"/>
                <w:szCs w:val="17"/>
                <w:color w:val="auto"/>
              </w:rPr>
            </w:pPr>
          </w:p>
        </w:tc>
        <w:tc>
          <w:tcPr>
            <w:tcW w:w="9120" w:type="dxa"/>
            <w:vAlign w:val="bottom"/>
            <w:tcBorders>
              <w:top w:val="single" w:sz="8" w:color="91BBD3"/>
              <w:right w:val="single" w:sz="8" w:color="91BBD3"/>
            </w:tcBorders>
            <w:gridSpan w:val="8"/>
          </w:tcPr>
          <w:p>
            <w:pPr>
              <w:spacing w:after="0"/>
              <w:rPr>
                <w:sz w:val="20"/>
                <w:szCs w:val="20"/>
                <w:color w:val="auto"/>
              </w:rPr>
            </w:pPr>
            <w:r>
              <w:rPr>
                <w:rFonts w:ascii="MS PGothic" w:cs="MS PGothic" w:eastAsia="MS PGothic" w:hAnsi="MS PGothic"/>
                <w:sz w:val="18"/>
                <w:szCs w:val="18"/>
                <w:color w:val="auto"/>
                <w:w w:val="93"/>
              </w:rPr>
              <w:t>Inline XBRL Instance Document – The instance document does not appear in the Interactve Data File because its XBRL tags are</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680" w:type="dxa"/>
            <w:vAlign w:val="bottom"/>
            <w:tcBorders>
              <w:left w:val="single" w:sz="8" w:color="91BBD3"/>
              <w:right w:val="single" w:sz="8" w:color="91BBD3"/>
            </w:tcBorders>
          </w:tcPr>
          <w:p>
            <w:pPr>
              <w:spacing w:after="0"/>
              <w:rPr>
                <w:sz w:val="18"/>
                <w:szCs w:val="18"/>
                <w:color w:val="auto"/>
              </w:rPr>
            </w:pPr>
          </w:p>
        </w:tc>
        <w:tc>
          <w:tcPr>
            <w:tcW w:w="100" w:type="dxa"/>
            <w:vAlign w:val="bottom"/>
          </w:tcPr>
          <w:p>
            <w:pPr>
              <w:spacing w:after="0"/>
              <w:rPr>
                <w:sz w:val="18"/>
                <w:szCs w:val="18"/>
                <w:color w:val="auto"/>
              </w:rPr>
            </w:pPr>
          </w:p>
        </w:tc>
        <w:tc>
          <w:tcPr>
            <w:tcW w:w="9120" w:type="dxa"/>
            <w:vAlign w:val="bottom"/>
            <w:tcBorders>
              <w:right w:val="single" w:sz="8" w:color="91BBD3"/>
            </w:tcBorders>
            <w:gridSpan w:val="8"/>
          </w:tcPr>
          <w:p>
            <w:pPr>
              <w:spacing w:after="0"/>
              <w:rPr>
                <w:sz w:val="20"/>
                <w:szCs w:val="20"/>
                <w:color w:val="auto"/>
              </w:rPr>
            </w:pPr>
            <w:r>
              <w:rPr>
                <w:rFonts w:ascii="MS PGothic" w:cs="MS PGothic" w:eastAsia="MS PGothic" w:hAnsi="MS PGothic"/>
                <w:sz w:val="18"/>
                <w:szCs w:val="18"/>
                <w:color w:val="auto"/>
              </w:rPr>
              <w:t>embedded within the Inline XBRL document.</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1680" w:type="dxa"/>
            <w:vAlign w:val="bottom"/>
            <w:tcBorders>
              <w:left w:val="single" w:sz="8" w:color="91BBD3"/>
              <w:bottom w:val="single" w:sz="8" w:color="91BBD3"/>
              <w:right w:val="single" w:sz="8" w:color="91BBD3"/>
            </w:tcBorders>
          </w:tcPr>
          <w:p>
            <w:pPr>
              <w:spacing w:after="0"/>
              <w:rPr>
                <w:sz w:val="3"/>
                <w:szCs w:val="3"/>
                <w:color w:val="auto"/>
              </w:rPr>
            </w:pPr>
          </w:p>
        </w:tc>
        <w:tc>
          <w:tcPr>
            <w:tcW w:w="100" w:type="dxa"/>
            <w:vAlign w:val="bottom"/>
            <w:tcBorders>
              <w:bottom w:val="single" w:sz="8" w:color="91BBD3"/>
            </w:tcBorders>
          </w:tcPr>
          <w:p>
            <w:pPr>
              <w:spacing w:after="0"/>
              <w:rPr>
                <w:sz w:val="3"/>
                <w:szCs w:val="3"/>
                <w:color w:val="auto"/>
              </w:rPr>
            </w:pPr>
          </w:p>
        </w:tc>
        <w:tc>
          <w:tcPr>
            <w:tcW w:w="2140" w:type="dxa"/>
            <w:vAlign w:val="bottom"/>
            <w:tcBorders>
              <w:bottom w:val="single" w:sz="8" w:color="91BBD3"/>
            </w:tcBorders>
          </w:tcPr>
          <w:p>
            <w:pPr>
              <w:spacing w:after="0"/>
              <w:rPr>
                <w:sz w:val="3"/>
                <w:szCs w:val="3"/>
                <w:color w:val="auto"/>
              </w:rPr>
            </w:pPr>
          </w:p>
        </w:tc>
        <w:tc>
          <w:tcPr>
            <w:tcW w:w="280" w:type="dxa"/>
            <w:vAlign w:val="bottom"/>
            <w:tcBorders>
              <w:bottom w:val="single" w:sz="8" w:color="91BBD3"/>
            </w:tcBorders>
          </w:tcPr>
          <w:p>
            <w:pPr>
              <w:spacing w:after="0"/>
              <w:rPr>
                <w:sz w:val="3"/>
                <w:szCs w:val="3"/>
                <w:color w:val="auto"/>
              </w:rPr>
            </w:pPr>
          </w:p>
        </w:tc>
        <w:tc>
          <w:tcPr>
            <w:tcW w:w="320" w:type="dxa"/>
            <w:vAlign w:val="bottom"/>
            <w:tcBorders>
              <w:bottom w:val="single" w:sz="8" w:color="91BBD3"/>
            </w:tcBorders>
          </w:tcPr>
          <w:p>
            <w:pPr>
              <w:spacing w:after="0"/>
              <w:rPr>
                <w:sz w:val="3"/>
                <w:szCs w:val="3"/>
                <w:color w:val="auto"/>
              </w:rPr>
            </w:pPr>
          </w:p>
        </w:tc>
        <w:tc>
          <w:tcPr>
            <w:tcW w:w="2260" w:type="dxa"/>
            <w:vAlign w:val="bottom"/>
            <w:tcBorders>
              <w:bottom w:val="single" w:sz="8" w:color="91BBD3"/>
            </w:tcBorders>
          </w:tcPr>
          <w:p>
            <w:pPr>
              <w:spacing w:after="0"/>
              <w:rPr>
                <w:sz w:val="3"/>
                <w:szCs w:val="3"/>
                <w:color w:val="auto"/>
              </w:rPr>
            </w:pPr>
          </w:p>
        </w:tc>
        <w:tc>
          <w:tcPr>
            <w:tcW w:w="780" w:type="dxa"/>
            <w:vAlign w:val="bottom"/>
            <w:tcBorders>
              <w:bottom w:val="single" w:sz="8" w:color="91BBD3"/>
            </w:tcBorders>
          </w:tcPr>
          <w:p>
            <w:pPr>
              <w:spacing w:after="0"/>
              <w:rPr>
                <w:sz w:val="3"/>
                <w:szCs w:val="3"/>
                <w:color w:val="auto"/>
              </w:rPr>
            </w:pPr>
          </w:p>
        </w:tc>
        <w:tc>
          <w:tcPr>
            <w:tcW w:w="3220" w:type="dxa"/>
            <w:vAlign w:val="bottom"/>
            <w:tcBorders>
              <w:bottom w:val="single" w:sz="8" w:color="91BBD3"/>
            </w:tcBorders>
          </w:tcPr>
          <w:p>
            <w:pPr>
              <w:spacing w:after="0"/>
              <w:rPr>
                <w:sz w:val="3"/>
                <w:szCs w:val="3"/>
                <w:color w:val="auto"/>
              </w:rPr>
            </w:pPr>
          </w:p>
        </w:tc>
        <w:tc>
          <w:tcPr>
            <w:tcW w:w="20" w:type="dxa"/>
            <w:vAlign w:val="bottom"/>
            <w:tcBorders>
              <w:bottom w:val="single" w:sz="8" w:color="91BBD3"/>
            </w:tcBorders>
          </w:tcPr>
          <w:p>
            <w:pPr>
              <w:spacing w:after="0"/>
              <w:rPr>
                <w:sz w:val="3"/>
                <w:szCs w:val="3"/>
                <w:color w:val="auto"/>
              </w:rPr>
            </w:pPr>
          </w:p>
        </w:tc>
        <w:tc>
          <w:tcPr>
            <w:tcW w:w="100" w:type="dxa"/>
            <w:vAlign w:val="bottom"/>
            <w:tcBorders>
              <w:bottom w:val="single" w:sz="8" w:color="91BBD3"/>
              <w:right w:val="single" w:sz="8" w:color="91BBD3"/>
            </w:tcBorders>
          </w:tcPr>
          <w:p>
            <w:pPr>
              <w:spacing w:after="0"/>
              <w:rPr>
                <w:sz w:val="3"/>
                <w:szCs w:val="3"/>
                <w:color w:val="auto"/>
              </w:rPr>
            </w:pPr>
          </w:p>
        </w:tc>
        <w:tc>
          <w:tcPr>
            <w:tcW w:w="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1680" w:type="dxa"/>
            <w:vAlign w:val="bottom"/>
            <w:tcBorders>
              <w:left w:val="single" w:sz="8" w:color="91BBD3"/>
              <w:bottom w:val="single" w:sz="8" w:color="DAE8F0"/>
              <w:right w:val="single" w:sz="8" w:color="91BBD3"/>
            </w:tcBorders>
            <w:shd w:val="clear" w:color="auto" w:fill="DAE8F0"/>
          </w:tcPr>
          <w:p>
            <w:pPr>
              <w:ind w:left="120"/>
              <w:spacing w:after="0" w:line="208" w:lineRule="exact"/>
              <w:rPr>
                <w:sz w:val="20"/>
                <w:szCs w:val="20"/>
                <w:color w:val="auto"/>
              </w:rPr>
            </w:pPr>
            <w:r>
              <w:rPr>
                <w:rFonts w:ascii="Calibri" w:cs="Calibri" w:eastAsia="Calibri" w:hAnsi="Calibri"/>
                <w:sz w:val="18"/>
                <w:szCs w:val="18"/>
                <w:b w:val="1"/>
                <w:bCs w:val="1"/>
                <w:color w:val="auto"/>
              </w:rPr>
              <w:t>*101.SCH</w:t>
            </w:r>
          </w:p>
        </w:tc>
        <w:tc>
          <w:tcPr>
            <w:tcW w:w="100" w:type="dxa"/>
            <w:vAlign w:val="bottom"/>
            <w:tcBorders>
              <w:bottom w:val="single" w:sz="8" w:color="DAE8F0"/>
            </w:tcBorders>
            <w:shd w:val="clear" w:color="auto" w:fill="DAE8F0"/>
          </w:tcPr>
          <w:p>
            <w:pPr>
              <w:spacing w:after="0"/>
              <w:rPr>
                <w:sz w:val="21"/>
                <w:szCs w:val="21"/>
                <w:color w:val="auto"/>
              </w:rPr>
            </w:pPr>
          </w:p>
        </w:tc>
        <w:tc>
          <w:tcPr>
            <w:tcW w:w="9120" w:type="dxa"/>
            <w:vAlign w:val="bottom"/>
            <w:tcBorders>
              <w:bottom w:val="single" w:sz="8" w:color="DAE8F0"/>
              <w:right w:val="single" w:sz="8" w:color="91BBD3"/>
            </w:tcBorders>
            <w:gridSpan w:val="8"/>
            <w:shd w:val="clear" w:color="auto" w:fill="DAE8F0"/>
          </w:tcPr>
          <w:p>
            <w:pPr>
              <w:spacing w:after="0"/>
              <w:rPr>
                <w:sz w:val="20"/>
                <w:szCs w:val="20"/>
                <w:color w:val="auto"/>
              </w:rPr>
            </w:pPr>
            <w:r>
              <w:rPr>
                <w:rFonts w:ascii="MS PGothic" w:cs="MS PGothic" w:eastAsia="MS PGothic" w:hAnsi="MS PGothic"/>
                <w:sz w:val="18"/>
                <w:szCs w:val="18"/>
                <w:color w:val="auto"/>
              </w:rPr>
              <w:t>Inline XBRL Taxonomy Extension Schema Document</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1680" w:type="dxa"/>
            <w:vAlign w:val="bottom"/>
            <w:tcBorders>
              <w:top w:val="single" w:sz="8" w:color="91BBD3"/>
              <w:left w:val="single" w:sz="8" w:color="91BBD3"/>
              <w:right w:val="single" w:sz="8" w:color="91BBD3"/>
            </w:tcBorders>
          </w:tcPr>
          <w:p>
            <w:pPr>
              <w:ind w:left="120"/>
              <w:spacing w:after="0" w:line="208" w:lineRule="exact"/>
              <w:rPr>
                <w:sz w:val="20"/>
                <w:szCs w:val="20"/>
                <w:color w:val="auto"/>
              </w:rPr>
            </w:pPr>
            <w:r>
              <w:rPr>
                <w:rFonts w:ascii="Calibri" w:cs="Calibri" w:eastAsia="Calibri" w:hAnsi="Calibri"/>
                <w:sz w:val="18"/>
                <w:szCs w:val="18"/>
                <w:b w:val="1"/>
                <w:bCs w:val="1"/>
                <w:color w:val="auto"/>
              </w:rPr>
              <w:t>*101.CAL</w:t>
            </w:r>
          </w:p>
        </w:tc>
        <w:tc>
          <w:tcPr>
            <w:tcW w:w="100" w:type="dxa"/>
            <w:vAlign w:val="bottom"/>
            <w:tcBorders>
              <w:top w:val="single" w:sz="8" w:color="91BBD3"/>
            </w:tcBorders>
          </w:tcPr>
          <w:p>
            <w:pPr>
              <w:spacing w:after="0"/>
              <w:rPr>
                <w:sz w:val="18"/>
                <w:szCs w:val="18"/>
                <w:color w:val="auto"/>
              </w:rPr>
            </w:pPr>
          </w:p>
        </w:tc>
        <w:tc>
          <w:tcPr>
            <w:tcW w:w="9120" w:type="dxa"/>
            <w:vAlign w:val="bottom"/>
            <w:tcBorders>
              <w:top w:val="single" w:sz="8" w:color="91BBD3"/>
              <w:right w:val="single" w:sz="8" w:color="91BBD3"/>
            </w:tcBorders>
            <w:gridSpan w:val="8"/>
          </w:tcPr>
          <w:p>
            <w:pPr>
              <w:spacing w:after="0"/>
              <w:rPr>
                <w:sz w:val="20"/>
                <w:szCs w:val="20"/>
                <w:color w:val="auto"/>
              </w:rPr>
            </w:pPr>
            <w:r>
              <w:rPr>
                <w:rFonts w:ascii="MS PGothic" w:cs="MS PGothic" w:eastAsia="MS PGothic" w:hAnsi="MS PGothic"/>
                <w:sz w:val="18"/>
                <w:szCs w:val="18"/>
                <w:color w:val="auto"/>
              </w:rPr>
              <w:t>Inline XBRL Taxonomy Extension Calculaton Linkbase Document</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1680" w:type="dxa"/>
            <w:vAlign w:val="bottom"/>
            <w:tcBorders>
              <w:left w:val="single" w:sz="8" w:color="91BBD3"/>
              <w:bottom w:val="single" w:sz="8" w:color="91BBD3"/>
              <w:right w:val="single" w:sz="8" w:color="91BBD3"/>
            </w:tcBorders>
          </w:tcPr>
          <w:p>
            <w:pPr>
              <w:spacing w:after="0"/>
              <w:rPr>
                <w:sz w:val="3"/>
                <w:szCs w:val="3"/>
                <w:color w:val="auto"/>
              </w:rPr>
            </w:pPr>
          </w:p>
        </w:tc>
        <w:tc>
          <w:tcPr>
            <w:tcW w:w="100" w:type="dxa"/>
            <w:vAlign w:val="bottom"/>
            <w:tcBorders>
              <w:bottom w:val="single" w:sz="8" w:color="91BBD3"/>
            </w:tcBorders>
          </w:tcPr>
          <w:p>
            <w:pPr>
              <w:spacing w:after="0"/>
              <w:rPr>
                <w:sz w:val="3"/>
                <w:szCs w:val="3"/>
                <w:color w:val="auto"/>
              </w:rPr>
            </w:pPr>
          </w:p>
        </w:tc>
        <w:tc>
          <w:tcPr>
            <w:tcW w:w="2140" w:type="dxa"/>
            <w:vAlign w:val="bottom"/>
            <w:tcBorders>
              <w:bottom w:val="single" w:sz="8" w:color="91BBD3"/>
            </w:tcBorders>
          </w:tcPr>
          <w:p>
            <w:pPr>
              <w:spacing w:after="0"/>
              <w:rPr>
                <w:sz w:val="3"/>
                <w:szCs w:val="3"/>
                <w:color w:val="auto"/>
              </w:rPr>
            </w:pPr>
          </w:p>
        </w:tc>
        <w:tc>
          <w:tcPr>
            <w:tcW w:w="280" w:type="dxa"/>
            <w:vAlign w:val="bottom"/>
            <w:tcBorders>
              <w:bottom w:val="single" w:sz="8" w:color="91BBD3"/>
            </w:tcBorders>
          </w:tcPr>
          <w:p>
            <w:pPr>
              <w:spacing w:after="0"/>
              <w:rPr>
                <w:sz w:val="3"/>
                <w:szCs w:val="3"/>
                <w:color w:val="auto"/>
              </w:rPr>
            </w:pPr>
          </w:p>
        </w:tc>
        <w:tc>
          <w:tcPr>
            <w:tcW w:w="320" w:type="dxa"/>
            <w:vAlign w:val="bottom"/>
            <w:tcBorders>
              <w:bottom w:val="single" w:sz="8" w:color="91BBD3"/>
            </w:tcBorders>
          </w:tcPr>
          <w:p>
            <w:pPr>
              <w:spacing w:after="0"/>
              <w:rPr>
                <w:sz w:val="3"/>
                <w:szCs w:val="3"/>
                <w:color w:val="auto"/>
              </w:rPr>
            </w:pPr>
          </w:p>
        </w:tc>
        <w:tc>
          <w:tcPr>
            <w:tcW w:w="2260" w:type="dxa"/>
            <w:vAlign w:val="bottom"/>
            <w:tcBorders>
              <w:bottom w:val="single" w:sz="8" w:color="91BBD3"/>
            </w:tcBorders>
          </w:tcPr>
          <w:p>
            <w:pPr>
              <w:spacing w:after="0"/>
              <w:rPr>
                <w:sz w:val="3"/>
                <w:szCs w:val="3"/>
                <w:color w:val="auto"/>
              </w:rPr>
            </w:pPr>
          </w:p>
        </w:tc>
        <w:tc>
          <w:tcPr>
            <w:tcW w:w="780" w:type="dxa"/>
            <w:vAlign w:val="bottom"/>
            <w:tcBorders>
              <w:bottom w:val="single" w:sz="8" w:color="91BBD3"/>
            </w:tcBorders>
          </w:tcPr>
          <w:p>
            <w:pPr>
              <w:spacing w:after="0"/>
              <w:rPr>
                <w:sz w:val="3"/>
                <w:szCs w:val="3"/>
                <w:color w:val="auto"/>
              </w:rPr>
            </w:pPr>
          </w:p>
        </w:tc>
        <w:tc>
          <w:tcPr>
            <w:tcW w:w="3220" w:type="dxa"/>
            <w:vAlign w:val="bottom"/>
            <w:tcBorders>
              <w:bottom w:val="single" w:sz="8" w:color="91BBD3"/>
            </w:tcBorders>
          </w:tcPr>
          <w:p>
            <w:pPr>
              <w:spacing w:after="0"/>
              <w:rPr>
                <w:sz w:val="3"/>
                <w:szCs w:val="3"/>
                <w:color w:val="auto"/>
              </w:rPr>
            </w:pPr>
          </w:p>
        </w:tc>
        <w:tc>
          <w:tcPr>
            <w:tcW w:w="20" w:type="dxa"/>
            <w:vAlign w:val="bottom"/>
            <w:tcBorders>
              <w:bottom w:val="single" w:sz="8" w:color="91BBD3"/>
            </w:tcBorders>
          </w:tcPr>
          <w:p>
            <w:pPr>
              <w:spacing w:after="0"/>
              <w:rPr>
                <w:sz w:val="3"/>
                <w:szCs w:val="3"/>
                <w:color w:val="auto"/>
              </w:rPr>
            </w:pPr>
          </w:p>
        </w:tc>
        <w:tc>
          <w:tcPr>
            <w:tcW w:w="100" w:type="dxa"/>
            <w:vAlign w:val="bottom"/>
            <w:tcBorders>
              <w:bottom w:val="single" w:sz="8" w:color="91BBD3"/>
              <w:right w:val="single" w:sz="8" w:color="91BBD3"/>
            </w:tcBorders>
          </w:tcPr>
          <w:p>
            <w:pPr>
              <w:spacing w:after="0"/>
              <w:rPr>
                <w:sz w:val="3"/>
                <w:szCs w:val="3"/>
                <w:color w:val="auto"/>
              </w:rPr>
            </w:pPr>
          </w:p>
        </w:tc>
        <w:tc>
          <w:tcPr>
            <w:tcW w:w="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1680" w:type="dxa"/>
            <w:vAlign w:val="bottom"/>
            <w:tcBorders>
              <w:left w:val="single" w:sz="8" w:color="91BBD3"/>
              <w:bottom w:val="single" w:sz="8" w:color="DAE8F0"/>
              <w:right w:val="single" w:sz="8" w:color="91BBD3"/>
            </w:tcBorders>
            <w:shd w:val="clear" w:color="auto" w:fill="DAE8F0"/>
          </w:tcPr>
          <w:p>
            <w:pPr>
              <w:ind w:left="120"/>
              <w:spacing w:after="0" w:line="208" w:lineRule="exact"/>
              <w:rPr>
                <w:sz w:val="20"/>
                <w:szCs w:val="20"/>
                <w:color w:val="auto"/>
              </w:rPr>
            </w:pPr>
            <w:r>
              <w:rPr>
                <w:rFonts w:ascii="Calibri" w:cs="Calibri" w:eastAsia="Calibri" w:hAnsi="Calibri"/>
                <w:sz w:val="18"/>
                <w:szCs w:val="18"/>
                <w:b w:val="1"/>
                <w:bCs w:val="1"/>
                <w:color w:val="auto"/>
              </w:rPr>
              <w:t>*101.LAB</w:t>
            </w:r>
          </w:p>
        </w:tc>
        <w:tc>
          <w:tcPr>
            <w:tcW w:w="100" w:type="dxa"/>
            <w:vAlign w:val="bottom"/>
            <w:tcBorders>
              <w:bottom w:val="single" w:sz="8" w:color="DAE8F0"/>
            </w:tcBorders>
            <w:shd w:val="clear" w:color="auto" w:fill="DAE8F0"/>
          </w:tcPr>
          <w:p>
            <w:pPr>
              <w:spacing w:after="0"/>
              <w:rPr>
                <w:sz w:val="21"/>
                <w:szCs w:val="21"/>
                <w:color w:val="auto"/>
              </w:rPr>
            </w:pPr>
          </w:p>
        </w:tc>
        <w:tc>
          <w:tcPr>
            <w:tcW w:w="9120" w:type="dxa"/>
            <w:vAlign w:val="bottom"/>
            <w:tcBorders>
              <w:bottom w:val="single" w:sz="8" w:color="DAE8F0"/>
              <w:right w:val="single" w:sz="8" w:color="91BBD3"/>
            </w:tcBorders>
            <w:gridSpan w:val="8"/>
            <w:shd w:val="clear" w:color="auto" w:fill="DAE8F0"/>
          </w:tcPr>
          <w:p>
            <w:pPr>
              <w:spacing w:after="0"/>
              <w:rPr>
                <w:sz w:val="20"/>
                <w:szCs w:val="20"/>
                <w:color w:val="auto"/>
              </w:rPr>
            </w:pPr>
            <w:r>
              <w:rPr>
                <w:rFonts w:ascii="MS PGothic" w:cs="MS PGothic" w:eastAsia="MS PGothic" w:hAnsi="MS PGothic"/>
                <w:sz w:val="18"/>
                <w:szCs w:val="18"/>
                <w:color w:val="auto"/>
              </w:rPr>
              <w:t>Inline XBRL Taxonomy Extension Label Linkbase Document</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1680" w:type="dxa"/>
            <w:vAlign w:val="bottom"/>
            <w:tcBorders>
              <w:top w:val="single" w:sz="8" w:color="91BBD3"/>
              <w:left w:val="single" w:sz="8" w:color="91BBD3"/>
              <w:right w:val="single" w:sz="8" w:color="91BBD3"/>
            </w:tcBorders>
          </w:tcPr>
          <w:p>
            <w:pPr>
              <w:ind w:left="120"/>
              <w:spacing w:after="0" w:line="208" w:lineRule="exact"/>
              <w:rPr>
                <w:sz w:val="20"/>
                <w:szCs w:val="20"/>
                <w:color w:val="auto"/>
              </w:rPr>
            </w:pPr>
            <w:r>
              <w:rPr>
                <w:rFonts w:ascii="Calibri" w:cs="Calibri" w:eastAsia="Calibri" w:hAnsi="Calibri"/>
                <w:sz w:val="18"/>
                <w:szCs w:val="18"/>
                <w:b w:val="1"/>
                <w:bCs w:val="1"/>
                <w:color w:val="auto"/>
              </w:rPr>
              <w:t>*101.PRE</w:t>
            </w:r>
          </w:p>
        </w:tc>
        <w:tc>
          <w:tcPr>
            <w:tcW w:w="100" w:type="dxa"/>
            <w:vAlign w:val="bottom"/>
            <w:tcBorders>
              <w:top w:val="single" w:sz="8" w:color="91BBD3"/>
            </w:tcBorders>
          </w:tcPr>
          <w:p>
            <w:pPr>
              <w:spacing w:after="0"/>
              <w:rPr>
                <w:sz w:val="18"/>
                <w:szCs w:val="18"/>
                <w:color w:val="auto"/>
              </w:rPr>
            </w:pPr>
          </w:p>
        </w:tc>
        <w:tc>
          <w:tcPr>
            <w:tcW w:w="9120" w:type="dxa"/>
            <w:vAlign w:val="bottom"/>
            <w:tcBorders>
              <w:top w:val="single" w:sz="8" w:color="91BBD3"/>
              <w:right w:val="single" w:sz="8" w:color="91BBD3"/>
            </w:tcBorders>
            <w:gridSpan w:val="8"/>
          </w:tcPr>
          <w:p>
            <w:pPr>
              <w:spacing w:after="0"/>
              <w:rPr>
                <w:sz w:val="20"/>
                <w:szCs w:val="20"/>
                <w:color w:val="auto"/>
              </w:rPr>
            </w:pPr>
            <w:r>
              <w:rPr>
                <w:rFonts w:ascii="MS PGothic" w:cs="MS PGothic" w:eastAsia="MS PGothic" w:hAnsi="MS PGothic"/>
                <w:sz w:val="18"/>
                <w:szCs w:val="18"/>
                <w:color w:val="auto"/>
              </w:rPr>
              <w:t>Inline XBRL Taxonomy Extension Presentaton Linkbase Document</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1680" w:type="dxa"/>
            <w:vAlign w:val="bottom"/>
            <w:tcBorders>
              <w:left w:val="single" w:sz="8" w:color="91BBD3"/>
              <w:bottom w:val="single" w:sz="8" w:color="91BBD3"/>
              <w:right w:val="single" w:sz="8" w:color="91BBD3"/>
            </w:tcBorders>
          </w:tcPr>
          <w:p>
            <w:pPr>
              <w:spacing w:after="0"/>
              <w:rPr>
                <w:sz w:val="3"/>
                <w:szCs w:val="3"/>
                <w:color w:val="auto"/>
              </w:rPr>
            </w:pPr>
          </w:p>
        </w:tc>
        <w:tc>
          <w:tcPr>
            <w:tcW w:w="100" w:type="dxa"/>
            <w:vAlign w:val="bottom"/>
            <w:tcBorders>
              <w:bottom w:val="single" w:sz="8" w:color="91BBD3"/>
            </w:tcBorders>
          </w:tcPr>
          <w:p>
            <w:pPr>
              <w:spacing w:after="0"/>
              <w:rPr>
                <w:sz w:val="3"/>
                <w:szCs w:val="3"/>
                <w:color w:val="auto"/>
              </w:rPr>
            </w:pPr>
          </w:p>
        </w:tc>
        <w:tc>
          <w:tcPr>
            <w:tcW w:w="2140" w:type="dxa"/>
            <w:vAlign w:val="bottom"/>
            <w:tcBorders>
              <w:bottom w:val="single" w:sz="8" w:color="91BBD3"/>
            </w:tcBorders>
          </w:tcPr>
          <w:p>
            <w:pPr>
              <w:spacing w:after="0"/>
              <w:rPr>
                <w:sz w:val="3"/>
                <w:szCs w:val="3"/>
                <w:color w:val="auto"/>
              </w:rPr>
            </w:pPr>
          </w:p>
        </w:tc>
        <w:tc>
          <w:tcPr>
            <w:tcW w:w="280" w:type="dxa"/>
            <w:vAlign w:val="bottom"/>
            <w:tcBorders>
              <w:bottom w:val="single" w:sz="8" w:color="91BBD3"/>
            </w:tcBorders>
          </w:tcPr>
          <w:p>
            <w:pPr>
              <w:spacing w:after="0"/>
              <w:rPr>
                <w:sz w:val="3"/>
                <w:szCs w:val="3"/>
                <w:color w:val="auto"/>
              </w:rPr>
            </w:pPr>
          </w:p>
        </w:tc>
        <w:tc>
          <w:tcPr>
            <w:tcW w:w="320" w:type="dxa"/>
            <w:vAlign w:val="bottom"/>
            <w:tcBorders>
              <w:bottom w:val="single" w:sz="8" w:color="91BBD3"/>
            </w:tcBorders>
          </w:tcPr>
          <w:p>
            <w:pPr>
              <w:spacing w:after="0"/>
              <w:rPr>
                <w:sz w:val="3"/>
                <w:szCs w:val="3"/>
                <w:color w:val="auto"/>
              </w:rPr>
            </w:pPr>
          </w:p>
        </w:tc>
        <w:tc>
          <w:tcPr>
            <w:tcW w:w="2260" w:type="dxa"/>
            <w:vAlign w:val="bottom"/>
            <w:tcBorders>
              <w:bottom w:val="single" w:sz="8" w:color="91BBD3"/>
            </w:tcBorders>
          </w:tcPr>
          <w:p>
            <w:pPr>
              <w:spacing w:after="0"/>
              <w:rPr>
                <w:sz w:val="3"/>
                <w:szCs w:val="3"/>
                <w:color w:val="auto"/>
              </w:rPr>
            </w:pPr>
          </w:p>
        </w:tc>
        <w:tc>
          <w:tcPr>
            <w:tcW w:w="780" w:type="dxa"/>
            <w:vAlign w:val="bottom"/>
            <w:tcBorders>
              <w:bottom w:val="single" w:sz="8" w:color="91BBD3"/>
            </w:tcBorders>
          </w:tcPr>
          <w:p>
            <w:pPr>
              <w:spacing w:after="0"/>
              <w:rPr>
                <w:sz w:val="3"/>
                <w:szCs w:val="3"/>
                <w:color w:val="auto"/>
              </w:rPr>
            </w:pPr>
          </w:p>
        </w:tc>
        <w:tc>
          <w:tcPr>
            <w:tcW w:w="3220" w:type="dxa"/>
            <w:vAlign w:val="bottom"/>
            <w:tcBorders>
              <w:bottom w:val="single" w:sz="8" w:color="91BBD3"/>
            </w:tcBorders>
          </w:tcPr>
          <w:p>
            <w:pPr>
              <w:spacing w:after="0"/>
              <w:rPr>
                <w:sz w:val="3"/>
                <w:szCs w:val="3"/>
                <w:color w:val="auto"/>
              </w:rPr>
            </w:pPr>
          </w:p>
        </w:tc>
        <w:tc>
          <w:tcPr>
            <w:tcW w:w="20" w:type="dxa"/>
            <w:vAlign w:val="bottom"/>
            <w:tcBorders>
              <w:bottom w:val="single" w:sz="8" w:color="91BBD3"/>
            </w:tcBorders>
          </w:tcPr>
          <w:p>
            <w:pPr>
              <w:spacing w:after="0"/>
              <w:rPr>
                <w:sz w:val="3"/>
                <w:szCs w:val="3"/>
                <w:color w:val="auto"/>
              </w:rPr>
            </w:pPr>
          </w:p>
        </w:tc>
        <w:tc>
          <w:tcPr>
            <w:tcW w:w="100" w:type="dxa"/>
            <w:vAlign w:val="bottom"/>
            <w:tcBorders>
              <w:bottom w:val="single" w:sz="8" w:color="91BBD3"/>
              <w:right w:val="single" w:sz="8" w:color="91BBD3"/>
            </w:tcBorders>
          </w:tcPr>
          <w:p>
            <w:pPr>
              <w:spacing w:after="0"/>
              <w:rPr>
                <w:sz w:val="3"/>
                <w:szCs w:val="3"/>
                <w:color w:val="auto"/>
              </w:rPr>
            </w:pPr>
          </w:p>
        </w:tc>
        <w:tc>
          <w:tcPr>
            <w:tcW w:w="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1680" w:type="dxa"/>
            <w:vAlign w:val="bottom"/>
            <w:tcBorders>
              <w:left w:val="single" w:sz="8" w:color="91BBD3"/>
              <w:bottom w:val="single" w:sz="8" w:color="DAE8F0"/>
              <w:right w:val="single" w:sz="8" w:color="91BBD3"/>
            </w:tcBorders>
            <w:shd w:val="clear" w:color="auto" w:fill="DAE8F0"/>
          </w:tcPr>
          <w:p>
            <w:pPr>
              <w:ind w:left="120"/>
              <w:spacing w:after="0" w:line="208" w:lineRule="exact"/>
              <w:rPr>
                <w:sz w:val="20"/>
                <w:szCs w:val="20"/>
                <w:color w:val="auto"/>
              </w:rPr>
            </w:pPr>
            <w:r>
              <w:rPr>
                <w:rFonts w:ascii="Calibri" w:cs="Calibri" w:eastAsia="Calibri" w:hAnsi="Calibri"/>
                <w:sz w:val="18"/>
                <w:szCs w:val="18"/>
                <w:b w:val="1"/>
                <w:bCs w:val="1"/>
                <w:color w:val="auto"/>
              </w:rPr>
              <w:t>*101. DEF</w:t>
            </w:r>
          </w:p>
        </w:tc>
        <w:tc>
          <w:tcPr>
            <w:tcW w:w="100" w:type="dxa"/>
            <w:vAlign w:val="bottom"/>
            <w:tcBorders>
              <w:bottom w:val="single" w:sz="8" w:color="DAE8F0"/>
            </w:tcBorders>
            <w:shd w:val="clear" w:color="auto" w:fill="DAE8F0"/>
          </w:tcPr>
          <w:p>
            <w:pPr>
              <w:spacing w:after="0"/>
              <w:rPr>
                <w:sz w:val="21"/>
                <w:szCs w:val="21"/>
                <w:color w:val="auto"/>
              </w:rPr>
            </w:pPr>
          </w:p>
        </w:tc>
        <w:tc>
          <w:tcPr>
            <w:tcW w:w="9120" w:type="dxa"/>
            <w:vAlign w:val="bottom"/>
            <w:tcBorders>
              <w:bottom w:val="single" w:sz="8" w:color="DAE8F0"/>
              <w:right w:val="single" w:sz="8" w:color="91BBD3"/>
            </w:tcBorders>
            <w:gridSpan w:val="8"/>
            <w:shd w:val="clear" w:color="auto" w:fill="DAE8F0"/>
          </w:tcPr>
          <w:p>
            <w:pPr>
              <w:spacing w:after="0"/>
              <w:rPr>
                <w:sz w:val="20"/>
                <w:szCs w:val="20"/>
                <w:color w:val="auto"/>
              </w:rPr>
            </w:pPr>
            <w:r>
              <w:rPr>
                <w:rFonts w:ascii="MS PGothic" w:cs="MS PGothic" w:eastAsia="MS PGothic" w:hAnsi="MS PGothic"/>
                <w:sz w:val="18"/>
                <w:szCs w:val="18"/>
                <w:color w:val="auto"/>
              </w:rPr>
              <w:t>Inline XBRL Taxonomy Extension Defniton Linkbase</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1680" w:type="dxa"/>
            <w:vAlign w:val="bottom"/>
            <w:tcBorders>
              <w:top w:val="single" w:sz="8" w:color="91BBD3"/>
              <w:left w:val="single" w:sz="8" w:color="91BBD3"/>
              <w:right w:val="single" w:sz="8" w:color="91BBD3"/>
            </w:tcBorders>
          </w:tcPr>
          <w:p>
            <w:pPr>
              <w:ind w:left="120"/>
              <w:spacing w:after="0" w:line="208" w:lineRule="exact"/>
              <w:rPr>
                <w:sz w:val="20"/>
                <w:szCs w:val="20"/>
                <w:color w:val="auto"/>
              </w:rPr>
            </w:pPr>
            <w:r>
              <w:rPr>
                <w:rFonts w:ascii="Calibri" w:cs="Calibri" w:eastAsia="Calibri" w:hAnsi="Calibri"/>
                <w:sz w:val="18"/>
                <w:szCs w:val="18"/>
                <w:b w:val="1"/>
                <w:bCs w:val="1"/>
                <w:color w:val="auto"/>
              </w:rPr>
              <w:t>*104</w:t>
            </w:r>
          </w:p>
        </w:tc>
        <w:tc>
          <w:tcPr>
            <w:tcW w:w="100" w:type="dxa"/>
            <w:vAlign w:val="bottom"/>
            <w:tcBorders>
              <w:top w:val="single" w:sz="8" w:color="91BBD3"/>
            </w:tcBorders>
          </w:tcPr>
          <w:p>
            <w:pPr>
              <w:spacing w:after="0"/>
              <w:rPr>
                <w:sz w:val="18"/>
                <w:szCs w:val="18"/>
                <w:color w:val="auto"/>
              </w:rPr>
            </w:pPr>
          </w:p>
        </w:tc>
        <w:tc>
          <w:tcPr>
            <w:tcW w:w="9120" w:type="dxa"/>
            <w:vAlign w:val="bottom"/>
            <w:tcBorders>
              <w:top w:val="single" w:sz="8" w:color="91BBD3"/>
              <w:right w:val="single" w:sz="8" w:color="91BBD3"/>
            </w:tcBorders>
            <w:gridSpan w:val="8"/>
          </w:tcPr>
          <w:p>
            <w:pPr>
              <w:spacing w:after="0"/>
              <w:rPr>
                <w:sz w:val="20"/>
                <w:szCs w:val="20"/>
                <w:color w:val="auto"/>
              </w:rPr>
            </w:pPr>
            <w:r>
              <w:rPr>
                <w:rFonts w:ascii="MS PGothic" w:cs="MS PGothic" w:eastAsia="MS PGothic" w:hAnsi="MS PGothic"/>
                <w:sz w:val="18"/>
                <w:szCs w:val="18"/>
                <w:color w:val="auto"/>
              </w:rPr>
              <w:t>The cover page fnancial informaton formated in Inline XBRL (included as Exhibit 101).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1680" w:type="dxa"/>
            <w:vAlign w:val="bottom"/>
            <w:tcBorders>
              <w:left w:val="single" w:sz="8" w:color="91BBD3"/>
              <w:bottom w:val="single" w:sz="8" w:color="91BBD3"/>
              <w:right w:val="single" w:sz="8" w:color="91BBD3"/>
            </w:tcBorders>
          </w:tcPr>
          <w:p>
            <w:pPr>
              <w:spacing w:after="0"/>
              <w:rPr>
                <w:sz w:val="3"/>
                <w:szCs w:val="3"/>
                <w:color w:val="auto"/>
              </w:rPr>
            </w:pPr>
          </w:p>
        </w:tc>
        <w:tc>
          <w:tcPr>
            <w:tcW w:w="100" w:type="dxa"/>
            <w:vAlign w:val="bottom"/>
            <w:tcBorders>
              <w:bottom w:val="single" w:sz="8" w:color="91BBD3"/>
            </w:tcBorders>
          </w:tcPr>
          <w:p>
            <w:pPr>
              <w:spacing w:after="0"/>
              <w:rPr>
                <w:sz w:val="3"/>
                <w:szCs w:val="3"/>
                <w:color w:val="auto"/>
              </w:rPr>
            </w:pPr>
          </w:p>
        </w:tc>
        <w:tc>
          <w:tcPr>
            <w:tcW w:w="2140" w:type="dxa"/>
            <w:vAlign w:val="bottom"/>
            <w:tcBorders>
              <w:bottom w:val="single" w:sz="8" w:color="91BBD3"/>
            </w:tcBorders>
          </w:tcPr>
          <w:p>
            <w:pPr>
              <w:spacing w:after="0"/>
              <w:rPr>
                <w:sz w:val="3"/>
                <w:szCs w:val="3"/>
                <w:color w:val="auto"/>
              </w:rPr>
            </w:pPr>
          </w:p>
        </w:tc>
        <w:tc>
          <w:tcPr>
            <w:tcW w:w="280" w:type="dxa"/>
            <w:vAlign w:val="bottom"/>
            <w:tcBorders>
              <w:bottom w:val="single" w:sz="8" w:color="91BBD3"/>
            </w:tcBorders>
          </w:tcPr>
          <w:p>
            <w:pPr>
              <w:spacing w:after="0"/>
              <w:rPr>
                <w:sz w:val="3"/>
                <w:szCs w:val="3"/>
                <w:color w:val="auto"/>
              </w:rPr>
            </w:pPr>
          </w:p>
        </w:tc>
        <w:tc>
          <w:tcPr>
            <w:tcW w:w="320" w:type="dxa"/>
            <w:vAlign w:val="bottom"/>
            <w:tcBorders>
              <w:bottom w:val="single" w:sz="8" w:color="91BBD3"/>
            </w:tcBorders>
          </w:tcPr>
          <w:p>
            <w:pPr>
              <w:spacing w:after="0"/>
              <w:rPr>
                <w:sz w:val="3"/>
                <w:szCs w:val="3"/>
                <w:color w:val="auto"/>
              </w:rPr>
            </w:pPr>
          </w:p>
        </w:tc>
        <w:tc>
          <w:tcPr>
            <w:tcW w:w="2260" w:type="dxa"/>
            <w:vAlign w:val="bottom"/>
            <w:tcBorders>
              <w:bottom w:val="single" w:sz="8" w:color="91BBD3"/>
            </w:tcBorders>
          </w:tcPr>
          <w:p>
            <w:pPr>
              <w:spacing w:after="0"/>
              <w:rPr>
                <w:sz w:val="3"/>
                <w:szCs w:val="3"/>
                <w:color w:val="auto"/>
              </w:rPr>
            </w:pPr>
          </w:p>
        </w:tc>
        <w:tc>
          <w:tcPr>
            <w:tcW w:w="780" w:type="dxa"/>
            <w:vAlign w:val="bottom"/>
            <w:tcBorders>
              <w:bottom w:val="single" w:sz="8" w:color="91BBD3"/>
            </w:tcBorders>
          </w:tcPr>
          <w:p>
            <w:pPr>
              <w:spacing w:after="0"/>
              <w:rPr>
                <w:sz w:val="3"/>
                <w:szCs w:val="3"/>
                <w:color w:val="auto"/>
              </w:rPr>
            </w:pPr>
          </w:p>
        </w:tc>
        <w:tc>
          <w:tcPr>
            <w:tcW w:w="3220" w:type="dxa"/>
            <w:vAlign w:val="bottom"/>
            <w:tcBorders>
              <w:bottom w:val="single" w:sz="8" w:color="91BBD3"/>
            </w:tcBorders>
          </w:tcPr>
          <w:p>
            <w:pPr>
              <w:spacing w:after="0"/>
              <w:rPr>
                <w:sz w:val="3"/>
                <w:szCs w:val="3"/>
                <w:color w:val="auto"/>
              </w:rPr>
            </w:pPr>
          </w:p>
        </w:tc>
        <w:tc>
          <w:tcPr>
            <w:tcW w:w="20" w:type="dxa"/>
            <w:vAlign w:val="bottom"/>
            <w:tcBorders>
              <w:bottom w:val="single" w:sz="8" w:color="91BBD3"/>
            </w:tcBorders>
          </w:tcPr>
          <w:p>
            <w:pPr>
              <w:spacing w:after="0"/>
              <w:rPr>
                <w:sz w:val="3"/>
                <w:szCs w:val="3"/>
                <w:color w:val="auto"/>
              </w:rPr>
            </w:pPr>
          </w:p>
        </w:tc>
        <w:tc>
          <w:tcPr>
            <w:tcW w:w="100" w:type="dxa"/>
            <w:vAlign w:val="bottom"/>
            <w:tcBorders>
              <w:bottom w:val="single" w:sz="8" w:color="91BBD3"/>
              <w:right w:val="single" w:sz="8" w:color="91BBD3"/>
            </w:tcBorders>
          </w:tcPr>
          <w:p>
            <w:pPr>
              <w:spacing w:after="0"/>
              <w:rPr>
                <w:sz w:val="3"/>
                <w:szCs w:val="3"/>
                <w:color w:val="auto"/>
              </w:rPr>
            </w:pPr>
          </w:p>
        </w:tc>
        <w:tc>
          <w:tcPr>
            <w:tcW w:w="3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MS PGothic" w:cs="MS PGothic" w:eastAsia="MS PGothic" w:hAnsi="MS PGothic"/>
          <w:sz w:val="18"/>
          <w:szCs w:val="18"/>
          <w:color w:val="auto"/>
        </w:rPr>
        <w:t>Other material incorporated by reference:</w:t>
      </w:r>
    </w:p>
    <w:p>
      <w:pPr>
        <w:spacing w:after="0" w:line="144" w:lineRule="exact"/>
        <w:rPr>
          <w:sz w:val="20"/>
          <w:szCs w:val="20"/>
          <w:color w:val="auto"/>
        </w:rPr>
      </w:pPr>
    </w:p>
    <w:p>
      <w:pPr>
        <w:jc w:val="both"/>
        <w:spacing w:after="0" w:line="368" w:lineRule="auto"/>
        <w:rPr>
          <w:sz w:val="20"/>
          <w:szCs w:val="20"/>
          <w:color w:val="auto"/>
        </w:rPr>
      </w:pPr>
      <w:r>
        <w:rPr>
          <w:rFonts w:ascii="MS PGothic" w:cs="MS PGothic" w:eastAsia="MS PGothic" w:hAnsi="MS PGothic"/>
          <w:sz w:val="17"/>
          <w:szCs w:val="17"/>
          <w:color w:val="auto"/>
        </w:rPr>
        <w:t>Martn Marieta Materials, Inc.’s 2023 Proxy Statement to be fled pursuant to Regulaton 14A, portons of which are incorporated by reference in this Form 10-K. Those portons of the 2023 Proxy Statement which are not incorporated by reference shall not be deemed to be “fled” as part of this report.</w:t>
      </w:r>
    </w:p>
    <w:p>
      <w:pPr>
        <w:spacing w:after="0" w:line="19" w:lineRule="exact"/>
        <w:rPr>
          <w:sz w:val="20"/>
          <w:szCs w:val="20"/>
          <w:color w:val="auto"/>
        </w:rPr>
      </w:pPr>
    </w:p>
    <w:p>
      <w:pPr>
        <w:spacing w:after="0"/>
        <w:tabs>
          <w:tab w:leader="none" w:pos="300" w:val="left"/>
        </w:tabs>
        <w:rPr>
          <w:sz w:val="20"/>
          <w:szCs w:val="20"/>
          <w:color w:val="auto"/>
        </w:rPr>
      </w:pPr>
      <w:r>
        <w:rPr>
          <w:rFonts w:ascii="MS PGothic" w:cs="MS PGothic" w:eastAsia="MS PGothic" w:hAnsi="MS PGothic"/>
          <w:sz w:val="18"/>
          <w:szCs w:val="18"/>
          <w:color w:val="auto"/>
        </w:rPr>
        <w:t>*</w:t>
        <w:tab/>
        <w:t>Filed herewith</w:t>
      </w:r>
    </w:p>
    <w:p>
      <w:pPr>
        <w:spacing w:after="0" w:line="144" w:lineRule="exact"/>
        <w:rPr>
          <w:sz w:val="20"/>
          <w:szCs w:val="20"/>
          <w:color w:val="auto"/>
        </w:rPr>
      </w:pPr>
    </w:p>
    <w:p>
      <w:pPr>
        <w:spacing w:after="0"/>
        <w:tabs>
          <w:tab w:leader="none" w:pos="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7"/>
          <w:szCs w:val="17"/>
          <w:color w:val="auto"/>
        </w:rPr>
        <w:t>Management contract or compensatory plan or arrangement required to be fled as an exhibit pursuant to Item 14(c) of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114300</wp:posOffset>
            </wp:positionV>
            <wp:extent cx="325755" cy="19685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39">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83" w:lineRule="exact"/>
        <w:rPr>
          <w:sz w:val="20"/>
          <w:szCs w:val="20"/>
          <w:color w:val="auto"/>
        </w:rPr>
      </w:pPr>
    </w:p>
    <w:p>
      <w:pPr>
        <w:ind w:left="20"/>
        <w:spacing w:after="0"/>
        <w:rPr>
          <w:sz w:val="20"/>
          <w:szCs w:val="20"/>
          <w:color w:val="auto"/>
        </w:rPr>
      </w:pPr>
      <w:r>
        <w:rPr>
          <w:rFonts w:ascii="MS PGothic" w:cs="MS PGothic" w:eastAsia="MS PGothic" w:hAnsi="MS PGothic"/>
          <w:sz w:val="18"/>
          <w:szCs w:val="18"/>
          <w:color w:val="auto"/>
        </w:rPr>
        <w:t xml:space="preserve">Form 10-K </w:t>
      </w:r>
      <w:r>
        <w:rPr>
          <w:rFonts w:ascii="Arial" w:cs="Arial" w:eastAsia="Arial" w:hAnsi="Arial"/>
          <w:sz w:val="23"/>
          <w:szCs w:val="23"/>
          <w:color w:val="0070C0"/>
        </w:rPr>
        <w:t>♦</w:t>
      </w:r>
      <w:r>
        <w:rPr>
          <w:rFonts w:ascii="MS PGothic" w:cs="MS PGothic" w:eastAsia="MS PGothic" w:hAnsi="MS PGothic"/>
          <w:sz w:val="18"/>
          <w:szCs w:val="18"/>
          <w:color w:val="auto"/>
        </w:rPr>
        <w:t xml:space="preserve">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3" w:name="page124"/>
    <w:bookmarkEnd w:id="123"/>
    <w:p>
      <w:pPr>
        <w:ind w:left="6720"/>
        <w:spacing w:after="0"/>
        <w:rPr>
          <w:sz w:val="20"/>
          <w:szCs w:val="20"/>
          <w:color w:val="auto"/>
        </w:rPr>
      </w:pPr>
      <w:r>
        <w:rPr>
          <w:rFonts w:ascii="Calibri" w:cs="Calibri" w:eastAsia="Calibri" w:hAnsi="Calibri"/>
          <w:sz w:val="17"/>
          <w:szCs w:val="17"/>
          <w:color w:val="auto"/>
        </w:rPr>
        <w:t xml:space="preserve">Part IV </w:t>
      </w:r>
      <w:r>
        <w:rPr>
          <w:rFonts w:ascii="Arial" w:cs="Arial" w:eastAsia="Arial" w:hAnsi="Arial"/>
          <w:sz w:val="22"/>
          <w:szCs w:val="22"/>
          <w:color w:val="0070C0"/>
        </w:rPr>
        <w:t>♦</w:t>
      </w:r>
      <w:r>
        <w:rPr>
          <w:rFonts w:ascii="Calibri" w:cs="Calibri" w:eastAsia="Calibri" w:hAnsi="Calibri"/>
          <w:sz w:val="17"/>
          <w:szCs w:val="17"/>
          <w:color w:val="auto"/>
        </w:rPr>
        <w:t xml:space="preserve"> Item 15 – Exhibits and Financial Statement Schedules</w:t>
      </w:r>
    </w:p>
    <w:p>
      <w:pPr>
        <w:spacing w:after="0" w:line="223" w:lineRule="exact"/>
        <w:rPr>
          <w:sz w:val="20"/>
          <w:szCs w:val="20"/>
          <w:color w:val="auto"/>
        </w:rPr>
      </w:pPr>
    </w:p>
    <w:p>
      <w:pPr>
        <w:spacing w:after="0"/>
        <w:tabs>
          <w:tab w:leader="none" w:pos="400" w:val="left"/>
        </w:tabs>
        <w:rPr>
          <w:sz w:val="20"/>
          <w:szCs w:val="20"/>
          <w:color w:val="auto"/>
        </w:rPr>
      </w:pPr>
      <w:r>
        <w:rPr>
          <w:rFonts w:ascii="Calibri" w:cs="Calibri" w:eastAsia="Calibri" w:hAnsi="Calibri"/>
          <w:sz w:val="22"/>
          <w:szCs w:val="22"/>
          <w:b w:val="1"/>
          <w:bCs w:val="1"/>
          <w:color w:val="965F6E"/>
        </w:rPr>
        <w:t>(c)</w:t>
      </w:r>
      <w:r>
        <w:rPr>
          <w:sz w:val="20"/>
          <w:szCs w:val="20"/>
          <w:color w:val="auto"/>
        </w:rPr>
        <w:tab/>
      </w:r>
      <w:r>
        <w:rPr>
          <w:rFonts w:ascii="Calibri" w:cs="Calibri" w:eastAsia="Calibri" w:hAnsi="Calibri"/>
          <w:sz w:val="21"/>
          <w:szCs w:val="21"/>
          <w:b w:val="1"/>
          <w:bCs w:val="1"/>
          <w:color w:val="965F6E"/>
        </w:rPr>
        <w:t>Financial Statement Schedule</w:t>
      </w:r>
    </w:p>
    <w:p>
      <w:pPr>
        <w:spacing w:after="0" w:line="10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auto"/>
        </w:rPr>
        <w:t>SCHEDULE II – VALUATION AND QUALIFYING ACCOUNTS</w:t>
      </w:r>
    </w:p>
    <w:p>
      <w:pPr>
        <w:spacing w:after="0" w:line="50"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auto"/>
        </w:rPr>
        <w:t>MARTIN MARIETTA MATERIALS, INC. AND CONSOLIDATED SUBSIDIARIES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Borders>
              <w:right w:val="single" w:sz="8" w:color="007CBA"/>
            </w:tcBorders>
            <w:shd w:val="clear" w:color="auto" w:fill="007CBA"/>
          </w:tcPr>
          <w:p>
            <w:pPr>
              <w:ind w:left="100"/>
              <w:spacing w:after="0"/>
              <w:rPr>
                <w:sz w:val="20"/>
                <w:szCs w:val="20"/>
                <w:color w:val="auto"/>
              </w:rPr>
            </w:pPr>
            <w:r>
              <w:rPr>
                <w:rFonts w:ascii="Calibri" w:cs="Calibri" w:eastAsia="Calibri" w:hAnsi="Calibri"/>
                <w:sz w:val="14"/>
                <w:szCs w:val="14"/>
                <w:b w:val="1"/>
                <w:bCs w:val="1"/>
                <w:color w:val="FFFFFF"/>
              </w:rPr>
              <w:t>Col A</w:t>
            </w:r>
          </w:p>
        </w:tc>
        <w:tc>
          <w:tcPr>
            <w:tcW w:w="280" w:type="dxa"/>
            <w:vAlign w:val="bottom"/>
            <w:shd w:val="clear" w:color="auto" w:fill="007CBA"/>
          </w:tcPr>
          <w:p>
            <w:pPr>
              <w:spacing w:after="0"/>
              <w:rPr>
                <w:sz w:val="16"/>
                <w:szCs w:val="16"/>
                <w:color w:val="auto"/>
              </w:rPr>
            </w:pPr>
          </w:p>
        </w:tc>
        <w:tc>
          <w:tcPr>
            <w:tcW w:w="980" w:type="dxa"/>
            <w:vAlign w:val="bottom"/>
            <w:tcBorders>
              <w:right w:val="single" w:sz="8" w:color="007CBA"/>
            </w:tcBorders>
            <w:shd w:val="clear" w:color="auto" w:fill="007CBA"/>
          </w:tcPr>
          <w:p>
            <w:pPr>
              <w:jc w:val="center"/>
              <w:ind w:right="203"/>
              <w:spacing w:after="0"/>
              <w:rPr>
                <w:sz w:val="20"/>
                <w:szCs w:val="20"/>
                <w:color w:val="auto"/>
              </w:rPr>
            </w:pPr>
            <w:r>
              <w:rPr>
                <w:rFonts w:ascii="Calibri" w:cs="Calibri" w:eastAsia="Calibri" w:hAnsi="Calibri"/>
                <w:sz w:val="14"/>
                <w:szCs w:val="14"/>
                <w:b w:val="1"/>
                <w:bCs w:val="1"/>
                <w:color w:val="FFFFFF"/>
              </w:rPr>
              <w:t>Col B</w:t>
            </w:r>
          </w:p>
        </w:tc>
        <w:tc>
          <w:tcPr>
            <w:tcW w:w="280" w:type="dxa"/>
            <w:vAlign w:val="bottom"/>
            <w:shd w:val="clear" w:color="auto" w:fill="007CBA"/>
          </w:tcPr>
          <w:p>
            <w:pPr>
              <w:spacing w:after="0"/>
              <w:rPr>
                <w:sz w:val="16"/>
                <w:szCs w:val="16"/>
                <w:color w:val="auto"/>
              </w:rPr>
            </w:pPr>
          </w:p>
        </w:tc>
        <w:tc>
          <w:tcPr>
            <w:tcW w:w="1240" w:type="dxa"/>
            <w:vAlign w:val="bottom"/>
            <w:gridSpan w:val="2"/>
            <w:shd w:val="clear" w:color="auto" w:fill="007CBA"/>
          </w:tcPr>
          <w:p>
            <w:pPr>
              <w:jc w:val="center"/>
              <w:ind w:left="543"/>
              <w:spacing w:after="0"/>
              <w:rPr>
                <w:sz w:val="20"/>
                <w:szCs w:val="20"/>
                <w:color w:val="auto"/>
              </w:rPr>
            </w:pPr>
            <w:r>
              <w:rPr>
                <w:rFonts w:ascii="Calibri" w:cs="Calibri" w:eastAsia="Calibri" w:hAnsi="Calibri"/>
                <w:sz w:val="14"/>
                <w:szCs w:val="14"/>
                <w:b w:val="1"/>
                <w:bCs w:val="1"/>
                <w:color w:val="FFFFFF"/>
              </w:rPr>
              <w:t>Col C</w:t>
            </w:r>
          </w:p>
        </w:tc>
        <w:tc>
          <w:tcPr>
            <w:tcW w:w="1080" w:type="dxa"/>
            <w:vAlign w:val="bottom"/>
            <w:tcBorders>
              <w:right w:val="single" w:sz="8" w:color="007CBA"/>
            </w:tcBorders>
            <w:shd w:val="clear" w:color="auto" w:fill="007CBA"/>
          </w:tcPr>
          <w:p>
            <w:pPr>
              <w:spacing w:after="0"/>
              <w:rPr>
                <w:sz w:val="16"/>
                <w:szCs w:val="16"/>
                <w:color w:val="auto"/>
              </w:rPr>
            </w:pPr>
          </w:p>
        </w:tc>
        <w:tc>
          <w:tcPr>
            <w:tcW w:w="120" w:type="dxa"/>
            <w:vAlign w:val="bottom"/>
            <w:shd w:val="clear" w:color="auto" w:fill="007CBA"/>
          </w:tcPr>
          <w:p>
            <w:pPr>
              <w:spacing w:after="0"/>
              <w:rPr>
                <w:sz w:val="16"/>
                <w:szCs w:val="16"/>
                <w:color w:val="auto"/>
              </w:rPr>
            </w:pPr>
          </w:p>
        </w:tc>
        <w:tc>
          <w:tcPr>
            <w:tcW w:w="120" w:type="dxa"/>
            <w:vAlign w:val="bottom"/>
            <w:shd w:val="clear" w:color="auto" w:fill="007CBA"/>
          </w:tcPr>
          <w:p>
            <w:pPr>
              <w:spacing w:after="0"/>
              <w:rPr>
                <w:sz w:val="16"/>
                <w:szCs w:val="16"/>
                <w:color w:val="auto"/>
              </w:rPr>
            </w:pPr>
          </w:p>
        </w:tc>
        <w:tc>
          <w:tcPr>
            <w:tcW w:w="840" w:type="dxa"/>
            <w:vAlign w:val="bottom"/>
            <w:shd w:val="clear" w:color="auto" w:fill="007CBA"/>
          </w:tcPr>
          <w:p>
            <w:pPr>
              <w:jc w:val="center"/>
              <w:ind w:right="42"/>
              <w:spacing w:after="0"/>
              <w:rPr>
                <w:sz w:val="20"/>
                <w:szCs w:val="20"/>
                <w:color w:val="auto"/>
              </w:rPr>
            </w:pPr>
            <w:r>
              <w:rPr>
                <w:rFonts w:ascii="Calibri" w:cs="Calibri" w:eastAsia="Calibri" w:hAnsi="Calibri"/>
                <w:sz w:val="14"/>
                <w:szCs w:val="14"/>
                <w:b w:val="1"/>
                <w:bCs w:val="1"/>
                <w:color w:val="FFFFFF"/>
              </w:rPr>
              <w:t>Col D</w:t>
            </w:r>
          </w:p>
        </w:tc>
        <w:tc>
          <w:tcPr>
            <w:tcW w:w="360" w:type="dxa"/>
            <w:vAlign w:val="bottom"/>
            <w:tcBorders>
              <w:right w:val="single" w:sz="8" w:color="007CBA"/>
            </w:tcBorders>
            <w:shd w:val="clear" w:color="auto" w:fill="007CBA"/>
          </w:tcPr>
          <w:p>
            <w:pPr>
              <w:spacing w:after="0"/>
              <w:rPr>
                <w:sz w:val="16"/>
                <w:szCs w:val="16"/>
                <w:color w:val="auto"/>
              </w:rPr>
            </w:pPr>
          </w:p>
        </w:tc>
        <w:tc>
          <w:tcPr>
            <w:tcW w:w="260" w:type="dxa"/>
            <w:vAlign w:val="bottom"/>
            <w:shd w:val="clear" w:color="auto" w:fill="007CBA"/>
          </w:tcPr>
          <w:p>
            <w:pPr>
              <w:spacing w:after="0"/>
              <w:rPr>
                <w:sz w:val="16"/>
                <w:szCs w:val="16"/>
                <w:color w:val="auto"/>
              </w:rPr>
            </w:pPr>
          </w:p>
        </w:tc>
        <w:tc>
          <w:tcPr>
            <w:tcW w:w="920" w:type="dxa"/>
            <w:vAlign w:val="bottom"/>
            <w:gridSpan w:val="2"/>
            <w:shd w:val="clear" w:color="auto" w:fill="007CBA"/>
          </w:tcPr>
          <w:p>
            <w:pPr>
              <w:jc w:val="center"/>
              <w:ind w:right="260"/>
              <w:spacing w:after="0"/>
              <w:rPr>
                <w:sz w:val="20"/>
                <w:szCs w:val="20"/>
                <w:color w:val="auto"/>
              </w:rPr>
            </w:pPr>
            <w:r>
              <w:rPr>
                <w:rFonts w:ascii="Calibri" w:cs="Calibri" w:eastAsia="Calibri" w:hAnsi="Calibri"/>
                <w:sz w:val="14"/>
                <w:szCs w:val="14"/>
                <w:b w:val="1"/>
                <w:bCs w:val="1"/>
                <w:color w:val="FFFFFF"/>
              </w:rPr>
              <w:t>Col E</w:t>
            </w:r>
          </w:p>
        </w:tc>
        <w:tc>
          <w:tcPr>
            <w:tcW w:w="0" w:type="dxa"/>
            <w:vAlign w:val="bottom"/>
          </w:tcPr>
          <w:p>
            <w:pPr>
              <w:spacing w:after="0"/>
              <w:rPr>
                <w:sz w:val="1"/>
                <w:szCs w:val="1"/>
                <w:color w:val="auto"/>
              </w:rPr>
            </w:pPr>
          </w:p>
        </w:tc>
      </w:tr>
      <w:tr>
        <w:trPr>
          <w:trHeight w:val="195"/>
        </w:trPr>
        <w:tc>
          <w:tcPr>
            <w:tcW w:w="4760" w:type="dxa"/>
            <w:vAlign w:val="bottom"/>
            <w:tcBorders>
              <w:right w:val="single" w:sz="8" w:color="007CBA"/>
            </w:tcBorders>
            <w:shd w:val="clear" w:color="auto" w:fill="007CBA"/>
          </w:tcPr>
          <w:p>
            <w:pPr>
              <w:spacing w:after="0"/>
              <w:rPr>
                <w:sz w:val="16"/>
                <w:szCs w:val="16"/>
                <w:color w:val="auto"/>
              </w:rPr>
            </w:pPr>
          </w:p>
        </w:tc>
        <w:tc>
          <w:tcPr>
            <w:tcW w:w="280" w:type="dxa"/>
            <w:vAlign w:val="bottom"/>
            <w:shd w:val="clear" w:color="auto" w:fill="007CBA"/>
          </w:tcPr>
          <w:p>
            <w:pPr>
              <w:spacing w:after="0"/>
              <w:rPr>
                <w:sz w:val="16"/>
                <w:szCs w:val="16"/>
                <w:color w:val="auto"/>
              </w:rPr>
            </w:pPr>
          </w:p>
        </w:tc>
        <w:tc>
          <w:tcPr>
            <w:tcW w:w="980" w:type="dxa"/>
            <w:vAlign w:val="bottom"/>
            <w:tcBorders>
              <w:right w:val="single" w:sz="8" w:color="007CBA"/>
            </w:tcBorders>
            <w:shd w:val="clear" w:color="auto" w:fill="007CBA"/>
          </w:tcPr>
          <w:p>
            <w:pPr>
              <w:spacing w:after="0"/>
              <w:rPr>
                <w:sz w:val="16"/>
                <w:szCs w:val="16"/>
                <w:color w:val="auto"/>
              </w:rPr>
            </w:pPr>
          </w:p>
        </w:tc>
        <w:tc>
          <w:tcPr>
            <w:tcW w:w="280" w:type="dxa"/>
            <w:vAlign w:val="bottom"/>
            <w:shd w:val="clear" w:color="auto" w:fill="007CBA"/>
          </w:tcPr>
          <w:p>
            <w:pPr>
              <w:spacing w:after="0"/>
              <w:rPr>
                <w:sz w:val="16"/>
                <w:szCs w:val="16"/>
                <w:color w:val="auto"/>
              </w:rPr>
            </w:pPr>
          </w:p>
        </w:tc>
        <w:tc>
          <w:tcPr>
            <w:tcW w:w="1240" w:type="dxa"/>
            <w:vAlign w:val="bottom"/>
            <w:gridSpan w:val="2"/>
            <w:shd w:val="clear" w:color="auto" w:fill="007CBA"/>
          </w:tcPr>
          <w:p>
            <w:pPr>
              <w:jc w:val="center"/>
              <w:ind w:left="543"/>
              <w:spacing w:after="0"/>
              <w:rPr>
                <w:sz w:val="20"/>
                <w:szCs w:val="20"/>
                <w:color w:val="auto"/>
              </w:rPr>
            </w:pPr>
            <w:r>
              <w:rPr>
                <w:rFonts w:ascii="Calibri" w:cs="Calibri" w:eastAsia="Calibri" w:hAnsi="Calibri"/>
                <w:sz w:val="14"/>
                <w:szCs w:val="14"/>
                <w:b w:val="1"/>
                <w:bCs w:val="1"/>
                <w:color w:val="FFFFFF"/>
              </w:rPr>
              <w:t>Additons</w:t>
            </w:r>
          </w:p>
        </w:tc>
        <w:tc>
          <w:tcPr>
            <w:tcW w:w="1080" w:type="dxa"/>
            <w:vAlign w:val="bottom"/>
            <w:tcBorders>
              <w:right w:val="single" w:sz="8" w:color="007CBA"/>
            </w:tcBorders>
            <w:shd w:val="clear" w:color="auto" w:fill="007CBA"/>
          </w:tcPr>
          <w:p>
            <w:pPr>
              <w:spacing w:after="0"/>
              <w:rPr>
                <w:sz w:val="16"/>
                <w:szCs w:val="16"/>
                <w:color w:val="auto"/>
              </w:rPr>
            </w:pPr>
          </w:p>
        </w:tc>
        <w:tc>
          <w:tcPr>
            <w:tcW w:w="120" w:type="dxa"/>
            <w:vAlign w:val="bottom"/>
            <w:shd w:val="clear" w:color="auto" w:fill="007CBA"/>
          </w:tcPr>
          <w:p>
            <w:pPr>
              <w:spacing w:after="0"/>
              <w:rPr>
                <w:sz w:val="16"/>
                <w:szCs w:val="16"/>
                <w:color w:val="auto"/>
              </w:rPr>
            </w:pPr>
          </w:p>
        </w:tc>
        <w:tc>
          <w:tcPr>
            <w:tcW w:w="120" w:type="dxa"/>
            <w:vAlign w:val="bottom"/>
            <w:shd w:val="clear" w:color="auto" w:fill="007CBA"/>
          </w:tcPr>
          <w:p>
            <w:pPr>
              <w:spacing w:after="0"/>
              <w:rPr>
                <w:sz w:val="16"/>
                <w:szCs w:val="16"/>
                <w:color w:val="auto"/>
              </w:rPr>
            </w:pPr>
          </w:p>
        </w:tc>
        <w:tc>
          <w:tcPr>
            <w:tcW w:w="840" w:type="dxa"/>
            <w:vAlign w:val="bottom"/>
            <w:shd w:val="clear" w:color="auto" w:fill="007CBA"/>
          </w:tcPr>
          <w:p>
            <w:pPr>
              <w:spacing w:after="0"/>
              <w:rPr>
                <w:sz w:val="16"/>
                <w:szCs w:val="16"/>
                <w:color w:val="auto"/>
              </w:rPr>
            </w:pPr>
          </w:p>
        </w:tc>
        <w:tc>
          <w:tcPr>
            <w:tcW w:w="360" w:type="dxa"/>
            <w:vAlign w:val="bottom"/>
            <w:tcBorders>
              <w:right w:val="single" w:sz="8" w:color="007CBA"/>
            </w:tcBorders>
            <w:shd w:val="clear" w:color="auto" w:fill="007CBA"/>
          </w:tcPr>
          <w:p>
            <w:pPr>
              <w:spacing w:after="0"/>
              <w:rPr>
                <w:sz w:val="16"/>
                <w:szCs w:val="16"/>
                <w:color w:val="auto"/>
              </w:rPr>
            </w:pPr>
          </w:p>
        </w:tc>
        <w:tc>
          <w:tcPr>
            <w:tcW w:w="260" w:type="dxa"/>
            <w:vAlign w:val="bottom"/>
            <w:shd w:val="clear" w:color="auto" w:fill="007CBA"/>
          </w:tcPr>
          <w:p>
            <w:pPr>
              <w:spacing w:after="0"/>
              <w:rPr>
                <w:sz w:val="16"/>
                <w:szCs w:val="16"/>
                <w:color w:val="auto"/>
              </w:rPr>
            </w:pPr>
          </w:p>
        </w:tc>
        <w:tc>
          <w:tcPr>
            <w:tcW w:w="820" w:type="dxa"/>
            <w:vAlign w:val="bottom"/>
            <w:shd w:val="clear" w:color="auto" w:fill="007CBA"/>
          </w:tcPr>
          <w:p>
            <w:pPr>
              <w:spacing w:after="0"/>
              <w:rPr>
                <w:sz w:val="16"/>
                <w:szCs w:val="16"/>
                <w:color w:val="auto"/>
              </w:rPr>
            </w:pPr>
          </w:p>
        </w:tc>
        <w:tc>
          <w:tcPr>
            <w:tcW w:w="100" w:type="dxa"/>
            <w:vAlign w:val="bottom"/>
            <w:shd w:val="clear" w:color="auto" w:fill="007CBA"/>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60" w:type="dxa"/>
            <w:vAlign w:val="bottom"/>
            <w:tcBorders>
              <w:right w:val="single" w:sz="8" w:color="007CBA"/>
            </w:tcBorders>
            <w:shd w:val="clear" w:color="auto" w:fill="007CBA"/>
          </w:tcPr>
          <w:p>
            <w:pPr>
              <w:spacing w:after="0"/>
              <w:rPr>
                <w:sz w:val="18"/>
                <w:szCs w:val="18"/>
                <w:color w:val="auto"/>
              </w:rPr>
            </w:pPr>
          </w:p>
        </w:tc>
        <w:tc>
          <w:tcPr>
            <w:tcW w:w="280" w:type="dxa"/>
            <w:vAlign w:val="bottom"/>
            <w:shd w:val="clear" w:color="auto" w:fill="007CBA"/>
          </w:tcPr>
          <w:p>
            <w:pPr>
              <w:spacing w:after="0"/>
              <w:rPr>
                <w:sz w:val="18"/>
                <w:szCs w:val="18"/>
                <w:color w:val="auto"/>
              </w:rPr>
            </w:pPr>
          </w:p>
        </w:tc>
        <w:tc>
          <w:tcPr>
            <w:tcW w:w="980" w:type="dxa"/>
            <w:vAlign w:val="bottom"/>
            <w:tcBorders>
              <w:right w:val="single" w:sz="8" w:color="007CBA"/>
            </w:tcBorders>
            <w:shd w:val="clear" w:color="auto" w:fill="007CBA"/>
          </w:tcPr>
          <w:p>
            <w:pPr>
              <w:spacing w:after="0"/>
              <w:rPr>
                <w:sz w:val="18"/>
                <w:szCs w:val="18"/>
                <w:color w:val="auto"/>
              </w:rPr>
            </w:pPr>
          </w:p>
        </w:tc>
        <w:tc>
          <w:tcPr>
            <w:tcW w:w="280" w:type="dxa"/>
            <w:vAlign w:val="bottom"/>
            <w:shd w:val="clear" w:color="auto" w:fill="007CBA"/>
          </w:tcPr>
          <w:p>
            <w:pPr>
              <w:spacing w:after="0"/>
              <w:rPr>
                <w:sz w:val="18"/>
                <w:szCs w:val="18"/>
                <w:color w:val="auto"/>
              </w:rPr>
            </w:pPr>
          </w:p>
        </w:tc>
        <w:tc>
          <w:tcPr>
            <w:tcW w:w="940" w:type="dxa"/>
            <w:vAlign w:val="bottom"/>
            <w:tcBorders>
              <w:right w:val="single" w:sz="8" w:color="007CBA"/>
            </w:tcBorders>
            <w:shd w:val="clear" w:color="auto" w:fill="007CBA"/>
          </w:tcPr>
          <w:p>
            <w:pPr>
              <w:jc w:val="center"/>
              <w:ind w:right="203"/>
              <w:spacing w:after="0"/>
              <w:rPr>
                <w:sz w:val="20"/>
                <w:szCs w:val="20"/>
                <w:color w:val="auto"/>
              </w:rPr>
            </w:pPr>
            <w:r>
              <w:rPr>
                <w:rFonts w:ascii="Calibri" w:cs="Calibri" w:eastAsia="Calibri" w:hAnsi="Calibri"/>
                <w:sz w:val="14"/>
                <w:szCs w:val="14"/>
                <w:b w:val="1"/>
                <w:bCs w:val="1"/>
                <w:color w:val="FFFFFF"/>
              </w:rPr>
              <w:t>(1)</w:t>
            </w:r>
          </w:p>
        </w:tc>
        <w:tc>
          <w:tcPr>
            <w:tcW w:w="300" w:type="dxa"/>
            <w:vAlign w:val="bottom"/>
            <w:shd w:val="clear" w:color="auto" w:fill="007CBA"/>
          </w:tcPr>
          <w:p>
            <w:pPr>
              <w:spacing w:after="0"/>
              <w:rPr>
                <w:sz w:val="18"/>
                <w:szCs w:val="18"/>
                <w:color w:val="auto"/>
              </w:rPr>
            </w:pPr>
          </w:p>
        </w:tc>
        <w:tc>
          <w:tcPr>
            <w:tcW w:w="1080" w:type="dxa"/>
            <w:vAlign w:val="bottom"/>
            <w:tcBorders>
              <w:right w:val="single" w:sz="8" w:color="007CBA"/>
            </w:tcBorders>
            <w:shd w:val="clear" w:color="auto" w:fill="007CBA"/>
          </w:tcPr>
          <w:p>
            <w:pPr>
              <w:jc w:val="center"/>
              <w:ind w:right="405"/>
              <w:spacing w:after="0"/>
              <w:rPr>
                <w:sz w:val="20"/>
                <w:szCs w:val="20"/>
                <w:color w:val="auto"/>
              </w:rPr>
            </w:pPr>
            <w:r>
              <w:rPr>
                <w:rFonts w:ascii="Calibri" w:cs="Calibri" w:eastAsia="Calibri" w:hAnsi="Calibri"/>
                <w:sz w:val="14"/>
                <w:szCs w:val="14"/>
                <w:b w:val="1"/>
                <w:bCs w:val="1"/>
                <w:color w:val="FFFFFF"/>
              </w:rPr>
              <w:t>(2)</w:t>
            </w:r>
          </w:p>
        </w:tc>
        <w:tc>
          <w:tcPr>
            <w:tcW w:w="120" w:type="dxa"/>
            <w:vAlign w:val="bottom"/>
            <w:shd w:val="clear" w:color="auto" w:fill="007CBA"/>
          </w:tcPr>
          <w:p>
            <w:pPr>
              <w:spacing w:after="0"/>
              <w:rPr>
                <w:sz w:val="18"/>
                <w:szCs w:val="18"/>
                <w:color w:val="auto"/>
              </w:rPr>
            </w:pPr>
          </w:p>
        </w:tc>
        <w:tc>
          <w:tcPr>
            <w:tcW w:w="120" w:type="dxa"/>
            <w:vAlign w:val="bottom"/>
            <w:shd w:val="clear" w:color="auto" w:fill="007CBA"/>
          </w:tcPr>
          <w:p>
            <w:pPr>
              <w:spacing w:after="0"/>
              <w:rPr>
                <w:sz w:val="18"/>
                <w:szCs w:val="18"/>
                <w:color w:val="auto"/>
              </w:rPr>
            </w:pPr>
          </w:p>
        </w:tc>
        <w:tc>
          <w:tcPr>
            <w:tcW w:w="840" w:type="dxa"/>
            <w:vAlign w:val="bottom"/>
            <w:shd w:val="clear" w:color="auto" w:fill="007CBA"/>
          </w:tcPr>
          <w:p>
            <w:pPr>
              <w:spacing w:after="0"/>
              <w:rPr>
                <w:sz w:val="18"/>
                <w:szCs w:val="18"/>
                <w:color w:val="auto"/>
              </w:rPr>
            </w:pPr>
          </w:p>
        </w:tc>
        <w:tc>
          <w:tcPr>
            <w:tcW w:w="360" w:type="dxa"/>
            <w:vAlign w:val="bottom"/>
            <w:tcBorders>
              <w:right w:val="single" w:sz="8" w:color="007CBA"/>
            </w:tcBorders>
            <w:shd w:val="clear" w:color="auto" w:fill="007CBA"/>
          </w:tcPr>
          <w:p>
            <w:pPr>
              <w:spacing w:after="0"/>
              <w:rPr>
                <w:sz w:val="18"/>
                <w:szCs w:val="18"/>
                <w:color w:val="auto"/>
              </w:rPr>
            </w:pPr>
          </w:p>
        </w:tc>
        <w:tc>
          <w:tcPr>
            <w:tcW w:w="260" w:type="dxa"/>
            <w:vAlign w:val="bottom"/>
            <w:shd w:val="clear" w:color="auto" w:fill="007CBA"/>
          </w:tcPr>
          <w:p>
            <w:pPr>
              <w:spacing w:after="0"/>
              <w:rPr>
                <w:sz w:val="18"/>
                <w:szCs w:val="18"/>
                <w:color w:val="auto"/>
              </w:rPr>
            </w:pPr>
          </w:p>
        </w:tc>
        <w:tc>
          <w:tcPr>
            <w:tcW w:w="820" w:type="dxa"/>
            <w:vAlign w:val="bottom"/>
            <w:shd w:val="clear" w:color="auto" w:fill="007CBA"/>
          </w:tcPr>
          <w:p>
            <w:pPr>
              <w:spacing w:after="0"/>
              <w:rPr>
                <w:sz w:val="18"/>
                <w:szCs w:val="18"/>
                <w:color w:val="auto"/>
              </w:rPr>
            </w:pPr>
          </w:p>
        </w:tc>
        <w:tc>
          <w:tcPr>
            <w:tcW w:w="10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760" w:type="dxa"/>
            <w:vAlign w:val="bottom"/>
            <w:tcBorders>
              <w:right w:val="single" w:sz="8" w:color="007CBA"/>
            </w:tcBorders>
            <w:shd w:val="clear" w:color="auto" w:fill="007CBA"/>
          </w:tcPr>
          <w:p>
            <w:pPr>
              <w:spacing w:after="0"/>
              <w:rPr>
                <w:sz w:val="15"/>
                <w:szCs w:val="15"/>
                <w:color w:val="auto"/>
              </w:rPr>
            </w:pPr>
          </w:p>
        </w:tc>
        <w:tc>
          <w:tcPr>
            <w:tcW w:w="280" w:type="dxa"/>
            <w:vAlign w:val="bottom"/>
            <w:shd w:val="clear" w:color="auto" w:fill="007CBA"/>
          </w:tcPr>
          <w:p>
            <w:pPr>
              <w:spacing w:after="0"/>
              <w:rPr>
                <w:sz w:val="15"/>
                <w:szCs w:val="15"/>
                <w:color w:val="auto"/>
              </w:rPr>
            </w:pPr>
          </w:p>
        </w:tc>
        <w:tc>
          <w:tcPr>
            <w:tcW w:w="980" w:type="dxa"/>
            <w:vAlign w:val="bottom"/>
            <w:tcBorders>
              <w:right w:val="single" w:sz="8" w:color="007CBA"/>
            </w:tcBorders>
            <w:shd w:val="clear" w:color="auto" w:fill="007CBA"/>
          </w:tcPr>
          <w:p>
            <w:pPr>
              <w:jc w:val="center"/>
              <w:ind w:right="203"/>
              <w:spacing w:after="0"/>
              <w:rPr>
                <w:sz w:val="20"/>
                <w:szCs w:val="20"/>
                <w:color w:val="auto"/>
              </w:rPr>
            </w:pPr>
            <w:r>
              <w:rPr>
                <w:rFonts w:ascii="Calibri" w:cs="Calibri" w:eastAsia="Calibri" w:hAnsi="Calibri"/>
                <w:sz w:val="14"/>
                <w:szCs w:val="14"/>
                <w:b w:val="1"/>
                <w:bCs w:val="1"/>
                <w:color w:val="FFFFFF"/>
              </w:rPr>
              <w:t>Balance</w:t>
            </w:r>
          </w:p>
        </w:tc>
        <w:tc>
          <w:tcPr>
            <w:tcW w:w="280" w:type="dxa"/>
            <w:vAlign w:val="bottom"/>
            <w:shd w:val="clear" w:color="auto" w:fill="007CBA"/>
          </w:tcPr>
          <w:p>
            <w:pPr>
              <w:spacing w:after="0"/>
              <w:rPr>
                <w:sz w:val="15"/>
                <w:szCs w:val="15"/>
                <w:color w:val="auto"/>
              </w:rPr>
            </w:pPr>
          </w:p>
        </w:tc>
        <w:tc>
          <w:tcPr>
            <w:tcW w:w="940" w:type="dxa"/>
            <w:vAlign w:val="bottom"/>
            <w:tcBorders>
              <w:right w:val="single" w:sz="8" w:color="007CBA"/>
            </w:tcBorders>
            <w:shd w:val="clear" w:color="auto" w:fill="007CBA"/>
          </w:tcPr>
          <w:p>
            <w:pPr>
              <w:jc w:val="center"/>
              <w:ind w:right="203"/>
              <w:spacing w:after="0"/>
              <w:rPr>
                <w:sz w:val="20"/>
                <w:szCs w:val="20"/>
                <w:color w:val="auto"/>
              </w:rPr>
            </w:pPr>
            <w:r>
              <w:rPr>
                <w:rFonts w:ascii="Calibri" w:cs="Calibri" w:eastAsia="Calibri" w:hAnsi="Calibri"/>
                <w:sz w:val="14"/>
                <w:szCs w:val="14"/>
                <w:b w:val="1"/>
                <w:bCs w:val="1"/>
                <w:color w:val="FFFFFF"/>
              </w:rPr>
              <w:t>Charged</w:t>
            </w:r>
          </w:p>
        </w:tc>
        <w:tc>
          <w:tcPr>
            <w:tcW w:w="300" w:type="dxa"/>
            <w:vAlign w:val="bottom"/>
            <w:shd w:val="clear" w:color="auto" w:fill="007CBA"/>
          </w:tcPr>
          <w:p>
            <w:pPr>
              <w:spacing w:after="0"/>
              <w:rPr>
                <w:sz w:val="15"/>
                <w:szCs w:val="15"/>
                <w:color w:val="auto"/>
              </w:rPr>
            </w:pPr>
          </w:p>
        </w:tc>
        <w:tc>
          <w:tcPr>
            <w:tcW w:w="1080" w:type="dxa"/>
            <w:vAlign w:val="bottom"/>
            <w:tcBorders>
              <w:right w:val="single" w:sz="8" w:color="007CBA"/>
            </w:tcBorders>
            <w:shd w:val="clear" w:color="auto" w:fill="007CBA"/>
          </w:tcPr>
          <w:p>
            <w:pPr>
              <w:jc w:val="center"/>
              <w:ind w:right="425"/>
              <w:spacing w:after="0"/>
              <w:rPr>
                <w:sz w:val="20"/>
                <w:szCs w:val="20"/>
                <w:color w:val="auto"/>
              </w:rPr>
            </w:pPr>
            <w:r>
              <w:rPr>
                <w:rFonts w:ascii="Calibri" w:cs="Calibri" w:eastAsia="Calibri" w:hAnsi="Calibri"/>
                <w:sz w:val="14"/>
                <w:szCs w:val="14"/>
                <w:b w:val="1"/>
                <w:bCs w:val="1"/>
                <w:color w:val="FFFFFF"/>
              </w:rPr>
              <w:t>Charged</w:t>
            </w:r>
          </w:p>
        </w:tc>
        <w:tc>
          <w:tcPr>
            <w:tcW w:w="120" w:type="dxa"/>
            <w:vAlign w:val="bottom"/>
            <w:shd w:val="clear" w:color="auto" w:fill="007CBA"/>
          </w:tcPr>
          <w:p>
            <w:pPr>
              <w:spacing w:after="0"/>
              <w:rPr>
                <w:sz w:val="15"/>
                <w:szCs w:val="15"/>
                <w:color w:val="auto"/>
              </w:rPr>
            </w:pPr>
          </w:p>
        </w:tc>
        <w:tc>
          <w:tcPr>
            <w:tcW w:w="120" w:type="dxa"/>
            <w:vAlign w:val="bottom"/>
            <w:shd w:val="clear" w:color="auto" w:fill="007CBA"/>
          </w:tcPr>
          <w:p>
            <w:pPr>
              <w:spacing w:after="0"/>
              <w:rPr>
                <w:sz w:val="15"/>
                <w:szCs w:val="15"/>
                <w:color w:val="auto"/>
              </w:rPr>
            </w:pPr>
          </w:p>
        </w:tc>
        <w:tc>
          <w:tcPr>
            <w:tcW w:w="840" w:type="dxa"/>
            <w:vAlign w:val="bottom"/>
            <w:shd w:val="clear" w:color="auto" w:fill="007CBA"/>
          </w:tcPr>
          <w:p>
            <w:pPr>
              <w:spacing w:after="0"/>
              <w:rPr>
                <w:sz w:val="15"/>
                <w:szCs w:val="15"/>
                <w:color w:val="auto"/>
              </w:rPr>
            </w:pPr>
          </w:p>
        </w:tc>
        <w:tc>
          <w:tcPr>
            <w:tcW w:w="360" w:type="dxa"/>
            <w:vAlign w:val="bottom"/>
            <w:tcBorders>
              <w:right w:val="single" w:sz="8" w:color="007CBA"/>
            </w:tcBorders>
            <w:shd w:val="clear" w:color="auto" w:fill="007CBA"/>
          </w:tcPr>
          <w:p>
            <w:pPr>
              <w:spacing w:after="0"/>
              <w:rPr>
                <w:sz w:val="15"/>
                <w:szCs w:val="15"/>
                <w:color w:val="auto"/>
              </w:rPr>
            </w:pPr>
          </w:p>
        </w:tc>
        <w:tc>
          <w:tcPr>
            <w:tcW w:w="260" w:type="dxa"/>
            <w:vAlign w:val="bottom"/>
            <w:shd w:val="clear" w:color="auto" w:fill="007CBA"/>
          </w:tcPr>
          <w:p>
            <w:pPr>
              <w:spacing w:after="0"/>
              <w:rPr>
                <w:sz w:val="15"/>
                <w:szCs w:val="15"/>
                <w:color w:val="auto"/>
              </w:rPr>
            </w:pPr>
          </w:p>
        </w:tc>
        <w:tc>
          <w:tcPr>
            <w:tcW w:w="820" w:type="dxa"/>
            <w:vAlign w:val="bottom"/>
            <w:shd w:val="clear" w:color="auto" w:fill="007CBA"/>
          </w:tcPr>
          <w:p>
            <w:pPr>
              <w:spacing w:after="0"/>
              <w:rPr>
                <w:sz w:val="15"/>
                <w:szCs w:val="15"/>
                <w:color w:val="auto"/>
              </w:rPr>
            </w:pPr>
          </w:p>
        </w:tc>
        <w:tc>
          <w:tcPr>
            <w:tcW w:w="100" w:type="dxa"/>
            <w:vAlign w:val="bottom"/>
            <w:shd w:val="clear" w:color="auto" w:fill="007CBA"/>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60" w:type="dxa"/>
            <w:vAlign w:val="bottom"/>
            <w:tcBorders>
              <w:right w:val="single" w:sz="8" w:color="007CBA"/>
            </w:tcBorders>
            <w:shd w:val="clear" w:color="auto" w:fill="007CBA"/>
          </w:tcPr>
          <w:p>
            <w:pPr>
              <w:spacing w:after="0"/>
              <w:rPr>
                <w:sz w:val="15"/>
                <w:szCs w:val="15"/>
                <w:color w:val="auto"/>
              </w:rPr>
            </w:pPr>
          </w:p>
        </w:tc>
        <w:tc>
          <w:tcPr>
            <w:tcW w:w="280" w:type="dxa"/>
            <w:vAlign w:val="bottom"/>
            <w:shd w:val="clear" w:color="auto" w:fill="007CBA"/>
          </w:tcPr>
          <w:p>
            <w:pPr>
              <w:spacing w:after="0"/>
              <w:rPr>
                <w:sz w:val="15"/>
                <w:szCs w:val="15"/>
                <w:color w:val="auto"/>
              </w:rPr>
            </w:pPr>
          </w:p>
        </w:tc>
        <w:tc>
          <w:tcPr>
            <w:tcW w:w="980" w:type="dxa"/>
            <w:vAlign w:val="bottom"/>
            <w:tcBorders>
              <w:right w:val="single" w:sz="8" w:color="007CBA"/>
            </w:tcBorders>
            <w:shd w:val="clear" w:color="auto" w:fill="007CBA"/>
          </w:tcPr>
          <w:p>
            <w:pPr>
              <w:jc w:val="center"/>
              <w:ind w:right="183"/>
              <w:spacing w:after="0"/>
              <w:rPr>
                <w:sz w:val="20"/>
                <w:szCs w:val="20"/>
                <w:color w:val="auto"/>
              </w:rPr>
            </w:pPr>
            <w:r>
              <w:rPr>
                <w:rFonts w:ascii="Calibri" w:cs="Calibri" w:eastAsia="Calibri" w:hAnsi="Calibri"/>
                <w:sz w:val="14"/>
                <w:szCs w:val="14"/>
                <w:b w:val="1"/>
                <w:bCs w:val="1"/>
                <w:color w:val="FFFFFF"/>
              </w:rPr>
              <w:t>at</w:t>
            </w:r>
          </w:p>
        </w:tc>
        <w:tc>
          <w:tcPr>
            <w:tcW w:w="280" w:type="dxa"/>
            <w:vAlign w:val="bottom"/>
            <w:shd w:val="clear" w:color="auto" w:fill="007CBA"/>
          </w:tcPr>
          <w:p>
            <w:pPr>
              <w:spacing w:after="0"/>
              <w:rPr>
                <w:sz w:val="15"/>
                <w:szCs w:val="15"/>
                <w:color w:val="auto"/>
              </w:rPr>
            </w:pPr>
          </w:p>
        </w:tc>
        <w:tc>
          <w:tcPr>
            <w:tcW w:w="940" w:type="dxa"/>
            <w:vAlign w:val="bottom"/>
            <w:tcBorders>
              <w:right w:val="single" w:sz="8" w:color="007CBA"/>
            </w:tcBorders>
            <w:shd w:val="clear" w:color="auto" w:fill="007CBA"/>
          </w:tcPr>
          <w:p>
            <w:pPr>
              <w:jc w:val="center"/>
              <w:ind w:right="203"/>
              <w:spacing w:after="0"/>
              <w:rPr>
                <w:sz w:val="20"/>
                <w:szCs w:val="20"/>
                <w:color w:val="auto"/>
              </w:rPr>
            </w:pPr>
            <w:r>
              <w:rPr>
                <w:rFonts w:ascii="Calibri" w:cs="Calibri" w:eastAsia="Calibri" w:hAnsi="Calibri"/>
                <w:sz w:val="14"/>
                <w:szCs w:val="14"/>
                <w:b w:val="1"/>
                <w:bCs w:val="1"/>
                <w:color w:val="FFFFFF"/>
              </w:rPr>
              <w:t>to costs</w:t>
            </w:r>
          </w:p>
        </w:tc>
        <w:tc>
          <w:tcPr>
            <w:tcW w:w="300" w:type="dxa"/>
            <w:vAlign w:val="bottom"/>
            <w:shd w:val="clear" w:color="auto" w:fill="007CBA"/>
          </w:tcPr>
          <w:p>
            <w:pPr>
              <w:spacing w:after="0"/>
              <w:rPr>
                <w:sz w:val="15"/>
                <w:szCs w:val="15"/>
                <w:color w:val="auto"/>
              </w:rPr>
            </w:pPr>
          </w:p>
        </w:tc>
        <w:tc>
          <w:tcPr>
            <w:tcW w:w="1080" w:type="dxa"/>
            <w:vAlign w:val="bottom"/>
            <w:tcBorders>
              <w:right w:val="single" w:sz="8" w:color="007CBA"/>
            </w:tcBorders>
            <w:shd w:val="clear" w:color="auto" w:fill="007CBA"/>
          </w:tcPr>
          <w:p>
            <w:pPr>
              <w:jc w:val="center"/>
              <w:ind w:right="425"/>
              <w:spacing w:after="0"/>
              <w:rPr>
                <w:sz w:val="20"/>
                <w:szCs w:val="20"/>
                <w:color w:val="auto"/>
              </w:rPr>
            </w:pPr>
            <w:r>
              <w:rPr>
                <w:rFonts w:ascii="Calibri" w:cs="Calibri" w:eastAsia="Calibri" w:hAnsi="Calibri"/>
                <w:sz w:val="14"/>
                <w:szCs w:val="14"/>
                <w:b w:val="1"/>
                <w:bCs w:val="1"/>
                <w:color w:val="FFFFFF"/>
              </w:rPr>
              <w:t>to other</w:t>
            </w:r>
          </w:p>
        </w:tc>
        <w:tc>
          <w:tcPr>
            <w:tcW w:w="120" w:type="dxa"/>
            <w:vAlign w:val="bottom"/>
            <w:shd w:val="clear" w:color="auto" w:fill="007CBA"/>
          </w:tcPr>
          <w:p>
            <w:pPr>
              <w:spacing w:after="0"/>
              <w:rPr>
                <w:sz w:val="15"/>
                <w:szCs w:val="15"/>
                <w:color w:val="auto"/>
              </w:rPr>
            </w:pPr>
          </w:p>
        </w:tc>
        <w:tc>
          <w:tcPr>
            <w:tcW w:w="120" w:type="dxa"/>
            <w:vAlign w:val="bottom"/>
            <w:shd w:val="clear" w:color="auto" w:fill="007CBA"/>
          </w:tcPr>
          <w:p>
            <w:pPr>
              <w:spacing w:after="0"/>
              <w:rPr>
                <w:sz w:val="15"/>
                <w:szCs w:val="15"/>
                <w:color w:val="auto"/>
              </w:rPr>
            </w:pPr>
          </w:p>
        </w:tc>
        <w:tc>
          <w:tcPr>
            <w:tcW w:w="840" w:type="dxa"/>
            <w:vAlign w:val="bottom"/>
            <w:shd w:val="clear" w:color="auto" w:fill="007CBA"/>
          </w:tcPr>
          <w:p>
            <w:pPr>
              <w:spacing w:after="0"/>
              <w:rPr>
                <w:sz w:val="15"/>
                <w:szCs w:val="15"/>
                <w:color w:val="auto"/>
              </w:rPr>
            </w:pPr>
          </w:p>
        </w:tc>
        <w:tc>
          <w:tcPr>
            <w:tcW w:w="360" w:type="dxa"/>
            <w:vAlign w:val="bottom"/>
            <w:tcBorders>
              <w:right w:val="single" w:sz="8" w:color="007CBA"/>
            </w:tcBorders>
            <w:shd w:val="clear" w:color="auto" w:fill="007CBA"/>
          </w:tcPr>
          <w:p>
            <w:pPr>
              <w:spacing w:after="0"/>
              <w:rPr>
                <w:sz w:val="15"/>
                <w:szCs w:val="15"/>
                <w:color w:val="auto"/>
              </w:rPr>
            </w:pPr>
          </w:p>
        </w:tc>
        <w:tc>
          <w:tcPr>
            <w:tcW w:w="260" w:type="dxa"/>
            <w:vAlign w:val="bottom"/>
            <w:shd w:val="clear" w:color="auto" w:fill="007CBA"/>
          </w:tcPr>
          <w:p>
            <w:pPr>
              <w:spacing w:after="0"/>
              <w:rPr>
                <w:sz w:val="15"/>
                <w:szCs w:val="15"/>
                <w:color w:val="auto"/>
              </w:rPr>
            </w:pPr>
          </w:p>
        </w:tc>
        <w:tc>
          <w:tcPr>
            <w:tcW w:w="820" w:type="dxa"/>
            <w:vAlign w:val="bottom"/>
            <w:shd w:val="clear" w:color="auto" w:fill="007CBA"/>
          </w:tcPr>
          <w:p>
            <w:pPr>
              <w:jc w:val="center"/>
              <w:ind w:right="82"/>
              <w:spacing w:after="0"/>
              <w:rPr>
                <w:sz w:val="20"/>
                <w:szCs w:val="20"/>
                <w:color w:val="auto"/>
              </w:rPr>
            </w:pPr>
            <w:r>
              <w:rPr>
                <w:rFonts w:ascii="Calibri" w:cs="Calibri" w:eastAsia="Calibri" w:hAnsi="Calibri"/>
                <w:sz w:val="14"/>
                <w:szCs w:val="14"/>
                <w:b w:val="1"/>
                <w:bCs w:val="1"/>
                <w:color w:val="FFFFFF"/>
              </w:rPr>
              <w:t>Balance</w:t>
            </w:r>
          </w:p>
        </w:tc>
        <w:tc>
          <w:tcPr>
            <w:tcW w:w="100" w:type="dxa"/>
            <w:vAlign w:val="bottom"/>
            <w:shd w:val="clear" w:color="auto" w:fill="007CBA"/>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60" w:type="dxa"/>
            <w:vAlign w:val="bottom"/>
            <w:tcBorders>
              <w:right w:val="single" w:sz="8" w:color="007CBA"/>
            </w:tcBorders>
            <w:shd w:val="clear" w:color="auto" w:fill="007CBA"/>
          </w:tcPr>
          <w:p>
            <w:pPr>
              <w:spacing w:after="0"/>
              <w:rPr>
                <w:sz w:val="15"/>
                <w:szCs w:val="15"/>
                <w:color w:val="auto"/>
              </w:rPr>
            </w:pPr>
          </w:p>
        </w:tc>
        <w:tc>
          <w:tcPr>
            <w:tcW w:w="280" w:type="dxa"/>
            <w:vAlign w:val="bottom"/>
            <w:shd w:val="clear" w:color="auto" w:fill="007CBA"/>
          </w:tcPr>
          <w:p>
            <w:pPr>
              <w:spacing w:after="0"/>
              <w:rPr>
                <w:sz w:val="15"/>
                <w:szCs w:val="15"/>
                <w:color w:val="auto"/>
              </w:rPr>
            </w:pPr>
          </w:p>
        </w:tc>
        <w:tc>
          <w:tcPr>
            <w:tcW w:w="980" w:type="dxa"/>
            <w:vAlign w:val="bottom"/>
            <w:tcBorders>
              <w:right w:val="single" w:sz="8" w:color="007CBA"/>
            </w:tcBorders>
            <w:shd w:val="clear" w:color="auto" w:fill="007CBA"/>
          </w:tcPr>
          <w:p>
            <w:pPr>
              <w:jc w:val="center"/>
              <w:ind w:right="203"/>
              <w:spacing w:after="0"/>
              <w:rPr>
                <w:sz w:val="20"/>
                <w:szCs w:val="20"/>
                <w:color w:val="auto"/>
              </w:rPr>
            </w:pPr>
            <w:r>
              <w:rPr>
                <w:rFonts w:ascii="Calibri" w:cs="Calibri" w:eastAsia="Calibri" w:hAnsi="Calibri"/>
                <w:sz w:val="14"/>
                <w:szCs w:val="14"/>
                <w:b w:val="1"/>
                <w:bCs w:val="1"/>
                <w:color w:val="FFFFFF"/>
              </w:rPr>
              <w:t>beginning</w:t>
            </w:r>
          </w:p>
        </w:tc>
        <w:tc>
          <w:tcPr>
            <w:tcW w:w="280" w:type="dxa"/>
            <w:vAlign w:val="bottom"/>
            <w:shd w:val="clear" w:color="auto" w:fill="007CBA"/>
          </w:tcPr>
          <w:p>
            <w:pPr>
              <w:spacing w:after="0"/>
              <w:rPr>
                <w:sz w:val="15"/>
                <w:szCs w:val="15"/>
                <w:color w:val="auto"/>
              </w:rPr>
            </w:pPr>
          </w:p>
        </w:tc>
        <w:tc>
          <w:tcPr>
            <w:tcW w:w="940" w:type="dxa"/>
            <w:vAlign w:val="bottom"/>
            <w:tcBorders>
              <w:right w:val="single" w:sz="8" w:color="007CBA"/>
            </w:tcBorders>
            <w:shd w:val="clear" w:color="auto" w:fill="007CBA"/>
          </w:tcPr>
          <w:p>
            <w:pPr>
              <w:jc w:val="center"/>
              <w:ind w:right="203"/>
              <w:spacing w:after="0"/>
              <w:rPr>
                <w:sz w:val="20"/>
                <w:szCs w:val="20"/>
                <w:color w:val="auto"/>
              </w:rPr>
            </w:pPr>
            <w:r>
              <w:rPr>
                <w:rFonts w:ascii="Calibri" w:cs="Calibri" w:eastAsia="Calibri" w:hAnsi="Calibri"/>
                <w:sz w:val="14"/>
                <w:szCs w:val="14"/>
                <w:b w:val="1"/>
                <w:bCs w:val="1"/>
                <w:color w:val="FFFFFF"/>
                <w:w w:val="99"/>
              </w:rPr>
              <w:t>and</w:t>
            </w:r>
          </w:p>
        </w:tc>
        <w:tc>
          <w:tcPr>
            <w:tcW w:w="300" w:type="dxa"/>
            <w:vAlign w:val="bottom"/>
            <w:shd w:val="clear" w:color="auto" w:fill="007CBA"/>
          </w:tcPr>
          <w:p>
            <w:pPr>
              <w:spacing w:after="0"/>
              <w:rPr>
                <w:sz w:val="15"/>
                <w:szCs w:val="15"/>
                <w:color w:val="auto"/>
              </w:rPr>
            </w:pPr>
          </w:p>
        </w:tc>
        <w:tc>
          <w:tcPr>
            <w:tcW w:w="1080" w:type="dxa"/>
            <w:vAlign w:val="bottom"/>
            <w:tcBorders>
              <w:right w:val="single" w:sz="8" w:color="007CBA"/>
            </w:tcBorders>
            <w:shd w:val="clear" w:color="auto" w:fill="007CBA"/>
          </w:tcPr>
          <w:p>
            <w:pPr>
              <w:jc w:val="center"/>
              <w:ind w:right="425"/>
              <w:spacing w:after="0"/>
              <w:rPr>
                <w:sz w:val="20"/>
                <w:szCs w:val="20"/>
                <w:color w:val="auto"/>
              </w:rPr>
            </w:pPr>
            <w:r>
              <w:rPr>
                <w:rFonts w:ascii="Calibri" w:cs="Calibri" w:eastAsia="Calibri" w:hAnsi="Calibri"/>
                <w:sz w:val="14"/>
                <w:szCs w:val="14"/>
                <w:b w:val="1"/>
                <w:bCs w:val="1"/>
                <w:color w:val="FFFFFF"/>
              </w:rPr>
              <w:t>accounts-</w:t>
            </w:r>
          </w:p>
        </w:tc>
        <w:tc>
          <w:tcPr>
            <w:tcW w:w="120" w:type="dxa"/>
            <w:vAlign w:val="bottom"/>
            <w:shd w:val="clear" w:color="auto" w:fill="007CBA"/>
          </w:tcPr>
          <w:p>
            <w:pPr>
              <w:spacing w:after="0"/>
              <w:rPr>
                <w:sz w:val="15"/>
                <w:szCs w:val="15"/>
                <w:color w:val="auto"/>
              </w:rPr>
            </w:pPr>
          </w:p>
        </w:tc>
        <w:tc>
          <w:tcPr>
            <w:tcW w:w="120" w:type="dxa"/>
            <w:vAlign w:val="bottom"/>
            <w:shd w:val="clear" w:color="auto" w:fill="007CBA"/>
          </w:tcPr>
          <w:p>
            <w:pPr>
              <w:spacing w:after="0"/>
              <w:rPr>
                <w:sz w:val="15"/>
                <w:szCs w:val="15"/>
                <w:color w:val="auto"/>
              </w:rPr>
            </w:pPr>
          </w:p>
        </w:tc>
        <w:tc>
          <w:tcPr>
            <w:tcW w:w="840" w:type="dxa"/>
            <w:vAlign w:val="bottom"/>
            <w:shd w:val="clear" w:color="auto" w:fill="007CBA"/>
          </w:tcPr>
          <w:p>
            <w:pPr>
              <w:jc w:val="center"/>
              <w:ind w:right="42"/>
              <w:spacing w:after="0"/>
              <w:rPr>
                <w:sz w:val="20"/>
                <w:szCs w:val="20"/>
                <w:color w:val="auto"/>
              </w:rPr>
            </w:pPr>
            <w:r>
              <w:rPr>
                <w:rFonts w:ascii="Calibri" w:cs="Calibri" w:eastAsia="Calibri" w:hAnsi="Calibri"/>
                <w:sz w:val="14"/>
                <w:szCs w:val="14"/>
                <w:b w:val="1"/>
                <w:bCs w:val="1"/>
                <w:color w:val="FFFFFF"/>
              </w:rPr>
              <w:t>Deductons-</w:t>
            </w:r>
          </w:p>
        </w:tc>
        <w:tc>
          <w:tcPr>
            <w:tcW w:w="360" w:type="dxa"/>
            <w:vAlign w:val="bottom"/>
            <w:tcBorders>
              <w:right w:val="single" w:sz="8" w:color="007CBA"/>
            </w:tcBorders>
            <w:shd w:val="clear" w:color="auto" w:fill="007CBA"/>
          </w:tcPr>
          <w:p>
            <w:pPr>
              <w:spacing w:after="0"/>
              <w:rPr>
                <w:sz w:val="15"/>
                <w:szCs w:val="15"/>
                <w:color w:val="auto"/>
              </w:rPr>
            </w:pPr>
          </w:p>
        </w:tc>
        <w:tc>
          <w:tcPr>
            <w:tcW w:w="260" w:type="dxa"/>
            <w:vAlign w:val="bottom"/>
            <w:shd w:val="clear" w:color="auto" w:fill="007CBA"/>
          </w:tcPr>
          <w:p>
            <w:pPr>
              <w:spacing w:after="0"/>
              <w:rPr>
                <w:sz w:val="15"/>
                <w:szCs w:val="15"/>
                <w:color w:val="auto"/>
              </w:rPr>
            </w:pPr>
          </w:p>
        </w:tc>
        <w:tc>
          <w:tcPr>
            <w:tcW w:w="820" w:type="dxa"/>
            <w:vAlign w:val="bottom"/>
            <w:shd w:val="clear" w:color="auto" w:fill="007CBA"/>
          </w:tcPr>
          <w:p>
            <w:pPr>
              <w:jc w:val="center"/>
              <w:ind w:right="82"/>
              <w:spacing w:after="0"/>
              <w:rPr>
                <w:sz w:val="20"/>
                <w:szCs w:val="20"/>
                <w:color w:val="auto"/>
              </w:rPr>
            </w:pPr>
            <w:r>
              <w:rPr>
                <w:rFonts w:ascii="Calibri" w:cs="Calibri" w:eastAsia="Calibri" w:hAnsi="Calibri"/>
                <w:sz w:val="14"/>
                <w:szCs w:val="14"/>
                <w:b w:val="1"/>
                <w:bCs w:val="1"/>
                <w:color w:val="FFFFFF"/>
              </w:rPr>
              <w:t>at end of</w:t>
            </w:r>
          </w:p>
        </w:tc>
        <w:tc>
          <w:tcPr>
            <w:tcW w:w="100" w:type="dxa"/>
            <w:vAlign w:val="bottom"/>
            <w:shd w:val="clear" w:color="auto" w:fill="007CBA"/>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60" w:type="dxa"/>
            <w:vAlign w:val="bottom"/>
            <w:tcBorders>
              <w:right w:val="single" w:sz="8" w:color="007CBA"/>
            </w:tcBorders>
            <w:shd w:val="clear" w:color="auto" w:fill="007CBA"/>
          </w:tcPr>
          <w:p>
            <w:pPr>
              <w:ind w:left="100"/>
              <w:spacing w:after="0"/>
              <w:rPr>
                <w:sz w:val="20"/>
                <w:szCs w:val="20"/>
                <w:color w:val="auto"/>
              </w:rPr>
            </w:pPr>
            <w:r>
              <w:rPr>
                <w:rFonts w:ascii="Calibri" w:cs="Calibri" w:eastAsia="Calibri" w:hAnsi="Calibri"/>
                <w:sz w:val="14"/>
                <w:szCs w:val="14"/>
                <w:b w:val="1"/>
                <w:bCs w:val="1"/>
                <w:color w:val="FFFFFF"/>
              </w:rPr>
              <w:t>Descripton</w:t>
            </w:r>
          </w:p>
        </w:tc>
        <w:tc>
          <w:tcPr>
            <w:tcW w:w="280" w:type="dxa"/>
            <w:vAlign w:val="bottom"/>
            <w:shd w:val="clear" w:color="auto" w:fill="007CBA"/>
          </w:tcPr>
          <w:p>
            <w:pPr>
              <w:spacing w:after="0"/>
              <w:rPr>
                <w:sz w:val="15"/>
                <w:szCs w:val="15"/>
                <w:color w:val="auto"/>
              </w:rPr>
            </w:pPr>
          </w:p>
        </w:tc>
        <w:tc>
          <w:tcPr>
            <w:tcW w:w="980" w:type="dxa"/>
            <w:vAlign w:val="bottom"/>
            <w:tcBorders>
              <w:right w:val="single" w:sz="8" w:color="007CBA"/>
            </w:tcBorders>
            <w:shd w:val="clear" w:color="auto" w:fill="007CBA"/>
          </w:tcPr>
          <w:p>
            <w:pPr>
              <w:jc w:val="center"/>
              <w:ind w:right="203"/>
              <w:spacing w:after="0"/>
              <w:rPr>
                <w:sz w:val="20"/>
                <w:szCs w:val="20"/>
                <w:color w:val="auto"/>
              </w:rPr>
            </w:pPr>
            <w:r>
              <w:rPr>
                <w:rFonts w:ascii="Calibri" w:cs="Calibri" w:eastAsia="Calibri" w:hAnsi="Calibri"/>
                <w:sz w:val="14"/>
                <w:szCs w:val="14"/>
                <w:b w:val="1"/>
                <w:bCs w:val="1"/>
                <w:color w:val="FFFFFF"/>
              </w:rPr>
              <w:t>of period</w:t>
            </w:r>
          </w:p>
        </w:tc>
        <w:tc>
          <w:tcPr>
            <w:tcW w:w="280" w:type="dxa"/>
            <w:vAlign w:val="bottom"/>
            <w:shd w:val="clear" w:color="auto" w:fill="007CBA"/>
          </w:tcPr>
          <w:p>
            <w:pPr>
              <w:spacing w:after="0"/>
              <w:rPr>
                <w:sz w:val="15"/>
                <w:szCs w:val="15"/>
                <w:color w:val="auto"/>
              </w:rPr>
            </w:pPr>
          </w:p>
        </w:tc>
        <w:tc>
          <w:tcPr>
            <w:tcW w:w="940" w:type="dxa"/>
            <w:vAlign w:val="bottom"/>
            <w:tcBorders>
              <w:right w:val="single" w:sz="8" w:color="007CBA"/>
            </w:tcBorders>
            <w:shd w:val="clear" w:color="auto" w:fill="007CBA"/>
          </w:tcPr>
          <w:p>
            <w:pPr>
              <w:jc w:val="center"/>
              <w:ind w:right="203"/>
              <w:spacing w:after="0"/>
              <w:rPr>
                <w:sz w:val="20"/>
                <w:szCs w:val="20"/>
                <w:color w:val="auto"/>
              </w:rPr>
            </w:pPr>
            <w:r>
              <w:rPr>
                <w:rFonts w:ascii="Calibri" w:cs="Calibri" w:eastAsia="Calibri" w:hAnsi="Calibri"/>
                <w:sz w:val="14"/>
                <w:szCs w:val="14"/>
                <w:b w:val="1"/>
                <w:bCs w:val="1"/>
                <w:color w:val="FFFFFF"/>
              </w:rPr>
              <w:t>expenses</w:t>
            </w:r>
          </w:p>
        </w:tc>
        <w:tc>
          <w:tcPr>
            <w:tcW w:w="300" w:type="dxa"/>
            <w:vAlign w:val="bottom"/>
            <w:shd w:val="clear" w:color="auto" w:fill="007CBA"/>
          </w:tcPr>
          <w:p>
            <w:pPr>
              <w:spacing w:after="0"/>
              <w:rPr>
                <w:sz w:val="15"/>
                <w:szCs w:val="15"/>
                <w:color w:val="auto"/>
              </w:rPr>
            </w:pPr>
          </w:p>
        </w:tc>
        <w:tc>
          <w:tcPr>
            <w:tcW w:w="1080" w:type="dxa"/>
            <w:vAlign w:val="bottom"/>
            <w:tcBorders>
              <w:right w:val="single" w:sz="8" w:color="007CBA"/>
            </w:tcBorders>
            <w:shd w:val="clear" w:color="auto" w:fill="007CBA"/>
          </w:tcPr>
          <w:p>
            <w:pPr>
              <w:jc w:val="center"/>
              <w:ind w:right="425"/>
              <w:spacing w:after="0"/>
              <w:rPr>
                <w:sz w:val="20"/>
                <w:szCs w:val="20"/>
                <w:color w:val="auto"/>
              </w:rPr>
            </w:pPr>
            <w:r>
              <w:rPr>
                <w:rFonts w:ascii="Calibri" w:cs="Calibri" w:eastAsia="Calibri" w:hAnsi="Calibri"/>
                <w:sz w:val="14"/>
                <w:szCs w:val="14"/>
                <w:b w:val="1"/>
                <w:bCs w:val="1"/>
                <w:color w:val="FFFFFF"/>
              </w:rPr>
              <w:t>describe</w:t>
            </w:r>
          </w:p>
        </w:tc>
        <w:tc>
          <w:tcPr>
            <w:tcW w:w="120" w:type="dxa"/>
            <w:vAlign w:val="bottom"/>
            <w:shd w:val="clear" w:color="auto" w:fill="007CBA"/>
          </w:tcPr>
          <w:p>
            <w:pPr>
              <w:spacing w:after="0"/>
              <w:rPr>
                <w:sz w:val="15"/>
                <w:szCs w:val="15"/>
                <w:color w:val="auto"/>
              </w:rPr>
            </w:pPr>
          </w:p>
        </w:tc>
        <w:tc>
          <w:tcPr>
            <w:tcW w:w="120" w:type="dxa"/>
            <w:vAlign w:val="bottom"/>
            <w:shd w:val="clear" w:color="auto" w:fill="007CBA"/>
          </w:tcPr>
          <w:p>
            <w:pPr>
              <w:spacing w:after="0"/>
              <w:rPr>
                <w:sz w:val="15"/>
                <w:szCs w:val="15"/>
                <w:color w:val="auto"/>
              </w:rPr>
            </w:pPr>
          </w:p>
        </w:tc>
        <w:tc>
          <w:tcPr>
            <w:tcW w:w="840" w:type="dxa"/>
            <w:vAlign w:val="bottom"/>
            <w:shd w:val="clear" w:color="auto" w:fill="007CBA"/>
          </w:tcPr>
          <w:p>
            <w:pPr>
              <w:jc w:val="center"/>
              <w:ind w:right="22"/>
              <w:spacing w:after="0"/>
              <w:rPr>
                <w:sz w:val="20"/>
                <w:szCs w:val="20"/>
                <w:color w:val="auto"/>
              </w:rPr>
            </w:pPr>
            <w:r>
              <w:rPr>
                <w:rFonts w:ascii="Calibri" w:cs="Calibri" w:eastAsia="Calibri" w:hAnsi="Calibri"/>
                <w:sz w:val="14"/>
                <w:szCs w:val="14"/>
                <w:b w:val="1"/>
                <w:bCs w:val="1"/>
                <w:color w:val="FFFFFF"/>
              </w:rPr>
              <w:t>describe</w:t>
            </w:r>
          </w:p>
        </w:tc>
        <w:tc>
          <w:tcPr>
            <w:tcW w:w="360" w:type="dxa"/>
            <w:vAlign w:val="bottom"/>
            <w:tcBorders>
              <w:right w:val="single" w:sz="8" w:color="007CBA"/>
            </w:tcBorders>
            <w:shd w:val="clear" w:color="auto" w:fill="007CBA"/>
          </w:tcPr>
          <w:p>
            <w:pPr>
              <w:spacing w:after="0"/>
              <w:rPr>
                <w:sz w:val="15"/>
                <w:szCs w:val="15"/>
                <w:color w:val="auto"/>
              </w:rPr>
            </w:pPr>
          </w:p>
        </w:tc>
        <w:tc>
          <w:tcPr>
            <w:tcW w:w="260" w:type="dxa"/>
            <w:vAlign w:val="bottom"/>
            <w:shd w:val="clear" w:color="auto" w:fill="007CBA"/>
          </w:tcPr>
          <w:p>
            <w:pPr>
              <w:spacing w:after="0"/>
              <w:rPr>
                <w:sz w:val="15"/>
                <w:szCs w:val="15"/>
                <w:color w:val="auto"/>
              </w:rPr>
            </w:pPr>
          </w:p>
        </w:tc>
        <w:tc>
          <w:tcPr>
            <w:tcW w:w="820" w:type="dxa"/>
            <w:vAlign w:val="bottom"/>
            <w:shd w:val="clear" w:color="auto" w:fill="007CBA"/>
          </w:tcPr>
          <w:p>
            <w:pPr>
              <w:jc w:val="center"/>
              <w:ind w:right="82"/>
              <w:spacing w:after="0"/>
              <w:rPr>
                <w:sz w:val="20"/>
                <w:szCs w:val="20"/>
                <w:color w:val="auto"/>
              </w:rPr>
            </w:pPr>
            <w:r>
              <w:rPr>
                <w:rFonts w:ascii="Calibri" w:cs="Calibri" w:eastAsia="Calibri" w:hAnsi="Calibri"/>
                <w:sz w:val="14"/>
                <w:szCs w:val="14"/>
                <w:b w:val="1"/>
                <w:bCs w:val="1"/>
                <w:color w:val="FFFFFF"/>
                <w:w w:val="99"/>
              </w:rPr>
              <w:t>period</w:t>
            </w:r>
          </w:p>
        </w:tc>
        <w:tc>
          <w:tcPr>
            <w:tcW w:w="100" w:type="dxa"/>
            <w:vAlign w:val="bottom"/>
            <w:shd w:val="clear" w:color="auto" w:fill="007CBA"/>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60" w:type="dxa"/>
            <w:vAlign w:val="bottom"/>
            <w:tcBorders>
              <w:bottom w:val="single" w:sz="8" w:color="007CBA"/>
              <w:right w:val="single" w:sz="8" w:color="007CBA"/>
            </w:tcBorders>
            <w:shd w:val="clear" w:color="auto" w:fill="007CBA"/>
          </w:tcPr>
          <w:p>
            <w:pPr>
              <w:spacing w:after="0"/>
              <w:rPr>
                <w:sz w:val="19"/>
                <w:szCs w:val="19"/>
                <w:color w:val="auto"/>
              </w:rPr>
            </w:pPr>
          </w:p>
        </w:tc>
        <w:tc>
          <w:tcPr>
            <w:tcW w:w="280" w:type="dxa"/>
            <w:vAlign w:val="bottom"/>
            <w:tcBorders>
              <w:bottom w:val="single" w:sz="8" w:color="007CBA"/>
            </w:tcBorders>
            <w:shd w:val="clear" w:color="auto" w:fill="007CBA"/>
          </w:tcPr>
          <w:p>
            <w:pPr>
              <w:spacing w:after="0"/>
              <w:rPr>
                <w:sz w:val="19"/>
                <w:szCs w:val="19"/>
                <w:color w:val="auto"/>
              </w:rPr>
            </w:pPr>
          </w:p>
        </w:tc>
        <w:tc>
          <w:tcPr>
            <w:tcW w:w="980" w:type="dxa"/>
            <w:vAlign w:val="bottom"/>
            <w:tcBorders>
              <w:bottom w:val="single" w:sz="8" w:color="007CBA"/>
              <w:right w:val="single" w:sz="8" w:color="007CBA"/>
            </w:tcBorders>
            <w:shd w:val="clear" w:color="auto" w:fill="007CBA"/>
          </w:tcPr>
          <w:p>
            <w:pPr>
              <w:spacing w:after="0"/>
              <w:rPr>
                <w:sz w:val="19"/>
                <w:szCs w:val="19"/>
                <w:color w:val="auto"/>
              </w:rPr>
            </w:pPr>
          </w:p>
        </w:tc>
        <w:tc>
          <w:tcPr>
            <w:tcW w:w="280" w:type="dxa"/>
            <w:vAlign w:val="bottom"/>
            <w:tcBorders>
              <w:bottom w:val="single" w:sz="8" w:color="007CBA"/>
            </w:tcBorders>
            <w:shd w:val="clear" w:color="auto" w:fill="007CBA"/>
          </w:tcPr>
          <w:p>
            <w:pPr>
              <w:spacing w:after="0"/>
              <w:rPr>
                <w:sz w:val="19"/>
                <w:szCs w:val="19"/>
                <w:color w:val="auto"/>
              </w:rPr>
            </w:pPr>
          </w:p>
        </w:tc>
        <w:tc>
          <w:tcPr>
            <w:tcW w:w="940" w:type="dxa"/>
            <w:vAlign w:val="bottom"/>
            <w:tcBorders>
              <w:bottom w:val="single" w:sz="8" w:color="007CBA"/>
              <w:right w:val="single" w:sz="8" w:color="007CBA"/>
            </w:tcBorders>
            <w:shd w:val="clear" w:color="auto" w:fill="007CBA"/>
          </w:tcPr>
          <w:p>
            <w:pPr>
              <w:spacing w:after="0"/>
              <w:rPr>
                <w:sz w:val="19"/>
                <w:szCs w:val="19"/>
                <w:color w:val="auto"/>
              </w:rPr>
            </w:pPr>
          </w:p>
        </w:tc>
        <w:tc>
          <w:tcPr>
            <w:tcW w:w="1380" w:type="dxa"/>
            <w:vAlign w:val="bottom"/>
            <w:tcBorders>
              <w:bottom w:val="single" w:sz="8" w:color="007CBA"/>
              <w:right w:val="single" w:sz="8" w:color="007CBA"/>
            </w:tcBorders>
            <w:gridSpan w:val="2"/>
            <w:shd w:val="clear" w:color="auto" w:fill="007CBA"/>
          </w:tcPr>
          <w:p>
            <w:pPr>
              <w:ind w:left="120"/>
              <w:spacing w:after="0"/>
              <w:rPr>
                <w:sz w:val="20"/>
                <w:szCs w:val="20"/>
                <w:color w:val="auto"/>
              </w:rPr>
            </w:pPr>
            <w:r>
              <w:rPr>
                <w:rFonts w:ascii="Calibri" w:cs="Calibri" w:eastAsia="Calibri" w:hAnsi="Calibri"/>
                <w:sz w:val="14"/>
                <w:szCs w:val="14"/>
                <w:b w:val="1"/>
                <w:bCs w:val="1"/>
                <w:color w:val="FFFFFF"/>
                <w:w w:val="97"/>
              </w:rPr>
              <w:t>(Amounts in Millions)</w:t>
            </w:r>
          </w:p>
        </w:tc>
        <w:tc>
          <w:tcPr>
            <w:tcW w:w="120" w:type="dxa"/>
            <w:vAlign w:val="bottom"/>
            <w:tcBorders>
              <w:bottom w:val="single" w:sz="8" w:color="007CBA"/>
            </w:tcBorders>
            <w:shd w:val="clear" w:color="auto" w:fill="007CBA"/>
          </w:tcPr>
          <w:p>
            <w:pPr>
              <w:spacing w:after="0"/>
              <w:rPr>
                <w:sz w:val="19"/>
                <w:szCs w:val="19"/>
                <w:color w:val="auto"/>
              </w:rPr>
            </w:pPr>
          </w:p>
        </w:tc>
        <w:tc>
          <w:tcPr>
            <w:tcW w:w="120" w:type="dxa"/>
            <w:vAlign w:val="bottom"/>
            <w:tcBorders>
              <w:bottom w:val="single" w:sz="8" w:color="007CBA"/>
            </w:tcBorders>
            <w:shd w:val="clear" w:color="auto" w:fill="007CBA"/>
          </w:tcPr>
          <w:p>
            <w:pPr>
              <w:spacing w:after="0"/>
              <w:rPr>
                <w:sz w:val="19"/>
                <w:szCs w:val="19"/>
                <w:color w:val="auto"/>
              </w:rPr>
            </w:pPr>
          </w:p>
        </w:tc>
        <w:tc>
          <w:tcPr>
            <w:tcW w:w="840" w:type="dxa"/>
            <w:vAlign w:val="bottom"/>
            <w:tcBorders>
              <w:bottom w:val="single" w:sz="8" w:color="007CBA"/>
            </w:tcBorders>
            <w:shd w:val="clear" w:color="auto" w:fill="007CBA"/>
          </w:tcPr>
          <w:p>
            <w:pPr>
              <w:spacing w:after="0"/>
              <w:rPr>
                <w:sz w:val="19"/>
                <w:szCs w:val="19"/>
                <w:color w:val="auto"/>
              </w:rPr>
            </w:pPr>
          </w:p>
        </w:tc>
        <w:tc>
          <w:tcPr>
            <w:tcW w:w="360" w:type="dxa"/>
            <w:vAlign w:val="bottom"/>
            <w:tcBorders>
              <w:bottom w:val="single" w:sz="8" w:color="007CBA"/>
              <w:right w:val="single" w:sz="8" w:color="007CBA"/>
            </w:tcBorders>
            <w:shd w:val="clear" w:color="auto" w:fill="007CBA"/>
          </w:tcPr>
          <w:p>
            <w:pPr>
              <w:spacing w:after="0"/>
              <w:rPr>
                <w:sz w:val="19"/>
                <w:szCs w:val="19"/>
                <w:color w:val="auto"/>
              </w:rPr>
            </w:pPr>
          </w:p>
        </w:tc>
        <w:tc>
          <w:tcPr>
            <w:tcW w:w="260" w:type="dxa"/>
            <w:vAlign w:val="bottom"/>
            <w:tcBorders>
              <w:bottom w:val="single" w:sz="8" w:color="007CBA"/>
            </w:tcBorders>
            <w:shd w:val="clear" w:color="auto" w:fill="007CBA"/>
          </w:tcPr>
          <w:p>
            <w:pPr>
              <w:spacing w:after="0"/>
              <w:rPr>
                <w:sz w:val="19"/>
                <w:szCs w:val="19"/>
                <w:color w:val="auto"/>
              </w:rPr>
            </w:pPr>
          </w:p>
        </w:tc>
        <w:tc>
          <w:tcPr>
            <w:tcW w:w="820" w:type="dxa"/>
            <w:vAlign w:val="bottom"/>
            <w:tcBorders>
              <w:bottom w:val="single" w:sz="8" w:color="007CBA"/>
            </w:tcBorders>
            <w:shd w:val="clear" w:color="auto" w:fill="007CBA"/>
          </w:tcPr>
          <w:p>
            <w:pPr>
              <w:spacing w:after="0"/>
              <w:rPr>
                <w:sz w:val="19"/>
                <w:szCs w:val="19"/>
                <w:color w:val="auto"/>
              </w:rPr>
            </w:pPr>
          </w:p>
        </w:tc>
        <w:tc>
          <w:tcPr>
            <w:tcW w:w="100" w:type="dxa"/>
            <w:vAlign w:val="bottom"/>
            <w:tcBorders>
              <w:bottom w:val="single" w:sz="8" w:color="007CBA"/>
            </w:tcBorders>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760" w:type="dxa"/>
            <w:vAlign w:val="bottom"/>
            <w:tcBorders>
              <w:right w:val="single" w:sz="8" w:color="007CBA"/>
            </w:tcBorders>
          </w:tcPr>
          <w:p>
            <w:pPr>
              <w:ind w:left="120"/>
              <w:spacing w:after="0" w:line="193" w:lineRule="exact"/>
              <w:rPr>
                <w:sz w:val="20"/>
                <w:szCs w:val="20"/>
                <w:color w:val="auto"/>
              </w:rPr>
            </w:pPr>
            <w:r>
              <w:rPr>
                <w:rFonts w:ascii="Calibri" w:cs="Calibri" w:eastAsia="Calibri" w:hAnsi="Calibri"/>
                <w:sz w:val="16"/>
                <w:szCs w:val="16"/>
                <w:b w:val="1"/>
                <w:bCs w:val="1"/>
                <w:color w:val="auto"/>
              </w:rPr>
              <w:t>Year ended December 31, 2022</w:t>
            </w:r>
          </w:p>
        </w:tc>
        <w:tc>
          <w:tcPr>
            <w:tcW w:w="280" w:type="dxa"/>
            <w:vAlign w:val="bottom"/>
          </w:tcPr>
          <w:p>
            <w:pPr>
              <w:spacing w:after="0"/>
              <w:rPr>
                <w:sz w:val="16"/>
                <w:szCs w:val="16"/>
                <w:color w:val="auto"/>
              </w:rPr>
            </w:pPr>
          </w:p>
        </w:tc>
        <w:tc>
          <w:tcPr>
            <w:tcW w:w="980" w:type="dxa"/>
            <w:vAlign w:val="bottom"/>
            <w:tcBorders>
              <w:right w:val="single" w:sz="8" w:color="007CBA"/>
            </w:tcBorders>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Borders>
              <w:right w:val="single" w:sz="8" w:color="007CBA"/>
            </w:tcBorders>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Borders>
              <w:right w:val="single" w:sz="8" w:color="007CBA"/>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Borders>
              <w:right w:val="single" w:sz="8" w:color="007CBA"/>
            </w:tcBorders>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4760" w:type="dxa"/>
            <w:vAlign w:val="bottom"/>
            <w:tcBorders>
              <w:right w:val="single" w:sz="8" w:color="007CBA"/>
            </w:tcBorders>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Borders>
              <w:right w:val="single" w:sz="8" w:color="007CBA"/>
            </w:tcBorders>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Borders>
              <w:right w:val="single" w:sz="8" w:color="007CBA"/>
            </w:tcBorders>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Borders>
              <w:right w:val="single" w:sz="8" w:color="007CBA"/>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Borders>
              <w:right w:val="single" w:sz="8" w:color="007CBA"/>
            </w:tcBorders>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760" w:type="dxa"/>
            <w:vAlign w:val="bottom"/>
            <w:tcBorders>
              <w:bottom w:val="single" w:sz="8" w:color="E5F1F8"/>
              <w:right w:val="single" w:sz="8" w:color="007CBA"/>
            </w:tcBorders>
            <w:shd w:val="clear" w:color="auto" w:fill="E5F1F8"/>
          </w:tcPr>
          <w:p>
            <w:pPr>
              <w:ind w:left="120"/>
              <w:spacing w:after="0" w:line="193" w:lineRule="exact"/>
              <w:rPr>
                <w:sz w:val="20"/>
                <w:szCs w:val="20"/>
                <w:color w:val="auto"/>
              </w:rPr>
            </w:pPr>
            <w:r>
              <w:rPr>
                <w:rFonts w:ascii="Calibri" w:cs="Calibri" w:eastAsia="Calibri" w:hAnsi="Calibri"/>
                <w:sz w:val="16"/>
                <w:szCs w:val="16"/>
                <w:color w:val="auto"/>
              </w:rPr>
              <w:t>Allowance for estmated credit losses</w:t>
            </w:r>
          </w:p>
        </w:tc>
        <w:tc>
          <w:tcPr>
            <w:tcW w:w="280" w:type="dxa"/>
            <w:vAlign w:val="bottom"/>
            <w:tcBorders>
              <w:bottom w:val="single" w:sz="8" w:color="E5F1F8"/>
            </w:tcBorders>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w:t>
            </w:r>
          </w:p>
        </w:tc>
        <w:tc>
          <w:tcPr>
            <w:tcW w:w="980" w:type="dxa"/>
            <w:vAlign w:val="bottom"/>
            <w:tcBorders>
              <w:bottom w:val="single" w:sz="8" w:color="E5F1F8"/>
              <w:right w:val="single" w:sz="8" w:color="007CBA"/>
            </w:tcBorders>
            <w:shd w:val="clear" w:color="auto" w:fill="E5F1F8"/>
          </w:tcPr>
          <w:p>
            <w:pPr>
              <w:jc w:val="right"/>
              <w:ind w:right="63"/>
              <w:spacing w:after="0" w:line="193" w:lineRule="exact"/>
              <w:rPr>
                <w:sz w:val="20"/>
                <w:szCs w:val="20"/>
                <w:color w:val="auto"/>
              </w:rPr>
            </w:pPr>
            <w:r>
              <w:rPr>
                <w:rFonts w:ascii="Calibri" w:cs="Calibri" w:eastAsia="Calibri" w:hAnsi="Calibri"/>
                <w:sz w:val="16"/>
                <w:szCs w:val="16"/>
                <w:color w:val="auto"/>
              </w:rPr>
              <w:t>5.8</w:t>
            </w:r>
          </w:p>
        </w:tc>
        <w:tc>
          <w:tcPr>
            <w:tcW w:w="280" w:type="dxa"/>
            <w:vAlign w:val="bottom"/>
            <w:tcBorders>
              <w:bottom w:val="single" w:sz="8" w:color="E5F1F8"/>
            </w:tcBorders>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w:t>
            </w:r>
          </w:p>
        </w:tc>
        <w:tc>
          <w:tcPr>
            <w:tcW w:w="940" w:type="dxa"/>
            <w:vAlign w:val="bottom"/>
            <w:tcBorders>
              <w:bottom w:val="single" w:sz="8" w:color="E5F1F8"/>
              <w:right w:val="single" w:sz="8" w:color="007CBA"/>
            </w:tcBorders>
            <w:shd w:val="clear" w:color="auto" w:fill="E5F1F8"/>
          </w:tcPr>
          <w:p>
            <w:pPr>
              <w:jc w:val="right"/>
              <w:ind w:right="63"/>
              <w:spacing w:after="0" w:line="193" w:lineRule="exact"/>
              <w:rPr>
                <w:sz w:val="20"/>
                <w:szCs w:val="20"/>
                <w:color w:val="auto"/>
              </w:rPr>
            </w:pPr>
            <w:r>
              <w:rPr>
                <w:rFonts w:ascii="Calibri" w:cs="Calibri" w:eastAsia="Calibri" w:hAnsi="Calibri"/>
                <w:sz w:val="16"/>
                <w:szCs w:val="16"/>
                <w:color w:val="auto"/>
              </w:rPr>
              <w:t>5.2</w:t>
            </w:r>
          </w:p>
        </w:tc>
        <w:tc>
          <w:tcPr>
            <w:tcW w:w="300" w:type="dxa"/>
            <w:vAlign w:val="bottom"/>
            <w:tcBorders>
              <w:bottom w:val="single" w:sz="8" w:color="E5F1F8"/>
            </w:tcBorders>
            <w:shd w:val="clear" w:color="auto" w:fill="E5F1F8"/>
          </w:tcPr>
          <w:p>
            <w:pPr>
              <w:ind w:left="120"/>
              <w:spacing w:after="0" w:line="193" w:lineRule="exact"/>
              <w:rPr>
                <w:sz w:val="20"/>
                <w:szCs w:val="20"/>
                <w:color w:val="auto"/>
              </w:rPr>
            </w:pPr>
            <w:r>
              <w:rPr>
                <w:rFonts w:ascii="Calibri" w:cs="Calibri" w:eastAsia="Calibri" w:hAnsi="Calibri"/>
                <w:sz w:val="16"/>
                <w:szCs w:val="16"/>
                <w:color w:val="auto"/>
              </w:rPr>
              <w:t>$</w:t>
            </w:r>
          </w:p>
        </w:tc>
        <w:tc>
          <w:tcPr>
            <w:tcW w:w="1080" w:type="dxa"/>
            <w:vAlign w:val="bottom"/>
            <w:tcBorders>
              <w:bottom w:val="single" w:sz="8" w:color="E5F1F8"/>
              <w:right w:val="single" w:sz="8" w:color="007CBA"/>
            </w:tcBorders>
            <w:shd w:val="clear" w:color="auto" w:fill="E5F1F8"/>
          </w:tcPr>
          <w:p>
            <w:pPr>
              <w:jc w:val="right"/>
              <w:ind w:right="245"/>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Borders>
              <w:bottom w:val="single" w:sz="8" w:color="E5F1F8"/>
            </w:tcBorders>
            <w:shd w:val="clear" w:color="auto" w:fill="E5F1F8"/>
          </w:tcPr>
          <w:p>
            <w:pPr>
              <w:spacing w:after="0"/>
              <w:rPr>
                <w:sz w:val="18"/>
                <w:szCs w:val="18"/>
                <w:color w:val="auto"/>
              </w:rPr>
            </w:pPr>
          </w:p>
        </w:tc>
        <w:tc>
          <w:tcPr>
            <w:tcW w:w="120" w:type="dxa"/>
            <w:vAlign w:val="bottom"/>
            <w:tcBorders>
              <w:bottom w:val="single" w:sz="8" w:color="E5F1F8"/>
            </w:tcBorders>
            <w:shd w:val="clear" w:color="auto" w:fill="E5F1F8"/>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840" w:type="dxa"/>
            <w:vAlign w:val="bottom"/>
            <w:tcBorders>
              <w:bottom w:val="single" w:sz="8" w:color="E5F1F8"/>
            </w:tcBorders>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w:t>
            </w:r>
          </w:p>
        </w:tc>
        <w:tc>
          <w:tcPr>
            <w:tcW w:w="360" w:type="dxa"/>
            <w:vAlign w:val="bottom"/>
            <w:tcBorders>
              <w:bottom w:val="single" w:sz="8" w:color="E5F1F8"/>
              <w:right w:val="single" w:sz="8" w:color="007CBA"/>
            </w:tcBorders>
            <w:shd w:val="clear" w:color="auto" w:fill="E5F1F8"/>
          </w:tcPr>
          <w:p>
            <w:pPr>
              <w:spacing w:after="0"/>
              <w:rPr>
                <w:sz w:val="18"/>
                <w:szCs w:val="18"/>
                <w:color w:val="auto"/>
              </w:rPr>
            </w:pPr>
          </w:p>
        </w:tc>
        <w:tc>
          <w:tcPr>
            <w:tcW w:w="260" w:type="dxa"/>
            <w:vAlign w:val="bottom"/>
            <w:tcBorders>
              <w:bottom w:val="single" w:sz="8" w:color="E5F1F8"/>
            </w:tcBorders>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w:t>
            </w:r>
          </w:p>
        </w:tc>
        <w:tc>
          <w:tcPr>
            <w:tcW w:w="820" w:type="dxa"/>
            <w:vAlign w:val="bottom"/>
            <w:tcBorders>
              <w:bottom w:val="single" w:sz="8" w:color="E5F1F8"/>
            </w:tcBorders>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11.0</w:t>
            </w:r>
          </w:p>
        </w:tc>
        <w:tc>
          <w:tcPr>
            <w:tcW w:w="100" w:type="dxa"/>
            <w:vAlign w:val="bottom"/>
            <w:tcBorders>
              <w:bottom w:val="single" w:sz="8" w:color="E5F1F8"/>
            </w:tcBorders>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760" w:type="dxa"/>
            <w:vAlign w:val="bottom"/>
            <w:tcBorders>
              <w:right w:val="single" w:sz="8" w:color="007CBA"/>
            </w:tcBorders>
          </w:tcPr>
          <w:p>
            <w:pPr>
              <w:ind w:left="120"/>
              <w:spacing w:after="0" w:line="193" w:lineRule="exact"/>
              <w:rPr>
                <w:sz w:val="20"/>
                <w:szCs w:val="20"/>
                <w:color w:val="auto"/>
              </w:rPr>
            </w:pPr>
            <w:r>
              <w:rPr>
                <w:rFonts w:ascii="Calibri" w:cs="Calibri" w:eastAsia="Calibri" w:hAnsi="Calibri"/>
                <w:sz w:val="16"/>
                <w:szCs w:val="16"/>
                <w:color w:val="auto"/>
              </w:rPr>
              <w:t>Allowance for estmated credit losses on</w:t>
            </w:r>
          </w:p>
        </w:tc>
        <w:tc>
          <w:tcPr>
            <w:tcW w:w="280" w:type="dxa"/>
            <w:vAlign w:val="bottom"/>
          </w:tcPr>
          <w:p>
            <w:pPr>
              <w:spacing w:after="0"/>
              <w:rPr>
                <w:sz w:val="16"/>
                <w:szCs w:val="16"/>
                <w:color w:val="auto"/>
              </w:rPr>
            </w:pPr>
          </w:p>
        </w:tc>
        <w:tc>
          <w:tcPr>
            <w:tcW w:w="980" w:type="dxa"/>
            <w:vAlign w:val="bottom"/>
            <w:tcBorders>
              <w:right w:val="single" w:sz="8" w:color="007CBA"/>
            </w:tcBorders>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Borders>
              <w:right w:val="single" w:sz="8" w:color="007CBA"/>
            </w:tcBorders>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Borders>
              <w:right w:val="single" w:sz="8" w:color="007CBA"/>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Borders>
              <w:right w:val="single" w:sz="8" w:color="007CBA"/>
            </w:tcBorders>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4760" w:type="dxa"/>
            <w:vAlign w:val="bottom"/>
            <w:tcBorders>
              <w:right w:val="single" w:sz="8" w:color="007CBA"/>
            </w:tcBorders>
          </w:tcPr>
          <w:p>
            <w:pPr>
              <w:ind w:left="220"/>
              <w:spacing w:after="0" w:line="164" w:lineRule="exact"/>
              <w:rPr>
                <w:sz w:val="20"/>
                <w:szCs w:val="20"/>
                <w:color w:val="auto"/>
              </w:rPr>
            </w:pPr>
            <w:r>
              <w:rPr>
                <w:rFonts w:ascii="Calibri" w:cs="Calibri" w:eastAsia="Calibri" w:hAnsi="Calibri"/>
                <w:sz w:val="16"/>
                <w:szCs w:val="16"/>
                <w:color w:val="auto"/>
              </w:rPr>
              <w:t>notes receivable</w:t>
            </w:r>
          </w:p>
        </w:tc>
        <w:tc>
          <w:tcPr>
            <w:tcW w:w="280" w:type="dxa"/>
            <w:vAlign w:val="bottom"/>
          </w:tcPr>
          <w:p>
            <w:pPr>
              <w:jc w:val="right"/>
              <w:spacing w:after="0" w:line="164" w:lineRule="exact"/>
              <w:rPr>
                <w:sz w:val="20"/>
                <w:szCs w:val="20"/>
                <w:color w:val="auto"/>
              </w:rPr>
            </w:pPr>
            <w:r>
              <w:rPr>
                <w:rFonts w:ascii="Calibri" w:cs="Calibri" w:eastAsia="Calibri" w:hAnsi="Calibri"/>
                <w:sz w:val="16"/>
                <w:szCs w:val="16"/>
                <w:color w:val="auto"/>
              </w:rPr>
              <w:t>$</w:t>
            </w:r>
          </w:p>
        </w:tc>
        <w:tc>
          <w:tcPr>
            <w:tcW w:w="980" w:type="dxa"/>
            <w:vAlign w:val="bottom"/>
            <w:tcBorders>
              <w:right w:val="single" w:sz="8" w:color="007CBA"/>
            </w:tcBorders>
          </w:tcPr>
          <w:p>
            <w:pPr>
              <w:jc w:val="right"/>
              <w:ind w:right="63"/>
              <w:spacing w:after="0" w:line="164" w:lineRule="exact"/>
              <w:rPr>
                <w:sz w:val="20"/>
                <w:szCs w:val="20"/>
                <w:color w:val="auto"/>
              </w:rPr>
            </w:pPr>
            <w:r>
              <w:rPr>
                <w:rFonts w:ascii="Calibri" w:cs="Calibri" w:eastAsia="Calibri" w:hAnsi="Calibri"/>
                <w:sz w:val="16"/>
                <w:szCs w:val="16"/>
                <w:color w:val="auto"/>
              </w:rPr>
              <w:t>0.1</w:t>
            </w:r>
          </w:p>
        </w:tc>
        <w:tc>
          <w:tcPr>
            <w:tcW w:w="280" w:type="dxa"/>
            <w:vAlign w:val="bottom"/>
          </w:tcPr>
          <w:p>
            <w:pPr>
              <w:jc w:val="right"/>
              <w:spacing w:after="0" w:line="164" w:lineRule="exact"/>
              <w:rPr>
                <w:sz w:val="20"/>
                <w:szCs w:val="20"/>
                <w:color w:val="auto"/>
              </w:rPr>
            </w:pPr>
            <w:r>
              <w:rPr>
                <w:rFonts w:ascii="Calibri" w:cs="Calibri" w:eastAsia="Calibri" w:hAnsi="Calibri"/>
                <w:sz w:val="16"/>
                <w:szCs w:val="16"/>
                <w:color w:val="auto"/>
              </w:rPr>
              <w:t>$</w:t>
            </w:r>
          </w:p>
        </w:tc>
        <w:tc>
          <w:tcPr>
            <w:tcW w:w="940" w:type="dxa"/>
            <w:vAlign w:val="bottom"/>
            <w:tcBorders>
              <w:right w:val="single" w:sz="8" w:color="007CBA"/>
            </w:tcBorders>
          </w:tcPr>
          <w:p>
            <w:pPr>
              <w:jc w:val="right"/>
              <w:ind w:right="63"/>
              <w:spacing w:after="0" w:line="164" w:lineRule="exact"/>
              <w:rPr>
                <w:sz w:val="20"/>
                <w:szCs w:val="20"/>
                <w:color w:val="auto"/>
              </w:rPr>
            </w:pPr>
            <w:r>
              <w:rPr>
                <w:rFonts w:ascii="Calibri" w:cs="Calibri" w:eastAsia="Calibri" w:hAnsi="Calibri"/>
                <w:sz w:val="16"/>
                <w:szCs w:val="16"/>
                <w:color w:val="auto"/>
              </w:rPr>
              <w:t>—</w:t>
            </w:r>
          </w:p>
        </w:tc>
        <w:tc>
          <w:tcPr>
            <w:tcW w:w="300" w:type="dxa"/>
            <w:vAlign w:val="bottom"/>
          </w:tcPr>
          <w:p>
            <w:pPr>
              <w:ind w:left="120"/>
              <w:spacing w:after="0" w:line="164" w:lineRule="exact"/>
              <w:rPr>
                <w:sz w:val="20"/>
                <w:szCs w:val="20"/>
                <w:color w:val="auto"/>
              </w:rPr>
            </w:pPr>
            <w:r>
              <w:rPr>
                <w:rFonts w:ascii="Calibri" w:cs="Calibri" w:eastAsia="Calibri" w:hAnsi="Calibri"/>
                <w:sz w:val="16"/>
                <w:szCs w:val="16"/>
                <w:color w:val="auto"/>
              </w:rPr>
              <w:t>$</w:t>
            </w:r>
          </w:p>
        </w:tc>
        <w:tc>
          <w:tcPr>
            <w:tcW w:w="1080" w:type="dxa"/>
            <w:vAlign w:val="bottom"/>
            <w:tcBorders>
              <w:right w:val="single" w:sz="8" w:color="007CBA"/>
            </w:tcBorders>
          </w:tcPr>
          <w:p>
            <w:pPr>
              <w:jc w:val="right"/>
              <w:ind w:right="245"/>
              <w:spacing w:after="0" w:line="164" w:lineRule="exact"/>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4"/>
                <w:szCs w:val="14"/>
                <w:color w:val="auto"/>
              </w:rPr>
            </w:pPr>
          </w:p>
        </w:tc>
        <w:tc>
          <w:tcPr>
            <w:tcW w:w="120" w:type="dxa"/>
            <w:vAlign w:val="bottom"/>
          </w:tcPr>
          <w:p>
            <w:pPr>
              <w:jc w:val="right"/>
              <w:spacing w:after="0" w:line="164" w:lineRule="exact"/>
              <w:rPr>
                <w:sz w:val="20"/>
                <w:szCs w:val="20"/>
                <w:color w:val="auto"/>
              </w:rPr>
            </w:pPr>
            <w:r>
              <w:rPr>
                <w:rFonts w:ascii="Calibri" w:cs="Calibri" w:eastAsia="Calibri" w:hAnsi="Calibri"/>
                <w:sz w:val="16"/>
                <w:szCs w:val="16"/>
                <w:color w:val="auto"/>
                <w:w w:val="97"/>
              </w:rPr>
              <w:t>$</w:t>
            </w:r>
          </w:p>
        </w:tc>
        <w:tc>
          <w:tcPr>
            <w:tcW w:w="840" w:type="dxa"/>
            <w:vAlign w:val="bottom"/>
          </w:tcPr>
          <w:p>
            <w:pPr>
              <w:jc w:val="right"/>
              <w:spacing w:after="0" w:line="164" w:lineRule="exact"/>
              <w:rPr>
                <w:sz w:val="20"/>
                <w:szCs w:val="20"/>
                <w:color w:val="auto"/>
              </w:rPr>
            </w:pPr>
            <w:r>
              <w:rPr>
                <w:rFonts w:ascii="Calibri" w:cs="Calibri" w:eastAsia="Calibri" w:hAnsi="Calibri"/>
                <w:sz w:val="16"/>
                <w:szCs w:val="16"/>
                <w:color w:val="auto"/>
              </w:rPr>
              <w:t>0.1</w:t>
            </w:r>
          </w:p>
        </w:tc>
        <w:tc>
          <w:tcPr>
            <w:tcW w:w="360" w:type="dxa"/>
            <w:vAlign w:val="bottom"/>
            <w:tcBorders>
              <w:right w:val="single" w:sz="8" w:color="007CBA"/>
            </w:tcBorders>
          </w:tcPr>
          <w:p>
            <w:pPr>
              <w:ind w:left="120"/>
              <w:spacing w:after="0" w:line="130" w:lineRule="exact"/>
              <w:rPr>
                <w:sz w:val="20"/>
                <w:szCs w:val="20"/>
                <w:color w:val="auto"/>
              </w:rPr>
            </w:pPr>
            <w:r>
              <w:rPr>
                <w:rFonts w:ascii="Calibri" w:cs="Calibri" w:eastAsia="Calibri" w:hAnsi="Calibri"/>
                <w:sz w:val="11"/>
                <w:szCs w:val="11"/>
                <w:color w:val="auto"/>
              </w:rPr>
              <w:t>(a)</w:t>
            </w:r>
          </w:p>
        </w:tc>
        <w:tc>
          <w:tcPr>
            <w:tcW w:w="260" w:type="dxa"/>
            <w:vAlign w:val="bottom"/>
          </w:tcPr>
          <w:p>
            <w:pPr>
              <w:jc w:val="right"/>
              <w:spacing w:after="0" w:line="164" w:lineRule="exact"/>
              <w:rPr>
                <w:sz w:val="20"/>
                <w:szCs w:val="20"/>
                <w:color w:val="auto"/>
              </w:rPr>
            </w:pPr>
            <w:r>
              <w:rPr>
                <w:rFonts w:ascii="Calibri" w:cs="Calibri" w:eastAsia="Calibri" w:hAnsi="Calibri"/>
                <w:sz w:val="16"/>
                <w:szCs w:val="16"/>
                <w:color w:val="auto"/>
              </w:rPr>
              <w:t>$</w:t>
            </w:r>
          </w:p>
        </w:tc>
        <w:tc>
          <w:tcPr>
            <w:tcW w:w="920" w:type="dxa"/>
            <w:vAlign w:val="bottom"/>
            <w:gridSpan w:val="2"/>
          </w:tcPr>
          <w:p>
            <w:pPr>
              <w:jc w:val="right"/>
              <w:ind w:right="120"/>
              <w:spacing w:after="0" w:line="164"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101"/>
        </w:trPr>
        <w:tc>
          <w:tcPr>
            <w:tcW w:w="4760" w:type="dxa"/>
            <w:vAlign w:val="bottom"/>
            <w:tcBorders>
              <w:right w:val="single" w:sz="8" w:color="007CBA"/>
            </w:tcBorders>
            <w:vMerge w:val="restart"/>
          </w:tcPr>
          <w:p>
            <w:pPr>
              <w:ind w:left="120"/>
              <w:spacing w:after="0"/>
              <w:rPr>
                <w:sz w:val="20"/>
                <w:szCs w:val="20"/>
                <w:color w:val="auto"/>
              </w:rPr>
            </w:pPr>
            <w:r>
              <w:rPr>
                <w:rFonts w:ascii="Calibri" w:cs="Calibri" w:eastAsia="Calibri" w:hAnsi="Calibri"/>
                <w:sz w:val="16"/>
                <w:szCs w:val="16"/>
                <w:color w:val="auto"/>
              </w:rPr>
              <w:t>Inventory valuaton allowance</w:t>
            </w:r>
          </w:p>
        </w:tc>
        <w:tc>
          <w:tcPr>
            <w:tcW w:w="280" w:type="dxa"/>
            <w:vAlign w:val="bottom"/>
            <w:vMerge w:val="restart"/>
          </w:tcPr>
          <w:p>
            <w:pPr>
              <w:jc w:val="right"/>
              <w:spacing w:after="0"/>
              <w:rPr>
                <w:sz w:val="20"/>
                <w:szCs w:val="20"/>
                <w:color w:val="auto"/>
              </w:rPr>
            </w:pPr>
            <w:r>
              <w:rPr>
                <w:rFonts w:ascii="Calibri" w:cs="Calibri" w:eastAsia="Calibri" w:hAnsi="Calibri"/>
                <w:sz w:val="16"/>
                <w:szCs w:val="16"/>
                <w:color w:val="auto"/>
              </w:rPr>
              <w:t>$</w:t>
            </w:r>
          </w:p>
        </w:tc>
        <w:tc>
          <w:tcPr>
            <w:tcW w:w="980" w:type="dxa"/>
            <w:vAlign w:val="bottom"/>
            <w:tcBorders>
              <w:right w:val="single" w:sz="8" w:color="007CBA"/>
            </w:tcBorders>
            <w:vMerge w:val="restart"/>
          </w:tcPr>
          <w:p>
            <w:pPr>
              <w:jc w:val="right"/>
              <w:ind w:right="63"/>
              <w:spacing w:after="0"/>
              <w:rPr>
                <w:sz w:val="20"/>
                <w:szCs w:val="20"/>
                <w:color w:val="auto"/>
              </w:rPr>
            </w:pPr>
            <w:r>
              <w:rPr>
                <w:rFonts w:ascii="Calibri" w:cs="Calibri" w:eastAsia="Calibri" w:hAnsi="Calibri"/>
                <w:sz w:val="16"/>
                <w:szCs w:val="16"/>
                <w:color w:val="auto"/>
              </w:rPr>
              <w:t>214.3</w:t>
            </w:r>
          </w:p>
        </w:tc>
        <w:tc>
          <w:tcPr>
            <w:tcW w:w="280" w:type="dxa"/>
            <w:vAlign w:val="bottom"/>
            <w:vMerge w:val="restart"/>
          </w:tcPr>
          <w:p>
            <w:pPr>
              <w:jc w:val="right"/>
              <w:spacing w:after="0"/>
              <w:rPr>
                <w:sz w:val="20"/>
                <w:szCs w:val="20"/>
                <w:color w:val="auto"/>
              </w:rPr>
            </w:pPr>
            <w:r>
              <w:rPr>
                <w:rFonts w:ascii="Calibri" w:cs="Calibri" w:eastAsia="Calibri" w:hAnsi="Calibri"/>
                <w:sz w:val="16"/>
                <w:szCs w:val="16"/>
                <w:color w:val="auto"/>
              </w:rPr>
              <w:t>$</w:t>
            </w:r>
          </w:p>
        </w:tc>
        <w:tc>
          <w:tcPr>
            <w:tcW w:w="940" w:type="dxa"/>
            <w:vAlign w:val="bottom"/>
            <w:tcBorders>
              <w:right w:val="single" w:sz="8" w:color="007CBA"/>
            </w:tcBorders>
            <w:vMerge w:val="restart"/>
          </w:tcPr>
          <w:p>
            <w:pPr>
              <w:jc w:val="right"/>
              <w:ind w:right="63"/>
              <w:spacing w:after="0"/>
              <w:rPr>
                <w:sz w:val="20"/>
                <w:szCs w:val="20"/>
                <w:color w:val="auto"/>
              </w:rPr>
            </w:pPr>
            <w:r>
              <w:rPr>
                <w:rFonts w:ascii="Calibri" w:cs="Calibri" w:eastAsia="Calibri" w:hAnsi="Calibri"/>
                <w:sz w:val="16"/>
                <w:szCs w:val="16"/>
                <w:color w:val="auto"/>
              </w:rPr>
              <w:t>145.0</w:t>
            </w:r>
          </w:p>
        </w:tc>
        <w:tc>
          <w:tcPr>
            <w:tcW w:w="300" w:type="dxa"/>
            <w:vAlign w:val="bottom"/>
            <w:vMerge w:val="restart"/>
          </w:tcPr>
          <w:p>
            <w:pPr>
              <w:ind w:left="120"/>
              <w:spacing w:after="0"/>
              <w:rPr>
                <w:sz w:val="20"/>
                <w:szCs w:val="20"/>
                <w:color w:val="auto"/>
              </w:rPr>
            </w:pPr>
            <w:r>
              <w:rPr>
                <w:rFonts w:ascii="Calibri" w:cs="Calibri" w:eastAsia="Calibri" w:hAnsi="Calibri"/>
                <w:sz w:val="16"/>
                <w:szCs w:val="16"/>
                <w:color w:val="auto"/>
              </w:rPr>
              <w:t>$</w:t>
            </w:r>
          </w:p>
        </w:tc>
        <w:tc>
          <w:tcPr>
            <w:tcW w:w="1080" w:type="dxa"/>
            <w:vAlign w:val="bottom"/>
            <w:tcBorders>
              <w:right w:val="single" w:sz="8" w:color="007CBA"/>
            </w:tcBorders>
          </w:tcPr>
          <w:p>
            <w:pPr>
              <w:jc w:val="right"/>
              <w:spacing w:after="0" w:line="102" w:lineRule="exact"/>
              <w:rPr>
                <w:sz w:val="20"/>
                <w:szCs w:val="20"/>
                <w:color w:val="auto"/>
              </w:rPr>
            </w:pPr>
            <w:r>
              <w:rPr>
                <w:rFonts w:ascii="Calibri" w:cs="Calibri" w:eastAsia="Calibri" w:hAnsi="Calibri"/>
                <w:sz w:val="11"/>
                <w:szCs w:val="11"/>
                <w:color w:val="auto"/>
              </w:rPr>
              <w:t>(b)</w:t>
            </w:r>
          </w:p>
        </w:tc>
        <w:tc>
          <w:tcPr>
            <w:tcW w:w="12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Calibri" w:cs="Calibri" w:eastAsia="Calibri" w:hAnsi="Calibri"/>
                <w:sz w:val="16"/>
                <w:szCs w:val="16"/>
                <w:color w:val="auto"/>
                <w:w w:val="97"/>
              </w:rPr>
              <w:t>$</w:t>
            </w:r>
          </w:p>
        </w:tc>
        <w:tc>
          <w:tcPr>
            <w:tcW w:w="840" w:type="dxa"/>
            <w:vAlign w:val="bottom"/>
            <w:vMerge w:val="restart"/>
          </w:tcPr>
          <w:p>
            <w:pPr>
              <w:jc w:val="right"/>
              <w:spacing w:after="0"/>
              <w:rPr>
                <w:sz w:val="20"/>
                <w:szCs w:val="20"/>
                <w:color w:val="auto"/>
              </w:rPr>
            </w:pPr>
            <w:r>
              <w:rPr>
                <w:rFonts w:ascii="Calibri" w:cs="Calibri" w:eastAsia="Calibri" w:hAnsi="Calibri"/>
                <w:sz w:val="16"/>
                <w:szCs w:val="16"/>
                <w:color w:val="auto"/>
              </w:rPr>
              <w:t>53.2</w:t>
            </w:r>
          </w:p>
        </w:tc>
        <w:tc>
          <w:tcPr>
            <w:tcW w:w="360" w:type="dxa"/>
            <w:vAlign w:val="bottom"/>
            <w:tcBorders>
              <w:right w:val="single" w:sz="8" w:color="007CBA"/>
            </w:tcBorders>
          </w:tcPr>
          <w:p>
            <w:pPr>
              <w:ind w:left="120"/>
              <w:spacing w:after="0" w:line="102" w:lineRule="exact"/>
              <w:rPr>
                <w:sz w:val="20"/>
                <w:szCs w:val="20"/>
                <w:color w:val="auto"/>
              </w:rPr>
            </w:pPr>
            <w:r>
              <w:rPr>
                <w:rFonts w:ascii="Calibri" w:cs="Calibri" w:eastAsia="Calibri" w:hAnsi="Calibri"/>
                <w:sz w:val="11"/>
                <w:szCs w:val="11"/>
                <w:color w:val="auto"/>
              </w:rPr>
              <w:t>(c)</w:t>
            </w:r>
          </w:p>
        </w:tc>
        <w:tc>
          <w:tcPr>
            <w:tcW w:w="260" w:type="dxa"/>
            <w:vAlign w:val="bottom"/>
            <w:vMerge w:val="restart"/>
          </w:tcPr>
          <w:p>
            <w:pPr>
              <w:jc w:val="right"/>
              <w:spacing w:after="0"/>
              <w:rPr>
                <w:sz w:val="20"/>
                <w:szCs w:val="20"/>
                <w:color w:val="auto"/>
              </w:rPr>
            </w:pPr>
            <w:r>
              <w:rPr>
                <w:rFonts w:ascii="Calibri" w:cs="Calibri" w:eastAsia="Calibri" w:hAnsi="Calibri"/>
                <w:sz w:val="16"/>
                <w:szCs w:val="16"/>
                <w:color w:val="auto"/>
              </w:rPr>
              <w:t>$</w:t>
            </w:r>
          </w:p>
        </w:tc>
        <w:tc>
          <w:tcPr>
            <w:tcW w:w="820" w:type="dxa"/>
            <w:vAlign w:val="bottom"/>
            <w:vMerge w:val="restart"/>
          </w:tcPr>
          <w:p>
            <w:pPr>
              <w:jc w:val="right"/>
              <w:spacing w:after="0"/>
              <w:rPr>
                <w:sz w:val="20"/>
                <w:szCs w:val="20"/>
                <w:color w:val="auto"/>
              </w:rPr>
            </w:pPr>
            <w:r>
              <w:rPr>
                <w:rFonts w:ascii="Calibri" w:cs="Calibri" w:eastAsia="Calibri" w:hAnsi="Calibri"/>
                <w:sz w:val="16"/>
                <w:szCs w:val="16"/>
                <w:color w:val="auto"/>
              </w:rPr>
              <w:t>308.3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4760" w:type="dxa"/>
            <w:vAlign w:val="bottom"/>
            <w:tcBorders>
              <w:right w:val="single" w:sz="8" w:color="007CBA"/>
            </w:tcBorders>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980" w:type="dxa"/>
            <w:vAlign w:val="bottom"/>
            <w:tcBorders>
              <w:right w:val="single" w:sz="8" w:color="007CBA"/>
            </w:tcBorders>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940" w:type="dxa"/>
            <w:vAlign w:val="bottom"/>
            <w:tcBorders>
              <w:right w:val="single" w:sz="8" w:color="007CBA"/>
            </w:tcBorders>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080" w:type="dxa"/>
            <w:vAlign w:val="bottom"/>
            <w:tcBorders>
              <w:right w:val="single" w:sz="8" w:color="007CBA"/>
            </w:tcBorders>
          </w:tcPr>
          <w:p>
            <w:pPr>
              <w:jc w:val="right"/>
              <w:ind w:right="245"/>
              <w:spacing w:after="0" w:line="193" w:lineRule="exact"/>
              <w:rPr>
                <w:sz w:val="20"/>
                <w:szCs w:val="20"/>
                <w:color w:val="auto"/>
              </w:rPr>
            </w:pPr>
            <w:r>
              <w:rPr>
                <w:rFonts w:ascii="Calibri" w:cs="Calibri" w:eastAsia="Calibri" w:hAnsi="Calibri"/>
                <w:sz w:val="16"/>
                <w:szCs w:val="16"/>
                <w:color w:val="auto"/>
              </w:rPr>
              <w:t>2.2</w:t>
            </w: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360" w:type="dxa"/>
            <w:vAlign w:val="bottom"/>
            <w:tcBorders>
              <w:right w:val="single" w:sz="8" w:color="007CBA"/>
            </w:tcBorders>
          </w:tcPr>
          <w:p>
            <w:pPr>
              <w:spacing w:after="0"/>
              <w:rPr>
                <w:sz w:val="16"/>
                <w:szCs w:val="16"/>
                <w:color w:val="auto"/>
              </w:rPr>
            </w:pPr>
          </w:p>
        </w:tc>
        <w:tc>
          <w:tcPr>
            <w:tcW w:w="2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7"/>
        </w:trPr>
        <w:tc>
          <w:tcPr>
            <w:tcW w:w="4760" w:type="dxa"/>
            <w:vAlign w:val="bottom"/>
            <w:tcBorders>
              <w:right w:val="single" w:sz="8" w:color="007CBA"/>
            </w:tcBorders>
          </w:tcPr>
          <w:p>
            <w:pPr>
              <w:ind w:left="120"/>
              <w:spacing w:after="0"/>
              <w:rPr>
                <w:sz w:val="20"/>
                <w:szCs w:val="20"/>
                <w:color w:val="auto"/>
              </w:rPr>
            </w:pPr>
            <w:r>
              <w:rPr>
                <w:rFonts w:ascii="Calibri" w:cs="Calibri" w:eastAsia="Calibri" w:hAnsi="Calibri"/>
                <w:sz w:val="16"/>
                <w:szCs w:val="16"/>
                <w:b w:val="1"/>
                <w:bCs w:val="1"/>
                <w:color w:val="auto"/>
              </w:rPr>
              <w:t>Year ended December 31, 2021</w:t>
            </w:r>
          </w:p>
        </w:tc>
        <w:tc>
          <w:tcPr>
            <w:tcW w:w="280" w:type="dxa"/>
            <w:vAlign w:val="bottom"/>
          </w:tcPr>
          <w:p>
            <w:pPr>
              <w:spacing w:after="0"/>
              <w:rPr>
                <w:sz w:val="24"/>
                <w:szCs w:val="24"/>
                <w:color w:val="auto"/>
              </w:rPr>
            </w:pPr>
          </w:p>
        </w:tc>
        <w:tc>
          <w:tcPr>
            <w:tcW w:w="980" w:type="dxa"/>
            <w:vAlign w:val="bottom"/>
            <w:tcBorders>
              <w:right w:val="single" w:sz="8" w:color="007CBA"/>
            </w:tcBorders>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Borders>
              <w:right w:val="single" w:sz="8" w:color="007CBA"/>
            </w:tcBorders>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Borders>
              <w:right w:val="single" w:sz="8" w:color="007CBA"/>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Borders>
              <w:right w:val="single" w:sz="8" w:color="007CBA"/>
            </w:tcBorders>
            <w:vMerge w:val="restart"/>
          </w:tcPr>
          <w:p>
            <w:pPr>
              <w:ind w:left="120"/>
              <w:spacing w:after="0"/>
              <w:rPr>
                <w:sz w:val="20"/>
                <w:szCs w:val="20"/>
                <w:color w:val="auto"/>
              </w:rPr>
            </w:pPr>
            <w:r>
              <w:rPr>
                <w:rFonts w:ascii="Calibri" w:cs="Calibri" w:eastAsia="Calibri" w:hAnsi="Calibri"/>
                <w:sz w:val="11"/>
                <w:szCs w:val="11"/>
                <w:color w:val="auto"/>
              </w:rPr>
              <w:t>(a)</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4760" w:type="dxa"/>
            <w:vAlign w:val="bottom"/>
            <w:tcBorders>
              <w:right w:val="single" w:sz="8" w:color="007CBA"/>
            </w:tcBorders>
            <w:vMerge w:val="restart"/>
          </w:tcPr>
          <w:p>
            <w:pPr>
              <w:ind w:left="120"/>
              <w:spacing w:after="0"/>
              <w:rPr>
                <w:sz w:val="20"/>
                <w:szCs w:val="20"/>
                <w:color w:val="auto"/>
              </w:rPr>
            </w:pPr>
            <w:r>
              <w:rPr>
                <w:rFonts w:ascii="Calibri" w:cs="Calibri" w:eastAsia="Calibri" w:hAnsi="Calibri"/>
                <w:sz w:val="16"/>
                <w:szCs w:val="16"/>
                <w:color w:val="auto"/>
              </w:rPr>
              <w:t>Allowance for estmated credit losses</w:t>
            </w:r>
          </w:p>
        </w:tc>
        <w:tc>
          <w:tcPr>
            <w:tcW w:w="280" w:type="dxa"/>
            <w:vAlign w:val="bottom"/>
            <w:vMerge w:val="restart"/>
          </w:tcPr>
          <w:p>
            <w:pPr>
              <w:jc w:val="right"/>
              <w:spacing w:after="0"/>
              <w:rPr>
                <w:sz w:val="20"/>
                <w:szCs w:val="20"/>
                <w:color w:val="auto"/>
              </w:rPr>
            </w:pPr>
            <w:r>
              <w:rPr>
                <w:rFonts w:ascii="Calibri" w:cs="Calibri" w:eastAsia="Calibri" w:hAnsi="Calibri"/>
                <w:sz w:val="16"/>
                <w:szCs w:val="16"/>
                <w:color w:val="auto"/>
              </w:rPr>
              <w:t>$</w:t>
            </w:r>
          </w:p>
        </w:tc>
        <w:tc>
          <w:tcPr>
            <w:tcW w:w="980" w:type="dxa"/>
            <w:vAlign w:val="bottom"/>
            <w:tcBorders>
              <w:right w:val="single" w:sz="8" w:color="007CBA"/>
            </w:tcBorders>
            <w:vMerge w:val="restart"/>
          </w:tcPr>
          <w:p>
            <w:pPr>
              <w:jc w:val="right"/>
              <w:ind w:right="63"/>
              <w:spacing w:after="0"/>
              <w:rPr>
                <w:sz w:val="20"/>
                <w:szCs w:val="20"/>
                <w:color w:val="auto"/>
              </w:rPr>
            </w:pPr>
            <w:r>
              <w:rPr>
                <w:rFonts w:ascii="Calibri" w:cs="Calibri" w:eastAsia="Calibri" w:hAnsi="Calibri"/>
                <w:sz w:val="16"/>
                <w:szCs w:val="16"/>
                <w:color w:val="auto"/>
              </w:rPr>
              <w:t>5.9</w:t>
            </w:r>
          </w:p>
        </w:tc>
        <w:tc>
          <w:tcPr>
            <w:tcW w:w="280" w:type="dxa"/>
            <w:vAlign w:val="bottom"/>
            <w:vMerge w:val="restart"/>
          </w:tcPr>
          <w:p>
            <w:pPr>
              <w:jc w:val="right"/>
              <w:spacing w:after="0"/>
              <w:rPr>
                <w:sz w:val="20"/>
                <w:szCs w:val="20"/>
                <w:color w:val="auto"/>
              </w:rPr>
            </w:pPr>
            <w:r>
              <w:rPr>
                <w:rFonts w:ascii="Calibri" w:cs="Calibri" w:eastAsia="Calibri" w:hAnsi="Calibri"/>
                <w:sz w:val="16"/>
                <w:szCs w:val="16"/>
                <w:color w:val="auto"/>
              </w:rPr>
              <w:t>$</w:t>
            </w:r>
          </w:p>
        </w:tc>
        <w:tc>
          <w:tcPr>
            <w:tcW w:w="940" w:type="dxa"/>
            <w:vAlign w:val="bottom"/>
            <w:tcBorders>
              <w:right w:val="single" w:sz="8" w:color="007CBA"/>
            </w:tcBorders>
            <w:vMerge w:val="restart"/>
          </w:tcPr>
          <w:p>
            <w:pPr>
              <w:jc w:val="right"/>
              <w:ind w:right="63"/>
              <w:spacing w:after="0"/>
              <w:rPr>
                <w:sz w:val="20"/>
                <w:szCs w:val="20"/>
                <w:color w:val="auto"/>
              </w:rPr>
            </w:pPr>
            <w:r>
              <w:rPr>
                <w:rFonts w:ascii="Calibri" w:cs="Calibri" w:eastAsia="Calibri" w:hAnsi="Calibri"/>
                <w:sz w:val="16"/>
                <w:szCs w:val="16"/>
                <w:color w:val="auto"/>
              </w:rPr>
              <w:t>—</w:t>
            </w:r>
          </w:p>
        </w:tc>
        <w:tc>
          <w:tcPr>
            <w:tcW w:w="300" w:type="dxa"/>
            <w:vAlign w:val="bottom"/>
            <w:vMerge w:val="restart"/>
          </w:tcPr>
          <w:p>
            <w:pPr>
              <w:ind w:left="120"/>
              <w:spacing w:after="0"/>
              <w:rPr>
                <w:sz w:val="20"/>
                <w:szCs w:val="20"/>
                <w:color w:val="auto"/>
              </w:rPr>
            </w:pPr>
            <w:r>
              <w:rPr>
                <w:rFonts w:ascii="Calibri" w:cs="Calibri" w:eastAsia="Calibri" w:hAnsi="Calibri"/>
                <w:sz w:val="16"/>
                <w:szCs w:val="16"/>
                <w:color w:val="auto"/>
              </w:rPr>
              <w:t>$</w:t>
            </w:r>
          </w:p>
        </w:tc>
        <w:tc>
          <w:tcPr>
            <w:tcW w:w="1080" w:type="dxa"/>
            <w:vAlign w:val="bottom"/>
            <w:tcBorders>
              <w:right w:val="single" w:sz="8" w:color="007CBA"/>
            </w:tcBorders>
            <w:vMerge w:val="restart"/>
          </w:tcPr>
          <w:p>
            <w:pPr>
              <w:jc w:val="right"/>
              <w:ind w:right="245"/>
              <w:spacing w:after="0"/>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Calibri" w:cs="Calibri" w:eastAsia="Calibri" w:hAnsi="Calibri"/>
                <w:sz w:val="16"/>
                <w:szCs w:val="16"/>
                <w:color w:val="auto"/>
                <w:w w:val="97"/>
              </w:rPr>
              <w:t>$</w:t>
            </w:r>
          </w:p>
        </w:tc>
        <w:tc>
          <w:tcPr>
            <w:tcW w:w="840" w:type="dxa"/>
            <w:vAlign w:val="bottom"/>
            <w:vMerge w:val="restart"/>
          </w:tcPr>
          <w:p>
            <w:pPr>
              <w:jc w:val="right"/>
              <w:spacing w:after="0"/>
              <w:rPr>
                <w:sz w:val="20"/>
                <w:szCs w:val="20"/>
                <w:color w:val="auto"/>
              </w:rPr>
            </w:pPr>
            <w:r>
              <w:rPr>
                <w:rFonts w:ascii="Calibri" w:cs="Calibri" w:eastAsia="Calibri" w:hAnsi="Calibri"/>
                <w:sz w:val="16"/>
                <w:szCs w:val="16"/>
                <w:color w:val="auto"/>
              </w:rPr>
              <w:t>0.1</w:t>
            </w:r>
          </w:p>
        </w:tc>
        <w:tc>
          <w:tcPr>
            <w:tcW w:w="360" w:type="dxa"/>
            <w:vAlign w:val="bottom"/>
            <w:tcBorders>
              <w:right w:val="single" w:sz="8" w:color="007CBA"/>
            </w:tcBorders>
            <w:vMerge w:val="continue"/>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Calibri" w:cs="Calibri" w:eastAsia="Calibri" w:hAnsi="Calibri"/>
                <w:sz w:val="16"/>
                <w:szCs w:val="16"/>
                <w:color w:val="auto"/>
              </w:rPr>
              <w:t>$</w:t>
            </w:r>
          </w:p>
        </w:tc>
        <w:tc>
          <w:tcPr>
            <w:tcW w:w="820" w:type="dxa"/>
            <w:vAlign w:val="bottom"/>
            <w:vMerge w:val="restart"/>
          </w:tcPr>
          <w:p>
            <w:pPr>
              <w:jc w:val="right"/>
              <w:spacing w:after="0"/>
              <w:rPr>
                <w:sz w:val="20"/>
                <w:szCs w:val="20"/>
                <w:color w:val="auto"/>
              </w:rPr>
            </w:pPr>
            <w:r>
              <w:rPr>
                <w:rFonts w:ascii="Calibri" w:cs="Calibri" w:eastAsia="Calibri" w:hAnsi="Calibri"/>
                <w:sz w:val="16"/>
                <w:szCs w:val="16"/>
                <w:color w:val="auto"/>
              </w:rPr>
              <w:t>5.8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4760" w:type="dxa"/>
            <w:vAlign w:val="bottom"/>
            <w:tcBorders>
              <w:right w:val="single" w:sz="8" w:color="007CBA"/>
            </w:tcBorders>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980" w:type="dxa"/>
            <w:vAlign w:val="bottom"/>
            <w:tcBorders>
              <w:right w:val="single" w:sz="8" w:color="007CBA"/>
            </w:tcBorders>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940" w:type="dxa"/>
            <w:vAlign w:val="bottom"/>
            <w:tcBorders>
              <w:right w:val="single" w:sz="8" w:color="007CBA"/>
            </w:tcBorders>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1080" w:type="dxa"/>
            <w:vAlign w:val="bottom"/>
            <w:tcBorders>
              <w:right w:val="single" w:sz="8" w:color="007CBA"/>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360" w:type="dxa"/>
            <w:vAlign w:val="bottom"/>
            <w:tcBorders>
              <w:right w:val="single" w:sz="8" w:color="007CBA"/>
            </w:tcBorders>
          </w:tcPr>
          <w:p>
            <w:pPr>
              <w:spacing w:after="0"/>
              <w:rPr>
                <w:sz w:val="11"/>
                <w:szCs w:val="11"/>
                <w:color w:val="auto"/>
              </w:rPr>
            </w:pPr>
          </w:p>
        </w:tc>
        <w:tc>
          <w:tcPr>
            <w:tcW w:w="2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4760" w:type="dxa"/>
            <w:vAlign w:val="bottom"/>
            <w:tcBorders>
              <w:right w:val="single" w:sz="8" w:color="007CBA"/>
            </w:tcBorders>
          </w:tcPr>
          <w:p>
            <w:pPr>
              <w:ind w:left="120"/>
              <w:spacing w:after="0"/>
              <w:rPr>
                <w:sz w:val="20"/>
                <w:szCs w:val="20"/>
                <w:color w:val="auto"/>
              </w:rPr>
            </w:pPr>
            <w:r>
              <w:rPr>
                <w:rFonts w:ascii="Calibri" w:cs="Calibri" w:eastAsia="Calibri" w:hAnsi="Calibri"/>
                <w:sz w:val="16"/>
                <w:szCs w:val="16"/>
                <w:color w:val="auto"/>
              </w:rPr>
              <w:t>Allowance for estmated credit losses on</w:t>
            </w:r>
          </w:p>
        </w:tc>
        <w:tc>
          <w:tcPr>
            <w:tcW w:w="280" w:type="dxa"/>
            <w:vAlign w:val="bottom"/>
          </w:tcPr>
          <w:p>
            <w:pPr>
              <w:spacing w:after="0"/>
              <w:rPr>
                <w:sz w:val="19"/>
                <w:szCs w:val="19"/>
                <w:color w:val="auto"/>
              </w:rPr>
            </w:pPr>
          </w:p>
        </w:tc>
        <w:tc>
          <w:tcPr>
            <w:tcW w:w="980" w:type="dxa"/>
            <w:vAlign w:val="bottom"/>
            <w:tcBorders>
              <w:right w:val="single" w:sz="8" w:color="007CBA"/>
            </w:tcBorders>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Borders>
              <w:right w:val="single" w:sz="8" w:color="007CBA"/>
            </w:tcBorders>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Borders>
              <w:right w:val="single" w:sz="8" w:color="007CBA"/>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Borders>
              <w:right w:val="single" w:sz="8" w:color="007CBA"/>
            </w:tcBorders>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760" w:type="dxa"/>
            <w:vAlign w:val="bottom"/>
            <w:tcBorders>
              <w:right w:val="single" w:sz="8" w:color="007CBA"/>
            </w:tcBorders>
          </w:tcPr>
          <w:p>
            <w:pPr>
              <w:ind w:left="220"/>
              <w:spacing w:after="0" w:line="169" w:lineRule="exact"/>
              <w:rPr>
                <w:sz w:val="20"/>
                <w:szCs w:val="20"/>
                <w:color w:val="auto"/>
              </w:rPr>
            </w:pPr>
            <w:r>
              <w:rPr>
                <w:rFonts w:ascii="Calibri" w:cs="Calibri" w:eastAsia="Calibri" w:hAnsi="Calibri"/>
                <w:sz w:val="16"/>
                <w:szCs w:val="16"/>
                <w:color w:val="auto"/>
              </w:rPr>
              <w:t>notes receivable</w:t>
            </w:r>
          </w:p>
        </w:tc>
        <w:tc>
          <w:tcPr>
            <w:tcW w:w="280" w:type="dxa"/>
            <w:vAlign w:val="bottom"/>
          </w:tcPr>
          <w:p>
            <w:pPr>
              <w:jc w:val="right"/>
              <w:spacing w:after="0" w:line="169" w:lineRule="exact"/>
              <w:rPr>
                <w:sz w:val="20"/>
                <w:szCs w:val="20"/>
                <w:color w:val="auto"/>
              </w:rPr>
            </w:pPr>
            <w:r>
              <w:rPr>
                <w:rFonts w:ascii="Calibri" w:cs="Calibri" w:eastAsia="Calibri" w:hAnsi="Calibri"/>
                <w:sz w:val="16"/>
                <w:szCs w:val="16"/>
                <w:color w:val="auto"/>
              </w:rPr>
              <w:t>$</w:t>
            </w:r>
          </w:p>
        </w:tc>
        <w:tc>
          <w:tcPr>
            <w:tcW w:w="980" w:type="dxa"/>
            <w:vAlign w:val="bottom"/>
            <w:tcBorders>
              <w:right w:val="single" w:sz="8" w:color="007CBA"/>
            </w:tcBorders>
          </w:tcPr>
          <w:p>
            <w:pPr>
              <w:jc w:val="right"/>
              <w:ind w:right="63"/>
              <w:spacing w:after="0" w:line="169" w:lineRule="exact"/>
              <w:rPr>
                <w:sz w:val="20"/>
                <w:szCs w:val="20"/>
                <w:color w:val="auto"/>
              </w:rPr>
            </w:pPr>
            <w:r>
              <w:rPr>
                <w:rFonts w:ascii="Calibri" w:cs="Calibri" w:eastAsia="Calibri" w:hAnsi="Calibri"/>
                <w:sz w:val="16"/>
                <w:szCs w:val="16"/>
                <w:color w:val="auto"/>
              </w:rPr>
              <w:t>0.4</w:t>
            </w:r>
          </w:p>
        </w:tc>
        <w:tc>
          <w:tcPr>
            <w:tcW w:w="280" w:type="dxa"/>
            <w:vAlign w:val="bottom"/>
          </w:tcPr>
          <w:p>
            <w:pPr>
              <w:jc w:val="right"/>
              <w:spacing w:after="0" w:line="169" w:lineRule="exact"/>
              <w:rPr>
                <w:sz w:val="20"/>
                <w:szCs w:val="20"/>
                <w:color w:val="auto"/>
              </w:rPr>
            </w:pPr>
            <w:r>
              <w:rPr>
                <w:rFonts w:ascii="Calibri" w:cs="Calibri" w:eastAsia="Calibri" w:hAnsi="Calibri"/>
                <w:sz w:val="16"/>
                <w:szCs w:val="16"/>
                <w:color w:val="auto"/>
              </w:rPr>
              <w:t>$</w:t>
            </w:r>
          </w:p>
        </w:tc>
        <w:tc>
          <w:tcPr>
            <w:tcW w:w="940" w:type="dxa"/>
            <w:vAlign w:val="bottom"/>
            <w:tcBorders>
              <w:right w:val="single" w:sz="8" w:color="007CBA"/>
            </w:tcBorders>
          </w:tcPr>
          <w:p>
            <w:pPr>
              <w:jc w:val="right"/>
              <w:ind w:right="63"/>
              <w:spacing w:after="0" w:line="169" w:lineRule="exact"/>
              <w:rPr>
                <w:sz w:val="20"/>
                <w:szCs w:val="20"/>
                <w:color w:val="auto"/>
              </w:rPr>
            </w:pPr>
            <w:r>
              <w:rPr>
                <w:rFonts w:ascii="Calibri" w:cs="Calibri" w:eastAsia="Calibri" w:hAnsi="Calibri"/>
                <w:sz w:val="16"/>
                <w:szCs w:val="16"/>
                <w:color w:val="auto"/>
              </w:rPr>
              <w:t>—</w:t>
            </w:r>
          </w:p>
        </w:tc>
        <w:tc>
          <w:tcPr>
            <w:tcW w:w="300" w:type="dxa"/>
            <w:vAlign w:val="bottom"/>
          </w:tcPr>
          <w:p>
            <w:pPr>
              <w:ind w:left="120"/>
              <w:spacing w:after="0" w:line="169" w:lineRule="exact"/>
              <w:rPr>
                <w:sz w:val="20"/>
                <w:szCs w:val="20"/>
                <w:color w:val="auto"/>
              </w:rPr>
            </w:pPr>
            <w:r>
              <w:rPr>
                <w:rFonts w:ascii="Calibri" w:cs="Calibri" w:eastAsia="Calibri" w:hAnsi="Calibri"/>
                <w:sz w:val="16"/>
                <w:szCs w:val="16"/>
                <w:color w:val="auto"/>
              </w:rPr>
              <w:t>$</w:t>
            </w:r>
          </w:p>
        </w:tc>
        <w:tc>
          <w:tcPr>
            <w:tcW w:w="1080" w:type="dxa"/>
            <w:vAlign w:val="bottom"/>
            <w:tcBorders>
              <w:right w:val="single" w:sz="8" w:color="007CBA"/>
            </w:tcBorders>
          </w:tcPr>
          <w:p>
            <w:pPr>
              <w:jc w:val="right"/>
              <w:ind w:right="245"/>
              <w:spacing w:after="0" w:line="169" w:lineRule="exact"/>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Calibri" w:cs="Calibri" w:eastAsia="Calibri" w:hAnsi="Calibri"/>
                <w:sz w:val="16"/>
                <w:szCs w:val="16"/>
                <w:color w:val="auto"/>
                <w:w w:val="97"/>
              </w:rPr>
              <w:t>$</w:t>
            </w:r>
          </w:p>
        </w:tc>
        <w:tc>
          <w:tcPr>
            <w:tcW w:w="840" w:type="dxa"/>
            <w:vAlign w:val="bottom"/>
          </w:tcPr>
          <w:p>
            <w:pPr>
              <w:jc w:val="right"/>
              <w:spacing w:after="0" w:line="169" w:lineRule="exact"/>
              <w:rPr>
                <w:sz w:val="20"/>
                <w:szCs w:val="20"/>
                <w:color w:val="auto"/>
              </w:rPr>
            </w:pPr>
            <w:r>
              <w:rPr>
                <w:rFonts w:ascii="Calibri" w:cs="Calibri" w:eastAsia="Calibri" w:hAnsi="Calibri"/>
                <w:sz w:val="16"/>
                <w:szCs w:val="16"/>
                <w:color w:val="auto"/>
              </w:rPr>
              <w:t>0.3</w:t>
            </w:r>
          </w:p>
        </w:tc>
        <w:tc>
          <w:tcPr>
            <w:tcW w:w="360" w:type="dxa"/>
            <w:vAlign w:val="bottom"/>
            <w:tcBorders>
              <w:right w:val="single" w:sz="8" w:color="007CBA"/>
            </w:tcBorders>
          </w:tcPr>
          <w:p>
            <w:pPr>
              <w:ind w:left="120"/>
              <w:spacing w:after="0"/>
              <w:rPr>
                <w:sz w:val="20"/>
                <w:szCs w:val="20"/>
                <w:color w:val="auto"/>
              </w:rPr>
            </w:pPr>
            <w:r>
              <w:rPr>
                <w:rFonts w:ascii="Calibri" w:cs="Calibri" w:eastAsia="Calibri" w:hAnsi="Calibri"/>
                <w:sz w:val="11"/>
                <w:szCs w:val="11"/>
                <w:color w:val="auto"/>
              </w:rPr>
              <w:t>(a)</w:t>
            </w:r>
          </w:p>
        </w:tc>
        <w:tc>
          <w:tcPr>
            <w:tcW w:w="260" w:type="dxa"/>
            <w:vAlign w:val="bottom"/>
          </w:tcPr>
          <w:p>
            <w:pPr>
              <w:jc w:val="right"/>
              <w:spacing w:after="0" w:line="169" w:lineRule="exact"/>
              <w:rPr>
                <w:sz w:val="20"/>
                <w:szCs w:val="20"/>
                <w:color w:val="auto"/>
              </w:rPr>
            </w:pPr>
            <w:r>
              <w:rPr>
                <w:rFonts w:ascii="Calibri" w:cs="Calibri" w:eastAsia="Calibri" w:hAnsi="Calibri"/>
                <w:sz w:val="16"/>
                <w:szCs w:val="16"/>
                <w:color w:val="auto"/>
              </w:rPr>
              <w:t>$</w:t>
            </w:r>
          </w:p>
        </w:tc>
        <w:tc>
          <w:tcPr>
            <w:tcW w:w="820" w:type="dxa"/>
            <w:vAlign w:val="bottom"/>
          </w:tcPr>
          <w:p>
            <w:pPr>
              <w:jc w:val="right"/>
              <w:spacing w:after="0" w:line="169" w:lineRule="exact"/>
              <w:rPr>
                <w:sz w:val="20"/>
                <w:szCs w:val="20"/>
                <w:color w:val="auto"/>
              </w:rPr>
            </w:pPr>
            <w:r>
              <w:rPr>
                <w:rFonts w:ascii="Calibri" w:cs="Calibri" w:eastAsia="Calibri" w:hAnsi="Calibri"/>
                <w:sz w:val="16"/>
                <w:szCs w:val="16"/>
                <w:color w:val="auto"/>
              </w:rPr>
              <w:t>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4760" w:type="dxa"/>
            <w:vAlign w:val="bottom"/>
            <w:tcBorders>
              <w:right w:val="single" w:sz="8" w:color="007CBA"/>
            </w:tcBorders>
            <w:vMerge w:val="restart"/>
          </w:tcPr>
          <w:p>
            <w:pPr>
              <w:ind w:left="120"/>
              <w:spacing w:after="0"/>
              <w:rPr>
                <w:sz w:val="20"/>
                <w:szCs w:val="20"/>
                <w:color w:val="auto"/>
              </w:rPr>
            </w:pPr>
            <w:r>
              <w:rPr>
                <w:rFonts w:ascii="Calibri" w:cs="Calibri" w:eastAsia="Calibri" w:hAnsi="Calibri"/>
                <w:sz w:val="16"/>
                <w:szCs w:val="16"/>
                <w:color w:val="auto"/>
              </w:rPr>
              <w:t>Inventory valuaton allowance</w:t>
            </w:r>
          </w:p>
        </w:tc>
        <w:tc>
          <w:tcPr>
            <w:tcW w:w="280" w:type="dxa"/>
            <w:vAlign w:val="bottom"/>
            <w:vMerge w:val="restart"/>
          </w:tcPr>
          <w:p>
            <w:pPr>
              <w:jc w:val="right"/>
              <w:spacing w:after="0"/>
              <w:rPr>
                <w:sz w:val="20"/>
                <w:szCs w:val="20"/>
                <w:color w:val="auto"/>
              </w:rPr>
            </w:pPr>
            <w:r>
              <w:rPr>
                <w:rFonts w:ascii="Calibri" w:cs="Calibri" w:eastAsia="Calibri" w:hAnsi="Calibri"/>
                <w:sz w:val="16"/>
                <w:szCs w:val="16"/>
                <w:color w:val="auto"/>
              </w:rPr>
              <w:t>$</w:t>
            </w:r>
          </w:p>
        </w:tc>
        <w:tc>
          <w:tcPr>
            <w:tcW w:w="980" w:type="dxa"/>
            <w:vAlign w:val="bottom"/>
            <w:tcBorders>
              <w:right w:val="single" w:sz="8" w:color="007CBA"/>
            </w:tcBorders>
            <w:vMerge w:val="restart"/>
          </w:tcPr>
          <w:p>
            <w:pPr>
              <w:jc w:val="right"/>
              <w:ind w:right="63"/>
              <w:spacing w:after="0"/>
              <w:rPr>
                <w:sz w:val="20"/>
                <w:szCs w:val="20"/>
                <w:color w:val="auto"/>
              </w:rPr>
            </w:pPr>
            <w:r>
              <w:rPr>
                <w:rFonts w:ascii="Calibri" w:cs="Calibri" w:eastAsia="Calibri" w:hAnsi="Calibri"/>
                <w:sz w:val="16"/>
                <w:szCs w:val="16"/>
                <w:color w:val="auto"/>
              </w:rPr>
              <w:t>180.3</w:t>
            </w:r>
          </w:p>
        </w:tc>
        <w:tc>
          <w:tcPr>
            <w:tcW w:w="280" w:type="dxa"/>
            <w:vAlign w:val="bottom"/>
            <w:vMerge w:val="restart"/>
          </w:tcPr>
          <w:p>
            <w:pPr>
              <w:jc w:val="right"/>
              <w:spacing w:after="0"/>
              <w:rPr>
                <w:sz w:val="20"/>
                <w:szCs w:val="20"/>
                <w:color w:val="auto"/>
              </w:rPr>
            </w:pPr>
            <w:r>
              <w:rPr>
                <w:rFonts w:ascii="Calibri" w:cs="Calibri" w:eastAsia="Calibri" w:hAnsi="Calibri"/>
                <w:sz w:val="16"/>
                <w:szCs w:val="16"/>
                <w:color w:val="auto"/>
              </w:rPr>
              <w:t>$</w:t>
            </w:r>
          </w:p>
        </w:tc>
        <w:tc>
          <w:tcPr>
            <w:tcW w:w="940" w:type="dxa"/>
            <w:vAlign w:val="bottom"/>
            <w:tcBorders>
              <w:right w:val="single" w:sz="8" w:color="007CBA"/>
            </w:tcBorders>
            <w:vMerge w:val="restart"/>
          </w:tcPr>
          <w:p>
            <w:pPr>
              <w:jc w:val="right"/>
              <w:ind w:right="63"/>
              <w:spacing w:after="0"/>
              <w:rPr>
                <w:sz w:val="20"/>
                <w:szCs w:val="20"/>
                <w:color w:val="auto"/>
              </w:rPr>
            </w:pPr>
            <w:r>
              <w:rPr>
                <w:rFonts w:ascii="Calibri" w:cs="Calibri" w:eastAsia="Calibri" w:hAnsi="Calibri"/>
                <w:sz w:val="16"/>
                <w:szCs w:val="16"/>
                <w:color w:val="auto"/>
              </w:rPr>
              <w:t>65.2</w:t>
            </w:r>
          </w:p>
        </w:tc>
        <w:tc>
          <w:tcPr>
            <w:tcW w:w="300" w:type="dxa"/>
            <w:vAlign w:val="bottom"/>
            <w:vMerge w:val="restart"/>
          </w:tcPr>
          <w:p>
            <w:pPr>
              <w:ind w:left="120"/>
              <w:spacing w:after="0"/>
              <w:rPr>
                <w:sz w:val="20"/>
                <w:szCs w:val="20"/>
                <w:color w:val="auto"/>
              </w:rPr>
            </w:pPr>
            <w:r>
              <w:rPr>
                <w:rFonts w:ascii="Calibri" w:cs="Calibri" w:eastAsia="Calibri" w:hAnsi="Calibri"/>
                <w:sz w:val="16"/>
                <w:szCs w:val="16"/>
                <w:color w:val="auto"/>
              </w:rPr>
              <w:t>$</w:t>
            </w:r>
          </w:p>
        </w:tc>
        <w:tc>
          <w:tcPr>
            <w:tcW w:w="1080" w:type="dxa"/>
            <w:vAlign w:val="bottom"/>
            <w:tcBorders>
              <w:right w:val="single" w:sz="8" w:color="007CBA"/>
            </w:tcBorders>
          </w:tcPr>
          <w:p>
            <w:pPr>
              <w:jc w:val="right"/>
              <w:spacing w:after="0" w:line="102" w:lineRule="exact"/>
              <w:rPr>
                <w:sz w:val="20"/>
                <w:szCs w:val="20"/>
                <w:color w:val="auto"/>
              </w:rPr>
            </w:pPr>
            <w:r>
              <w:rPr>
                <w:rFonts w:ascii="Calibri" w:cs="Calibri" w:eastAsia="Calibri" w:hAnsi="Calibri"/>
                <w:sz w:val="11"/>
                <w:szCs w:val="11"/>
                <w:color w:val="auto"/>
              </w:rPr>
              <w:t>(b)</w:t>
            </w:r>
          </w:p>
        </w:tc>
        <w:tc>
          <w:tcPr>
            <w:tcW w:w="12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Calibri" w:cs="Calibri" w:eastAsia="Calibri" w:hAnsi="Calibri"/>
                <w:sz w:val="16"/>
                <w:szCs w:val="16"/>
                <w:color w:val="auto"/>
                <w:w w:val="97"/>
              </w:rPr>
              <w:t>$</w:t>
            </w:r>
          </w:p>
        </w:tc>
        <w:tc>
          <w:tcPr>
            <w:tcW w:w="840" w:type="dxa"/>
            <w:vAlign w:val="bottom"/>
            <w:vMerge w:val="restart"/>
          </w:tcPr>
          <w:p>
            <w:pPr>
              <w:jc w:val="right"/>
              <w:spacing w:after="0"/>
              <w:rPr>
                <w:sz w:val="20"/>
                <w:szCs w:val="20"/>
                <w:color w:val="auto"/>
              </w:rPr>
            </w:pPr>
            <w:r>
              <w:rPr>
                <w:rFonts w:ascii="Calibri" w:cs="Calibri" w:eastAsia="Calibri" w:hAnsi="Calibri"/>
                <w:sz w:val="16"/>
                <w:szCs w:val="16"/>
                <w:color w:val="auto"/>
              </w:rPr>
              <w:t>40.8</w:t>
            </w:r>
          </w:p>
        </w:tc>
        <w:tc>
          <w:tcPr>
            <w:tcW w:w="360" w:type="dxa"/>
            <w:vAlign w:val="bottom"/>
            <w:tcBorders>
              <w:right w:val="single" w:sz="8" w:color="007CBA"/>
            </w:tcBorders>
          </w:tcPr>
          <w:p>
            <w:pPr>
              <w:ind w:left="120"/>
              <w:spacing w:after="0" w:line="102" w:lineRule="exact"/>
              <w:rPr>
                <w:sz w:val="20"/>
                <w:szCs w:val="20"/>
                <w:color w:val="auto"/>
              </w:rPr>
            </w:pPr>
            <w:r>
              <w:rPr>
                <w:rFonts w:ascii="Calibri" w:cs="Calibri" w:eastAsia="Calibri" w:hAnsi="Calibri"/>
                <w:sz w:val="11"/>
                <w:szCs w:val="11"/>
                <w:color w:val="auto"/>
              </w:rPr>
              <w:t>(c)</w:t>
            </w:r>
          </w:p>
        </w:tc>
        <w:tc>
          <w:tcPr>
            <w:tcW w:w="260" w:type="dxa"/>
            <w:vAlign w:val="bottom"/>
            <w:vMerge w:val="restart"/>
          </w:tcPr>
          <w:p>
            <w:pPr>
              <w:jc w:val="right"/>
              <w:spacing w:after="0"/>
              <w:rPr>
                <w:sz w:val="20"/>
                <w:szCs w:val="20"/>
                <w:color w:val="auto"/>
              </w:rPr>
            </w:pPr>
            <w:r>
              <w:rPr>
                <w:rFonts w:ascii="Calibri" w:cs="Calibri" w:eastAsia="Calibri" w:hAnsi="Calibri"/>
                <w:sz w:val="16"/>
                <w:szCs w:val="16"/>
                <w:color w:val="auto"/>
              </w:rPr>
              <w:t>$</w:t>
            </w:r>
          </w:p>
        </w:tc>
        <w:tc>
          <w:tcPr>
            <w:tcW w:w="820" w:type="dxa"/>
            <w:vAlign w:val="bottom"/>
            <w:vMerge w:val="restart"/>
          </w:tcPr>
          <w:p>
            <w:pPr>
              <w:jc w:val="right"/>
              <w:spacing w:after="0"/>
              <w:rPr>
                <w:sz w:val="20"/>
                <w:szCs w:val="20"/>
                <w:color w:val="auto"/>
              </w:rPr>
            </w:pPr>
            <w:r>
              <w:rPr>
                <w:rFonts w:ascii="Calibri" w:cs="Calibri" w:eastAsia="Calibri" w:hAnsi="Calibri"/>
                <w:sz w:val="16"/>
                <w:szCs w:val="16"/>
                <w:color w:val="auto"/>
              </w:rPr>
              <w:t>214.3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4760" w:type="dxa"/>
            <w:vAlign w:val="bottom"/>
            <w:tcBorders>
              <w:right w:val="single" w:sz="8" w:color="007CBA"/>
            </w:tcBorders>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980" w:type="dxa"/>
            <w:vAlign w:val="bottom"/>
            <w:tcBorders>
              <w:right w:val="single" w:sz="8" w:color="007CBA"/>
            </w:tcBorders>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940" w:type="dxa"/>
            <w:vAlign w:val="bottom"/>
            <w:tcBorders>
              <w:right w:val="single" w:sz="8" w:color="007CBA"/>
            </w:tcBorders>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080" w:type="dxa"/>
            <w:vAlign w:val="bottom"/>
            <w:tcBorders>
              <w:right w:val="single" w:sz="8" w:color="007CBA"/>
            </w:tcBorders>
          </w:tcPr>
          <w:p>
            <w:pPr>
              <w:jc w:val="right"/>
              <w:ind w:right="245"/>
              <w:spacing w:after="0" w:line="193" w:lineRule="exact"/>
              <w:rPr>
                <w:sz w:val="20"/>
                <w:szCs w:val="20"/>
                <w:color w:val="auto"/>
              </w:rPr>
            </w:pPr>
            <w:r>
              <w:rPr>
                <w:rFonts w:ascii="Calibri" w:cs="Calibri" w:eastAsia="Calibri" w:hAnsi="Calibri"/>
                <w:sz w:val="16"/>
                <w:szCs w:val="16"/>
                <w:color w:val="auto"/>
              </w:rPr>
              <w:t>9.6</w:t>
            </w: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360" w:type="dxa"/>
            <w:vAlign w:val="bottom"/>
            <w:tcBorders>
              <w:right w:val="single" w:sz="8" w:color="007CBA"/>
            </w:tcBorders>
          </w:tcPr>
          <w:p>
            <w:pPr>
              <w:spacing w:after="0"/>
              <w:rPr>
                <w:sz w:val="17"/>
                <w:szCs w:val="17"/>
                <w:color w:val="auto"/>
              </w:rPr>
            </w:pPr>
          </w:p>
        </w:tc>
        <w:tc>
          <w:tcPr>
            <w:tcW w:w="26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60" w:type="dxa"/>
            <w:vAlign w:val="bottom"/>
            <w:tcBorders>
              <w:right w:val="single" w:sz="8" w:color="007CBA"/>
            </w:tcBorders>
            <w:shd w:val="clear" w:color="auto" w:fill="E5F1F8"/>
          </w:tcPr>
          <w:p>
            <w:pPr>
              <w:spacing w:after="0"/>
              <w:rPr>
                <w:sz w:val="20"/>
                <w:szCs w:val="20"/>
                <w:color w:val="auto"/>
              </w:rPr>
            </w:pPr>
          </w:p>
        </w:tc>
        <w:tc>
          <w:tcPr>
            <w:tcW w:w="280" w:type="dxa"/>
            <w:vAlign w:val="bottom"/>
            <w:shd w:val="clear" w:color="auto" w:fill="E5F1F8"/>
          </w:tcPr>
          <w:p>
            <w:pPr>
              <w:spacing w:after="0"/>
              <w:rPr>
                <w:sz w:val="20"/>
                <w:szCs w:val="20"/>
                <w:color w:val="auto"/>
              </w:rPr>
            </w:pPr>
          </w:p>
        </w:tc>
        <w:tc>
          <w:tcPr>
            <w:tcW w:w="980" w:type="dxa"/>
            <w:vAlign w:val="bottom"/>
            <w:tcBorders>
              <w:right w:val="single" w:sz="8" w:color="007CBA"/>
            </w:tcBorders>
            <w:shd w:val="clear" w:color="auto" w:fill="E5F1F8"/>
          </w:tcPr>
          <w:p>
            <w:pPr>
              <w:spacing w:after="0"/>
              <w:rPr>
                <w:sz w:val="20"/>
                <w:szCs w:val="20"/>
                <w:color w:val="auto"/>
              </w:rPr>
            </w:pPr>
          </w:p>
        </w:tc>
        <w:tc>
          <w:tcPr>
            <w:tcW w:w="280" w:type="dxa"/>
            <w:vAlign w:val="bottom"/>
            <w:shd w:val="clear" w:color="auto" w:fill="E5F1F8"/>
          </w:tcPr>
          <w:p>
            <w:pPr>
              <w:spacing w:after="0"/>
              <w:rPr>
                <w:sz w:val="20"/>
                <w:szCs w:val="20"/>
                <w:color w:val="auto"/>
              </w:rPr>
            </w:pPr>
          </w:p>
        </w:tc>
        <w:tc>
          <w:tcPr>
            <w:tcW w:w="940" w:type="dxa"/>
            <w:vAlign w:val="bottom"/>
            <w:tcBorders>
              <w:right w:val="single" w:sz="8" w:color="007CBA"/>
            </w:tcBorders>
            <w:shd w:val="clear" w:color="auto" w:fill="E5F1F8"/>
          </w:tcPr>
          <w:p>
            <w:pPr>
              <w:spacing w:after="0"/>
              <w:rPr>
                <w:sz w:val="20"/>
                <w:szCs w:val="20"/>
                <w:color w:val="auto"/>
              </w:rPr>
            </w:pPr>
          </w:p>
        </w:tc>
        <w:tc>
          <w:tcPr>
            <w:tcW w:w="300" w:type="dxa"/>
            <w:vAlign w:val="bottom"/>
            <w:shd w:val="clear" w:color="auto" w:fill="E5F1F8"/>
          </w:tcPr>
          <w:p>
            <w:pPr>
              <w:spacing w:after="0"/>
              <w:rPr>
                <w:sz w:val="20"/>
                <w:szCs w:val="20"/>
                <w:color w:val="auto"/>
              </w:rPr>
            </w:pPr>
          </w:p>
        </w:tc>
        <w:tc>
          <w:tcPr>
            <w:tcW w:w="1080" w:type="dxa"/>
            <w:vAlign w:val="bottom"/>
            <w:tcBorders>
              <w:right w:val="single" w:sz="8" w:color="007CBA"/>
            </w:tcBorders>
            <w:shd w:val="clear" w:color="auto" w:fill="E5F1F8"/>
          </w:tcPr>
          <w:p>
            <w:pPr>
              <w:spacing w:after="0"/>
              <w:rPr>
                <w:sz w:val="20"/>
                <w:szCs w:val="20"/>
                <w:color w:val="auto"/>
              </w:rPr>
            </w:pPr>
          </w:p>
        </w:tc>
        <w:tc>
          <w:tcPr>
            <w:tcW w:w="120" w:type="dxa"/>
            <w:vAlign w:val="bottom"/>
            <w:shd w:val="clear" w:color="auto" w:fill="E5F1F8"/>
          </w:tcPr>
          <w:p>
            <w:pPr>
              <w:spacing w:after="0"/>
              <w:rPr>
                <w:sz w:val="20"/>
                <w:szCs w:val="20"/>
                <w:color w:val="auto"/>
              </w:rPr>
            </w:pPr>
          </w:p>
        </w:tc>
        <w:tc>
          <w:tcPr>
            <w:tcW w:w="120" w:type="dxa"/>
            <w:vAlign w:val="bottom"/>
            <w:shd w:val="clear" w:color="auto" w:fill="E5F1F8"/>
          </w:tcPr>
          <w:p>
            <w:pPr>
              <w:spacing w:after="0"/>
              <w:rPr>
                <w:sz w:val="20"/>
                <w:szCs w:val="20"/>
                <w:color w:val="auto"/>
              </w:rPr>
            </w:pPr>
          </w:p>
        </w:tc>
        <w:tc>
          <w:tcPr>
            <w:tcW w:w="840" w:type="dxa"/>
            <w:vAlign w:val="bottom"/>
            <w:shd w:val="clear" w:color="auto" w:fill="E5F1F8"/>
          </w:tcPr>
          <w:p>
            <w:pPr>
              <w:spacing w:after="0"/>
              <w:rPr>
                <w:sz w:val="20"/>
                <w:szCs w:val="20"/>
                <w:color w:val="auto"/>
              </w:rPr>
            </w:pPr>
          </w:p>
        </w:tc>
        <w:tc>
          <w:tcPr>
            <w:tcW w:w="360" w:type="dxa"/>
            <w:vAlign w:val="bottom"/>
            <w:tcBorders>
              <w:right w:val="single" w:sz="8" w:color="007CBA"/>
            </w:tcBorders>
            <w:shd w:val="clear" w:color="auto" w:fill="E5F1F8"/>
          </w:tcPr>
          <w:p>
            <w:pPr>
              <w:spacing w:after="0"/>
              <w:rPr>
                <w:sz w:val="20"/>
                <w:szCs w:val="20"/>
                <w:color w:val="auto"/>
              </w:rPr>
            </w:pPr>
          </w:p>
        </w:tc>
        <w:tc>
          <w:tcPr>
            <w:tcW w:w="260" w:type="dxa"/>
            <w:vAlign w:val="bottom"/>
            <w:shd w:val="clear" w:color="auto" w:fill="E5F1F8"/>
          </w:tcPr>
          <w:p>
            <w:pPr>
              <w:spacing w:after="0"/>
              <w:rPr>
                <w:sz w:val="20"/>
                <w:szCs w:val="20"/>
                <w:color w:val="auto"/>
              </w:rPr>
            </w:pPr>
          </w:p>
        </w:tc>
        <w:tc>
          <w:tcPr>
            <w:tcW w:w="820" w:type="dxa"/>
            <w:vAlign w:val="bottom"/>
            <w:shd w:val="clear" w:color="auto" w:fill="E5F1F8"/>
          </w:tcPr>
          <w:p>
            <w:pPr>
              <w:spacing w:after="0"/>
              <w:rPr>
                <w:sz w:val="20"/>
                <w:szCs w:val="20"/>
                <w:color w:val="auto"/>
              </w:rPr>
            </w:pPr>
          </w:p>
        </w:tc>
        <w:tc>
          <w:tcPr>
            <w:tcW w:w="100" w:type="dxa"/>
            <w:vAlign w:val="bottom"/>
            <w:shd w:val="clear" w:color="auto" w:fill="E5F1F8"/>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4760" w:type="dxa"/>
            <w:vAlign w:val="bottom"/>
            <w:tcBorders>
              <w:right w:val="single" w:sz="8" w:color="007CBA"/>
            </w:tcBorders>
          </w:tcPr>
          <w:p>
            <w:pPr>
              <w:ind w:left="120"/>
              <w:spacing w:after="0" w:line="193" w:lineRule="exact"/>
              <w:rPr>
                <w:sz w:val="20"/>
                <w:szCs w:val="20"/>
                <w:color w:val="auto"/>
              </w:rPr>
            </w:pPr>
            <w:r>
              <w:rPr>
                <w:rFonts w:ascii="Calibri" w:cs="Calibri" w:eastAsia="Calibri" w:hAnsi="Calibri"/>
                <w:sz w:val="16"/>
                <w:szCs w:val="16"/>
                <w:b w:val="1"/>
                <w:bCs w:val="1"/>
                <w:color w:val="auto"/>
              </w:rPr>
              <w:t>Year ended December 31, 2020</w:t>
            </w:r>
          </w:p>
        </w:tc>
        <w:tc>
          <w:tcPr>
            <w:tcW w:w="280" w:type="dxa"/>
            <w:vAlign w:val="bottom"/>
          </w:tcPr>
          <w:p>
            <w:pPr>
              <w:spacing w:after="0"/>
              <w:rPr>
                <w:sz w:val="16"/>
                <w:szCs w:val="16"/>
                <w:color w:val="auto"/>
              </w:rPr>
            </w:pPr>
          </w:p>
        </w:tc>
        <w:tc>
          <w:tcPr>
            <w:tcW w:w="980" w:type="dxa"/>
            <w:vAlign w:val="bottom"/>
            <w:tcBorders>
              <w:right w:val="single" w:sz="8" w:color="007CBA"/>
            </w:tcBorders>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Borders>
              <w:right w:val="single" w:sz="8" w:color="007CBA"/>
            </w:tcBorders>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Borders>
              <w:right w:val="single" w:sz="8" w:color="007CBA"/>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Borders>
              <w:right w:val="single" w:sz="8" w:color="007CBA"/>
            </w:tcBorders>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4760" w:type="dxa"/>
            <w:vAlign w:val="bottom"/>
            <w:tcBorders>
              <w:right w:val="single" w:sz="8" w:color="007CBA"/>
            </w:tcBorders>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Borders>
              <w:right w:val="single" w:sz="8" w:color="007CBA"/>
            </w:tcBorders>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Borders>
              <w:right w:val="single" w:sz="8" w:color="007CBA"/>
            </w:tcBorders>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Borders>
              <w:right w:val="single" w:sz="8" w:color="007CBA"/>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Borders>
              <w:right w:val="single" w:sz="8" w:color="007CBA"/>
            </w:tcBorders>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760" w:type="dxa"/>
            <w:vAlign w:val="bottom"/>
            <w:tcBorders>
              <w:bottom w:val="single" w:sz="8" w:color="E5F1F8"/>
              <w:right w:val="single" w:sz="8" w:color="007CBA"/>
            </w:tcBorders>
            <w:shd w:val="clear" w:color="auto" w:fill="E5F1F8"/>
          </w:tcPr>
          <w:p>
            <w:pPr>
              <w:ind w:left="120"/>
              <w:spacing w:after="0" w:line="193" w:lineRule="exact"/>
              <w:rPr>
                <w:sz w:val="20"/>
                <w:szCs w:val="20"/>
                <w:color w:val="auto"/>
              </w:rPr>
            </w:pPr>
            <w:r>
              <w:rPr>
                <w:rFonts w:ascii="Calibri" w:cs="Calibri" w:eastAsia="Calibri" w:hAnsi="Calibri"/>
                <w:sz w:val="16"/>
                <w:szCs w:val="16"/>
                <w:color w:val="auto"/>
              </w:rPr>
              <w:t>Allowance for estmated credit losses</w:t>
            </w:r>
          </w:p>
        </w:tc>
        <w:tc>
          <w:tcPr>
            <w:tcW w:w="280" w:type="dxa"/>
            <w:vAlign w:val="bottom"/>
            <w:tcBorders>
              <w:bottom w:val="single" w:sz="8" w:color="E5F1F8"/>
            </w:tcBorders>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w:t>
            </w:r>
          </w:p>
        </w:tc>
        <w:tc>
          <w:tcPr>
            <w:tcW w:w="980" w:type="dxa"/>
            <w:vAlign w:val="bottom"/>
            <w:tcBorders>
              <w:bottom w:val="single" w:sz="8" w:color="E5F1F8"/>
              <w:right w:val="single" w:sz="8" w:color="007CBA"/>
            </w:tcBorders>
            <w:shd w:val="clear" w:color="auto" w:fill="E5F1F8"/>
          </w:tcPr>
          <w:p>
            <w:pPr>
              <w:jc w:val="right"/>
              <w:ind w:right="63"/>
              <w:spacing w:after="0" w:line="193" w:lineRule="exact"/>
              <w:rPr>
                <w:sz w:val="20"/>
                <w:szCs w:val="20"/>
                <w:color w:val="auto"/>
              </w:rPr>
            </w:pPr>
            <w:r>
              <w:rPr>
                <w:rFonts w:ascii="Calibri" w:cs="Calibri" w:eastAsia="Calibri" w:hAnsi="Calibri"/>
                <w:sz w:val="16"/>
                <w:szCs w:val="16"/>
                <w:color w:val="auto"/>
              </w:rPr>
              <w:t>4.7</w:t>
            </w:r>
          </w:p>
        </w:tc>
        <w:tc>
          <w:tcPr>
            <w:tcW w:w="280" w:type="dxa"/>
            <w:vAlign w:val="bottom"/>
            <w:tcBorders>
              <w:bottom w:val="single" w:sz="8" w:color="E5F1F8"/>
            </w:tcBorders>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w:t>
            </w:r>
          </w:p>
        </w:tc>
        <w:tc>
          <w:tcPr>
            <w:tcW w:w="940" w:type="dxa"/>
            <w:vAlign w:val="bottom"/>
            <w:tcBorders>
              <w:bottom w:val="single" w:sz="8" w:color="E5F1F8"/>
              <w:right w:val="single" w:sz="8" w:color="007CBA"/>
            </w:tcBorders>
            <w:shd w:val="clear" w:color="auto" w:fill="E5F1F8"/>
          </w:tcPr>
          <w:p>
            <w:pPr>
              <w:jc w:val="right"/>
              <w:ind w:right="63"/>
              <w:spacing w:after="0" w:line="193" w:lineRule="exact"/>
              <w:rPr>
                <w:sz w:val="20"/>
                <w:szCs w:val="20"/>
                <w:color w:val="auto"/>
              </w:rPr>
            </w:pPr>
            <w:r>
              <w:rPr>
                <w:rFonts w:ascii="Calibri" w:cs="Calibri" w:eastAsia="Calibri" w:hAnsi="Calibri"/>
                <w:sz w:val="16"/>
                <w:szCs w:val="16"/>
                <w:color w:val="auto"/>
              </w:rPr>
              <w:t>1.2</w:t>
            </w:r>
          </w:p>
        </w:tc>
        <w:tc>
          <w:tcPr>
            <w:tcW w:w="300" w:type="dxa"/>
            <w:vAlign w:val="bottom"/>
            <w:tcBorders>
              <w:bottom w:val="single" w:sz="8" w:color="E5F1F8"/>
            </w:tcBorders>
            <w:shd w:val="clear" w:color="auto" w:fill="E5F1F8"/>
          </w:tcPr>
          <w:p>
            <w:pPr>
              <w:ind w:left="120"/>
              <w:spacing w:after="0" w:line="193" w:lineRule="exact"/>
              <w:rPr>
                <w:sz w:val="20"/>
                <w:szCs w:val="20"/>
                <w:color w:val="auto"/>
              </w:rPr>
            </w:pPr>
            <w:r>
              <w:rPr>
                <w:rFonts w:ascii="Calibri" w:cs="Calibri" w:eastAsia="Calibri" w:hAnsi="Calibri"/>
                <w:sz w:val="16"/>
                <w:szCs w:val="16"/>
                <w:color w:val="auto"/>
              </w:rPr>
              <w:t>$</w:t>
            </w:r>
          </w:p>
        </w:tc>
        <w:tc>
          <w:tcPr>
            <w:tcW w:w="1080" w:type="dxa"/>
            <w:vAlign w:val="bottom"/>
            <w:tcBorders>
              <w:bottom w:val="single" w:sz="8" w:color="E5F1F8"/>
              <w:right w:val="single" w:sz="8" w:color="007CBA"/>
            </w:tcBorders>
            <w:shd w:val="clear" w:color="auto" w:fill="E5F1F8"/>
          </w:tcPr>
          <w:p>
            <w:pPr>
              <w:jc w:val="right"/>
              <w:ind w:right="245"/>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Borders>
              <w:bottom w:val="single" w:sz="8" w:color="E5F1F8"/>
            </w:tcBorders>
            <w:shd w:val="clear" w:color="auto" w:fill="E5F1F8"/>
          </w:tcPr>
          <w:p>
            <w:pPr>
              <w:spacing w:after="0"/>
              <w:rPr>
                <w:sz w:val="18"/>
                <w:szCs w:val="18"/>
                <w:color w:val="auto"/>
              </w:rPr>
            </w:pPr>
          </w:p>
        </w:tc>
        <w:tc>
          <w:tcPr>
            <w:tcW w:w="120" w:type="dxa"/>
            <w:vAlign w:val="bottom"/>
            <w:tcBorders>
              <w:bottom w:val="single" w:sz="8" w:color="E5F1F8"/>
            </w:tcBorders>
            <w:shd w:val="clear" w:color="auto" w:fill="E5F1F8"/>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840" w:type="dxa"/>
            <w:vAlign w:val="bottom"/>
            <w:tcBorders>
              <w:bottom w:val="single" w:sz="8" w:color="E5F1F8"/>
            </w:tcBorders>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w:t>
            </w:r>
          </w:p>
        </w:tc>
        <w:tc>
          <w:tcPr>
            <w:tcW w:w="360" w:type="dxa"/>
            <w:vAlign w:val="bottom"/>
            <w:tcBorders>
              <w:bottom w:val="single" w:sz="8" w:color="E5F1F8"/>
              <w:right w:val="single" w:sz="8" w:color="007CBA"/>
            </w:tcBorders>
            <w:shd w:val="clear" w:color="auto" w:fill="E5F1F8"/>
          </w:tcPr>
          <w:p>
            <w:pPr>
              <w:spacing w:after="0"/>
              <w:rPr>
                <w:sz w:val="18"/>
                <w:szCs w:val="18"/>
                <w:color w:val="auto"/>
              </w:rPr>
            </w:pPr>
          </w:p>
        </w:tc>
        <w:tc>
          <w:tcPr>
            <w:tcW w:w="260" w:type="dxa"/>
            <w:vAlign w:val="bottom"/>
            <w:tcBorders>
              <w:bottom w:val="single" w:sz="8" w:color="E5F1F8"/>
            </w:tcBorders>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w:t>
            </w:r>
          </w:p>
        </w:tc>
        <w:tc>
          <w:tcPr>
            <w:tcW w:w="820" w:type="dxa"/>
            <w:vAlign w:val="bottom"/>
            <w:tcBorders>
              <w:bottom w:val="single" w:sz="8" w:color="E5F1F8"/>
            </w:tcBorders>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5.9</w:t>
            </w:r>
          </w:p>
        </w:tc>
        <w:tc>
          <w:tcPr>
            <w:tcW w:w="100" w:type="dxa"/>
            <w:vAlign w:val="bottom"/>
            <w:tcBorders>
              <w:bottom w:val="single" w:sz="8" w:color="E5F1F8"/>
            </w:tcBorders>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760" w:type="dxa"/>
            <w:vAlign w:val="bottom"/>
            <w:tcBorders>
              <w:right w:val="single" w:sz="8" w:color="007CBA"/>
            </w:tcBorders>
          </w:tcPr>
          <w:p>
            <w:pPr>
              <w:ind w:left="120"/>
              <w:spacing w:after="0" w:line="193" w:lineRule="exact"/>
              <w:rPr>
                <w:sz w:val="20"/>
                <w:szCs w:val="20"/>
                <w:color w:val="auto"/>
              </w:rPr>
            </w:pPr>
            <w:r>
              <w:rPr>
                <w:rFonts w:ascii="Calibri" w:cs="Calibri" w:eastAsia="Calibri" w:hAnsi="Calibri"/>
                <w:sz w:val="16"/>
                <w:szCs w:val="16"/>
                <w:color w:val="auto"/>
              </w:rPr>
              <w:t>Allowance for estmated credit losses on</w:t>
            </w:r>
          </w:p>
        </w:tc>
        <w:tc>
          <w:tcPr>
            <w:tcW w:w="280" w:type="dxa"/>
            <w:vAlign w:val="bottom"/>
          </w:tcPr>
          <w:p>
            <w:pPr>
              <w:spacing w:after="0"/>
              <w:rPr>
                <w:sz w:val="16"/>
                <w:szCs w:val="16"/>
                <w:color w:val="auto"/>
              </w:rPr>
            </w:pPr>
          </w:p>
        </w:tc>
        <w:tc>
          <w:tcPr>
            <w:tcW w:w="980" w:type="dxa"/>
            <w:vAlign w:val="bottom"/>
            <w:tcBorders>
              <w:right w:val="single" w:sz="8" w:color="007CBA"/>
            </w:tcBorders>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Borders>
              <w:right w:val="single" w:sz="8" w:color="007CBA"/>
            </w:tcBorders>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Borders>
              <w:right w:val="single" w:sz="8" w:color="007CBA"/>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Borders>
              <w:right w:val="single" w:sz="8" w:color="007CBA"/>
            </w:tcBorders>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4760" w:type="dxa"/>
            <w:vAlign w:val="bottom"/>
            <w:tcBorders>
              <w:right w:val="single" w:sz="8" w:color="007CBA"/>
            </w:tcBorders>
          </w:tcPr>
          <w:p>
            <w:pPr>
              <w:ind w:left="220"/>
              <w:spacing w:after="0"/>
              <w:rPr>
                <w:sz w:val="20"/>
                <w:szCs w:val="20"/>
                <w:color w:val="auto"/>
              </w:rPr>
            </w:pPr>
            <w:r>
              <w:rPr>
                <w:rFonts w:ascii="Calibri" w:cs="Calibri" w:eastAsia="Calibri" w:hAnsi="Calibri"/>
                <w:sz w:val="16"/>
                <w:szCs w:val="16"/>
                <w:color w:val="auto"/>
              </w:rPr>
              <w:t>notes receivable</w:t>
            </w:r>
          </w:p>
        </w:tc>
        <w:tc>
          <w:tcPr>
            <w:tcW w:w="2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980" w:type="dxa"/>
            <w:vAlign w:val="bottom"/>
            <w:tcBorders>
              <w:right w:val="single" w:sz="8" w:color="007CBA"/>
            </w:tcBorders>
          </w:tcPr>
          <w:p>
            <w:pPr>
              <w:jc w:val="right"/>
              <w:ind w:right="63"/>
              <w:spacing w:after="0"/>
              <w:rPr>
                <w:sz w:val="20"/>
                <w:szCs w:val="20"/>
                <w:color w:val="auto"/>
              </w:rPr>
            </w:pPr>
            <w:r>
              <w:rPr>
                <w:rFonts w:ascii="Calibri" w:cs="Calibri" w:eastAsia="Calibri" w:hAnsi="Calibri"/>
                <w:sz w:val="16"/>
                <w:szCs w:val="16"/>
                <w:color w:val="auto"/>
              </w:rPr>
              <w:t>—</w:t>
            </w:r>
          </w:p>
        </w:tc>
        <w:tc>
          <w:tcPr>
            <w:tcW w:w="2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940" w:type="dxa"/>
            <w:vAlign w:val="bottom"/>
            <w:tcBorders>
              <w:right w:val="single" w:sz="8" w:color="007CBA"/>
            </w:tcBorders>
          </w:tcPr>
          <w:p>
            <w:pPr>
              <w:jc w:val="right"/>
              <w:ind w:right="63"/>
              <w:spacing w:after="0"/>
              <w:rPr>
                <w:sz w:val="20"/>
                <w:szCs w:val="20"/>
                <w:color w:val="auto"/>
              </w:rPr>
            </w:pPr>
            <w:r>
              <w:rPr>
                <w:rFonts w:ascii="Calibri" w:cs="Calibri" w:eastAsia="Calibri" w:hAnsi="Calibri"/>
                <w:sz w:val="16"/>
                <w:szCs w:val="16"/>
                <w:color w:val="auto"/>
              </w:rPr>
              <w:t>0.4</w:t>
            </w:r>
          </w:p>
        </w:tc>
        <w:tc>
          <w:tcPr>
            <w:tcW w:w="300" w:type="dxa"/>
            <w:vAlign w:val="bottom"/>
          </w:tcPr>
          <w:p>
            <w:pPr>
              <w:ind w:left="120"/>
              <w:spacing w:after="0"/>
              <w:rPr>
                <w:sz w:val="20"/>
                <w:szCs w:val="20"/>
                <w:color w:val="auto"/>
              </w:rPr>
            </w:pPr>
            <w:r>
              <w:rPr>
                <w:rFonts w:ascii="Calibri" w:cs="Calibri" w:eastAsia="Calibri" w:hAnsi="Calibri"/>
                <w:sz w:val="16"/>
                <w:szCs w:val="16"/>
                <w:color w:val="auto"/>
              </w:rPr>
              <w:t>$</w:t>
            </w:r>
          </w:p>
        </w:tc>
        <w:tc>
          <w:tcPr>
            <w:tcW w:w="1080" w:type="dxa"/>
            <w:vAlign w:val="bottom"/>
            <w:tcBorders>
              <w:right w:val="single" w:sz="8" w:color="007CBA"/>
            </w:tcBorders>
          </w:tcPr>
          <w:p>
            <w:pPr>
              <w:jc w:val="right"/>
              <w:ind w:right="245"/>
              <w:spacing w:after="0"/>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Calibri" w:cs="Calibri" w:eastAsia="Calibri" w:hAnsi="Calibri"/>
                <w:sz w:val="16"/>
                <w:szCs w:val="16"/>
                <w:color w:val="auto"/>
                <w:w w:val="97"/>
              </w:rPr>
              <w:t>$</w:t>
            </w:r>
          </w:p>
        </w:tc>
        <w:tc>
          <w:tcPr>
            <w:tcW w:w="840" w:type="dxa"/>
            <w:vAlign w:val="bottom"/>
          </w:tcPr>
          <w:p>
            <w:pPr>
              <w:jc w:val="right"/>
              <w:spacing w:after="0"/>
              <w:rPr>
                <w:sz w:val="20"/>
                <w:szCs w:val="20"/>
                <w:color w:val="auto"/>
              </w:rPr>
            </w:pPr>
            <w:r>
              <w:rPr>
                <w:rFonts w:ascii="Calibri" w:cs="Calibri" w:eastAsia="Calibri" w:hAnsi="Calibri"/>
                <w:sz w:val="16"/>
                <w:szCs w:val="16"/>
                <w:color w:val="auto"/>
              </w:rPr>
              <w:t>—</w:t>
            </w:r>
          </w:p>
        </w:tc>
        <w:tc>
          <w:tcPr>
            <w:tcW w:w="360" w:type="dxa"/>
            <w:vAlign w:val="bottom"/>
            <w:tcBorders>
              <w:right w:val="single" w:sz="8" w:color="007CBA"/>
            </w:tcBorders>
          </w:tcPr>
          <w:p>
            <w:pPr>
              <w:ind w:left="120"/>
              <w:spacing w:after="0"/>
              <w:rPr>
                <w:sz w:val="20"/>
                <w:szCs w:val="20"/>
                <w:color w:val="auto"/>
              </w:rPr>
            </w:pPr>
            <w:r>
              <w:rPr>
                <w:rFonts w:ascii="Calibri" w:cs="Calibri" w:eastAsia="Calibri" w:hAnsi="Calibri"/>
                <w:sz w:val="11"/>
                <w:szCs w:val="11"/>
                <w:color w:val="auto"/>
              </w:rPr>
              <w:t>(c)</w:t>
            </w:r>
          </w:p>
        </w:tc>
        <w:tc>
          <w:tcPr>
            <w:tcW w:w="260" w:type="dxa"/>
            <w:vAlign w:val="bottom"/>
          </w:tcPr>
          <w:p>
            <w:pPr>
              <w:jc w:val="right"/>
              <w:spacing w:after="0"/>
              <w:rPr>
                <w:sz w:val="20"/>
                <w:szCs w:val="20"/>
                <w:color w:val="auto"/>
              </w:rPr>
            </w:pPr>
            <w:r>
              <w:rPr>
                <w:rFonts w:ascii="Calibri" w:cs="Calibri" w:eastAsia="Calibri" w:hAnsi="Calibri"/>
                <w:sz w:val="16"/>
                <w:szCs w:val="16"/>
                <w:color w:val="auto"/>
              </w:rPr>
              <w:t>$</w:t>
            </w:r>
          </w:p>
        </w:tc>
        <w:tc>
          <w:tcPr>
            <w:tcW w:w="820" w:type="dxa"/>
            <w:vAlign w:val="bottom"/>
          </w:tcPr>
          <w:p>
            <w:pPr>
              <w:jc w:val="right"/>
              <w:spacing w:after="0"/>
              <w:rPr>
                <w:sz w:val="20"/>
                <w:szCs w:val="20"/>
                <w:color w:val="auto"/>
              </w:rPr>
            </w:pPr>
            <w:r>
              <w:rPr>
                <w:rFonts w:ascii="Calibri" w:cs="Calibri" w:eastAsia="Calibri" w:hAnsi="Calibri"/>
                <w:sz w:val="16"/>
                <w:szCs w:val="16"/>
                <w:color w:val="auto"/>
              </w:rPr>
              <w:t>0.4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4760" w:type="dxa"/>
            <w:vAlign w:val="bottom"/>
            <w:tcBorders>
              <w:top w:val="single" w:sz="8" w:color="E5F1F8"/>
              <w:bottom w:val="single" w:sz="8" w:color="E5F1F8"/>
              <w:right w:val="single" w:sz="8" w:color="E5F1F8"/>
            </w:tcBorders>
            <w:shd w:val="clear" w:color="auto" w:fill="E5F1F8"/>
          </w:tcPr>
          <w:p>
            <w:pPr>
              <w:ind w:left="120"/>
              <w:spacing w:after="0" w:line="141" w:lineRule="exact"/>
              <w:rPr>
                <w:sz w:val="20"/>
                <w:szCs w:val="20"/>
                <w:color w:val="auto"/>
              </w:rPr>
            </w:pPr>
            <w:r>
              <w:rPr>
                <w:rFonts w:ascii="Calibri" w:cs="Calibri" w:eastAsia="Calibri" w:hAnsi="Calibri"/>
                <w:sz w:val="15"/>
                <w:szCs w:val="15"/>
                <w:color w:val="auto"/>
              </w:rPr>
              <w:t>Inventory valuaton allowance</w:t>
            </w:r>
          </w:p>
        </w:tc>
        <w:tc>
          <w:tcPr>
            <w:tcW w:w="280" w:type="dxa"/>
            <w:vAlign w:val="bottom"/>
            <w:tcBorders>
              <w:top w:val="single" w:sz="8" w:color="E5F1F8"/>
              <w:bottom w:val="single" w:sz="8" w:color="E5F1F8"/>
            </w:tcBorders>
            <w:shd w:val="clear" w:color="auto" w:fill="E5F1F8"/>
          </w:tcPr>
          <w:p>
            <w:pPr>
              <w:jc w:val="right"/>
              <w:spacing w:after="0" w:line="141" w:lineRule="exact"/>
              <w:rPr>
                <w:sz w:val="20"/>
                <w:szCs w:val="20"/>
                <w:color w:val="auto"/>
              </w:rPr>
            </w:pPr>
            <w:r>
              <w:rPr>
                <w:rFonts w:ascii="Calibri" w:cs="Calibri" w:eastAsia="Calibri" w:hAnsi="Calibri"/>
                <w:sz w:val="15"/>
                <w:szCs w:val="15"/>
                <w:color w:val="auto"/>
              </w:rPr>
              <w:t>$</w:t>
            </w:r>
          </w:p>
        </w:tc>
        <w:tc>
          <w:tcPr>
            <w:tcW w:w="980" w:type="dxa"/>
            <w:vAlign w:val="bottom"/>
            <w:tcBorders>
              <w:top w:val="single" w:sz="8" w:color="E5F1F8"/>
              <w:bottom w:val="single" w:sz="8" w:color="E5F1F8"/>
              <w:right w:val="single" w:sz="8" w:color="E5F1F8"/>
            </w:tcBorders>
            <w:shd w:val="clear" w:color="auto" w:fill="E5F1F8"/>
          </w:tcPr>
          <w:p>
            <w:pPr>
              <w:jc w:val="right"/>
              <w:ind w:right="63"/>
              <w:spacing w:after="0" w:line="141" w:lineRule="exact"/>
              <w:rPr>
                <w:sz w:val="20"/>
                <w:szCs w:val="20"/>
                <w:color w:val="auto"/>
              </w:rPr>
            </w:pPr>
            <w:r>
              <w:rPr>
                <w:rFonts w:ascii="Calibri" w:cs="Calibri" w:eastAsia="Calibri" w:hAnsi="Calibri"/>
                <w:sz w:val="15"/>
                <w:szCs w:val="15"/>
                <w:color w:val="auto"/>
              </w:rPr>
              <w:t>168.6</w:t>
            </w:r>
          </w:p>
        </w:tc>
        <w:tc>
          <w:tcPr>
            <w:tcW w:w="280" w:type="dxa"/>
            <w:vAlign w:val="bottom"/>
            <w:tcBorders>
              <w:top w:val="single" w:sz="8" w:color="E5F1F8"/>
              <w:bottom w:val="single" w:sz="8" w:color="E5F1F8"/>
            </w:tcBorders>
            <w:shd w:val="clear" w:color="auto" w:fill="E5F1F8"/>
          </w:tcPr>
          <w:p>
            <w:pPr>
              <w:jc w:val="right"/>
              <w:spacing w:after="0" w:line="141" w:lineRule="exact"/>
              <w:rPr>
                <w:sz w:val="20"/>
                <w:szCs w:val="20"/>
                <w:color w:val="auto"/>
              </w:rPr>
            </w:pPr>
            <w:r>
              <w:rPr>
                <w:rFonts w:ascii="Calibri" w:cs="Calibri" w:eastAsia="Calibri" w:hAnsi="Calibri"/>
                <w:sz w:val="15"/>
                <w:szCs w:val="15"/>
                <w:color w:val="auto"/>
              </w:rPr>
              <w:t>$</w:t>
            </w:r>
          </w:p>
        </w:tc>
        <w:tc>
          <w:tcPr>
            <w:tcW w:w="940" w:type="dxa"/>
            <w:vAlign w:val="bottom"/>
            <w:tcBorders>
              <w:top w:val="single" w:sz="8" w:color="E5F1F8"/>
              <w:bottom w:val="single" w:sz="8" w:color="E5F1F8"/>
              <w:right w:val="single" w:sz="8" w:color="E5F1F8"/>
            </w:tcBorders>
            <w:shd w:val="clear" w:color="auto" w:fill="E5F1F8"/>
          </w:tcPr>
          <w:p>
            <w:pPr>
              <w:jc w:val="right"/>
              <w:ind w:right="63"/>
              <w:spacing w:after="0" w:line="141" w:lineRule="exact"/>
              <w:rPr>
                <w:sz w:val="20"/>
                <w:szCs w:val="20"/>
                <w:color w:val="auto"/>
              </w:rPr>
            </w:pPr>
            <w:r>
              <w:rPr>
                <w:rFonts w:ascii="Calibri" w:cs="Calibri" w:eastAsia="Calibri" w:hAnsi="Calibri"/>
                <w:sz w:val="15"/>
                <w:szCs w:val="15"/>
                <w:color w:val="auto"/>
              </w:rPr>
              <w:t>51.3</w:t>
            </w:r>
          </w:p>
        </w:tc>
        <w:tc>
          <w:tcPr>
            <w:tcW w:w="300" w:type="dxa"/>
            <w:vAlign w:val="bottom"/>
            <w:tcBorders>
              <w:top w:val="single" w:sz="8" w:color="E5F1F8"/>
              <w:bottom w:val="single" w:sz="8" w:color="E5F1F8"/>
            </w:tcBorders>
            <w:shd w:val="clear" w:color="auto" w:fill="E5F1F8"/>
          </w:tcPr>
          <w:p>
            <w:pPr>
              <w:ind w:left="120"/>
              <w:spacing w:after="0" w:line="141" w:lineRule="exact"/>
              <w:rPr>
                <w:sz w:val="20"/>
                <w:szCs w:val="20"/>
                <w:color w:val="auto"/>
              </w:rPr>
            </w:pPr>
            <w:r>
              <w:rPr>
                <w:rFonts w:ascii="Calibri" w:cs="Calibri" w:eastAsia="Calibri" w:hAnsi="Calibri"/>
                <w:sz w:val="15"/>
                <w:szCs w:val="15"/>
                <w:color w:val="auto"/>
              </w:rPr>
              <w:t>$</w:t>
            </w:r>
          </w:p>
        </w:tc>
        <w:tc>
          <w:tcPr>
            <w:tcW w:w="1080" w:type="dxa"/>
            <w:vAlign w:val="bottom"/>
            <w:tcBorders>
              <w:top w:val="single" w:sz="8" w:color="E5F1F8"/>
              <w:bottom w:val="single" w:sz="8" w:color="E5F1F8"/>
              <w:right w:val="single" w:sz="8" w:color="E5F1F8"/>
            </w:tcBorders>
            <w:shd w:val="clear" w:color="auto" w:fill="E5F1F8"/>
          </w:tcPr>
          <w:p>
            <w:pPr>
              <w:jc w:val="right"/>
              <w:ind w:right="245"/>
              <w:spacing w:after="0" w:line="141" w:lineRule="exact"/>
              <w:rPr>
                <w:sz w:val="20"/>
                <w:szCs w:val="20"/>
                <w:color w:val="auto"/>
              </w:rPr>
            </w:pPr>
            <w:r>
              <w:rPr>
                <w:rFonts w:ascii="Calibri" w:cs="Calibri" w:eastAsia="Calibri" w:hAnsi="Calibri"/>
                <w:sz w:val="15"/>
                <w:szCs w:val="15"/>
                <w:color w:val="auto"/>
              </w:rPr>
              <w:t>—</w:t>
            </w:r>
          </w:p>
        </w:tc>
        <w:tc>
          <w:tcPr>
            <w:tcW w:w="120" w:type="dxa"/>
            <w:vAlign w:val="bottom"/>
          </w:tcPr>
          <w:p>
            <w:pPr>
              <w:spacing w:after="0"/>
              <w:rPr>
                <w:sz w:val="13"/>
                <w:szCs w:val="13"/>
                <w:color w:val="auto"/>
              </w:rPr>
            </w:pPr>
          </w:p>
        </w:tc>
        <w:tc>
          <w:tcPr>
            <w:tcW w:w="120" w:type="dxa"/>
            <w:vAlign w:val="bottom"/>
          </w:tcPr>
          <w:p>
            <w:pPr>
              <w:jc w:val="right"/>
              <w:spacing w:after="0" w:line="141" w:lineRule="exact"/>
              <w:rPr>
                <w:sz w:val="20"/>
                <w:szCs w:val="20"/>
                <w:color w:val="auto"/>
              </w:rPr>
            </w:pPr>
            <w:r>
              <w:rPr>
                <w:rFonts w:ascii="Calibri" w:cs="Calibri" w:eastAsia="Calibri" w:hAnsi="Calibri"/>
                <w:sz w:val="15"/>
                <w:szCs w:val="15"/>
                <w:color w:val="auto"/>
              </w:rPr>
              <w:t>$</w:t>
            </w:r>
          </w:p>
        </w:tc>
        <w:tc>
          <w:tcPr>
            <w:tcW w:w="840" w:type="dxa"/>
            <w:vAlign w:val="bottom"/>
          </w:tcPr>
          <w:p>
            <w:pPr>
              <w:jc w:val="right"/>
              <w:spacing w:after="0" w:line="141" w:lineRule="exact"/>
              <w:rPr>
                <w:sz w:val="20"/>
                <w:szCs w:val="20"/>
                <w:color w:val="auto"/>
              </w:rPr>
            </w:pPr>
            <w:r>
              <w:rPr>
                <w:rFonts w:ascii="Calibri" w:cs="Calibri" w:eastAsia="Calibri" w:hAnsi="Calibri"/>
                <w:sz w:val="15"/>
                <w:szCs w:val="15"/>
                <w:color w:val="auto"/>
              </w:rPr>
              <w:t>39.6</w:t>
            </w:r>
          </w:p>
        </w:tc>
        <w:tc>
          <w:tcPr>
            <w:tcW w:w="360" w:type="dxa"/>
            <w:vAlign w:val="bottom"/>
          </w:tcPr>
          <w:p>
            <w:pPr>
              <w:spacing w:after="0"/>
              <w:rPr>
                <w:sz w:val="13"/>
                <w:szCs w:val="13"/>
                <w:color w:val="auto"/>
              </w:rPr>
            </w:pPr>
          </w:p>
        </w:tc>
        <w:tc>
          <w:tcPr>
            <w:tcW w:w="260" w:type="dxa"/>
            <w:vAlign w:val="bottom"/>
            <w:tcBorders>
              <w:top w:val="single" w:sz="8" w:color="E5F1F8"/>
              <w:bottom w:val="single" w:sz="8" w:color="E5F1F8"/>
            </w:tcBorders>
            <w:shd w:val="clear" w:color="auto" w:fill="E5F1F8"/>
          </w:tcPr>
          <w:p>
            <w:pPr>
              <w:jc w:val="right"/>
              <w:spacing w:after="0" w:line="141" w:lineRule="exact"/>
              <w:rPr>
                <w:sz w:val="20"/>
                <w:szCs w:val="20"/>
                <w:color w:val="auto"/>
              </w:rPr>
            </w:pPr>
            <w:r>
              <w:rPr>
                <w:rFonts w:ascii="Calibri" w:cs="Calibri" w:eastAsia="Calibri" w:hAnsi="Calibri"/>
                <w:sz w:val="15"/>
                <w:szCs w:val="15"/>
                <w:color w:val="auto"/>
              </w:rPr>
              <w:t>$</w:t>
            </w:r>
          </w:p>
        </w:tc>
        <w:tc>
          <w:tcPr>
            <w:tcW w:w="820" w:type="dxa"/>
            <w:vAlign w:val="bottom"/>
            <w:tcBorders>
              <w:top w:val="single" w:sz="8" w:color="E5F1F8"/>
              <w:bottom w:val="single" w:sz="8" w:color="E5F1F8"/>
            </w:tcBorders>
            <w:shd w:val="clear" w:color="auto" w:fill="E5F1F8"/>
          </w:tcPr>
          <w:p>
            <w:pPr>
              <w:jc w:val="right"/>
              <w:spacing w:after="0" w:line="141" w:lineRule="exact"/>
              <w:rPr>
                <w:sz w:val="20"/>
                <w:szCs w:val="20"/>
                <w:color w:val="auto"/>
              </w:rPr>
            </w:pPr>
            <w:r>
              <w:rPr>
                <w:rFonts w:ascii="Calibri" w:cs="Calibri" w:eastAsia="Calibri" w:hAnsi="Calibri"/>
                <w:sz w:val="15"/>
                <w:szCs w:val="15"/>
                <w:color w:val="auto"/>
              </w:rPr>
              <w:t>180.3</w:t>
            </w:r>
          </w:p>
        </w:tc>
        <w:tc>
          <w:tcPr>
            <w:tcW w:w="100" w:type="dxa"/>
            <w:vAlign w:val="bottom"/>
            <w:tcBorders>
              <w:top w:val="single" w:sz="8" w:color="E5F1F8"/>
              <w:bottom w:val="single" w:sz="8" w:color="E5F1F8"/>
            </w:tcBorders>
            <w:shd w:val="clear" w:color="auto" w:fill="E5F1F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-3291205</wp:posOffset>
            </wp:positionV>
            <wp:extent cx="713232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-3154045</wp:posOffset>
            </wp:positionV>
            <wp:extent cx="156845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42">
                      <a:extLst>
                        <a:ext uri="{28A0092B-C50C-407E-A947-70E740481C1C}"/>
                      </a:extLst>
                    </a:blip>
                    <a:srcRect/>
                    <a:stretch>
                      <a:fillRect/>
                    </a:stretch>
                  </pic:blipFill>
                  <pic:spPr bwMode="auto">
                    <a:xfrm>
                      <a:off x="0" y="0"/>
                      <a:ext cx="15684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-2571115</wp:posOffset>
            </wp:positionV>
            <wp:extent cx="713232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4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-1868170</wp:posOffset>
            </wp:positionV>
            <wp:extent cx="7132320" cy="14541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-1576705</wp:posOffset>
            </wp:positionV>
            <wp:extent cx="7132320" cy="14605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-1285240</wp:posOffset>
            </wp:positionV>
            <wp:extent cx="7132320" cy="27432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4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-166370</wp:posOffset>
            </wp:positionV>
            <wp:extent cx="34290" cy="17970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47">
                      <a:extLst>
                        <a:ext uri="{28A0092B-C50C-407E-A947-70E740481C1C}"/>
                      </a:extLst>
                    </a:blip>
                    <a:srcRect/>
                    <a:stretch>
                      <a:fillRect/>
                    </a:stretch>
                  </pic:blipFill>
                  <pic:spPr bwMode="auto">
                    <a:xfrm>
                      <a:off x="0" y="0"/>
                      <a:ext cx="34290" cy="179705"/>
                    </a:xfrm>
                    <a:prstGeom prst="rect">
                      <a:avLst/>
                    </a:prstGeom>
                    <a:noFill/>
                  </pic:spPr>
                </pic:pic>
              </a:graphicData>
            </a:graphic>
          </wp:anchor>
        </w:drawing>
        <w:drawing>
          <wp:anchor simplePos="0" relativeHeight="251657728" behindDoc="1" locked="0" layoutInCell="0" allowOverlap="1">
            <wp:simplePos x="0" y="0"/>
            <wp:positionH relativeFrom="column">
              <wp:posOffset>3798570</wp:posOffset>
            </wp:positionH>
            <wp:positionV relativeFrom="paragraph">
              <wp:posOffset>-166370</wp:posOffset>
            </wp:positionV>
            <wp:extent cx="33655" cy="17970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48">
                      <a:extLst>
                        <a:ext uri="{28A0092B-C50C-407E-A947-70E740481C1C}"/>
                      </a:extLst>
                    </a:blip>
                    <a:srcRect/>
                    <a:stretch>
                      <a:fillRect/>
                    </a:stretch>
                  </pic:blipFill>
                  <pic:spPr bwMode="auto">
                    <a:xfrm>
                      <a:off x="0" y="0"/>
                      <a:ext cx="33655" cy="179705"/>
                    </a:xfrm>
                    <a:prstGeom prst="rect">
                      <a:avLst/>
                    </a:prstGeom>
                    <a:noFill/>
                  </pic:spPr>
                </pic:pic>
              </a:graphicData>
            </a:graphic>
          </wp:anchor>
        </w:drawing>
        <w:drawing>
          <wp:anchor simplePos="0" relativeHeight="251657728" behindDoc="1" locked="0" layoutInCell="0" allowOverlap="1">
            <wp:simplePos x="0" y="0"/>
            <wp:positionH relativeFrom="column">
              <wp:posOffset>4570095</wp:posOffset>
            </wp:positionH>
            <wp:positionV relativeFrom="paragraph">
              <wp:posOffset>-166370</wp:posOffset>
            </wp:positionV>
            <wp:extent cx="34290" cy="17970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49">
                      <a:extLst>
                        <a:ext uri="{28A0092B-C50C-407E-A947-70E740481C1C}"/>
                      </a:extLst>
                    </a:blip>
                    <a:srcRect/>
                    <a:stretch>
                      <a:fillRect/>
                    </a:stretch>
                  </pic:blipFill>
                  <pic:spPr bwMode="auto">
                    <a:xfrm>
                      <a:off x="0" y="0"/>
                      <a:ext cx="34290" cy="179705"/>
                    </a:xfrm>
                    <a:prstGeom prst="rect">
                      <a:avLst/>
                    </a:prstGeom>
                    <a:noFill/>
                  </pic:spPr>
                </pic:pic>
              </a:graphicData>
            </a:graphic>
          </wp:anchor>
        </w:drawing>
        <w:drawing>
          <wp:anchor simplePos="0" relativeHeight="251657728" behindDoc="1" locked="0" layoutInCell="0" allowOverlap="1">
            <wp:simplePos x="0" y="0"/>
            <wp:positionH relativeFrom="column">
              <wp:posOffset>5452745</wp:posOffset>
            </wp:positionH>
            <wp:positionV relativeFrom="paragraph">
              <wp:posOffset>-166370</wp:posOffset>
            </wp:positionV>
            <wp:extent cx="942340" cy="17970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50">
                      <a:extLst>
                        <a:ext uri="{28A0092B-C50C-407E-A947-70E740481C1C}"/>
                      </a:extLst>
                    </a:blip>
                    <a:srcRect/>
                    <a:stretch>
                      <a:fillRect/>
                    </a:stretch>
                  </pic:blipFill>
                  <pic:spPr bwMode="auto">
                    <a:xfrm>
                      <a:off x="0" y="0"/>
                      <a:ext cx="942340" cy="179705"/>
                    </a:xfrm>
                    <a:prstGeom prst="rect">
                      <a:avLst/>
                    </a:prstGeom>
                    <a:noFill/>
                  </pic:spPr>
                </pic:pic>
              </a:graphicData>
            </a:graphic>
          </wp:anchor>
        </w:drawing>
      </w:r>
    </w:p>
    <w:p>
      <w:pPr>
        <w:spacing w:after="0" w:line="12" w:lineRule="exact"/>
        <w:rPr>
          <w:sz w:val="20"/>
          <w:szCs w:val="20"/>
          <w:color w:val="auto"/>
        </w:rPr>
      </w:pPr>
    </w:p>
    <w:p>
      <w:pPr>
        <w:ind w:left="1080" w:hanging="532"/>
        <w:spacing w:after="0"/>
        <w:tabs>
          <w:tab w:leader="none" w:pos="1080" w:val="left"/>
        </w:tabs>
        <w:numPr>
          <w:ilvl w:val="0"/>
          <w:numId w:val="34"/>
        </w:numPr>
        <w:rPr>
          <w:rFonts w:ascii="Calibri" w:cs="Calibri" w:eastAsia="Calibri" w:hAnsi="Calibri"/>
          <w:sz w:val="19"/>
          <w:szCs w:val="19"/>
          <w:color w:val="auto"/>
          <w:vertAlign w:val="superscript"/>
        </w:rPr>
      </w:pPr>
      <w:r>
        <w:rPr>
          <w:rFonts w:ascii="Calibri" w:cs="Calibri" w:eastAsia="Calibri" w:hAnsi="Calibri"/>
          <w:sz w:val="14"/>
          <w:szCs w:val="14"/>
          <w:color w:val="auto"/>
        </w:rPr>
        <w:t>Change in estmates</w:t>
      </w:r>
    </w:p>
    <w:p>
      <w:pPr>
        <w:spacing w:after="0" w:line="58" w:lineRule="exact"/>
        <w:rPr>
          <w:rFonts w:ascii="Calibri" w:cs="Calibri" w:eastAsia="Calibri" w:hAnsi="Calibri"/>
          <w:sz w:val="19"/>
          <w:szCs w:val="19"/>
          <w:color w:val="auto"/>
          <w:vertAlign w:val="superscript"/>
        </w:rPr>
      </w:pPr>
    </w:p>
    <w:p>
      <w:pPr>
        <w:ind w:left="1080" w:hanging="532"/>
        <w:spacing w:after="0" w:line="232" w:lineRule="auto"/>
        <w:tabs>
          <w:tab w:leader="none" w:pos="1080" w:val="left"/>
        </w:tabs>
        <w:numPr>
          <w:ilvl w:val="0"/>
          <w:numId w:val="34"/>
        </w:numPr>
        <w:rPr>
          <w:rFonts w:ascii="Calibri" w:cs="Calibri" w:eastAsia="Calibri" w:hAnsi="Calibri"/>
          <w:sz w:val="19"/>
          <w:szCs w:val="19"/>
          <w:color w:val="auto"/>
          <w:vertAlign w:val="superscript"/>
        </w:rPr>
      </w:pPr>
      <w:r>
        <w:rPr>
          <w:rFonts w:ascii="Calibri" w:cs="Calibri" w:eastAsia="Calibri" w:hAnsi="Calibri"/>
          <w:sz w:val="14"/>
          <w:szCs w:val="14"/>
          <w:color w:val="auto"/>
        </w:rPr>
        <w:t>Applicaton of reserve policy to acquired inventories/customer receivables</w:t>
      </w:r>
    </w:p>
    <w:p>
      <w:pPr>
        <w:spacing w:after="0" w:line="59" w:lineRule="exact"/>
        <w:rPr>
          <w:rFonts w:ascii="Calibri" w:cs="Calibri" w:eastAsia="Calibri" w:hAnsi="Calibri"/>
          <w:sz w:val="19"/>
          <w:szCs w:val="19"/>
          <w:color w:val="auto"/>
          <w:vertAlign w:val="superscript"/>
        </w:rPr>
      </w:pPr>
    </w:p>
    <w:p>
      <w:pPr>
        <w:ind w:left="1080" w:hanging="532"/>
        <w:spacing w:after="0" w:line="232" w:lineRule="auto"/>
        <w:tabs>
          <w:tab w:leader="none" w:pos="1080" w:val="left"/>
        </w:tabs>
        <w:numPr>
          <w:ilvl w:val="0"/>
          <w:numId w:val="34"/>
        </w:numPr>
        <w:rPr>
          <w:rFonts w:ascii="Calibri" w:cs="Calibri" w:eastAsia="Calibri" w:hAnsi="Calibri"/>
          <w:sz w:val="19"/>
          <w:szCs w:val="19"/>
          <w:color w:val="auto"/>
          <w:vertAlign w:val="superscript"/>
        </w:rPr>
      </w:pPr>
      <w:r>
        <w:rPr>
          <w:rFonts w:ascii="Calibri" w:cs="Calibri" w:eastAsia="Calibri" w:hAnsi="Calibri"/>
          <w:sz w:val="14"/>
          <w:szCs w:val="14"/>
          <w:color w:val="auto"/>
        </w:rPr>
        <w:t>Sale of reserved inventory and divesttures</w:t>
      </w:r>
    </w:p>
    <w:p>
      <w:pPr>
        <w:spacing w:after="0" w:line="210"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16 – FORM 10-K SUMMARY</w:t>
      </w:r>
    </w:p>
    <w:p>
      <w:pPr>
        <w:spacing w:after="0" w:line="6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Company has chosen not to include an optonal summary of the informaton required by this Form 10-K. For a reference to the informaton in this Form 10-K, investors should refer to the Table of Contents to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92710</wp:posOffset>
            </wp:positionV>
            <wp:extent cx="325755" cy="19685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51">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23"/>
          <w:szCs w:val="23"/>
          <w:color w:val="0070C0"/>
        </w:rPr>
        <w:t xml:space="preserve">♦ </w:t>
      </w:r>
      <w:r>
        <w:rPr>
          <w:rFonts w:ascii="Calibri" w:cs="Calibri" w:eastAsia="Calibri" w:hAnsi="Calibri"/>
          <w:sz w:val="17"/>
          <w:szCs w:val="17"/>
          <w:color w:val="000000"/>
        </w:rPr>
        <w:t>Signatures</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SIGNATURES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Pursuant to the requirements of Secton 13 or 15(d) of the Securites Exchange Act of 1934, the registrant has duly caused this report to be signed on its behalf by the undersigned, thereunto duly authorized.</w:t>
      </w:r>
    </w:p>
    <w:p>
      <w:pPr>
        <w:spacing w:after="0" w:line="226" w:lineRule="exact"/>
        <w:rPr>
          <w:sz w:val="20"/>
          <w:szCs w:val="20"/>
          <w:color w:val="auto"/>
        </w:rPr>
      </w:pPr>
    </w:p>
    <w:p>
      <w:pPr>
        <w:ind w:left="6200"/>
        <w:spacing w:after="0"/>
        <w:rPr>
          <w:sz w:val="20"/>
          <w:szCs w:val="20"/>
          <w:color w:val="auto"/>
        </w:rPr>
      </w:pPr>
      <w:r>
        <w:rPr>
          <w:rFonts w:ascii="Calibri" w:cs="Calibri" w:eastAsia="Calibri" w:hAnsi="Calibri"/>
          <w:sz w:val="18"/>
          <w:szCs w:val="18"/>
          <w:color w:val="auto"/>
        </w:rPr>
        <w:t>MARTIN MARIETTA MATERIALS, INC.</w:t>
      </w:r>
    </w:p>
    <w:p>
      <w:pPr>
        <w:spacing w:after="0" w:line="266" w:lineRule="exact"/>
        <w:rPr>
          <w:sz w:val="20"/>
          <w:szCs w:val="20"/>
          <w:color w:val="auto"/>
        </w:rPr>
      </w:pPr>
    </w:p>
    <w:p>
      <w:pPr>
        <w:ind w:left="6200"/>
        <w:spacing w:after="0"/>
        <w:tabs>
          <w:tab w:leader="none" w:pos="6640" w:val="left"/>
        </w:tabs>
        <w:rPr>
          <w:sz w:val="20"/>
          <w:szCs w:val="20"/>
          <w:color w:val="auto"/>
        </w:rPr>
      </w:pPr>
      <w:r>
        <w:rPr>
          <w:rFonts w:ascii="Calibri" w:cs="Calibri" w:eastAsia="Calibri" w:hAnsi="Calibri"/>
          <w:sz w:val="18"/>
          <w:szCs w:val="18"/>
          <w:color w:val="auto"/>
        </w:rPr>
        <w:t>By:</w:t>
        <w:tab/>
        <w:t>/s/ Roselyn R. 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23495</wp:posOffset>
            </wp:positionV>
            <wp:extent cx="291465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53">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7" w:lineRule="exact"/>
        <w:rPr>
          <w:sz w:val="20"/>
          <w:szCs w:val="20"/>
          <w:color w:val="auto"/>
        </w:rPr>
      </w:pPr>
    </w:p>
    <w:p>
      <w:pPr>
        <w:ind w:left="6660"/>
        <w:spacing w:after="0"/>
        <w:rPr>
          <w:sz w:val="20"/>
          <w:szCs w:val="20"/>
          <w:color w:val="auto"/>
        </w:rPr>
      </w:pPr>
      <w:r>
        <w:rPr>
          <w:rFonts w:ascii="Calibri" w:cs="Calibri" w:eastAsia="Calibri" w:hAnsi="Calibri"/>
          <w:sz w:val="18"/>
          <w:szCs w:val="18"/>
          <w:color w:val="auto"/>
        </w:rPr>
        <w:t>Roselyn R. Bar</w:t>
      </w:r>
    </w:p>
    <w:p>
      <w:pPr>
        <w:spacing w:after="0" w:line="23" w:lineRule="exact"/>
        <w:rPr>
          <w:sz w:val="20"/>
          <w:szCs w:val="20"/>
          <w:color w:val="auto"/>
        </w:rPr>
      </w:pPr>
    </w:p>
    <w:p>
      <w:pPr>
        <w:ind w:left="6660"/>
        <w:spacing w:after="0"/>
        <w:rPr>
          <w:sz w:val="20"/>
          <w:szCs w:val="20"/>
          <w:color w:val="auto"/>
        </w:rPr>
      </w:pPr>
      <w:r>
        <w:rPr>
          <w:rFonts w:ascii="Calibri" w:cs="Calibri" w:eastAsia="Calibri" w:hAnsi="Calibri"/>
          <w:sz w:val="18"/>
          <w:szCs w:val="18"/>
          <w:color w:val="auto"/>
        </w:rPr>
        <w:t>Executve Vice President, General Counsel and Corporate</w:t>
      </w:r>
    </w:p>
    <w:p>
      <w:pPr>
        <w:ind w:left="6660"/>
        <w:spacing w:after="0" w:line="235" w:lineRule="auto"/>
        <w:rPr>
          <w:sz w:val="20"/>
          <w:szCs w:val="20"/>
          <w:color w:val="auto"/>
        </w:rPr>
      </w:pPr>
      <w:r>
        <w:rPr>
          <w:rFonts w:ascii="Calibri" w:cs="Calibri" w:eastAsia="Calibri" w:hAnsi="Calibri"/>
          <w:sz w:val="18"/>
          <w:szCs w:val="18"/>
          <w:color w:val="auto"/>
        </w:rPr>
        <w:t>Secretary</w:t>
      </w:r>
    </w:p>
    <w:p>
      <w:pPr>
        <w:spacing w:after="0" w:line="227" w:lineRule="exact"/>
        <w:rPr>
          <w:sz w:val="20"/>
          <w:szCs w:val="20"/>
          <w:color w:val="auto"/>
        </w:rPr>
      </w:pPr>
    </w:p>
    <w:p>
      <w:pPr>
        <w:spacing w:after="0"/>
        <w:rPr>
          <w:sz w:val="20"/>
          <w:szCs w:val="20"/>
          <w:color w:val="auto"/>
        </w:rPr>
      </w:pPr>
      <w:r>
        <w:rPr>
          <w:rFonts w:ascii="Calibri" w:cs="Calibri" w:eastAsia="Calibri" w:hAnsi="Calibri"/>
          <w:sz w:val="18"/>
          <w:szCs w:val="18"/>
          <w:color w:val="auto"/>
        </w:rPr>
        <w:t>Dated: February 24, 2023</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POWER OF ATTORNEY</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KNOW ALL PERSONS BY THESE PRESENTS, that each person whose signature appears below appoints Roselyn R. Bar as her true and lawful atorney-in-fact, each with full power of substtuton and resubsttuton, for him or her and in his or her name, place and stead, in any and all capacites, to sign any and all amendments to this Annual Report on Form 10-K, and to fle the same, with all exhibits thereto, and other documents in connecton therewith, with the Securites and Exchange Commission, grantng unto said atorney-in-fact, full power and authority to do and perform each in connecton therewith, as fully to all intents and purposes as he or she might or could do in person, hereby ratfying and confrming all that said atorney-in-fact, or her substtute or substtutes, may lawfully do or cause to be done by virtue hereof.</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Pursuant to the requirements of the Securites and Exchange Act of 1934, this report has been signed by the following persons on behalf of the registrant and in the capacites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92710</wp:posOffset>
            </wp:positionV>
            <wp:extent cx="325755" cy="19685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54">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308"/>
        </w:trPr>
        <w:tc>
          <w:tcPr>
            <w:tcW w:w="45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680" w:type="dxa"/>
            <w:vAlign w:val="bottom"/>
          </w:tcPr>
          <w:p>
            <w:pPr>
              <w:ind w:left="1740"/>
              <w:spacing w:after="0"/>
              <w:rPr>
                <w:sz w:val="20"/>
                <w:szCs w:val="20"/>
                <w:color w:val="auto"/>
              </w:rPr>
            </w:pPr>
            <w:r>
              <w:rPr>
                <w:rFonts w:ascii="Arial" w:cs="Arial" w:eastAsia="Arial" w:hAnsi="Arial"/>
                <w:sz w:val="23"/>
                <w:szCs w:val="23"/>
                <w:color w:val="0070C0"/>
              </w:rPr>
              <w:t xml:space="preserve">♦ </w:t>
            </w:r>
            <w:r>
              <w:rPr>
                <w:rFonts w:ascii="Calibri" w:cs="Calibri" w:eastAsia="Calibri" w:hAnsi="Calibri"/>
                <w:sz w:val="17"/>
                <w:szCs w:val="17"/>
                <w:color w:val="000000"/>
              </w:rPr>
              <w:t>Signatures</w:t>
            </w:r>
          </w:p>
        </w:tc>
        <w:tc>
          <w:tcPr>
            <w:tcW w:w="0" w:type="dxa"/>
            <w:vAlign w:val="bottom"/>
          </w:tcPr>
          <w:p>
            <w:pPr>
              <w:spacing w:after="0"/>
              <w:rPr>
                <w:sz w:val="1"/>
                <w:szCs w:val="1"/>
                <w:color w:val="auto"/>
              </w:rPr>
            </w:pPr>
          </w:p>
        </w:tc>
      </w:tr>
      <w:tr>
        <w:trPr>
          <w:trHeight w:val="385"/>
        </w:trPr>
        <w:tc>
          <w:tcPr>
            <w:tcW w:w="45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500" w:type="dxa"/>
            <w:vAlign w:val="bottom"/>
            <w:shd w:val="clear" w:color="auto" w:fill="007CBA"/>
          </w:tcPr>
          <w:p>
            <w:pPr>
              <w:ind w:left="1920"/>
              <w:spacing w:after="0"/>
              <w:rPr>
                <w:sz w:val="20"/>
                <w:szCs w:val="20"/>
                <w:color w:val="auto"/>
              </w:rPr>
            </w:pPr>
            <w:r>
              <w:rPr>
                <w:rFonts w:ascii="Calibri" w:cs="Calibri" w:eastAsia="Calibri" w:hAnsi="Calibri"/>
                <w:sz w:val="18"/>
                <w:szCs w:val="18"/>
                <w:i w:val="1"/>
                <w:iCs w:val="1"/>
                <w:color w:val="FFFFFF"/>
              </w:rPr>
              <w:t>Signature</w:t>
            </w:r>
          </w:p>
        </w:tc>
        <w:tc>
          <w:tcPr>
            <w:tcW w:w="4060" w:type="dxa"/>
            <w:vAlign w:val="bottom"/>
            <w:shd w:val="clear" w:color="auto" w:fill="007CBA"/>
          </w:tcPr>
          <w:p>
            <w:pPr>
              <w:ind w:left="2220"/>
              <w:spacing w:after="0"/>
              <w:rPr>
                <w:sz w:val="20"/>
                <w:szCs w:val="20"/>
                <w:color w:val="auto"/>
              </w:rPr>
            </w:pPr>
            <w:r>
              <w:rPr>
                <w:rFonts w:ascii="Calibri" w:cs="Calibri" w:eastAsia="Calibri" w:hAnsi="Calibri"/>
                <w:sz w:val="18"/>
                <w:szCs w:val="18"/>
                <w:i w:val="1"/>
                <w:iCs w:val="1"/>
                <w:color w:val="FFFFFF"/>
              </w:rPr>
              <w:t>Title</w:t>
            </w:r>
          </w:p>
        </w:tc>
        <w:tc>
          <w:tcPr>
            <w:tcW w:w="2680" w:type="dxa"/>
            <w:vAlign w:val="bottom"/>
            <w:shd w:val="clear" w:color="auto" w:fill="007CBA"/>
          </w:tcPr>
          <w:p>
            <w:pPr>
              <w:jc w:val="center"/>
              <w:ind w:left="568"/>
              <w:spacing w:after="0"/>
              <w:rPr>
                <w:sz w:val="20"/>
                <w:szCs w:val="20"/>
                <w:color w:val="auto"/>
              </w:rPr>
            </w:pPr>
            <w:r>
              <w:rPr>
                <w:rFonts w:ascii="Calibri" w:cs="Calibri" w:eastAsia="Calibri" w:hAnsi="Calibri"/>
                <w:sz w:val="18"/>
                <w:szCs w:val="18"/>
                <w:i w:val="1"/>
                <w:iCs w:val="1"/>
                <w:color w:val="FFFFFF"/>
                <w:w w:val="97"/>
              </w:rPr>
              <w:t>Date</w:t>
            </w:r>
          </w:p>
        </w:tc>
        <w:tc>
          <w:tcPr>
            <w:tcW w:w="0" w:type="dxa"/>
            <w:vAlign w:val="bottom"/>
          </w:tcPr>
          <w:p>
            <w:pPr>
              <w:spacing w:after="0"/>
              <w:rPr>
                <w:sz w:val="1"/>
                <w:szCs w:val="1"/>
                <w:color w:val="auto"/>
              </w:rPr>
            </w:pPr>
          </w:p>
        </w:tc>
      </w:tr>
      <w:tr>
        <w:trPr>
          <w:trHeight w:val="213"/>
        </w:trPr>
        <w:tc>
          <w:tcPr>
            <w:tcW w:w="4500" w:type="dxa"/>
            <w:vAlign w:val="bottom"/>
            <w:shd w:val="clear" w:color="auto" w:fill="007CBA"/>
          </w:tcPr>
          <w:p>
            <w:pPr>
              <w:spacing w:after="0"/>
              <w:rPr>
                <w:sz w:val="18"/>
                <w:szCs w:val="18"/>
                <w:color w:val="auto"/>
              </w:rPr>
            </w:pPr>
          </w:p>
        </w:tc>
        <w:tc>
          <w:tcPr>
            <w:tcW w:w="4060" w:type="dxa"/>
            <w:vAlign w:val="bottom"/>
            <w:shd w:val="clear" w:color="auto" w:fill="007CBA"/>
          </w:tcPr>
          <w:p>
            <w:pPr>
              <w:spacing w:after="0"/>
              <w:rPr>
                <w:sz w:val="18"/>
                <w:szCs w:val="18"/>
                <w:color w:val="auto"/>
              </w:rPr>
            </w:pPr>
          </w:p>
        </w:tc>
        <w:tc>
          <w:tcPr>
            <w:tcW w:w="268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368"/>
        </w:trPr>
        <w:tc>
          <w:tcPr>
            <w:tcW w:w="4500" w:type="dxa"/>
            <w:vAlign w:val="bottom"/>
          </w:tcPr>
          <w:p>
            <w:pPr>
              <w:ind w:left="20"/>
              <w:spacing w:after="0"/>
              <w:rPr>
                <w:sz w:val="20"/>
                <w:szCs w:val="20"/>
                <w:color w:val="auto"/>
              </w:rPr>
            </w:pPr>
            <w:r>
              <w:rPr>
                <w:rFonts w:ascii="Calibri" w:cs="Calibri" w:eastAsia="Calibri" w:hAnsi="Calibri"/>
                <w:sz w:val="18"/>
                <w:szCs w:val="18"/>
                <w:color w:val="auto"/>
              </w:rPr>
              <w:t>/s/ C. Howard Nye</w:t>
            </w:r>
          </w:p>
        </w:tc>
        <w:tc>
          <w:tcPr>
            <w:tcW w:w="4060" w:type="dxa"/>
            <w:vAlign w:val="bottom"/>
          </w:tcPr>
          <w:p>
            <w:pPr>
              <w:ind w:left="140"/>
              <w:spacing w:after="0"/>
              <w:rPr>
                <w:sz w:val="20"/>
                <w:szCs w:val="20"/>
                <w:color w:val="auto"/>
              </w:rPr>
            </w:pPr>
            <w:r>
              <w:rPr>
                <w:rFonts w:ascii="Calibri" w:cs="Calibri" w:eastAsia="Calibri" w:hAnsi="Calibri"/>
                <w:sz w:val="18"/>
                <w:szCs w:val="18"/>
                <w:color w:val="auto"/>
              </w:rPr>
              <w:t>Chairman of the Board,</w:t>
            </w:r>
          </w:p>
        </w:tc>
        <w:tc>
          <w:tcPr>
            <w:tcW w:w="2680" w:type="dxa"/>
            <w:vAlign w:val="bottom"/>
          </w:tcPr>
          <w:p>
            <w:pPr>
              <w:jc w:val="center"/>
              <w:ind w:left="568"/>
              <w:spacing w:after="0"/>
              <w:rPr>
                <w:sz w:val="20"/>
                <w:szCs w:val="20"/>
                <w:color w:val="auto"/>
              </w:rPr>
            </w:pPr>
            <w:r>
              <w:rPr>
                <w:rFonts w:ascii="Calibri" w:cs="Calibri" w:eastAsia="Calibri" w:hAnsi="Calibri"/>
                <w:sz w:val="18"/>
                <w:szCs w:val="18"/>
                <w:color w:val="auto"/>
                <w:w w:val="97"/>
              </w:rPr>
              <w:t>February 24, 2023</w:t>
            </w:r>
          </w:p>
        </w:tc>
        <w:tc>
          <w:tcPr>
            <w:tcW w:w="0" w:type="dxa"/>
            <w:vAlign w:val="bottom"/>
          </w:tcPr>
          <w:p>
            <w:pPr>
              <w:spacing w:after="0"/>
              <w:rPr>
                <w:sz w:val="1"/>
                <w:szCs w:val="1"/>
                <w:color w:val="auto"/>
              </w:rPr>
            </w:pPr>
          </w:p>
        </w:tc>
      </w:tr>
      <w:tr>
        <w:trPr>
          <w:trHeight w:val="37"/>
        </w:trPr>
        <w:tc>
          <w:tcPr>
            <w:tcW w:w="4500" w:type="dxa"/>
            <w:vAlign w:val="bottom"/>
            <w:tcBorders>
              <w:bottom w:val="single" w:sz="8" w:color="auto"/>
            </w:tcBorders>
          </w:tcPr>
          <w:p>
            <w:pPr>
              <w:spacing w:after="0"/>
              <w:rPr>
                <w:sz w:val="3"/>
                <w:szCs w:val="3"/>
                <w:color w:val="auto"/>
              </w:rPr>
            </w:pPr>
          </w:p>
        </w:tc>
        <w:tc>
          <w:tcPr>
            <w:tcW w:w="4060" w:type="dxa"/>
            <w:vAlign w:val="bottom"/>
            <w:vMerge w:val="restart"/>
          </w:tcPr>
          <w:p>
            <w:pPr>
              <w:ind w:left="260"/>
              <w:spacing w:after="0"/>
              <w:rPr>
                <w:sz w:val="20"/>
                <w:szCs w:val="20"/>
                <w:color w:val="auto"/>
              </w:rPr>
            </w:pPr>
            <w:r>
              <w:rPr>
                <w:rFonts w:ascii="Calibri" w:cs="Calibri" w:eastAsia="Calibri" w:hAnsi="Calibri"/>
                <w:sz w:val="18"/>
                <w:szCs w:val="18"/>
                <w:color w:val="auto"/>
              </w:rPr>
              <w:t>President and Chief Executve Ofcer</w:t>
            </w:r>
          </w:p>
        </w:tc>
        <w:tc>
          <w:tcPr>
            <w:tcW w:w="2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20"/>
              <w:spacing w:after="0" w:line="208" w:lineRule="exact"/>
              <w:rPr>
                <w:sz w:val="20"/>
                <w:szCs w:val="20"/>
                <w:color w:val="auto"/>
              </w:rPr>
            </w:pPr>
            <w:r>
              <w:rPr>
                <w:rFonts w:ascii="Calibri" w:cs="Calibri" w:eastAsia="Calibri" w:hAnsi="Calibri"/>
                <w:sz w:val="18"/>
                <w:szCs w:val="18"/>
                <w:color w:val="auto"/>
              </w:rPr>
              <w:t>C. Howard Nye</w:t>
            </w:r>
          </w:p>
        </w:tc>
        <w:tc>
          <w:tcPr>
            <w:tcW w:w="4060" w:type="dxa"/>
            <w:vAlign w:val="bottom"/>
            <w:vMerge w:val="continue"/>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4500" w:type="dxa"/>
            <w:vAlign w:val="bottom"/>
          </w:tcPr>
          <w:p>
            <w:pPr>
              <w:ind w:left="20"/>
              <w:spacing w:after="0"/>
              <w:rPr>
                <w:sz w:val="20"/>
                <w:szCs w:val="20"/>
                <w:color w:val="auto"/>
              </w:rPr>
            </w:pPr>
            <w:r>
              <w:rPr>
                <w:rFonts w:ascii="Calibri" w:cs="Calibri" w:eastAsia="Calibri" w:hAnsi="Calibri"/>
                <w:sz w:val="18"/>
                <w:szCs w:val="18"/>
                <w:color w:val="auto"/>
              </w:rPr>
              <w:t>/s/ James A. J. Nickolas</w:t>
            </w:r>
          </w:p>
        </w:tc>
        <w:tc>
          <w:tcPr>
            <w:tcW w:w="4060" w:type="dxa"/>
            <w:vAlign w:val="bottom"/>
          </w:tcPr>
          <w:p>
            <w:pPr>
              <w:ind w:left="140"/>
              <w:spacing w:after="0"/>
              <w:rPr>
                <w:sz w:val="20"/>
                <w:szCs w:val="20"/>
                <w:color w:val="auto"/>
              </w:rPr>
            </w:pPr>
            <w:r>
              <w:rPr>
                <w:rFonts w:ascii="Calibri" w:cs="Calibri" w:eastAsia="Calibri" w:hAnsi="Calibri"/>
                <w:sz w:val="18"/>
                <w:szCs w:val="18"/>
                <w:color w:val="auto"/>
              </w:rPr>
              <w:t>Senior Vice President</w:t>
            </w:r>
          </w:p>
        </w:tc>
        <w:tc>
          <w:tcPr>
            <w:tcW w:w="2680" w:type="dxa"/>
            <w:vAlign w:val="bottom"/>
          </w:tcPr>
          <w:p>
            <w:pPr>
              <w:jc w:val="center"/>
              <w:ind w:left="568"/>
              <w:spacing w:after="0"/>
              <w:rPr>
                <w:sz w:val="20"/>
                <w:szCs w:val="20"/>
                <w:color w:val="auto"/>
              </w:rPr>
            </w:pPr>
            <w:r>
              <w:rPr>
                <w:rFonts w:ascii="Calibri" w:cs="Calibri" w:eastAsia="Calibri" w:hAnsi="Calibri"/>
                <w:sz w:val="18"/>
                <w:szCs w:val="18"/>
                <w:color w:val="auto"/>
                <w:w w:val="97"/>
              </w:rPr>
              <w:t>February 24, 2023</w:t>
            </w:r>
          </w:p>
        </w:tc>
        <w:tc>
          <w:tcPr>
            <w:tcW w:w="0" w:type="dxa"/>
            <w:vAlign w:val="bottom"/>
          </w:tcPr>
          <w:p>
            <w:pPr>
              <w:spacing w:after="0"/>
              <w:rPr>
                <w:sz w:val="1"/>
                <w:szCs w:val="1"/>
                <w:color w:val="auto"/>
              </w:rPr>
            </w:pPr>
          </w:p>
        </w:tc>
      </w:tr>
      <w:tr>
        <w:trPr>
          <w:trHeight w:val="37"/>
        </w:trPr>
        <w:tc>
          <w:tcPr>
            <w:tcW w:w="4500" w:type="dxa"/>
            <w:vAlign w:val="bottom"/>
            <w:tcBorders>
              <w:bottom w:val="single" w:sz="8" w:color="auto"/>
            </w:tcBorders>
          </w:tcPr>
          <w:p>
            <w:pPr>
              <w:spacing w:after="0"/>
              <w:rPr>
                <w:sz w:val="3"/>
                <w:szCs w:val="3"/>
                <w:color w:val="auto"/>
              </w:rPr>
            </w:pPr>
          </w:p>
        </w:tc>
        <w:tc>
          <w:tcPr>
            <w:tcW w:w="4060" w:type="dxa"/>
            <w:vAlign w:val="bottom"/>
            <w:vMerge w:val="restart"/>
          </w:tcPr>
          <w:p>
            <w:pPr>
              <w:ind w:left="260"/>
              <w:spacing w:after="0"/>
              <w:rPr>
                <w:sz w:val="20"/>
                <w:szCs w:val="20"/>
                <w:color w:val="auto"/>
              </w:rPr>
            </w:pPr>
            <w:r>
              <w:rPr>
                <w:rFonts w:ascii="Calibri" w:cs="Calibri" w:eastAsia="Calibri" w:hAnsi="Calibri"/>
                <w:sz w:val="18"/>
                <w:szCs w:val="18"/>
                <w:color w:val="auto"/>
              </w:rPr>
              <w:t>and Chief Financial Ofcer</w:t>
            </w:r>
          </w:p>
        </w:tc>
        <w:tc>
          <w:tcPr>
            <w:tcW w:w="2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20"/>
              <w:spacing w:after="0" w:line="208" w:lineRule="exact"/>
              <w:rPr>
                <w:sz w:val="20"/>
                <w:szCs w:val="20"/>
                <w:color w:val="auto"/>
              </w:rPr>
            </w:pPr>
            <w:r>
              <w:rPr>
                <w:rFonts w:ascii="Calibri" w:cs="Calibri" w:eastAsia="Calibri" w:hAnsi="Calibri"/>
                <w:sz w:val="18"/>
                <w:szCs w:val="18"/>
                <w:color w:val="auto"/>
              </w:rPr>
              <w:t>James A. J. Nickolas</w:t>
            </w:r>
          </w:p>
        </w:tc>
        <w:tc>
          <w:tcPr>
            <w:tcW w:w="4060" w:type="dxa"/>
            <w:vAlign w:val="bottom"/>
            <w:vMerge w:val="continue"/>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4500" w:type="dxa"/>
            <w:vAlign w:val="bottom"/>
          </w:tcPr>
          <w:p>
            <w:pPr>
              <w:ind w:left="20"/>
              <w:spacing w:after="0"/>
              <w:rPr>
                <w:sz w:val="20"/>
                <w:szCs w:val="20"/>
                <w:color w:val="auto"/>
              </w:rPr>
            </w:pPr>
            <w:r>
              <w:rPr>
                <w:rFonts w:ascii="Calibri" w:cs="Calibri" w:eastAsia="Calibri" w:hAnsi="Calibri"/>
                <w:sz w:val="18"/>
                <w:szCs w:val="18"/>
                <w:color w:val="auto"/>
              </w:rPr>
              <w:t>/s/ Robert J. Cardin</w:t>
            </w:r>
          </w:p>
        </w:tc>
        <w:tc>
          <w:tcPr>
            <w:tcW w:w="4060" w:type="dxa"/>
            <w:vAlign w:val="bottom"/>
          </w:tcPr>
          <w:p>
            <w:pPr>
              <w:ind w:left="140"/>
              <w:spacing w:after="0"/>
              <w:rPr>
                <w:sz w:val="20"/>
                <w:szCs w:val="20"/>
                <w:color w:val="auto"/>
              </w:rPr>
            </w:pPr>
            <w:r>
              <w:rPr>
                <w:rFonts w:ascii="Calibri" w:cs="Calibri" w:eastAsia="Calibri" w:hAnsi="Calibri"/>
                <w:sz w:val="18"/>
                <w:szCs w:val="18"/>
                <w:color w:val="auto"/>
              </w:rPr>
              <w:t>Senior Vice President,</w:t>
            </w:r>
          </w:p>
        </w:tc>
        <w:tc>
          <w:tcPr>
            <w:tcW w:w="2680" w:type="dxa"/>
            <w:vAlign w:val="bottom"/>
          </w:tcPr>
          <w:p>
            <w:pPr>
              <w:jc w:val="center"/>
              <w:ind w:left="568"/>
              <w:spacing w:after="0"/>
              <w:rPr>
                <w:sz w:val="20"/>
                <w:szCs w:val="20"/>
                <w:color w:val="auto"/>
              </w:rPr>
            </w:pPr>
            <w:r>
              <w:rPr>
                <w:rFonts w:ascii="Calibri" w:cs="Calibri" w:eastAsia="Calibri" w:hAnsi="Calibri"/>
                <w:sz w:val="18"/>
                <w:szCs w:val="18"/>
                <w:color w:val="auto"/>
                <w:w w:val="97"/>
              </w:rPr>
              <w:t>February 24, 2023</w:t>
            </w:r>
          </w:p>
        </w:tc>
        <w:tc>
          <w:tcPr>
            <w:tcW w:w="0" w:type="dxa"/>
            <w:vAlign w:val="bottom"/>
          </w:tcPr>
          <w:p>
            <w:pPr>
              <w:spacing w:after="0"/>
              <w:rPr>
                <w:sz w:val="1"/>
                <w:szCs w:val="1"/>
                <w:color w:val="auto"/>
              </w:rPr>
            </w:pPr>
          </w:p>
        </w:tc>
      </w:tr>
      <w:tr>
        <w:trPr>
          <w:trHeight w:val="37"/>
        </w:trPr>
        <w:tc>
          <w:tcPr>
            <w:tcW w:w="4500" w:type="dxa"/>
            <w:vAlign w:val="bottom"/>
            <w:tcBorders>
              <w:bottom w:val="single" w:sz="8" w:color="auto"/>
            </w:tcBorders>
          </w:tcPr>
          <w:p>
            <w:pPr>
              <w:spacing w:after="0"/>
              <w:rPr>
                <w:sz w:val="3"/>
                <w:szCs w:val="3"/>
                <w:color w:val="auto"/>
              </w:rPr>
            </w:pPr>
          </w:p>
        </w:tc>
        <w:tc>
          <w:tcPr>
            <w:tcW w:w="4060" w:type="dxa"/>
            <w:vAlign w:val="bottom"/>
            <w:vMerge w:val="restart"/>
          </w:tcPr>
          <w:p>
            <w:pPr>
              <w:ind w:left="260"/>
              <w:spacing w:after="0"/>
              <w:rPr>
                <w:sz w:val="20"/>
                <w:szCs w:val="20"/>
                <w:color w:val="auto"/>
              </w:rPr>
            </w:pPr>
            <w:r>
              <w:rPr>
                <w:rFonts w:ascii="Calibri" w:cs="Calibri" w:eastAsia="Calibri" w:hAnsi="Calibri"/>
                <w:sz w:val="18"/>
                <w:szCs w:val="18"/>
                <w:color w:val="auto"/>
              </w:rPr>
              <w:t>Controller and Chief Accountng Ofcer</w:t>
            </w:r>
          </w:p>
        </w:tc>
        <w:tc>
          <w:tcPr>
            <w:tcW w:w="2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20"/>
              <w:spacing w:after="0" w:line="208" w:lineRule="exact"/>
              <w:rPr>
                <w:sz w:val="20"/>
                <w:szCs w:val="20"/>
                <w:color w:val="auto"/>
              </w:rPr>
            </w:pPr>
            <w:r>
              <w:rPr>
                <w:rFonts w:ascii="Calibri" w:cs="Calibri" w:eastAsia="Calibri" w:hAnsi="Calibri"/>
                <w:sz w:val="18"/>
                <w:szCs w:val="18"/>
                <w:color w:val="auto"/>
              </w:rPr>
              <w:t>Robert J. Cardin</w:t>
            </w:r>
          </w:p>
        </w:tc>
        <w:tc>
          <w:tcPr>
            <w:tcW w:w="4060" w:type="dxa"/>
            <w:vAlign w:val="bottom"/>
            <w:vMerge w:val="continue"/>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4500" w:type="dxa"/>
            <w:vAlign w:val="bottom"/>
          </w:tcPr>
          <w:p>
            <w:pPr>
              <w:ind w:left="20"/>
              <w:spacing w:after="0"/>
              <w:rPr>
                <w:sz w:val="20"/>
                <w:szCs w:val="20"/>
                <w:color w:val="auto"/>
              </w:rPr>
            </w:pPr>
            <w:r>
              <w:rPr>
                <w:rFonts w:ascii="Calibri" w:cs="Calibri" w:eastAsia="Calibri" w:hAnsi="Calibri"/>
                <w:sz w:val="18"/>
                <w:szCs w:val="18"/>
                <w:color w:val="auto"/>
              </w:rPr>
              <w:t>/s/ Dorothy M. Ables</w:t>
            </w:r>
          </w:p>
        </w:tc>
        <w:tc>
          <w:tcPr>
            <w:tcW w:w="4060" w:type="dxa"/>
            <w:vAlign w:val="bottom"/>
          </w:tcPr>
          <w:p>
            <w:pPr>
              <w:ind w:left="140"/>
              <w:spacing w:after="0"/>
              <w:rPr>
                <w:sz w:val="20"/>
                <w:szCs w:val="20"/>
                <w:color w:val="auto"/>
              </w:rPr>
            </w:pPr>
            <w:r>
              <w:rPr>
                <w:rFonts w:ascii="Calibri" w:cs="Calibri" w:eastAsia="Calibri" w:hAnsi="Calibri"/>
                <w:sz w:val="18"/>
                <w:szCs w:val="18"/>
                <w:color w:val="auto"/>
              </w:rPr>
              <w:t>Director</w:t>
            </w:r>
          </w:p>
        </w:tc>
        <w:tc>
          <w:tcPr>
            <w:tcW w:w="2680" w:type="dxa"/>
            <w:vAlign w:val="bottom"/>
          </w:tcPr>
          <w:p>
            <w:pPr>
              <w:jc w:val="center"/>
              <w:ind w:left="568"/>
              <w:spacing w:after="0"/>
              <w:rPr>
                <w:sz w:val="20"/>
                <w:szCs w:val="20"/>
                <w:color w:val="auto"/>
              </w:rPr>
            </w:pPr>
            <w:r>
              <w:rPr>
                <w:rFonts w:ascii="Calibri" w:cs="Calibri" w:eastAsia="Calibri" w:hAnsi="Calibri"/>
                <w:sz w:val="18"/>
                <w:szCs w:val="18"/>
                <w:color w:val="auto"/>
                <w:w w:val="97"/>
              </w:rPr>
              <w:t>February 24, 2023</w:t>
            </w:r>
          </w:p>
        </w:tc>
        <w:tc>
          <w:tcPr>
            <w:tcW w:w="0" w:type="dxa"/>
            <w:vAlign w:val="bottom"/>
          </w:tcPr>
          <w:p>
            <w:pPr>
              <w:spacing w:after="0"/>
              <w:rPr>
                <w:sz w:val="1"/>
                <w:szCs w:val="1"/>
                <w:color w:val="auto"/>
              </w:rPr>
            </w:pPr>
          </w:p>
        </w:tc>
      </w:tr>
      <w:tr>
        <w:trPr>
          <w:trHeight w:val="37"/>
        </w:trPr>
        <w:tc>
          <w:tcPr>
            <w:tcW w:w="4500" w:type="dxa"/>
            <w:vAlign w:val="bottom"/>
            <w:tcBorders>
              <w:bottom w:val="single" w:sz="8" w:color="auto"/>
            </w:tcBorders>
          </w:tcPr>
          <w:p>
            <w:pPr>
              <w:spacing w:after="0"/>
              <w:rPr>
                <w:sz w:val="3"/>
                <w:szCs w:val="3"/>
                <w:color w:val="auto"/>
              </w:rPr>
            </w:pPr>
          </w:p>
        </w:tc>
        <w:tc>
          <w:tcPr>
            <w:tcW w:w="40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20"/>
              <w:spacing w:after="0" w:line="208" w:lineRule="exact"/>
              <w:rPr>
                <w:sz w:val="20"/>
                <w:szCs w:val="20"/>
                <w:color w:val="auto"/>
              </w:rPr>
            </w:pPr>
            <w:r>
              <w:rPr>
                <w:rFonts w:ascii="Calibri" w:cs="Calibri" w:eastAsia="Calibri" w:hAnsi="Calibri"/>
                <w:sz w:val="18"/>
                <w:szCs w:val="18"/>
                <w:color w:val="auto"/>
              </w:rPr>
              <w:t>Dorothy M. Ables</w:t>
            </w:r>
          </w:p>
        </w:tc>
        <w:tc>
          <w:tcPr>
            <w:tcW w:w="40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4500" w:type="dxa"/>
            <w:vAlign w:val="bottom"/>
          </w:tcPr>
          <w:p>
            <w:pPr>
              <w:ind w:left="20"/>
              <w:spacing w:after="0"/>
              <w:rPr>
                <w:sz w:val="20"/>
                <w:szCs w:val="20"/>
                <w:color w:val="auto"/>
              </w:rPr>
            </w:pPr>
            <w:r>
              <w:rPr>
                <w:rFonts w:ascii="Calibri" w:cs="Calibri" w:eastAsia="Calibri" w:hAnsi="Calibri"/>
                <w:sz w:val="18"/>
                <w:szCs w:val="18"/>
                <w:color w:val="auto"/>
              </w:rPr>
              <w:t>/s/ Sue W. Cole</w:t>
            </w:r>
          </w:p>
        </w:tc>
        <w:tc>
          <w:tcPr>
            <w:tcW w:w="4060" w:type="dxa"/>
            <w:vAlign w:val="bottom"/>
          </w:tcPr>
          <w:p>
            <w:pPr>
              <w:ind w:left="140"/>
              <w:spacing w:after="0"/>
              <w:rPr>
                <w:sz w:val="20"/>
                <w:szCs w:val="20"/>
                <w:color w:val="auto"/>
              </w:rPr>
            </w:pPr>
            <w:r>
              <w:rPr>
                <w:rFonts w:ascii="Calibri" w:cs="Calibri" w:eastAsia="Calibri" w:hAnsi="Calibri"/>
                <w:sz w:val="18"/>
                <w:szCs w:val="18"/>
                <w:color w:val="auto"/>
              </w:rPr>
              <w:t>Director</w:t>
            </w:r>
          </w:p>
        </w:tc>
        <w:tc>
          <w:tcPr>
            <w:tcW w:w="2680" w:type="dxa"/>
            <w:vAlign w:val="bottom"/>
          </w:tcPr>
          <w:p>
            <w:pPr>
              <w:jc w:val="center"/>
              <w:ind w:left="568"/>
              <w:spacing w:after="0"/>
              <w:rPr>
                <w:sz w:val="20"/>
                <w:szCs w:val="20"/>
                <w:color w:val="auto"/>
              </w:rPr>
            </w:pPr>
            <w:r>
              <w:rPr>
                <w:rFonts w:ascii="Calibri" w:cs="Calibri" w:eastAsia="Calibri" w:hAnsi="Calibri"/>
                <w:sz w:val="18"/>
                <w:szCs w:val="18"/>
                <w:color w:val="auto"/>
                <w:w w:val="97"/>
              </w:rPr>
              <w:t>February 24, 2023</w:t>
            </w:r>
          </w:p>
        </w:tc>
        <w:tc>
          <w:tcPr>
            <w:tcW w:w="0" w:type="dxa"/>
            <w:vAlign w:val="bottom"/>
          </w:tcPr>
          <w:p>
            <w:pPr>
              <w:spacing w:after="0"/>
              <w:rPr>
                <w:sz w:val="1"/>
                <w:szCs w:val="1"/>
                <w:color w:val="auto"/>
              </w:rPr>
            </w:pPr>
          </w:p>
        </w:tc>
      </w:tr>
      <w:tr>
        <w:trPr>
          <w:trHeight w:val="37"/>
        </w:trPr>
        <w:tc>
          <w:tcPr>
            <w:tcW w:w="4500" w:type="dxa"/>
            <w:vAlign w:val="bottom"/>
            <w:tcBorders>
              <w:bottom w:val="single" w:sz="8" w:color="auto"/>
            </w:tcBorders>
          </w:tcPr>
          <w:p>
            <w:pPr>
              <w:spacing w:after="0"/>
              <w:rPr>
                <w:sz w:val="3"/>
                <w:szCs w:val="3"/>
                <w:color w:val="auto"/>
              </w:rPr>
            </w:pPr>
          </w:p>
        </w:tc>
        <w:tc>
          <w:tcPr>
            <w:tcW w:w="40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20"/>
              <w:spacing w:after="0" w:line="208" w:lineRule="exact"/>
              <w:rPr>
                <w:sz w:val="20"/>
                <w:szCs w:val="20"/>
                <w:color w:val="auto"/>
              </w:rPr>
            </w:pPr>
            <w:r>
              <w:rPr>
                <w:rFonts w:ascii="Calibri" w:cs="Calibri" w:eastAsia="Calibri" w:hAnsi="Calibri"/>
                <w:sz w:val="18"/>
                <w:szCs w:val="18"/>
                <w:color w:val="auto"/>
              </w:rPr>
              <w:t>Sue W. Cole</w:t>
            </w:r>
          </w:p>
        </w:tc>
        <w:tc>
          <w:tcPr>
            <w:tcW w:w="40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4500" w:type="dxa"/>
            <w:vAlign w:val="bottom"/>
          </w:tcPr>
          <w:p>
            <w:pPr>
              <w:ind w:left="20"/>
              <w:spacing w:after="0"/>
              <w:rPr>
                <w:sz w:val="20"/>
                <w:szCs w:val="20"/>
                <w:color w:val="auto"/>
              </w:rPr>
            </w:pPr>
            <w:r>
              <w:rPr>
                <w:rFonts w:ascii="Calibri" w:cs="Calibri" w:eastAsia="Calibri" w:hAnsi="Calibri"/>
                <w:sz w:val="18"/>
                <w:szCs w:val="18"/>
                <w:color w:val="auto"/>
              </w:rPr>
              <w:t>/s/ Smith W. Davis</w:t>
            </w:r>
          </w:p>
        </w:tc>
        <w:tc>
          <w:tcPr>
            <w:tcW w:w="4060" w:type="dxa"/>
            <w:vAlign w:val="bottom"/>
          </w:tcPr>
          <w:p>
            <w:pPr>
              <w:ind w:left="140"/>
              <w:spacing w:after="0"/>
              <w:rPr>
                <w:sz w:val="20"/>
                <w:szCs w:val="20"/>
                <w:color w:val="auto"/>
              </w:rPr>
            </w:pPr>
            <w:r>
              <w:rPr>
                <w:rFonts w:ascii="Calibri" w:cs="Calibri" w:eastAsia="Calibri" w:hAnsi="Calibri"/>
                <w:sz w:val="18"/>
                <w:szCs w:val="18"/>
                <w:color w:val="auto"/>
              </w:rPr>
              <w:t>Director</w:t>
            </w:r>
          </w:p>
        </w:tc>
        <w:tc>
          <w:tcPr>
            <w:tcW w:w="2680" w:type="dxa"/>
            <w:vAlign w:val="bottom"/>
          </w:tcPr>
          <w:p>
            <w:pPr>
              <w:jc w:val="center"/>
              <w:ind w:left="568"/>
              <w:spacing w:after="0"/>
              <w:rPr>
                <w:sz w:val="20"/>
                <w:szCs w:val="20"/>
                <w:color w:val="auto"/>
              </w:rPr>
            </w:pPr>
            <w:r>
              <w:rPr>
                <w:rFonts w:ascii="Calibri" w:cs="Calibri" w:eastAsia="Calibri" w:hAnsi="Calibri"/>
                <w:sz w:val="18"/>
                <w:szCs w:val="18"/>
                <w:color w:val="auto"/>
                <w:w w:val="97"/>
              </w:rPr>
              <w:t>February 24, 2023</w:t>
            </w:r>
          </w:p>
        </w:tc>
        <w:tc>
          <w:tcPr>
            <w:tcW w:w="0" w:type="dxa"/>
            <w:vAlign w:val="bottom"/>
          </w:tcPr>
          <w:p>
            <w:pPr>
              <w:spacing w:after="0"/>
              <w:rPr>
                <w:sz w:val="1"/>
                <w:szCs w:val="1"/>
                <w:color w:val="auto"/>
              </w:rPr>
            </w:pPr>
          </w:p>
        </w:tc>
      </w:tr>
      <w:tr>
        <w:trPr>
          <w:trHeight w:val="37"/>
        </w:trPr>
        <w:tc>
          <w:tcPr>
            <w:tcW w:w="4500" w:type="dxa"/>
            <w:vAlign w:val="bottom"/>
            <w:tcBorders>
              <w:bottom w:val="single" w:sz="8" w:color="auto"/>
            </w:tcBorders>
          </w:tcPr>
          <w:p>
            <w:pPr>
              <w:spacing w:after="0"/>
              <w:rPr>
                <w:sz w:val="3"/>
                <w:szCs w:val="3"/>
                <w:color w:val="auto"/>
              </w:rPr>
            </w:pPr>
          </w:p>
        </w:tc>
        <w:tc>
          <w:tcPr>
            <w:tcW w:w="40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20"/>
              <w:spacing w:after="0" w:line="208" w:lineRule="exact"/>
              <w:rPr>
                <w:sz w:val="20"/>
                <w:szCs w:val="20"/>
                <w:color w:val="auto"/>
              </w:rPr>
            </w:pPr>
            <w:r>
              <w:rPr>
                <w:rFonts w:ascii="Calibri" w:cs="Calibri" w:eastAsia="Calibri" w:hAnsi="Calibri"/>
                <w:sz w:val="18"/>
                <w:szCs w:val="18"/>
                <w:color w:val="auto"/>
              </w:rPr>
              <w:t>Smith W. Davis</w:t>
            </w:r>
          </w:p>
        </w:tc>
        <w:tc>
          <w:tcPr>
            <w:tcW w:w="40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4500" w:type="dxa"/>
            <w:vAlign w:val="bottom"/>
          </w:tcPr>
          <w:p>
            <w:pPr>
              <w:ind w:left="20"/>
              <w:spacing w:after="0"/>
              <w:rPr>
                <w:sz w:val="20"/>
                <w:szCs w:val="20"/>
                <w:color w:val="auto"/>
              </w:rPr>
            </w:pPr>
            <w:r>
              <w:rPr>
                <w:rFonts w:ascii="Calibri" w:cs="Calibri" w:eastAsia="Calibri" w:hAnsi="Calibri"/>
                <w:sz w:val="18"/>
                <w:szCs w:val="18"/>
                <w:color w:val="auto"/>
              </w:rPr>
              <w:t>/s/ Anthony R. Foxx</w:t>
            </w:r>
          </w:p>
        </w:tc>
        <w:tc>
          <w:tcPr>
            <w:tcW w:w="4060" w:type="dxa"/>
            <w:vAlign w:val="bottom"/>
          </w:tcPr>
          <w:p>
            <w:pPr>
              <w:ind w:left="140"/>
              <w:spacing w:after="0"/>
              <w:rPr>
                <w:sz w:val="20"/>
                <w:szCs w:val="20"/>
                <w:color w:val="auto"/>
              </w:rPr>
            </w:pPr>
            <w:r>
              <w:rPr>
                <w:rFonts w:ascii="Calibri" w:cs="Calibri" w:eastAsia="Calibri" w:hAnsi="Calibri"/>
                <w:sz w:val="18"/>
                <w:szCs w:val="18"/>
                <w:color w:val="auto"/>
              </w:rPr>
              <w:t>Director</w:t>
            </w:r>
          </w:p>
        </w:tc>
        <w:tc>
          <w:tcPr>
            <w:tcW w:w="2680" w:type="dxa"/>
            <w:vAlign w:val="bottom"/>
          </w:tcPr>
          <w:p>
            <w:pPr>
              <w:jc w:val="center"/>
              <w:ind w:left="568"/>
              <w:spacing w:after="0"/>
              <w:rPr>
                <w:sz w:val="20"/>
                <w:szCs w:val="20"/>
                <w:color w:val="auto"/>
              </w:rPr>
            </w:pPr>
            <w:r>
              <w:rPr>
                <w:rFonts w:ascii="Calibri" w:cs="Calibri" w:eastAsia="Calibri" w:hAnsi="Calibri"/>
                <w:sz w:val="18"/>
                <w:szCs w:val="18"/>
                <w:color w:val="auto"/>
                <w:w w:val="97"/>
              </w:rPr>
              <w:t>February 24, 2023</w:t>
            </w:r>
          </w:p>
        </w:tc>
        <w:tc>
          <w:tcPr>
            <w:tcW w:w="0" w:type="dxa"/>
            <w:vAlign w:val="bottom"/>
          </w:tcPr>
          <w:p>
            <w:pPr>
              <w:spacing w:after="0"/>
              <w:rPr>
                <w:sz w:val="1"/>
                <w:szCs w:val="1"/>
                <w:color w:val="auto"/>
              </w:rPr>
            </w:pPr>
          </w:p>
        </w:tc>
      </w:tr>
      <w:tr>
        <w:trPr>
          <w:trHeight w:val="37"/>
        </w:trPr>
        <w:tc>
          <w:tcPr>
            <w:tcW w:w="4500" w:type="dxa"/>
            <w:vAlign w:val="bottom"/>
            <w:tcBorders>
              <w:bottom w:val="single" w:sz="8" w:color="auto"/>
            </w:tcBorders>
          </w:tcPr>
          <w:p>
            <w:pPr>
              <w:spacing w:after="0"/>
              <w:rPr>
                <w:sz w:val="3"/>
                <w:szCs w:val="3"/>
                <w:color w:val="auto"/>
              </w:rPr>
            </w:pPr>
          </w:p>
        </w:tc>
        <w:tc>
          <w:tcPr>
            <w:tcW w:w="40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20"/>
              <w:spacing w:after="0" w:line="208" w:lineRule="exact"/>
              <w:rPr>
                <w:sz w:val="20"/>
                <w:szCs w:val="20"/>
                <w:color w:val="auto"/>
              </w:rPr>
            </w:pPr>
            <w:r>
              <w:rPr>
                <w:rFonts w:ascii="Calibri" w:cs="Calibri" w:eastAsia="Calibri" w:hAnsi="Calibri"/>
                <w:sz w:val="18"/>
                <w:szCs w:val="18"/>
                <w:color w:val="auto"/>
              </w:rPr>
              <w:t>Anthony R. Foxx</w:t>
            </w:r>
          </w:p>
        </w:tc>
        <w:tc>
          <w:tcPr>
            <w:tcW w:w="40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4500" w:type="dxa"/>
            <w:vAlign w:val="bottom"/>
          </w:tcPr>
          <w:p>
            <w:pPr>
              <w:ind w:left="20"/>
              <w:spacing w:after="0"/>
              <w:rPr>
                <w:sz w:val="20"/>
                <w:szCs w:val="20"/>
                <w:color w:val="auto"/>
              </w:rPr>
            </w:pPr>
            <w:r>
              <w:rPr>
                <w:rFonts w:ascii="Calibri" w:cs="Calibri" w:eastAsia="Calibri" w:hAnsi="Calibri"/>
                <w:sz w:val="18"/>
                <w:szCs w:val="18"/>
                <w:color w:val="auto"/>
              </w:rPr>
              <w:t>/s/ John J. Koraleski</w:t>
            </w:r>
          </w:p>
        </w:tc>
        <w:tc>
          <w:tcPr>
            <w:tcW w:w="4060" w:type="dxa"/>
            <w:vAlign w:val="bottom"/>
          </w:tcPr>
          <w:p>
            <w:pPr>
              <w:ind w:left="140"/>
              <w:spacing w:after="0"/>
              <w:rPr>
                <w:sz w:val="20"/>
                <w:szCs w:val="20"/>
                <w:color w:val="auto"/>
              </w:rPr>
            </w:pPr>
            <w:r>
              <w:rPr>
                <w:rFonts w:ascii="Calibri" w:cs="Calibri" w:eastAsia="Calibri" w:hAnsi="Calibri"/>
                <w:sz w:val="18"/>
                <w:szCs w:val="18"/>
                <w:color w:val="auto"/>
              </w:rPr>
              <w:t>Director</w:t>
            </w:r>
          </w:p>
        </w:tc>
        <w:tc>
          <w:tcPr>
            <w:tcW w:w="2680" w:type="dxa"/>
            <w:vAlign w:val="bottom"/>
          </w:tcPr>
          <w:p>
            <w:pPr>
              <w:jc w:val="center"/>
              <w:ind w:left="568"/>
              <w:spacing w:after="0"/>
              <w:rPr>
                <w:sz w:val="20"/>
                <w:szCs w:val="20"/>
                <w:color w:val="auto"/>
              </w:rPr>
            </w:pPr>
            <w:r>
              <w:rPr>
                <w:rFonts w:ascii="Calibri" w:cs="Calibri" w:eastAsia="Calibri" w:hAnsi="Calibri"/>
                <w:sz w:val="18"/>
                <w:szCs w:val="18"/>
                <w:color w:val="auto"/>
                <w:w w:val="97"/>
              </w:rPr>
              <w:t>February 24, 2023</w:t>
            </w:r>
          </w:p>
        </w:tc>
        <w:tc>
          <w:tcPr>
            <w:tcW w:w="0" w:type="dxa"/>
            <w:vAlign w:val="bottom"/>
          </w:tcPr>
          <w:p>
            <w:pPr>
              <w:spacing w:after="0"/>
              <w:rPr>
                <w:sz w:val="1"/>
                <w:szCs w:val="1"/>
                <w:color w:val="auto"/>
              </w:rPr>
            </w:pPr>
          </w:p>
        </w:tc>
      </w:tr>
      <w:tr>
        <w:trPr>
          <w:trHeight w:val="37"/>
        </w:trPr>
        <w:tc>
          <w:tcPr>
            <w:tcW w:w="4500" w:type="dxa"/>
            <w:vAlign w:val="bottom"/>
            <w:tcBorders>
              <w:bottom w:val="single" w:sz="8" w:color="auto"/>
            </w:tcBorders>
          </w:tcPr>
          <w:p>
            <w:pPr>
              <w:spacing w:after="0"/>
              <w:rPr>
                <w:sz w:val="3"/>
                <w:szCs w:val="3"/>
                <w:color w:val="auto"/>
              </w:rPr>
            </w:pPr>
          </w:p>
        </w:tc>
        <w:tc>
          <w:tcPr>
            <w:tcW w:w="40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20"/>
              <w:spacing w:after="0" w:line="208" w:lineRule="exact"/>
              <w:rPr>
                <w:sz w:val="20"/>
                <w:szCs w:val="20"/>
                <w:color w:val="auto"/>
              </w:rPr>
            </w:pPr>
            <w:r>
              <w:rPr>
                <w:rFonts w:ascii="Calibri" w:cs="Calibri" w:eastAsia="Calibri" w:hAnsi="Calibri"/>
                <w:sz w:val="18"/>
                <w:szCs w:val="18"/>
                <w:color w:val="auto"/>
              </w:rPr>
              <w:t>John J. Koraleski</w:t>
            </w:r>
          </w:p>
        </w:tc>
        <w:tc>
          <w:tcPr>
            <w:tcW w:w="40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4500" w:type="dxa"/>
            <w:vAlign w:val="bottom"/>
          </w:tcPr>
          <w:p>
            <w:pPr>
              <w:ind w:left="20"/>
              <w:spacing w:after="0"/>
              <w:rPr>
                <w:sz w:val="20"/>
                <w:szCs w:val="20"/>
                <w:color w:val="auto"/>
              </w:rPr>
            </w:pPr>
            <w:r>
              <w:rPr>
                <w:rFonts w:ascii="Calibri" w:cs="Calibri" w:eastAsia="Calibri" w:hAnsi="Calibri"/>
                <w:sz w:val="18"/>
                <w:szCs w:val="18"/>
                <w:color w:val="auto"/>
              </w:rPr>
              <w:t>/s/ Laree E. Perez</w:t>
            </w:r>
          </w:p>
        </w:tc>
        <w:tc>
          <w:tcPr>
            <w:tcW w:w="4060" w:type="dxa"/>
            <w:vAlign w:val="bottom"/>
          </w:tcPr>
          <w:p>
            <w:pPr>
              <w:ind w:left="140"/>
              <w:spacing w:after="0"/>
              <w:rPr>
                <w:sz w:val="20"/>
                <w:szCs w:val="20"/>
                <w:color w:val="auto"/>
              </w:rPr>
            </w:pPr>
            <w:r>
              <w:rPr>
                <w:rFonts w:ascii="Calibri" w:cs="Calibri" w:eastAsia="Calibri" w:hAnsi="Calibri"/>
                <w:sz w:val="18"/>
                <w:szCs w:val="18"/>
                <w:color w:val="auto"/>
              </w:rPr>
              <w:t>Director</w:t>
            </w:r>
          </w:p>
        </w:tc>
        <w:tc>
          <w:tcPr>
            <w:tcW w:w="2680" w:type="dxa"/>
            <w:vAlign w:val="bottom"/>
          </w:tcPr>
          <w:p>
            <w:pPr>
              <w:jc w:val="center"/>
              <w:ind w:left="568"/>
              <w:spacing w:after="0"/>
              <w:rPr>
                <w:sz w:val="20"/>
                <w:szCs w:val="20"/>
                <w:color w:val="auto"/>
              </w:rPr>
            </w:pPr>
            <w:r>
              <w:rPr>
                <w:rFonts w:ascii="Calibri" w:cs="Calibri" w:eastAsia="Calibri" w:hAnsi="Calibri"/>
                <w:sz w:val="18"/>
                <w:szCs w:val="18"/>
                <w:color w:val="auto"/>
                <w:w w:val="97"/>
              </w:rPr>
              <w:t>February 24, 2023</w:t>
            </w:r>
          </w:p>
        </w:tc>
        <w:tc>
          <w:tcPr>
            <w:tcW w:w="0" w:type="dxa"/>
            <w:vAlign w:val="bottom"/>
          </w:tcPr>
          <w:p>
            <w:pPr>
              <w:spacing w:after="0"/>
              <w:rPr>
                <w:sz w:val="1"/>
                <w:szCs w:val="1"/>
                <w:color w:val="auto"/>
              </w:rPr>
            </w:pPr>
          </w:p>
        </w:tc>
      </w:tr>
      <w:tr>
        <w:trPr>
          <w:trHeight w:val="37"/>
        </w:trPr>
        <w:tc>
          <w:tcPr>
            <w:tcW w:w="4500" w:type="dxa"/>
            <w:vAlign w:val="bottom"/>
            <w:tcBorders>
              <w:bottom w:val="single" w:sz="8" w:color="auto"/>
            </w:tcBorders>
          </w:tcPr>
          <w:p>
            <w:pPr>
              <w:spacing w:after="0"/>
              <w:rPr>
                <w:sz w:val="3"/>
                <w:szCs w:val="3"/>
                <w:color w:val="auto"/>
              </w:rPr>
            </w:pPr>
          </w:p>
        </w:tc>
        <w:tc>
          <w:tcPr>
            <w:tcW w:w="40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20"/>
              <w:spacing w:after="0" w:line="208" w:lineRule="exact"/>
              <w:rPr>
                <w:sz w:val="20"/>
                <w:szCs w:val="20"/>
                <w:color w:val="auto"/>
              </w:rPr>
            </w:pPr>
            <w:r>
              <w:rPr>
                <w:rFonts w:ascii="Calibri" w:cs="Calibri" w:eastAsia="Calibri" w:hAnsi="Calibri"/>
                <w:sz w:val="18"/>
                <w:szCs w:val="18"/>
                <w:color w:val="auto"/>
              </w:rPr>
              <w:t>Laree E. Perez</w:t>
            </w:r>
          </w:p>
        </w:tc>
        <w:tc>
          <w:tcPr>
            <w:tcW w:w="40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4500" w:type="dxa"/>
            <w:vAlign w:val="bottom"/>
          </w:tcPr>
          <w:p>
            <w:pPr>
              <w:ind w:left="20"/>
              <w:spacing w:after="0"/>
              <w:rPr>
                <w:sz w:val="20"/>
                <w:szCs w:val="20"/>
                <w:color w:val="auto"/>
              </w:rPr>
            </w:pPr>
            <w:r>
              <w:rPr>
                <w:rFonts w:ascii="Calibri" w:cs="Calibri" w:eastAsia="Calibri" w:hAnsi="Calibri"/>
                <w:sz w:val="18"/>
                <w:szCs w:val="18"/>
                <w:color w:val="auto"/>
              </w:rPr>
              <w:t>/s/ Thomas H. Pike</w:t>
            </w:r>
          </w:p>
        </w:tc>
        <w:tc>
          <w:tcPr>
            <w:tcW w:w="4060" w:type="dxa"/>
            <w:vAlign w:val="bottom"/>
          </w:tcPr>
          <w:p>
            <w:pPr>
              <w:ind w:left="140"/>
              <w:spacing w:after="0"/>
              <w:rPr>
                <w:sz w:val="20"/>
                <w:szCs w:val="20"/>
                <w:color w:val="auto"/>
              </w:rPr>
            </w:pPr>
            <w:r>
              <w:rPr>
                <w:rFonts w:ascii="Calibri" w:cs="Calibri" w:eastAsia="Calibri" w:hAnsi="Calibri"/>
                <w:sz w:val="18"/>
                <w:szCs w:val="18"/>
                <w:color w:val="auto"/>
              </w:rPr>
              <w:t>Director</w:t>
            </w:r>
          </w:p>
        </w:tc>
        <w:tc>
          <w:tcPr>
            <w:tcW w:w="2680" w:type="dxa"/>
            <w:vAlign w:val="bottom"/>
          </w:tcPr>
          <w:p>
            <w:pPr>
              <w:jc w:val="center"/>
              <w:ind w:left="568"/>
              <w:spacing w:after="0"/>
              <w:rPr>
                <w:sz w:val="20"/>
                <w:szCs w:val="20"/>
                <w:color w:val="auto"/>
              </w:rPr>
            </w:pPr>
            <w:r>
              <w:rPr>
                <w:rFonts w:ascii="Calibri" w:cs="Calibri" w:eastAsia="Calibri" w:hAnsi="Calibri"/>
                <w:sz w:val="18"/>
                <w:szCs w:val="18"/>
                <w:color w:val="auto"/>
                <w:w w:val="97"/>
              </w:rPr>
              <w:t>February 24, 2023</w:t>
            </w:r>
          </w:p>
        </w:tc>
        <w:tc>
          <w:tcPr>
            <w:tcW w:w="0" w:type="dxa"/>
            <w:vAlign w:val="bottom"/>
          </w:tcPr>
          <w:p>
            <w:pPr>
              <w:spacing w:after="0"/>
              <w:rPr>
                <w:sz w:val="1"/>
                <w:szCs w:val="1"/>
                <w:color w:val="auto"/>
              </w:rPr>
            </w:pPr>
          </w:p>
        </w:tc>
      </w:tr>
      <w:tr>
        <w:trPr>
          <w:trHeight w:val="37"/>
        </w:trPr>
        <w:tc>
          <w:tcPr>
            <w:tcW w:w="4500" w:type="dxa"/>
            <w:vAlign w:val="bottom"/>
            <w:tcBorders>
              <w:bottom w:val="single" w:sz="8" w:color="auto"/>
            </w:tcBorders>
          </w:tcPr>
          <w:p>
            <w:pPr>
              <w:spacing w:after="0"/>
              <w:rPr>
                <w:sz w:val="3"/>
                <w:szCs w:val="3"/>
                <w:color w:val="auto"/>
              </w:rPr>
            </w:pPr>
          </w:p>
        </w:tc>
        <w:tc>
          <w:tcPr>
            <w:tcW w:w="40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20"/>
              <w:spacing w:after="0" w:line="208" w:lineRule="exact"/>
              <w:rPr>
                <w:sz w:val="20"/>
                <w:szCs w:val="20"/>
                <w:color w:val="auto"/>
              </w:rPr>
            </w:pPr>
            <w:r>
              <w:rPr>
                <w:rFonts w:ascii="Calibri" w:cs="Calibri" w:eastAsia="Calibri" w:hAnsi="Calibri"/>
                <w:sz w:val="18"/>
                <w:szCs w:val="18"/>
                <w:color w:val="auto"/>
              </w:rPr>
              <w:t>Thomas H. Pike</w:t>
            </w:r>
          </w:p>
        </w:tc>
        <w:tc>
          <w:tcPr>
            <w:tcW w:w="40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4500" w:type="dxa"/>
            <w:vAlign w:val="bottom"/>
          </w:tcPr>
          <w:p>
            <w:pPr>
              <w:ind w:left="20"/>
              <w:spacing w:after="0"/>
              <w:rPr>
                <w:sz w:val="20"/>
                <w:szCs w:val="20"/>
                <w:color w:val="auto"/>
              </w:rPr>
            </w:pPr>
            <w:r>
              <w:rPr>
                <w:rFonts w:ascii="Calibri" w:cs="Calibri" w:eastAsia="Calibri" w:hAnsi="Calibri"/>
                <w:sz w:val="18"/>
                <w:szCs w:val="18"/>
                <w:color w:val="auto"/>
              </w:rPr>
              <w:t>/s/ Michael J. Quillen</w:t>
            </w:r>
          </w:p>
        </w:tc>
        <w:tc>
          <w:tcPr>
            <w:tcW w:w="4060" w:type="dxa"/>
            <w:vAlign w:val="bottom"/>
          </w:tcPr>
          <w:p>
            <w:pPr>
              <w:ind w:left="140"/>
              <w:spacing w:after="0"/>
              <w:rPr>
                <w:sz w:val="20"/>
                <w:szCs w:val="20"/>
                <w:color w:val="auto"/>
              </w:rPr>
            </w:pPr>
            <w:r>
              <w:rPr>
                <w:rFonts w:ascii="Calibri" w:cs="Calibri" w:eastAsia="Calibri" w:hAnsi="Calibri"/>
                <w:sz w:val="18"/>
                <w:szCs w:val="18"/>
                <w:color w:val="auto"/>
              </w:rPr>
              <w:t>Director</w:t>
            </w:r>
          </w:p>
        </w:tc>
        <w:tc>
          <w:tcPr>
            <w:tcW w:w="2680" w:type="dxa"/>
            <w:vAlign w:val="bottom"/>
          </w:tcPr>
          <w:p>
            <w:pPr>
              <w:jc w:val="center"/>
              <w:ind w:left="568"/>
              <w:spacing w:after="0"/>
              <w:rPr>
                <w:sz w:val="20"/>
                <w:szCs w:val="20"/>
                <w:color w:val="auto"/>
              </w:rPr>
            </w:pPr>
            <w:r>
              <w:rPr>
                <w:rFonts w:ascii="Calibri" w:cs="Calibri" w:eastAsia="Calibri" w:hAnsi="Calibri"/>
                <w:sz w:val="18"/>
                <w:szCs w:val="18"/>
                <w:color w:val="auto"/>
                <w:w w:val="97"/>
              </w:rPr>
              <w:t>February 24, 2023</w:t>
            </w:r>
          </w:p>
        </w:tc>
        <w:tc>
          <w:tcPr>
            <w:tcW w:w="0" w:type="dxa"/>
            <w:vAlign w:val="bottom"/>
          </w:tcPr>
          <w:p>
            <w:pPr>
              <w:spacing w:after="0"/>
              <w:rPr>
                <w:sz w:val="1"/>
                <w:szCs w:val="1"/>
                <w:color w:val="auto"/>
              </w:rPr>
            </w:pPr>
          </w:p>
        </w:tc>
      </w:tr>
      <w:tr>
        <w:trPr>
          <w:trHeight w:val="37"/>
        </w:trPr>
        <w:tc>
          <w:tcPr>
            <w:tcW w:w="4500" w:type="dxa"/>
            <w:vAlign w:val="bottom"/>
            <w:tcBorders>
              <w:bottom w:val="single" w:sz="8" w:color="auto"/>
            </w:tcBorders>
          </w:tcPr>
          <w:p>
            <w:pPr>
              <w:spacing w:after="0"/>
              <w:rPr>
                <w:sz w:val="3"/>
                <w:szCs w:val="3"/>
                <w:color w:val="auto"/>
              </w:rPr>
            </w:pPr>
          </w:p>
        </w:tc>
        <w:tc>
          <w:tcPr>
            <w:tcW w:w="40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20"/>
              <w:spacing w:after="0" w:line="208" w:lineRule="exact"/>
              <w:rPr>
                <w:sz w:val="20"/>
                <w:szCs w:val="20"/>
                <w:color w:val="auto"/>
              </w:rPr>
            </w:pPr>
            <w:r>
              <w:rPr>
                <w:rFonts w:ascii="Calibri" w:cs="Calibri" w:eastAsia="Calibri" w:hAnsi="Calibri"/>
                <w:sz w:val="18"/>
                <w:szCs w:val="18"/>
                <w:color w:val="auto"/>
              </w:rPr>
              <w:t>Michael J. Quillen</w:t>
            </w:r>
          </w:p>
        </w:tc>
        <w:tc>
          <w:tcPr>
            <w:tcW w:w="40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4500" w:type="dxa"/>
            <w:vAlign w:val="bottom"/>
          </w:tcPr>
          <w:p>
            <w:pPr>
              <w:ind w:left="20"/>
              <w:spacing w:after="0"/>
              <w:rPr>
                <w:sz w:val="20"/>
                <w:szCs w:val="20"/>
                <w:color w:val="auto"/>
              </w:rPr>
            </w:pPr>
            <w:r>
              <w:rPr>
                <w:rFonts w:ascii="Calibri" w:cs="Calibri" w:eastAsia="Calibri" w:hAnsi="Calibri"/>
                <w:sz w:val="18"/>
                <w:szCs w:val="18"/>
                <w:color w:val="auto"/>
              </w:rPr>
              <w:t>/s/ Donald W. Slager</w:t>
            </w:r>
          </w:p>
        </w:tc>
        <w:tc>
          <w:tcPr>
            <w:tcW w:w="4060" w:type="dxa"/>
            <w:vAlign w:val="bottom"/>
          </w:tcPr>
          <w:p>
            <w:pPr>
              <w:ind w:left="140"/>
              <w:spacing w:after="0"/>
              <w:rPr>
                <w:sz w:val="20"/>
                <w:szCs w:val="20"/>
                <w:color w:val="auto"/>
              </w:rPr>
            </w:pPr>
            <w:r>
              <w:rPr>
                <w:rFonts w:ascii="Calibri" w:cs="Calibri" w:eastAsia="Calibri" w:hAnsi="Calibri"/>
                <w:sz w:val="18"/>
                <w:szCs w:val="18"/>
                <w:color w:val="auto"/>
              </w:rPr>
              <w:t>Director</w:t>
            </w:r>
          </w:p>
        </w:tc>
        <w:tc>
          <w:tcPr>
            <w:tcW w:w="2680" w:type="dxa"/>
            <w:vAlign w:val="bottom"/>
          </w:tcPr>
          <w:p>
            <w:pPr>
              <w:jc w:val="center"/>
              <w:ind w:left="568"/>
              <w:spacing w:after="0"/>
              <w:rPr>
                <w:sz w:val="20"/>
                <w:szCs w:val="20"/>
                <w:color w:val="auto"/>
              </w:rPr>
            </w:pPr>
            <w:r>
              <w:rPr>
                <w:rFonts w:ascii="Calibri" w:cs="Calibri" w:eastAsia="Calibri" w:hAnsi="Calibri"/>
                <w:sz w:val="18"/>
                <w:szCs w:val="18"/>
                <w:color w:val="auto"/>
                <w:w w:val="97"/>
              </w:rPr>
              <w:t>February 24, 2023</w:t>
            </w:r>
          </w:p>
        </w:tc>
        <w:tc>
          <w:tcPr>
            <w:tcW w:w="0" w:type="dxa"/>
            <w:vAlign w:val="bottom"/>
          </w:tcPr>
          <w:p>
            <w:pPr>
              <w:spacing w:after="0"/>
              <w:rPr>
                <w:sz w:val="1"/>
                <w:szCs w:val="1"/>
                <w:color w:val="auto"/>
              </w:rPr>
            </w:pPr>
          </w:p>
        </w:tc>
      </w:tr>
      <w:tr>
        <w:trPr>
          <w:trHeight w:val="37"/>
        </w:trPr>
        <w:tc>
          <w:tcPr>
            <w:tcW w:w="4500" w:type="dxa"/>
            <w:vAlign w:val="bottom"/>
            <w:tcBorders>
              <w:bottom w:val="single" w:sz="8" w:color="auto"/>
            </w:tcBorders>
          </w:tcPr>
          <w:p>
            <w:pPr>
              <w:spacing w:after="0"/>
              <w:rPr>
                <w:sz w:val="3"/>
                <w:szCs w:val="3"/>
                <w:color w:val="auto"/>
              </w:rPr>
            </w:pPr>
          </w:p>
        </w:tc>
        <w:tc>
          <w:tcPr>
            <w:tcW w:w="40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20"/>
              <w:spacing w:after="0" w:line="208" w:lineRule="exact"/>
              <w:rPr>
                <w:sz w:val="20"/>
                <w:szCs w:val="20"/>
                <w:color w:val="auto"/>
              </w:rPr>
            </w:pPr>
            <w:r>
              <w:rPr>
                <w:rFonts w:ascii="Calibri" w:cs="Calibri" w:eastAsia="Calibri" w:hAnsi="Calibri"/>
                <w:sz w:val="18"/>
                <w:szCs w:val="18"/>
                <w:color w:val="auto"/>
              </w:rPr>
              <w:t>Donald W. Slager</w:t>
            </w:r>
          </w:p>
        </w:tc>
        <w:tc>
          <w:tcPr>
            <w:tcW w:w="40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4500" w:type="dxa"/>
            <w:vAlign w:val="bottom"/>
          </w:tcPr>
          <w:p>
            <w:pPr>
              <w:ind w:left="20"/>
              <w:spacing w:after="0"/>
              <w:rPr>
                <w:sz w:val="20"/>
                <w:szCs w:val="20"/>
                <w:color w:val="auto"/>
              </w:rPr>
            </w:pPr>
            <w:r>
              <w:rPr>
                <w:rFonts w:ascii="Calibri" w:cs="Calibri" w:eastAsia="Calibri" w:hAnsi="Calibri"/>
                <w:sz w:val="18"/>
                <w:szCs w:val="18"/>
                <w:color w:val="auto"/>
              </w:rPr>
              <w:t>/s/ David C. Wajsgras</w:t>
            </w:r>
          </w:p>
        </w:tc>
        <w:tc>
          <w:tcPr>
            <w:tcW w:w="4060" w:type="dxa"/>
            <w:vAlign w:val="bottom"/>
          </w:tcPr>
          <w:p>
            <w:pPr>
              <w:ind w:left="140"/>
              <w:spacing w:after="0"/>
              <w:rPr>
                <w:sz w:val="20"/>
                <w:szCs w:val="20"/>
                <w:color w:val="auto"/>
              </w:rPr>
            </w:pPr>
            <w:r>
              <w:rPr>
                <w:rFonts w:ascii="Calibri" w:cs="Calibri" w:eastAsia="Calibri" w:hAnsi="Calibri"/>
                <w:sz w:val="18"/>
                <w:szCs w:val="18"/>
                <w:color w:val="auto"/>
              </w:rPr>
              <w:t>Director</w:t>
            </w:r>
          </w:p>
        </w:tc>
        <w:tc>
          <w:tcPr>
            <w:tcW w:w="2680" w:type="dxa"/>
            <w:vAlign w:val="bottom"/>
          </w:tcPr>
          <w:p>
            <w:pPr>
              <w:jc w:val="center"/>
              <w:ind w:left="568"/>
              <w:spacing w:after="0"/>
              <w:rPr>
                <w:sz w:val="20"/>
                <w:szCs w:val="20"/>
                <w:color w:val="auto"/>
              </w:rPr>
            </w:pPr>
            <w:r>
              <w:rPr>
                <w:rFonts w:ascii="Calibri" w:cs="Calibri" w:eastAsia="Calibri" w:hAnsi="Calibri"/>
                <w:sz w:val="18"/>
                <w:szCs w:val="18"/>
                <w:color w:val="auto"/>
                <w:w w:val="97"/>
              </w:rPr>
              <w:t>February 24, 2023</w:t>
            </w:r>
          </w:p>
        </w:tc>
        <w:tc>
          <w:tcPr>
            <w:tcW w:w="0" w:type="dxa"/>
            <w:vAlign w:val="bottom"/>
          </w:tcPr>
          <w:p>
            <w:pPr>
              <w:spacing w:after="0"/>
              <w:rPr>
                <w:sz w:val="1"/>
                <w:szCs w:val="1"/>
                <w:color w:val="auto"/>
              </w:rPr>
            </w:pPr>
          </w:p>
        </w:tc>
      </w:tr>
      <w:tr>
        <w:trPr>
          <w:trHeight w:val="37"/>
        </w:trPr>
        <w:tc>
          <w:tcPr>
            <w:tcW w:w="4500" w:type="dxa"/>
            <w:vAlign w:val="bottom"/>
            <w:tcBorders>
              <w:bottom w:val="single" w:sz="8" w:color="auto"/>
            </w:tcBorders>
          </w:tcPr>
          <w:p>
            <w:pPr>
              <w:spacing w:after="0"/>
              <w:rPr>
                <w:sz w:val="3"/>
                <w:szCs w:val="3"/>
                <w:color w:val="auto"/>
              </w:rPr>
            </w:pPr>
          </w:p>
        </w:tc>
        <w:tc>
          <w:tcPr>
            <w:tcW w:w="40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20"/>
              <w:spacing w:after="0" w:line="208" w:lineRule="exact"/>
              <w:rPr>
                <w:sz w:val="20"/>
                <w:szCs w:val="20"/>
                <w:color w:val="auto"/>
              </w:rPr>
            </w:pPr>
            <w:r>
              <w:rPr>
                <w:rFonts w:ascii="Calibri" w:cs="Calibri" w:eastAsia="Calibri" w:hAnsi="Calibri"/>
                <w:sz w:val="18"/>
                <w:szCs w:val="18"/>
                <w:color w:val="auto"/>
              </w:rPr>
              <w:t>David C. Wajsgras</w:t>
            </w:r>
          </w:p>
        </w:tc>
        <w:tc>
          <w:tcPr>
            <w:tcW w:w="40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6"/>
        </w:trPr>
        <w:tc>
          <w:tcPr>
            <w:tcW w:w="4500" w:type="dxa"/>
            <w:vAlign w:val="bottom"/>
          </w:tcPr>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124</w:t>
            </w:r>
          </w:p>
        </w:tc>
        <w:tc>
          <w:tcPr>
            <w:tcW w:w="40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50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-402590</wp:posOffset>
            </wp:positionV>
            <wp:extent cx="325755" cy="19685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58">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6" w:name="page127"/>
    <w:bookmarkEnd w:id="126"/>
    <w:p>
      <w:pPr>
        <w:spacing w:after="0" w:line="200" w:lineRule="exact"/>
        <w:rPr>
          <w:sz w:val="20"/>
          <w:szCs w:val="20"/>
          <w:color w:val="auto"/>
        </w:rPr>
      </w:pPr>
    </w:p>
    <w:p>
      <w:pPr>
        <w:spacing w:after="0" w:line="259" w:lineRule="exact"/>
        <w:rPr>
          <w:sz w:val="20"/>
          <w:szCs w:val="20"/>
          <w:color w:val="auto"/>
        </w:rPr>
      </w:pPr>
    </w:p>
    <w:p>
      <w:pPr>
        <w:ind w:left="3360"/>
        <w:spacing w:after="0"/>
        <w:rPr>
          <w:sz w:val="20"/>
          <w:szCs w:val="20"/>
          <w:color w:val="auto"/>
        </w:rPr>
      </w:pPr>
      <w:r>
        <w:rPr>
          <w:rFonts w:ascii="Calibri" w:cs="Calibri" w:eastAsia="Calibri" w:hAnsi="Calibri"/>
          <w:sz w:val="20"/>
          <w:szCs w:val="20"/>
          <w:b w:val="1"/>
          <w:bCs w:val="1"/>
          <w:color w:val="auto"/>
        </w:rPr>
        <w:t>SUBSIDIARIES OF MARTIN MARIETTA MATERIALS, INC.</w:t>
      </w:r>
    </w:p>
    <w:p>
      <w:pPr>
        <w:spacing w:after="0" w:line="215" w:lineRule="exact"/>
        <w:rPr>
          <w:sz w:val="20"/>
          <w:szCs w:val="20"/>
          <w:color w:val="auto"/>
        </w:rPr>
      </w:pPr>
    </w:p>
    <w:p>
      <w:pPr>
        <w:ind w:left="4500"/>
        <w:spacing w:after="0"/>
        <w:rPr>
          <w:sz w:val="20"/>
          <w:szCs w:val="20"/>
          <w:color w:val="auto"/>
        </w:rPr>
      </w:pPr>
      <w:r>
        <w:rPr>
          <w:rFonts w:ascii="Calibri" w:cs="Calibri" w:eastAsia="Calibri" w:hAnsi="Calibri"/>
          <w:sz w:val="20"/>
          <w:szCs w:val="20"/>
          <w:b w:val="1"/>
          <w:bCs w:val="1"/>
          <w:color w:val="auto"/>
        </w:rPr>
        <w:t>AS OF DECEMBER 31, 2022</w:t>
      </w: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Calibri" w:cs="Calibri" w:eastAsia="Calibri" w:hAnsi="Calibri"/>
          <w:sz w:val="20"/>
          <w:szCs w:val="20"/>
          <w:b w:val="1"/>
          <w:bCs w:val="1"/>
          <w:u w:val="single" w:color="auto"/>
          <w:color w:val="auto"/>
        </w:rPr>
        <w:t>Name of Subsidiary</w:t>
      </w:r>
    </w:p>
    <w:p>
      <w:pPr>
        <w:spacing w:after="0" w:line="26"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Alamo Gulf Coast Railroad Company, a Texas corporaton</w:t>
      </w:r>
    </w:p>
    <w:p>
      <w:pPr>
        <w:spacing w:after="0" w:line="174"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Alamo North Texas Railroad Company, a Texas corporaton</w:t>
      </w:r>
    </w:p>
    <w:p>
      <w:pPr>
        <w:spacing w:after="0" w:line="174"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American Aggregates Corporaton, a North Carolina corporaton</w:t>
      </w:r>
    </w:p>
    <w:p>
      <w:pPr>
        <w:spacing w:after="0" w:line="174"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American Materials Technologies, LLC, a Tennessee limited liability company</w:t>
      </w:r>
    </w:p>
    <w:p>
      <w:pPr>
        <w:spacing w:after="0" w:line="174"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American Stone Company, a North Carolina corporaton</w:t>
      </w:r>
    </w:p>
    <w:p>
      <w:pPr>
        <w:spacing w:after="0" w:line="174"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Bahama Rock Limited, a Bahamas corporaton</w:t>
      </w:r>
    </w:p>
    <w:p>
      <w:pPr>
        <w:spacing w:after="0" w:line="174"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Bluegrass – Blue Mount, LLC, a North Carolina limited liability company</w:t>
      </w:r>
    </w:p>
    <w:p>
      <w:pPr>
        <w:spacing w:after="0" w:line="174"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Bluegrass Materials Company, LLC, a North Carolina limited liability company</w:t>
      </w:r>
    </w:p>
    <w:p>
      <w:pPr>
        <w:spacing w:after="0" w:line="174"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Bluegrass-St. Marys, LLC, a North Carolina limited liability company</w:t>
      </w:r>
    </w:p>
    <w:p>
      <w:pPr>
        <w:spacing w:after="0" w:line="174"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Brookhollow Corporaton, a Delaware corporaton</w:t>
      </w:r>
    </w:p>
    <w:p>
      <w:pPr>
        <w:spacing w:after="0" w:line="174"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Campbell’s C-Ment Contractng, Inc., a Colorado corporaton</w:t>
      </w:r>
    </w:p>
    <w:p>
      <w:pPr>
        <w:spacing w:after="0" w:line="174"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CIG MC LLC, a Colorado limited liability company</w:t>
      </w:r>
    </w:p>
    <w:p>
      <w:pPr>
        <w:spacing w:after="0" w:line="174"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Creole Corporaton, a Delaware corporaton</w:t>
      </w:r>
    </w:p>
    <w:p>
      <w:pPr>
        <w:spacing w:after="0" w:line="174"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FRI Ready Mix of Tennessee, LLC, a Florida limited liability company</w:t>
      </w:r>
    </w:p>
    <w:p>
      <w:pPr>
        <w:spacing w:after="0" w:line="350" w:lineRule="exact"/>
        <w:rPr>
          <w:sz w:val="20"/>
          <w:szCs w:val="20"/>
          <w:color w:val="auto"/>
        </w:rPr>
      </w:pPr>
    </w:p>
    <w:p>
      <w:pPr>
        <w:ind w:left="100" w:hanging="92"/>
        <w:spacing w:after="0"/>
        <w:tabs>
          <w:tab w:leader="none" w:pos="100" w:val="left"/>
        </w:tabs>
        <w:numPr>
          <w:ilvl w:val="0"/>
          <w:numId w:val="35"/>
        </w:numPr>
        <w:rPr>
          <w:rFonts w:ascii="Calibri" w:cs="Calibri" w:eastAsia="Calibri" w:hAnsi="Calibri"/>
          <w:sz w:val="23"/>
          <w:szCs w:val="23"/>
          <w:color w:val="auto"/>
          <w:vertAlign w:val="superscript"/>
        </w:rPr>
      </w:pPr>
      <w:r>
        <w:rPr>
          <w:rFonts w:ascii="Calibri" w:cs="Calibri" w:eastAsia="Calibri" w:hAnsi="Calibri"/>
          <w:sz w:val="17"/>
          <w:szCs w:val="17"/>
          <w:color w:val="auto"/>
        </w:rPr>
        <w:t>Alamo Gulf Coast Railroad Company is owned by Martn Marieta Materials Southwest, LLC, (99.5%) and certain individuals (0.5%).</w:t>
      </w:r>
    </w:p>
    <w:p>
      <w:pPr>
        <w:spacing w:after="0" w:line="54" w:lineRule="exact"/>
        <w:rPr>
          <w:rFonts w:ascii="Calibri" w:cs="Calibri" w:eastAsia="Calibri" w:hAnsi="Calibri"/>
          <w:sz w:val="23"/>
          <w:szCs w:val="23"/>
          <w:color w:val="auto"/>
          <w:vertAlign w:val="superscript"/>
        </w:rPr>
      </w:pPr>
    </w:p>
    <w:p>
      <w:pPr>
        <w:spacing w:after="0" w:line="238" w:lineRule="auto"/>
        <w:rPr>
          <w:rFonts w:ascii="Calibri" w:cs="Calibri" w:eastAsia="Calibri" w:hAnsi="Calibri"/>
          <w:sz w:val="23"/>
          <w:szCs w:val="23"/>
          <w:color w:val="auto"/>
          <w:vertAlign w:val="superscript"/>
        </w:rPr>
      </w:pPr>
      <w:r>
        <w:rPr>
          <w:rFonts w:ascii="Calibri" w:cs="Calibri" w:eastAsia="Calibri" w:hAnsi="Calibri"/>
          <w:sz w:val="23"/>
          <w:szCs w:val="23"/>
          <w:color w:val="auto"/>
          <w:vertAlign w:val="superscript"/>
        </w:rPr>
        <w:t>2</w:t>
      </w:r>
      <w:r>
        <w:rPr>
          <w:rFonts w:ascii="Calibri" w:cs="Calibri" w:eastAsia="Calibri" w:hAnsi="Calibri"/>
          <w:sz w:val="17"/>
          <w:szCs w:val="17"/>
          <w:color w:val="auto"/>
        </w:rPr>
        <w:t xml:space="preserve"> Alamo North Texas Railroad Company is owned by Martn Marieta Materials Southwest, LLC, (99.5%) and certain individuals (0.5%). </w:t>
      </w:r>
      <w:r>
        <w:rPr>
          <w:rFonts w:ascii="Calibri" w:cs="Calibri" w:eastAsia="Calibri" w:hAnsi="Calibri"/>
          <w:sz w:val="23"/>
          <w:szCs w:val="23"/>
          <w:color w:val="auto"/>
          <w:vertAlign w:val="superscript"/>
        </w:rPr>
        <w:t>3</w:t>
      </w:r>
      <w:r>
        <w:rPr>
          <w:rFonts w:ascii="Calibri" w:cs="Calibri" w:eastAsia="Calibri" w:hAnsi="Calibri"/>
          <w:sz w:val="17"/>
          <w:szCs w:val="17"/>
          <w:color w:val="auto"/>
        </w:rPr>
        <w:t xml:space="preserve"> American Materials Technologies, LLC is a wholly owned subsidiary of Meridian Aggregates Company, a Limited Partnership.</w:t>
      </w:r>
    </w:p>
    <w:p>
      <w:pPr>
        <w:spacing w:after="0" w:line="1" w:lineRule="exact"/>
        <w:rPr>
          <w:rFonts w:ascii="Calibri" w:cs="Calibri" w:eastAsia="Calibri" w:hAnsi="Calibri"/>
          <w:sz w:val="23"/>
          <w:szCs w:val="23"/>
          <w:color w:val="auto"/>
          <w:vertAlign w:val="superscript"/>
        </w:rPr>
      </w:pPr>
    </w:p>
    <w:p>
      <w:pPr>
        <w:spacing w:after="0" w:line="199" w:lineRule="auto"/>
        <w:rPr>
          <w:rFonts w:ascii="Calibri" w:cs="Calibri" w:eastAsia="Calibri" w:hAnsi="Calibri"/>
          <w:sz w:val="23"/>
          <w:szCs w:val="23"/>
          <w:color w:val="auto"/>
          <w:vertAlign w:val="superscript"/>
        </w:rPr>
      </w:pPr>
      <w:r>
        <w:rPr>
          <w:rFonts w:ascii="Calibri" w:cs="Calibri" w:eastAsia="Calibri" w:hAnsi="Calibri"/>
          <w:sz w:val="24"/>
          <w:szCs w:val="24"/>
          <w:color w:val="auto"/>
          <w:vertAlign w:val="superscript"/>
        </w:rPr>
        <w:t>4</w:t>
      </w:r>
      <w:r>
        <w:rPr>
          <w:rFonts w:ascii="Calibri" w:cs="Calibri" w:eastAsia="Calibri" w:hAnsi="Calibri"/>
          <w:sz w:val="18"/>
          <w:szCs w:val="18"/>
          <w:color w:val="auto"/>
        </w:rPr>
        <w:t xml:space="preserve"> Martn Marieta Materials, Inc. owns a 50% interest in American Stone Company.</w:t>
      </w:r>
    </w:p>
    <w:p>
      <w:pPr>
        <w:spacing w:after="0" w:line="199" w:lineRule="auto"/>
        <w:rPr>
          <w:rFonts w:ascii="Calibri" w:cs="Calibri" w:eastAsia="Calibri" w:hAnsi="Calibri"/>
          <w:sz w:val="23"/>
          <w:szCs w:val="23"/>
          <w:color w:val="auto"/>
          <w:vertAlign w:val="superscript"/>
        </w:rPr>
      </w:pPr>
      <w:r>
        <w:rPr>
          <w:rFonts w:ascii="Calibri" w:cs="Calibri" w:eastAsia="Calibri" w:hAnsi="Calibri"/>
          <w:sz w:val="24"/>
          <w:szCs w:val="24"/>
          <w:color w:val="auto"/>
          <w:vertAlign w:val="superscript"/>
        </w:rPr>
        <w:t>5</w:t>
      </w:r>
      <w:r>
        <w:rPr>
          <w:rFonts w:ascii="Calibri" w:cs="Calibri" w:eastAsia="Calibri" w:hAnsi="Calibri"/>
          <w:sz w:val="18"/>
          <w:szCs w:val="18"/>
          <w:color w:val="auto"/>
        </w:rPr>
        <w:t xml:space="preserve"> Bluegrass – Blue Mount, LLC is a wholly owned subsidiary of Bluegrass Materials Company, LLC.</w:t>
      </w:r>
    </w:p>
    <w:p>
      <w:pPr>
        <w:spacing w:after="0" w:line="199" w:lineRule="auto"/>
        <w:rPr>
          <w:rFonts w:ascii="Calibri" w:cs="Calibri" w:eastAsia="Calibri" w:hAnsi="Calibri"/>
          <w:sz w:val="23"/>
          <w:szCs w:val="23"/>
          <w:color w:val="auto"/>
          <w:vertAlign w:val="superscript"/>
        </w:rPr>
      </w:pPr>
      <w:r>
        <w:rPr>
          <w:rFonts w:ascii="Calibri" w:cs="Calibri" w:eastAsia="Calibri" w:hAnsi="Calibri"/>
          <w:sz w:val="24"/>
          <w:szCs w:val="24"/>
          <w:color w:val="auto"/>
          <w:vertAlign w:val="superscript"/>
        </w:rPr>
        <w:t>6</w:t>
      </w:r>
      <w:r>
        <w:rPr>
          <w:rFonts w:ascii="Calibri" w:cs="Calibri" w:eastAsia="Calibri" w:hAnsi="Calibri"/>
          <w:sz w:val="18"/>
          <w:szCs w:val="18"/>
          <w:color w:val="auto"/>
        </w:rPr>
        <w:t xml:space="preserve"> Bluegrass Materials Company, LLC is a wholly owned subsidiary of Panadero Midco, LLC.</w:t>
      </w:r>
    </w:p>
    <w:p>
      <w:pPr>
        <w:spacing w:after="0" w:line="199" w:lineRule="auto"/>
        <w:rPr>
          <w:rFonts w:ascii="Calibri" w:cs="Calibri" w:eastAsia="Calibri" w:hAnsi="Calibri"/>
          <w:sz w:val="23"/>
          <w:szCs w:val="23"/>
          <w:color w:val="auto"/>
          <w:vertAlign w:val="superscript"/>
        </w:rPr>
      </w:pPr>
      <w:r>
        <w:rPr>
          <w:rFonts w:ascii="Calibri" w:cs="Calibri" w:eastAsia="Calibri" w:hAnsi="Calibri"/>
          <w:sz w:val="24"/>
          <w:szCs w:val="24"/>
          <w:color w:val="auto"/>
          <w:vertAlign w:val="superscript"/>
        </w:rPr>
        <w:t>7</w:t>
      </w:r>
      <w:r>
        <w:rPr>
          <w:rFonts w:ascii="Calibri" w:cs="Calibri" w:eastAsia="Calibri" w:hAnsi="Calibri"/>
          <w:sz w:val="18"/>
          <w:szCs w:val="18"/>
          <w:color w:val="auto"/>
        </w:rPr>
        <w:t xml:space="preserve"> Bluegrass-St. Marys, LLC is a wholly owned subsidiary of Bluegrass Materials Company, LLC.</w:t>
      </w:r>
    </w:p>
    <w:p>
      <w:pPr>
        <w:spacing w:after="0" w:line="199" w:lineRule="auto"/>
        <w:rPr>
          <w:rFonts w:ascii="Calibri" w:cs="Calibri" w:eastAsia="Calibri" w:hAnsi="Calibri"/>
          <w:sz w:val="23"/>
          <w:szCs w:val="23"/>
          <w:color w:val="auto"/>
          <w:vertAlign w:val="superscript"/>
        </w:rPr>
      </w:pPr>
      <w:r>
        <w:rPr>
          <w:rFonts w:ascii="Calibri" w:cs="Calibri" w:eastAsia="Calibri" w:hAnsi="Calibri"/>
          <w:sz w:val="24"/>
          <w:szCs w:val="24"/>
          <w:color w:val="auto"/>
          <w:vertAlign w:val="superscript"/>
        </w:rPr>
        <w:t>8</w:t>
      </w:r>
      <w:r>
        <w:rPr>
          <w:rFonts w:ascii="Calibri" w:cs="Calibri" w:eastAsia="Calibri" w:hAnsi="Calibri"/>
          <w:sz w:val="18"/>
          <w:szCs w:val="18"/>
          <w:color w:val="auto"/>
        </w:rPr>
        <w:t xml:space="preserve"> Brookhollow Corporaton is a wholly owned subsidiary of Martn Marieta Southwest Ready-Mix, Inc.</w:t>
      </w:r>
    </w:p>
    <w:p>
      <w:pPr>
        <w:spacing w:after="0" w:line="199" w:lineRule="auto"/>
        <w:rPr>
          <w:rFonts w:ascii="Calibri" w:cs="Calibri" w:eastAsia="Calibri" w:hAnsi="Calibri"/>
          <w:sz w:val="23"/>
          <w:szCs w:val="23"/>
          <w:color w:val="auto"/>
          <w:vertAlign w:val="superscript"/>
        </w:rPr>
      </w:pPr>
      <w:r>
        <w:rPr>
          <w:rFonts w:ascii="Calibri" w:cs="Calibri" w:eastAsia="Calibri" w:hAnsi="Calibri"/>
          <w:sz w:val="24"/>
          <w:szCs w:val="24"/>
          <w:color w:val="auto"/>
          <w:vertAlign w:val="superscript"/>
        </w:rPr>
        <w:t>9</w:t>
      </w:r>
      <w:r>
        <w:rPr>
          <w:rFonts w:ascii="Calibri" w:cs="Calibri" w:eastAsia="Calibri" w:hAnsi="Calibri"/>
          <w:sz w:val="18"/>
          <w:szCs w:val="18"/>
          <w:color w:val="auto"/>
        </w:rPr>
        <w:t xml:space="preserve"> Campbell’s C-Ment Contractng, Inc. is a wholly-owned subsidiary of Suburban Acquisiton Company.</w:t>
      </w:r>
    </w:p>
    <w:p>
      <w:pPr>
        <w:spacing w:after="0" w:line="199" w:lineRule="auto"/>
        <w:rPr>
          <w:rFonts w:ascii="Calibri" w:cs="Calibri" w:eastAsia="Calibri" w:hAnsi="Calibri"/>
          <w:sz w:val="23"/>
          <w:szCs w:val="23"/>
          <w:color w:val="auto"/>
          <w:vertAlign w:val="superscript"/>
        </w:rPr>
      </w:pPr>
      <w:r>
        <w:rPr>
          <w:rFonts w:ascii="Calibri" w:cs="Calibri" w:eastAsia="Calibri" w:hAnsi="Calibri"/>
          <w:sz w:val="24"/>
          <w:szCs w:val="24"/>
          <w:color w:val="auto"/>
          <w:vertAlign w:val="superscript"/>
        </w:rPr>
        <w:t>10</w:t>
      </w:r>
      <w:r>
        <w:rPr>
          <w:rFonts w:ascii="Calibri" w:cs="Calibri" w:eastAsia="Calibri" w:hAnsi="Calibri"/>
          <w:sz w:val="18"/>
          <w:szCs w:val="18"/>
          <w:color w:val="auto"/>
        </w:rPr>
        <w:t xml:space="preserve"> Creole Corporaton is a wholly owned subsidiary of Martn Marieta Southwest Ready-Mix, Inc.</w:t>
      </w:r>
    </w:p>
    <w:p>
      <w:pPr>
        <w:spacing w:after="0" w:line="199" w:lineRule="auto"/>
        <w:rPr>
          <w:rFonts w:ascii="Calibri" w:cs="Calibri" w:eastAsia="Calibri" w:hAnsi="Calibri"/>
          <w:sz w:val="23"/>
          <w:szCs w:val="23"/>
          <w:color w:val="auto"/>
          <w:vertAlign w:val="superscript"/>
        </w:rPr>
      </w:pPr>
      <w:r>
        <w:rPr>
          <w:rFonts w:ascii="Calibri" w:cs="Calibri" w:eastAsia="Calibri" w:hAnsi="Calibri"/>
          <w:sz w:val="24"/>
          <w:szCs w:val="24"/>
          <w:color w:val="auto"/>
          <w:vertAlign w:val="superscript"/>
        </w:rPr>
        <w:t>11</w:t>
      </w:r>
      <w:r>
        <w:rPr>
          <w:rFonts w:ascii="Calibri" w:cs="Calibri" w:eastAsia="Calibri" w:hAnsi="Calibri"/>
          <w:sz w:val="18"/>
          <w:szCs w:val="18"/>
          <w:color w:val="auto"/>
        </w:rPr>
        <w:t xml:space="preserve"> FRI Ready Mix of Tennessee, LLC is a wholly owned subsidiary of American Materials Technologies,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0"/>
          <w:szCs w:val="20"/>
          <w:b w:val="1"/>
          <w:bCs w:val="1"/>
          <w:color w:val="auto"/>
        </w:rPr>
        <w:t>EXHIBIT 21.01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0"/>
        <w:spacing w:after="0"/>
        <w:rPr>
          <w:sz w:val="20"/>
          <w:szCs w:val="20"/>
          <w:color w:val="auto"/>
        </w:rPr>
      </w:pPr>
      <w:r>
        <w:rPr>
          <w:rFonts w:ascii="Calibri" w:cs="Calibri" w:eastAsia="Calibri" w:hAnsi="Calibri"/>
          <w:sz w:val="20"/>
          <w:szCs w:val="20"/>
          <w:b w:val="1"/>
          <w:bCs w:val="1"/>
          <w:color w:val="auto"/>
        </w:rPr>
        <w:t>Percent</w:t>
      </w:r>
    </w:p>
    <w:p>
      <w:pPr>
        <w:spacing w:after="0" w:line="26" w:lineRule="exact"/>
        <w:rPr>
          <w:sz w:val="20"/>
          <w:szCs w:val="20"/>
          <w:color w:val="auto"/>
        </w:rPr>
      </w:pPr>
    </w:p>
    <w:p>
      <w:pPr>
        <w:ind w:left="420"/>
        <w:spacing w:after="0"/>
        <w:rPr>
          <w:sz w:val="20"/>
          <w:szCs w:val="20"/>
          <w:color w:val="auto"/>
        </w:rPr>
      </w:pPr>
      <w:r>
        <w:rPr>
          <w:rFonts w:ascii="Calibri" w:cs="Calibri" w:eastAsia="Calibri" w:hAnsi="Calibri"/>
          <w:sz w:val="20"/>
          <w:szCs w:val="20"/>
          <w:b w:val="1"/>
          <w:bCs w:val="1"/>
          <w:u w:val="single" w:color="auto"/>
          <w:color w:val="auto"/>
        </w:rPr>
        <w:t>Owned</w:t>
      </w:r>
    </w:p>
    <w:p>
      <w:pPr>
        <w:ind w:left="420"/>
        <w:spacing w:after="0" w:line="233" w:lineRule="auto"/>
        <w:rPr>
          <w:sz w:val="20"/>
          <w:szCs w:val="20"/>
          <w:color w:val="auto"/>
        </w:rPr>
      </w:pPr>
      <w:r>
        <w:rPr>
          <w:rFonts w:ascii="Calibri" w:cs="Calibri" w:eastAsia="Calibri" w:hAnsi="Calibri"/>
          <w:sz w:val="20"/>
          <w:szCs w:val="20"/>
          <w:color w:val="auto"/>
        </w:rPr>
        <w:t>99.5%</w:t>
      </w:r>
      <w:r>
        <w:rPr>
          <w:rFonts w:ascii="Calibri" w:cs="Calibri" w:eastAsia="Calibri" w:hAnsi="Calibri"/>
          <w:sz w:val="26"/>
          <w:szCs w:val="26"/>
          <w:color w:val="auto"/>
          <w:vertAlign w:val="superscript"/>
        </w:rPr>
        <w:t>1</w:t>
      </w:r>
    </w:p>
    <w:p>
      <w:pPr>
        <w:spacing w:after="0" w:line="102" w:lineRule="exact"/>
        <w:rPr>
          <w:sz w:val="20"/>
          <w:szCs w:val="20"/>
          <w:color w:val="auto"/>
        </w:rPr>
      </w:pPr>
    </w:p>
    <w:p>
      <w:pPr>
        <w:ind w:left="420"/>
        <w:spacing w:after="0"/>
        <w:rPr>
          <w:sz w:val="20"/>
          <w:szCs w:val="20"/>
          <w:color w:val="auto"/>
        </w:rPr>
      </w:pPr>
      <w:r>
        <w:rPr>
          <w:rFonts w:ascii="Calibri" w:cs="Calibri" w:eastAsia="Calibri" w:hAnsi="Calibri"/>
          <w:sz w:val="20"/>
          <w:szCs w:val="20"/>
          <w:color w:val="auto"/>
        </w:rPr>
        <w:t>99.5%</w:t>
      </w:r>
      <w:r>
        <w:rPr>
          <w:rFonts w:ascii="Calibri" w:cs="Calibri" w:eastAsia="Calibri" w:hAnsi="Calibri"/>
          <w:sz w:val="26"/>
          <w:szCs w:val="26"/>
          <w:color w:val="auto"/>
          <w:vertAlign w:val="superscript"/>
        </w:rPr>
        <w:t>2</w:t>
      </w:r>
    </w:p>
    <w:p>
      <w:pPr>
        <w:spacing w:after="0" w:line="136" w:lineRule="exact"/>
        <w:rPr>
          <w:sz w:val="20"/>
          <w:szCs w:val="20"/>
          <w:color w:val="auto"/>
        </w:rPr>
      </w:pPr>
    </w:p>
    <w:p>
      <w:pPr>
        <w:ind w:left="480"/>
        <w:spacing w:after="0"/>
        <w:rPr>
          <w:sz w:val="20"/>
          <w:szCs w:val="20"/>
          <w:color w:val="auto"/>
        </w:rPr>
      </w:pPr>
      <w:r>
        <w:rPr>
          <w:rFonts w:ascii="Calibri" w:cs="Calibri" w:eastAsia="Calibri" w:hAnsi="Calibri"/>
          <w:sz w:val="20"/>
          <w:szCs w:val="20"/>
          <w:color w:val="auto"/>
        </w:rPr>
        <w:t>100%</w:t>
      </w:r>
    </w:p>
    <w:p>
      <w:pPr>
        <w:spacing w:after="0" w:line="140" w:lineRule="exact"/>
        <w:rPr>
          <w:sz w:val="20"/>
          <w:szCs w:val="20"/>
          <w:color w:val="auto"/>
        </w:rPr>
      </w:pPr>
    </w:p>
    <w:p>
      <w:pPr>
        <w:ind w:left="460"/>
        <w:spacing w:after="0"/>
        <w:rPr>
          <w:sz w:val="20"/>
          <w:szCs w:val="20"/>
          <w:color w:val="auto"/>
        </w:rPr>
      </w:pPr>
      <w:r>
        <w:rPr>
          <w:rFonts w:ascii="Calibri" w:cs="Calibri" w:eastAsia="Calibri" w:hAnsi="Calibri"/>
          <w:sz w:val="20"/>
          <w:szCs w:val="20"/>
          <w:color w:val="auto"/>
        </w:rPr>
        <w:t>100%</w:t>
      </w:r>
      <w:r>
        <w:rPr>
          <w:rFonts w:ascii="Calibri" w:cs="Calibri" w:eastAsia="Calibri" w:hAnsi="Calibri"/>
          <w:sz w:val="26"/>
          <w:szCs w:val="26"/>
          <w:color w:val="auto"/>
          <w:vertAlign w:val="superscript"/>
        </w:rPr>
        <w:t>3</w:t>
      </w:r>
    </w:p>
    <w:p>
      <w:pPr>
        <w:spacing w:after="0" w:line="101" w:lineRule="exact"/>
        <w:rPr>
          <w:sz w:val="20"/>
          <w:szCs w:val="20"/>
          <w:color w:val="auto"/>
        </w:rPr>
      </w:pPr>
    </w:p>
    <w:p>
      <w:pPr>
        <w:ind w:left="500"/>
        <w:spacing w:after="0"/>
        <w:rPr>
          <w:sz w:val="20"/>
          <w:szCs w:val="20"/>
          <w:color w:val="auto"/>
        </w:rPr>
      </w:pPr>
      <w:r>
        <w:rPr>
          <w:rFonts w:ascii="Calibri" w:cs="Calibri" w:eastAsia="Calibri" w:hAnsi="Calibri"/>
          <w:sz w:val="20"/>
          <w:szCs w:val="20"/>
          <w:color w:val="auto"/>
        </w:rPr>
        <w:t>50%</w:t>
      </w:r>
      <w:r>
        <w:rPr>
          <w:rFonts w:ascii="Calibri" w:cs="Calibri" w:eastAsia="Calibri" w:hAnsi="Calibri"/>
          <w:sz w:val="26"/>
          <w:szCs w:val="26"/>
          <w:color w:val="auto"/>
          <w:vertAlign w:val="superscript"/>
        </w:rPr>
        <w:t>4</w:t>
      </w:r>
    </w:p>
    <w:p>
      <w:pPr>
        <w:spacing w:after="0" w:line="136" w:lineRule="exact"/>
        <w:rPr>
          <w:sz w:val="20"/>
          <w:szCs w:val="20"/>
          <w:color w:val="auto"/>
        </w:rPr>
      </w:pPr>
    </w:p>
    <w:p>
      <w:pPr>
        <w:ind w:left="480"/>
        <w:spacing w:after="0"/>
        <w:rPr>
          <w:sz w:val="20"/>
          <w:szCs w:val="20"/>
          <w:color w:val="auto"/>
        </w:rPr>
      </w:pPr>
      <w:r>
        <w:rPr>
          <w:rFonts w:ascii="Calibri" w:cs="Calibri" w:eastAsia="Calibri" w:hAnsi="Calibri"/>
          <w:sz w:val="20"/>
          <w:szCs w:val="20"/>
          <w:color w:val="auto"/>
        </w:rPr>
        <w:t>100%</w:t>
      </w:r>
    </w:p>
    <w:p>
      <w:pPr>
        <w:spacing w:after="0" w:line="140" w:lineRule="exact"/>
        <w:rPr>
          <w:sz w:val="20"/>
          <w:szCs w:val="20"/>
          <w:color w:val="auto"/>
        </w:rPr>
      </w:pPr>
    </w:p>
    <w:p>
      <w:pPr>
        <w:ind w:left="460"/>
        <w:spacing w:after="0"/>
        <w:rPr>
          <w:sz w:val="20"/>
          <w:szCs w:val="20"/>
          <w:color w:val="auto"/>
        </w:rPr>
      </w:pPr>
      <w:r>
        <w:rPr>
          <w:rFonts w:ascii="Calibri" w:cs="Calibri" w:eastAsia="Calibri" w:hAnsi="Calibri"/>
          <w:sz w:val="20"/>
          <w:szCs w:val="20"/>
          <w:color w:val="auto"/>
        </w:rPr>
        <w:t>100%</w:t>
      </w:r>
      <w:r>
        <w:rPr>
          <w:rFonts w:ascii="Calibri" w:cs="Calibri" w:eastAsia="Calibri" w:hAnsi="Calibri"/>
          <w:sz w:val="26"/>
          <w:szCs w:val="26"/>
          <w:color w:val="auto"/>
          <w:vertAlign w:val="superscript"/>
        </w:rPr>
        <w:t>5</w:t>
      </w:r>
    </w:p>
    <w:p>
      <w:pPr>
        <w:spacing w:after="0" w:line="101" w:lineRule="exact"/>
        <w:rPr>
          <w:sz w:val="20"/>
          <w:szCs w:val="20"/>
          <w:color w:val="auto"/>
        </w:rPr>
      </w:pPr>
    </w:p>
    <w:p>
      <w:pPr>
        <w:ind w:left="460"/>
        <w:spacing w:after="0"/>
        <w:rPr>
          <w:sz w:val="20"/>
          <w:szCs w:val="20"/>
          <w:color w:val="auto"/>
        </w:rPr>
      </w:pPr>
      <w:r>
        <w:rPr>
          <w:rFonts w:ascii="Calibri" w:cs="Calibri" w:eastAsia="Calibri" w:hAnsi="Calibri"/>
          <w:sz w:val="20"/>
          <w:szCs w:val="20"/>
          <w:color w:val="auto"/>
        </w:rPr>
        <w:t>100%</w:t>
      </w:r>
      <w:r>
        <w:rPr>
          <w:rFonts w:ascii="Calibri" w:cs="Calibri" w:eastAsia="Calibri" w:hAnsi="Calibri"/>
          <w:sz w:val="26"/>
          <w:szCs w:val="26"/>
          <w:color w:val="auto"/>
          <w:vertAlign w:val="superscript"/>
        </w:rPr>
        <w:t>6</w:t>
      </w:r>
    </w:p>
    <w:p>
      <w:pPr>
        <w:spacing w:after="0" w:line="101" w:lineRule="exact"/>
        <w:rPr>
          <w:sz w:val="20"/>
          <w:szCs w:val="20"/>
          <w:color w:val="auto"/>
        </w:rPr>
      </w:pPr>
    </w:p>
    <w:p>
      <w:pPr>
        <w:ind w:left="460"/>
        <w:spacing w:after="0"/>
        <w:rPr>
          <w:sz w:val="20"/>
          <w:szCs w:val="20"/>
          <w:color w:val="auto"/>
        </w:rPr>
      </w:pPr>
      <w:r>
        <w:rPr>
          <w:rFonts w:ascii="Calibri" w:cs="Calibri" w:eastAsia="Calibri" w:hAnsi="Calibri"/>
          <w:sz w:val="20"/>
          <w:szCs w:val="20"/>
          <w:color w:val="auto"/>
        </w:rPr>
        <w:t>100%</w:t>
      </w:r>
      <w:r>
        <w:rPr>
          <w:rFonts w:ascii="Calibri" w:cs="Calibri" w:eastAsia="Calibri" w:hAnsi="Calibri"/>
          <w:sz w:val="26"/>
          <w:szCs w:val="26"/>
          <w:color w:val="auto"/>
          <w:vertAlign w:val="superscript"/>
        </w:rPr>
        <w:t>7</w:t>
      </w:r>
    </w:p>
    <w:p>
      <w:pPr>
        <w:spacing w:after="0" w:line="101" w:lineRule="exact"/>
        <w:rPr>
          <w:sz w:val="20"/>
          <w:szCs w:val="20"/>
          <w:color w:val="auto"/>
        </w:rPr>
      </w:pPr>
    </w:p>
    <w:p>
      <w:pPr>
        <w:ind w:left="460"/>
        <w:spacing w:after="0"/>
        <w:rPr>
          <w:sz w:val="20"/>
          <w:szCs w:val="20"/>
          <w:color w:val="auto"/>
        </w:rPr>
      </w:pPr>
      <w:r>
        <w:rPr>
          <w:rFonts w:ascii="Calibri" w:cs="Calibri" w:eastAsia="Calibri" w:hAnsi="Calibri"/>
          <w:sz w:val="20"/>
          <w:szCs w:val="20"/>
          <w:color w:val="auto"/>
        </w:rPr>
        <w:t>100%</w:t>
      </w:r>
      <w:r>
        <w:rPr>
          <w:rFonts w:ascii="Calibri" w:cs="Calibri" w:eastAsia="Calibri" w:hAnsi="Calibri"/>
          <w:sz w:val="26"/>
          <w:szCs w:val="26"/>
          <w:color w:val="auto"/>
          <w:vertAlign w:val="superscript"/>
        </w:rPr>
        <w:t>8</w:t>
      </w:r>
    </w:p>
    <w:p>
      <w:pPr>
        <w:spacing w:after="0" w:line="101" w:lineRule="exact"/>
        <w:rPr>
          <w:sz w:val="20"/>
          <w:szCs w:val="20"/>
          <w:color w:val="auto"/>
        </w:rPr>
      </w:pPr>
    </w:p>
    <w:p>
      <w:pPr>
        <w:ind w:left="460"/>
        <w:spacing w:after="0"/>
        <w:rPr>
          <w:sz w:val="20"/>
          <w:szCs w:val="20"/>
          <w:color w:val="auto"/>
        </w:rPr>
      </w:pPr>
      <w:r>
        <w:rPr>
          <w:rFonts w:ascii="Calibri" w:cs="Calibri" w:eastAsia="Calibri" w:hAnsi="Calibri"/>
          <w:sz w:val="20"/>
          <w:szCs w:val="20"/>
          <w:color w:val="auto"/>
        </w:rPr>
        <w:t>100%</w:t>
      </w:r>
      <w:r>
        <w:rPr>
          <w:rFonts w:ascii="Calibri" w:cs="Calibri" w:eastAsia="Calibri" w:hAnsi="Calibri"/>
          <w:sz w:val="26"/>
          <w:szCs w:val="26"/>
          <w:color w:val="auto"/>
          <w:vertAlign w:val="superscript"/>
        </w:rPr>
        <w:t>9</w:t>
      </w:r>
    </w:p>
    <w:p>
      <w:pPr>
        <w:spacing w:after="0" w:line="136" w:lineRule="exact"/>
        <w:rPr>
          <w:sz w:val="20"/>
          <w:szCs w:val="20"/>
          <w:color w:val="auto"/>
        </w:rPr>
      </w:pPr>
    </w:p>
    <w:p>
      <w:pPr>
        <w:jc w:val="center"/>
        <w:ind w:right="-259"/>
        <w:spacing w:after="0"/>
        <w:rPr>
          <w:sz w:val="20"/>
          <w:szCs w:val="20"/>
          <w:color w:val="auto"/>
        </w:rPr>
      </w:pPr>
      <w:r>
        <w:rPr>
          <w:rFonts w:ascii="Calibri" w:cs="Calibri" w:eastAsia="Calibri" w:hAnsi="Calibri"/>
          <w:sz w:val="20"/>
          <w:szCs w:val="20"/>
          <w:color w:val="auto"/>
        </w:rPr>
        <w:t>100%</w:t>
      </w:r>
    </w:p>
    <w:p>
      <w:pPr>
        <w:spacing w:after="0" w:line="140" w:lineRule="exact"/>
        <w:rPr>
          <w:sz w:val="20"/>
          <w:szCs w:val="20"/>
          <w:color w:val="auto"/>
        </w:rPr>
      </w:pPr>
    </w:p>
    <w:p>
      <w:pPr>
        <w:ind w:left="420"/>
        <w:spacing w:after="0"/>
        <w:rPr>
          <w:sz w:val="20"/>
          <w:szCs w:val="20"/>
          <w:color w:val="auto"/>
        </w:rPr>
      </w:pPr>
      <w:r>
        <w:rPr>
          <w:rFonts w:ascii="Calibri" w:cs="Calibri" w:eastAsia="Calibri" w:hAnsi="Calibri"/>
          <w:sz w:val="20"/>
          <w:szCs w:val="20"/>
          <w:color w:val="auto"/>
        </w:rPr>
        <w:t>100%</w:t>
      </w:r>
      <w:r>
        <w:rPr>
          <w:rFonts w:ascii="Calibri" w:cs="Calibri" w:eastAsia="Calibri" w:hAnsi="Calibri"/>
          <w:sz w:val="26"/>
          <w:szCs w:val="26"/>
          <w:color w:val="auto"/>
          <w:vertAlign w:val="superscript"/>
        </w:rPr>
        <w:t>10</w:t>
      </w:r>
    </w:p>
    <w:p>
      <w:pPr>
        <w:spacing w:after="0" w:line="101" w:lineRule="exact"/>
        <w:rPr>
          <w:sz w:val="20"/>
          <w:szCs w:val="20"/>
          <w:color w:val="auto"/>
        </w:rPr>
      </w:pPr>
    </w:p>
    <w:p>
      <w:pPr>
        <w:ind w:left="420"/>
        <w:spacing w:after="0"/>
        <w:rPr>
          <w:sz w:val="20"/>
          <w:szCs w:val="20"/>
          <w:color w:val="auto"/>
        </w:rPr>
      </w:pPr>
      <w:r>
        <w:rPr>
          <w:rFonts w:ascii="Calibri" w:cs="Calibri" w:eastAsia="Calibri" w:hAnsi="Calibri"/>
          <w:sz w:val="20"/>
          <w:szCs w:val="20"/>
          <w:color w:val="auto"/>
        </w:rPr>
        <w:t>100%</w:t>
      </w:r>
      <w:r>
        <w:rPr>
          <w:rFonts w:ascii="Calibri" w:cs="Calibri" w:eastAsia="Calibri" w:hAnsi="Calibri"/>
          <w:sz w:val="26"/>
          <w:szCs w:val="26"/>
          <w:color w:val="auto"/>
          <w:vertAlign w:val="superscript"/>
        </w:rPr>
        <w:t>11</w:t>
      </w:r>
    </w:p>
    <w:p>
      <w:pPr>
        <w:sectPr>
          <w:pgSz w:w="11900" w:h="16838" w:orient="portrait"/>
          <w:cols w:equalWidth="0" w:num="2">
            <w:col w:w="9480" w:space="600"/>
            <w:col w:w="1160"/>
          </w:cols>
          <w:pgMar w:left="320" w:top="348" w:right="339" w:bottom="1440" w:gutter="0" w:footer="0" w:header="0"/>
        </w:sectPr>
      </w:pPr>
    </w:p>
    <w:bookmarkStart w:id="127" w:name="page128"/>
    <w:bookmarkEnd w:id="127"/>
    <w:tbl>
      <w:tblPr>
        <w:tblLayout w:type="fixed"/>
        <w:tblInd w:w="12" w:type="dxa"/>
        <w:tblCellMar>
          <w:top w:w="0" w:type="dxa"/>
          <w:left w:w="0" w:type="dxa"/>
          <w:bottom w:w="0" w:type="dxa"/>
          <w:right w:w="0" w:type="dxa"/>
        </w:tblCellMar>
      </w:tblPr>
      <w:tr>
        <w:trPr>
          <w:trHeight w:val="244"/>
        </w:trPr>
        <w:tc>
          <w:tcPr>
            <w:tcW w:w="8600" w:type="dxa"/>
            <w:vAlign w:val="bottom"/>
          </w:tcPr>
          <w:p>
            <w:pPr>
              <w:spacing w:after="0"/>
              <w:rPr>
                <w:sz w:val="20"/>
                <w:szCs w:val="20"/>
                <w:color w:val="auto"/>
              </w:rPr>
            </w:pPr>
            <w:r>
              <w:rPr>
                <w:rFonts w:ascii="Calibri" w:cs="Calibri" w:eastAsia="Calibri" w:hAnsi="Calibri"/>
                <w:sz w:val="20"/>
                <w:szCs w:val="20"/>
                <w:color w:val="auto"/>
              </w:rPr>
              <w:t>Front Range Aggregates LLC, a Delaware limited liability company</w:t>
            </w:r>
          </w:p>
        </w:tc>
        <w:tc>
          <w:tcPr>
            <w:tcW w:w="2460" w:type="dxa"/>
            <w:vAlign w:val="bottom"/>
          </w:tcPr>
          <w:p>
            <w:pPr>
              <w:jc w:val="center"/>
              <w:ind w:left="1781"/>
              <w:spacing w:after="0"/>
              <w:rPr>
                <w:sz w:val="20"/>
                <w:szCs w:val="20"/>
                <w:color w:val="auto"/>
              </w:rPr>
            </w:pPr>
            <w:r>
              <w:rPr>
                <w:rFonts w:ascii="Calibri" w:cs="Calibri" w:eastAsia="Calibri" w:hAnsi="Calibri"/>
                <w:sz w:val="20"/>
                <w:szCs w:val="20"/>
                <w:color w:val="auto"/>
              </w:rPr>
              <w:t>100%</w:t>
            </w:r>
          </w:p>
        </w:tc>
      </w:tr>
      <w:tr>
        <w:trPr>
          <w:trHeight w:val="457"/>
        </w:trPr>
        <w:tc>
          <w:tcPr>
            <w:tcW w:w="8600" w:type="dxa"/>
            <w:vAlign w:val="bottom"/>
          </w:tcPr>
          <w:p>
            <w:pPr>
              <w:spacing w:after="0"/>
              <w:rPr>
                <w:sz w:val="20"/>
                <w:szCs w:val="20"/>
                <w:color w:val="auto"/>
              </w:rPr>
            </w:pPr>
            <w:r>
              <w:rPr>
                <w:rFonts w:ascii="Calibri" w:cs="Calibri" w:eastAsia="Calibri" w:hAnsi="Calibri"/>
                <w:sz w:val="20"/>
                <w:szCs w:val="20"/>
                <w:color w:val="auto"/>
              </w:rPr>
              <w:t>Granite Canyon Quarry, a Wyoming joint venture</w:t>
            </w:r>
          </w:p>
        </w:tc>
        <w:tc>
          <w:tcPr>
            <w:tcW w:w="2460" w:type="dxa"/>
            <w:vAlign w:val="bottom"/>
          </w:tcPr>
          <w:p>
            <w:pPr>
              <w:jc w:val="center"/>
              <w:ind w:left="1781"/>
              <w:spacing w:after="0"/>
              <w:rPr>
                <w:sz w:val="20"/>
                <w:szCs w:val="20"/>
                <w:color w:val="auto"/>
              </w:rPr>
            </w:pPr>
            <w:r>
              <w:rPr>
                <w:rFonts w:ascii="Calibri" w:cs="Calibri" w:eastAsia="Calibri" w:hAnsi="Calibri"/>
                <w:sz w:val="20"/>
                <w:szCs w:val="20"/>
                <w:color w:val="auto"/>
                <w:w w:val="93"/>
              </w:rPr>
              <w:t>100%</w:t>
            </w:r>
            <w:r>
              <w:rPr>
                <w:rFonts w:ascii="Calibri" w:cs="Calibri" w:eastAsia="Calibri" w:hAnsi="Calibri"/>
                <w:sz w:val="26"/>
                <w:szCs w:val="26"/>
                <w:color w:val="auto"/>
                <w:w w:val="93"/>
                <w:vertAlign w:val="superscript"/>
              </w:rPr>
              <w:t>12</w:t>
            </w:r>
          </w:p>
        </w:tc>
      </w:tr>
      <w:tr>
        <w:trPr>
          <w:trHeight w:val="380"/>
        </w:trPr>
        <w:tc>
          <w:tcPr>
            <w:tcW w:w="8600" w:type="dxa"/>
            <w:vAlign w:val="bottom"/>
          </w:tcPr>
          <w:p>
            <w:pPr>
              <w:spacing w:after="0"/>
              <w:rPr>
                <w:sz w:val="20"/>
                <w:szCs w:val="20"/>
                <w:color w:val="auto"/>
              </w:rPr>
            </w:pPr>
            <w:r>
              <w:rPr>
                <w:rFonts w:ascii="Calibri" w:cs="Calibri" w:eastAsia="Calibri" w:hAnsi="Calibri"/>
                <w:sz w:val="20"/>
                <w:szCs w:val="20"/>
                <w:color w:val="auto"/>
              </w:rPr>
              <w:t>Harding Street Corporaton, a North Carolina corporaton</w:t>
            </w:r>
          </w:p>
        </w:tc>
        <w:tc>
          <w:tcPr>
            <w:tcW w:w="2460" w:type="dxa"/>
            <w:vAlign w:val="bottom"/>
          </w:tcPr>
          <w:p>
            <w:pPr>
              <w:jc w:val="center"/>
              <w:ind w:left="1781"/>
              <w:spacing w:after="0"/>
              <w:rPr>
                <w:sz w:val="20"/>
                <w:szCs w:val="20"/>
                <w:color w:val="auto"/>
              </w:rPr>
            </w:pPr>
            <w:r>
              <w:rPr>
                <w:rFonts w:ascii="Calibri" w:cs="Calibri" w:eastAsia="Calibri" w:hAnsi="Calibri"/>
                <w:sz w:val="20"/>
                <w:szCs w:val="20"/>
                <w:color w:val="auto"/>
              </w:rPr>
              <w:t>100%</w:t>
            </w:r>
          </w:p>
        </w:tc>
      </w:tr>
      <w:tr>
        <w:trPr>
          <w:trHeight w:val="418"/>
        </w:trPr>
        <w:tc>
          <w:tcPr>
            <w:tcW w:w="8600" w:type="dxa"/>
            <w:vAlign w:val="bottom"/>
          </w:tcPr>
          <w:p>
            <w:pPr>
              <w:spacing w:after="0"/>
              <w:rPr>
                <w:sz w:val="20"/>
                <w:szCs w:val="20"/>
                <w:color w:val="auto"/>
              </w:rPr>
            </w:pPr>
            <w:r>
              <w:rPr>
                <w:rFonts w:ascii="Calibri" w:cs="Calibri" w:eastAsia="Calibri" w:hAnsi="Calibri"/>
                <w:sz w:val="20"/>
                <w:szCs w:val="20"/>
                <w:color w:val="auto"/>
              </w:rPr>
              <w:t>HSMM LLC, a North Carolina limited liability company</w:t>
            </w:r>
          </w:p>
        </w:tc>
        <w:tc>
          <w:tcPr>
            <w:tcW w:w="2460" w:type="dxa"/>
            <w:vAlign w:val="bottom"/>
          </w:tcPr>
          <w:p>
            <w:pPr>
              <w:jc w:val="center"/>
              <w:ind w:left="1781"/>
              <w:spacing w:after="0"/>
              <w:rPr>
                <w:sz w:val="20"/>
                <w:szCs w:val="20"/>
                <w:color w:val="auto"/>
              </w:rPr>
            </w:pPr>
            <w:r>
              <w:rPr>
                <w:rFonts w:ascii="Calibri" w:cs="Calibri" w:eastAsia="Calibri" w:hAnsi="Calibri"/>
                <w:sz w:val="20"/>
                <w:szCs w:val="20"/>
                <w:color w:val="auto"/>
              </w:rPr>
              <w:t>100%</w:t>
            </w:r>
          </w:p>
        </w:tc>
      </w:tr>
      <w:tr>
        <w:trPr>
          <w:trHeight w:val="457"/>
        </w:trPr>
        <w:tc>
          <w:tcPr>
            <w:tcW w:w="8600" w:type="dxa"/>
            <w:vAlign w:val="bottom"/>
          </w:tcPr>
          <w:p>
            <w:pPr>
              <w:spacing w:after="0"/>
              <w:rPr>
                <w:sz w:val="20"/>
                <w:szCs w:val="20"/>
                <w:color w:val="auto"/>
              </w:rPr>
            </w:pPr>
            <w:r>
              <w:rPr>
                <w:rFonts w:ascii="Calibri" w:cs="Calibri" w:eastAsia="Calibri" w:hAnsi="Calibri"/>
                <w:sz w:val="20"/>
                <w:szCs w:val="20"/>
                <w:color w:val="auto"/>
              </w:rPr>
              <w:t>Kent Sand &amp; Gravel Company, LLC, a North Carolina limited liability company</w:t>
            </w:r>
          </w:p>
        </w:tc>
        <w:tc>
          <w:tcPr>
            <w:tcW w:w="2460" w:type="dxa"/>
            <w:vAlign w:val="bottom"/>
          </w:tcPr>
          <w:p>
            <w:pPr>
              <w:jc w:val="center"/>
              <w:ind w:left="1781"/>
              <w:spacing w:after="0"/>
              <w:rPr>
                <w:sz w:val="20"/>
                <w:szCs w:val="20"/>
                <w:color w:val="auto"/>
              </w:rPr>
            </w:pPr>
            <w:r>
              <w:rPr>
                <w:rFonts w:ascii="Calibri" w:cs="Calibri" w:eastAsia="Calibri" w:hAnsi="Calibri"/>
                <w:sz w:val="20"/>
                <w:szCs w:val="20"/>
                <w:color w:val="auto"/>
                <w:w w:val="93"/>
              </w:rPr>
              <w:t>100%</w:t>
            </w:r>
            <w:r>
              <w:rPr>
                <w:rFonts w:ascii="Calibri" w:cs="Calibri" w:eastAsia="Calibri" w:hAnsi="Calibri"/>
                <w:sz w:val="26"/>
                <w:szCs w:val="26"/>
                <w:color w:val="auto"/>
                <w:w w:val="93"/>
                <w:vertAlign w:val="superscript"/>
              </w:rPr>
              <w:t>13</w:t>
            </w:r>
          </w:p>
        </w:tc>
      </w:tr>
      <w:tr>
        <w:trPr>
          <w:trHeight w:val="419"/>
        </w:trPr>
        <w:tc>
          <w:tcPr>
            <w:tcW w:w="8600" w:type="dxa"/>
            <w:vAlign w:val="bottom"/>
          </w:tcPr>
          <w:p>
            <w:pPr>
              <w:spacing w:after="0"/>
              <w:rPr>
                <w:sz w:val="20"/>
                <w:szCs w:val="20"/>
                <w:color w:val="auto"/>
              </w:rPr>
            </w:pPr>
            <w:r>
              <w:rPr>
                <w:rFonts w:ascii="Calibri" w:cs="Calibri" w:eastAsia="Calibri" w:hAnsi="Calibri"/>
                <w:sz w:val="20"/>
                <w:szCs w:val="20"/>
                <w:color w:val="auto"/>
              </w:rPr>
              <w:t>Mardell Trucking Company, Inc., a North Carolina corporaton</w:t>
            </w:r>
          </w:p>
        </w:tc>
        <w:tc>
          <w:tcPr>
            <w:tcW w:w="2460" w:type="dxa"/>
            <w:vAlign w:val="bottom"/>
          </w:tcPr>
          <w:p>
            <w:pPr>
              <w:jc w:val="center"/>
              <w:ind w:left="1781"/>
              <w:spacing w:after="0"/>
              <w:rPr>
                <w:sz w:val="20"/>
                <w:szCs w:val="20"/>
                <w:color w:val="auto"/>
              </w:rPr>
            </w:pPr>
            <w:r>
              <w:rPr>
                <w:rFonts w:ascii="Calibri" w:cs="Calibri" w:eastAsia="Calibri" w:hAnsi="Calibri"/>
                <w:sz w:val="20"/>
                <w:szCs w:val="20"/>
                <w:color w:val="auto"/>
                <w:w w:val="93"/>
              </w:rPr>
              <w:t>100%</w:t>
            </w:r>
            <w:r>
              <w:rPr>
                <w:rFonts w:ascii="Calibri" w:cs="Calibri" w:eastAsia="Calibri" w:hAnsi="Calibri"/>
                <w:sz w:val="26"/>
                <w:szCs w:val="26"/>
                <w:color w:val="auto"/>
                <w:w w:val="93"/>
                <w:vertAlign w:val="superscript"/>
              </w:rPr>
              <w:t>14</w:t>
            </w:r>
          </w:p>
        </w:tc>
      </w:tr>
      <w:tr>
        <w:trPr>
          <w:trHeight w:val="418"/>
        </w:trPr>
        <w:tc>
          <w:tcPr>
            <w:tcW w:w="8600" w:type="dxa"/>
            <w:vAlign w:val="bottom"/>
          </w:tcPr>
          <w:p>
            <w:pPr>
              <w:spacing w:after="0"/>
              <w:rPr>
                <w:sz w:val="20"/>
                <w:szCs w:val="20"/>
                <w:color w:val="auto"/>
              </w:rPr>
            </w:pPr>
            <w:r>
              <w:rPr>
                <w:rFonts w:ascii="Calibri" w:cs="Calibri" w:eastAsia="Calibri" w:hAnsi="Calibri"/>
                <w:sz w:val="20"/>
                <w:szCs w:val="20"/>
                <w:color w:val="auto"/>
              </w:rPr>
              <w:t>Martn Marieta Arizona, LLC, a North Carolina limited liability company</w:t>
            </w:r>
          </w:p>
        </w:tc>
        <w:tc>
          <w:tcPr>
            <w:tcW w:w="2460" w:type="dxa"/>
            <w:vAlign w:val="bottom"/>
          </w:tcPr>
          <w:p>
            <w:pPr>
              <w:jc w:val="center"/>
              <w:ind w:left="1781"/>
              <w:spacing w:after="0"/>
              <w:rPr>
                <w:sz w:val="20"/>
                <w:szCs w:val="20"/>
                <w:color w:val="auto"/>
              </w:rPr>
            </w:pPr>
            <w:r>
              <w:rPr>
                <w:rFonts w:ascii="Calibri" w:cs="Calibri" w:eastAsia="Calibri" w:hAnsi="Calibri"/>
                <w:sz w:val="20"/>
                <w:szCs w:val="20"/>
                <w:color w:val="auto"/>
                <w:w w:val="93"/>
              </w:rPr>
              <w:t>100%</w:t>
            </w:r>
            <w:r>
              <w:rPr>
                <w:rFonts w:ascii="Calibri" w:cs="Calibri" w:eastAsia="Calibri" w:hAnsi="Calibri"/>
                <w:sz w:val="26"/>
                <w:szCs w:val="26"/>
                <w:color w:val="auto"/>
                <w:w w:val="93"/>
                <w:vertAlign w:val="superscript"/>
              </w:rPr>
              <w:t>15</w:t>
            </w:r>
          </w:p>
        </w:tc>
      </w:tr>
      <w:tr>
        <w:trPr>
          <w:trHeight w:val="419"/>
        </w:trPr>
        <w:tc>
          <w:tcPr>
            <w:tcW w:w="8600" w:type="dxa"/>
            <w:vAlign w:val="bottom"/>
          </w:tcPr>
          <w:p>
            <w:pPr>
              <w:spacing w:after="0"/>
              <w:rPr>
                <w:sz w:val="20"/>
                <w:szCs w:val="20"/>
                <w:color w:val="auto"/>
              </w:rPr>
            </w:pPr>
            <w:r>
              <w:rPr>
                <w:rFonts w:ascii="Calibri" w:cs="Calibri" w:eastAsia="Calibri" w:hAnsi="Calibri"/>
                <w:sz w:val="20"/>
                <w:szCs w:val="20"/>
                <w:color w:val="auto"/>
              </w:rPr>
              <w:t>Martn Marieta Bluegrass, LLC, a North Carolina limited liability company</w:t>
            </w:r>
          </w:p>
        </w:tc>
        <w:tc>
          <w:tcPr>
            <w:tcW w:w="2460" w:type="dxa"/>
            <w:vAlign w:val="bottom"/>
          </w:tcPr>
          <w:p>
            <w:pPr>
              <w:jc w:val="center"/>
              <w:ind w:left="1781"/>
              <w:spacing w:after="0"/>
              <w:rPr>
                <w:sz w:val="20"/>
                <w:szCs w:val="20"/>
                <w:color w:val="auto"/>
              </w:rPr>
            </w:pPr>
            <w:r>
              <w:rPr>
                <w:rFonts w:ascii="Calibri" w:cs="Calibri" w:eastAsia="Calibri" w:hAnsi="Calibri"/>
                <w:sz w:val="20"/>
                <w:szCs w:val="20"/>
                <w:color w:val="auto"/>
                <w:w w:val="93"/>
              </w:rPr>
              <w:t>100%</w:t>
            </w:r>
            <w:r>
              <w:rPr>
                <w:rFonts w:ascii="Calibri" w:cs="Calibri" w:eastAsia="Calibri" w:hAnsi="Calibri"/>
                <w:sz w:val="26"/>
                <w:szCs w:val="26"/>
                <w:color w:val="auto"/>
                <w:w w:val="93"/>
                <w:vertAlign w:val="superscript"/>
              </w:rPr>
              <w:t>16</w:t>
            </w:r>
          </w:p>
        </w:tc>
      </w:tr>
      <w:tr>
        <w:trPr>
          <w:trHeight w:val="418"/>
        </w:trPr>
        <w:tc>
          <w:tcPr>
            <w:tcW w:w="8600" w:type="dxa"/>
            <w:vAlign w:val="bottom"/>
          </w:tcPr>
          <w:p>
            <w:pPr>
              <w:spacing w:after="0"/>
              <w:rPr>
                <w:sz w:val="20"/>
                <w:szCs w:val="20"/>
                <w:color w:val="auto"/>
              </w:rPr>
            </w:pPr>
            <w:r>
              <w:rPr>
                <w:rFonts w:ascii="Calibri" w:cs="Calibri" w:eastAsia="Calibri" w:hAnsi="Calibri"/>
                <w:sz w:val="20"/>
                <w:szCs w:val="20"/>
                <w:color w:val="auto"/>
              </w:rPr>
              <w:t>Martn Marieta California A&amp;P, LLC, a North Carolina limited liability company</w:t>
            </w:r>
          </w:p>
        </w:tc>
        <w:tc>
          <w:tcPr>
            <w:tcW w:w="2460" w:type="dxa"/>
            <w:vAlign w:val="bottom"/>
          </w:tcPr>
          <w:p>
            <w:pPr>
              <w:jc w:val="center"/>
              <w:ind w:left="1781"/>
              <w:spacing w:after="0"/>
              <w:rPr>
                <w:sz w:val="20"/>
                <w:szCs w:val="20"/>
                <w:color w:val="auto"/>
              </w:rPr>
            </w:pPr>
            <w:r>
              <w:rPr>
                <w:rFonts w:ascii="Calibri" w:cs="Calibri" w:eastAsia="Calibri" w:hAnsi="Calibri"/>
                <w:sz w:val="20"/>
                <w:szCs w:val="20"/>
                <w:color w:val="auto"/>
                <w:w w:val="93"/>
              </w:rPr>
              <w:t>100%</w:t>
            </w:r>
            <w:r>
              <w:rPr>
                <w:rFonts w:ascii="Calibri" w:cs="Calibri" w:eastAsia="Calibri" w:hAnsi="Calibri"/>
                <w:sz w:val="26"/>
                <w:szCs w:val="26"/>
                <w:color w:val="auto"/>
                <w:w w:val="93"/>
                <w:vertAlign w:val="superscript"/>
              </w:rPr>
              <w:t>17</w:t>
            </w:r>
          </w:p>
        </w:tc>
      </w:tr>
      <w:tr>
        <w:trPr>
          <w:trHeight w:val="419"/>
        </w:trPr>
        <w:tc>
          <w:tcPr>
            <w:tcW w:w="8600" w:type="dxa"/>
            <w:vAlign w:val="bottom"/>
          </w:tcPr>
          <w:p>
            <w:pPr>
              <w:spacing w:after="0"/>
              <w:rPr>
                <w:sz w:val="20"/>
                <w:szCs w:val="20"/>
                <w:color w:val="auto"/>
              </w:rPr>
            </w:pPr>
            <w:r>
              <w:rPr>
                <w:rFonts w:ascii="Calibri" w:cs="Calibri" w:eastAsia="Calibri" w:hAnsi="Calibri"/>
                <w:sz w:val="20"/>
                <w:szCs w:val="20"/>
                <w:color w:val="auto"/>
              </w:rPr>
              <w:t>Martn Marieta California Ready-Mix, LLC, a Delaware limited liability company</w:t>
            </w:r>
          </w:p>
        </w:tc>
        <w:tc>
          <w:tcPr>
            <w:tcW w:w="2460" w:type="dxa"/>
            <w:vAlign w:val="bottom"/>
          </w:tcPr>
          <w:p>
            <w:pPr>
              <w:jc w:val="center"/>
              <w:ind w:left="1781"/>
              <w:spacing w:after="0"/>
              <w:rPr>
                <w:sz w:val="20"/>
                <w:szCs w:val="20"/>
                <w:color w:val="auto"/>
              </w:rPr>
            </w:pPr>
            <w:r>
              <w:rPr>
                <w:rFonts w:ascii="Calibri" w:cs="Calibri" w:eastAsia="Calibri" w:hAnsi="Calibri"/>
                <w:sz w:val="20"/>
                <w:szCs w:val="20"/>
                <w:color w:val="auto"/>
                <w:w w:val="93"/>
              </w:rPr>
              <w:t>100%</w:t>
            </w:r>
            <w:r>
              <w:rPr>
                <w:rFonts w:ascii="Calibri" w:cs="Calibri" w:eastAsia="Calibri" w:hAnsi="Calibri"/>
                <w:sz w:val="26"/>
                <w:szCs w:val="26"/>
                <w:color w:val="auto"/>
                <w:w w:val="93"/>
                <w:vertAlign w:val="superscript"/>
              </w:rPr>
              <w:t>18</w:t>
            </w:r>
          </w:p>
        </w:tc>
      </w:tr>
      <w:tr>
        <w:trPr>
          <w:trHeight w:val="380"/>
        </w:trPr>
        <w:tc>
          <w:tcPr>
            <w:tcW w:w="8600" w:type="dxa"/>
            <w:vAlign w:val="bottom"/>
          </w:tcPr>
          <w:p>
            <w:pPr>
              <w:spacing w:after="0"/>
              <w:rPr>
                <w:sz w:val="20"/>
                <w:szCs w:val="20"/>
                <w:color w:val="auto"/>
              </w:rPr>
            </w:pPr>
            <w:r>
              <w:rPr>
                <w:rFonts w:ascii="Calibri" w:cs="Calibri" w:eastAsia="Calibri" w:hAnsi="Calibri"/>
                <w:sz w:val="20"/>
                <w:szCs w:val="20"/>
                <w:color w:val="auto"/>
              </w:rPr>
              <w:t>Martn Marieta Composites, Inc., a Delaware corporaton</w:t>
            </w:r>
          </w:p>
        </w:tc>
        <w:tc>
          <w:tcPr>
            <w:tcW w:w="2460" w:type="dxa"/>
            <w:vAlign w:val="bottom"/>
          </w:tcPr>
          <w:p>
            <w:pPr>
              <w:jc w:val="center"/>
              <w:ind w:left="1781"/>
              <w:spacing w:after="0"/>
              <w:rPr>
                <w:sz w:val="20"/>
                <w:szCs w:val="20"/>
                <w:color w:val="auto"/>
              </w:rPr>
            </w:pPr>
            <w:r>
              <w:rPr>
                <w:rFonts w:ascii="Calibri" w:cs="Calibri" w:eastAsia="Calibri" w:hAnsi="Calibri"/>
                <w:sz w:val="20"/>
                <w:szCs w:val="20"/>
                <w:color w:val="auto"/>
              </w:rPr>
              <w:t>100%</w:t>
            </w:r>
          </w:p>
        </w:tc>
      </w:tr>
      <w:tr>
        <w:trPr>
          <w:trHeight w:val="457"/>
        </w:trPr>
        <w:tc>
          <w:tcPr>
            <w:tcW w:w="8600" w:type="dxa"/>
            <w:vAlign w:val="bottom"/>
          </w:tcPr>
          <w:p>
            <w:pPr>
              <w:spacing w:after="0"/>
              <w:rPr>
                <w:sz w:val="20"/>
                <w:szCs w:val="20"/>
                <w:color w:val="auto"/>
              </w:rPr>
            </w:pPr>
            <w:r>
              <w:rPr>
                <w:rFonts w:ascii="Calibri" w:cs="Calibri" w:eastAsia="Calibri" w:hAnsi="Calibri"/>
                <w:sz w:val="20"/>
                <w:szCs w:val="20"/>
                <w:color w:val="auto"/>
              </w:rPr>
              <w:t>Martn Marieta Fleet Management LLC, a North Carolina limited liability company</w:t>
            </w:r>
          </w:p>
        </w:tc>
        <w:tc>
          <w:tcPr>
            <w:tcW w:w="2460" w:type="dxa"/>
            <w:vAlign w:val="bottom"/>
          </w:tcPr>
          <w:p>
            <w:pPr>
              <w:jc w:val="center"/>
              <w:ind w:left="1781"/>
              <w:spacing w:after="0"/>
              <w:rPr>
                <w:sz w:val="20"/>
                <w:szCs w:val="20"/>
                <w:color w:val="auto"/>
              </w:rPr>
            </w:pPr>
            <w:r>
              <w:rPr>
                <w:rFonts w:ascii="Calibri" w:cs="Calibri" w:eastAsia="Calibri" w:hAnsi="Calibri"/>
                <w:sz w:val="20"/>
                <w:szCs w:val="20"/>
                <w:color w:val="auto"/>
                <w:w w:val="93"/>
              </w:rPr>
              <w:t>100%</w:t>
            </w:r>
            <w:r>
              <w:rPr>
                <w:rFonts w:ascii="Calibri" w:cs="Calibri" w:eastAsia="Calibri" w:hAnsi="Calibri"/>
                <w:sz w:val="26"/>
                <w:szCs w:val="26"/>
                <w:color w:val="auto"/>
                <w:w w:val="93"/>
                <w:vertAlign w:val="superscript"/>
              </w:rPr>
              <w:t>19</w:t>
            </w:r>
          </w:p>
        </w:tc>
      </w:tr>
      <w:tr>
        <w:trPr>
          <w:trHeight w:val="380"/>
        </w:trPr>
        <w:tc>
          <w:tcPr>
            <w:tcW w:w="8600" w:type="dxa"/>
            <w:vAlign w:val="bottom"/>
          </w:tcPr>
          <w:p>
            <w:pPr>
              <w:spacing w:after="0"/>
              <w:rPr>
                <w:sz w:val="20"/>
                <w:szCs w:val="20"/>
                <w:color w:val="auto"/>
              </w:rPr>
            </w:pPr>
            <w:r>
              <w:rPr>
                <w:rFonts w:ascii="Calibri" w:cs="Calibri" w:eastAsia="Calibri" w:hAnsi="Calibri"/>
                <w:sz w:val="20"/>
                <w:szCs w:val="20"/>
                <w:color w:val="auto"/>
              </w:rPr>
              <w:t>Martn Marieta Funding LLC, a Delaware limited liability company</w:t>
            </w:r>
          </w:p>
        </w:tc>
        <w:tc>
          <w:tcPr>
            <w:tcW w:w="2460" w:type="dxa"/>
            <w:vAlign w:val="bottom"/>
          </w:tcPr>
          <w:p>
            <w:pPr>
              <w:jc w:val="center"/>
              <w:ind w:left="1781"/>
              <w:spacing w:after="0"/>
              <w:rPr>
                <w:sz w:val="20"/>
                <w:szCs w:val="20"/>
                <w:color w:val="auto"/>
              </w:rPr>
            </w:pPr>
            <w:r>
              <w:rPr>
                <w:rFonts w:ascii="Calibri" w:cs="Calibri" w:eastAsia="Calibri" w:hAnsi="Calibri"/>
                <w:sz w:val="20"/>
                <w:szCs w:val="20"/>
                <w:color w:val="auto"/>
              </w:rPr>
              <w:t>100%</w:t>
            </w:r>
          </w:p>
        </w:tc>
      </w:tr>
      <w:tr>
        <w:trPr>
          <w:trHeight w:val="418"/>
        </w:trPr>
        <w:tc>
          <w:tcPr>
            <w:tcW w:w="8600" w:type="dxa"/>
            <w:vAlign w:val="bottom"/>
          </w:tcPr>
          <w:p>
            <w:pPr>
              <w:spacing w:after="0"/>
              <w:rPr>
                <w:sz w:val="20"/>
                <w:szCs w:val="20"/>
                <w:color w:val="auto"/>
              </w:rPr>
            </w:pPr>
            <w:r>
              <w:rPr>
                <w:rFonts w:ascii="Calibri" w:cs="Calibri" w:eastAsia="Calibri" w:hAnsi="Calibri"/>
                <w:sz w:val="20"/>
                <w:szCs w:val="20"/>
                <w:color w:val="auto"/>
              </w:rPr>
              <w:t>Martn Marieta Inc., a North Carolina corporaton</w:t>
            </w:r>
          </w:p>
        </w:tc>
        <w:tc>
          <w:tcPr>
            <w:tcW w:w="2460" w:type="dxa"/>
            <w:vAlign w:val="bottom"/>
          </w:tcPr>
          <w:p>
            <w:pPr>
              <w:jc w:val="center"/>
              <w:ind w:left="1781"/>
              <w:spacing w:after="0"/>
              <w:rPr>
                <w:sz w:val="20"/>
                <w:szCs w:val="20"/>
                <w:color w:val="auto"/>
              </w:rPr>
            </w:pPr>
            <w:r>
              <w:rPr>
                <w:rFonts w:ascii="Calibri" w:cs="Calibri" w:eastAsia="Calibri" w:hAnsi="Calibri"/>
                <w:sz w:val="20"/>
                <w:szCs w:val="20"/>
                <w:color w:val="auto"/>
              </w:rPr>
              <w:t>100%</w:t>
            </w:r>
          </w:p>
        </w:tc>
      </w:tr>
      <w:tr>
        <w:trPr>
          <w:trHeight w:val="457"/>
        </w:trPr>
        <w:tc>
          <w:tcPr>
            <w:tcW w:w="8600" w:type="dxa"/>
            <w:vAlign w:val="bottom"/>
          </w:tcPr>
          <w:p>
            <w:pPr>
              <w:spacing w:after="0"/>
              <w:rPr>
                <w:sz w:val="20"/>
                <w:szCs w:val="20"/>
                <w:color w:val="auto"/>
              </w:rPr>
            </w:pPr>
            <w:r>
              <w:rPr>
                <w:rFonts w:ascii="Calibri" w:cs="Calibri" w:eastAsia="Calibri" w:hAnsi="Calibri"/>
                <w:sz w:val="20"/>
                <w:szCs w:val="20"/>
                <w:color w:val="auto"/>
              </w:rPr>
              <w:t>Martn Marieta Kansas City, LLC, a Delaware limited liability company</w:t>
            </w:r>
          </w:p>
        </w:tc>
        <w:tc>
          <w:tcPr>
            <w:tcW w:w="2460" w:type="dxa"/>
            <w:vAlign w:val="bottom"/>
          </w:tcPr>
          <w:p>
            <w:pPr>
              <w:jc w:val="center"/>
              <w:ind w:left="1781"/>
              <w:spacing w:after="0"/>
              <w:rPr>
                <w:sz w:val="20"/>
                <w:szCs w:val="20"/>
                <w:color w:val="auto"/>
              </w:rPr>
            </w:pPr>
            <w:r>
              <w:rPr>
                <w:rFonts w:ascii="Calibri" w:cs="Calibri" w:eastAsia="Calibri" w:hAnsi="Calibri"/>
                <w:sz w:val="20"/>
                <w:szCs w:val="20"/>
                <w:color w:val="auto"/>
                <w:w w:val="93"/>
              </w:rPr>
              <w:t>100%</w:t>
            </w:r>
            <w:r>
              <w:rPr>
                <w:rFonts w:ascii="Calibri" w:cs="Calibri" w:eastAsia="Calibri" w:hAnsi="Calibri"/>
                <w:sz w:val="26"/>
                <w:szCs w:val="26"/>
                <w:color w:val="auto"/>
                <w:w w:val="93"/>
                <w:vertAlign w:val="superscript"/>
              </w:rPr>
              <w:t>20</w:t>
            </w:r>
          </w:p>
        </w:tc>
      </w:tr>
      <w:tr>
        <w:trPr>
          <w:trHeight w:val="380"/>
        </w:trPr>
        <w:tc>
          <w:tcPr>
            <w:tcW w:w="8600" w:type="dxa"/>
            <w:vAlign w:val="bottom"/>
          </w:tcPr>
          <w:p>
            <w:pPr>
              <w:spacing w:after="0"/>
              <w:rPr>
                <w:sz w:val="20"/>
                <w:szCs w:val="20"/>
                <w:color w:val="auto"/>
              </w:rPr>
            </w:pPr>
            <w:r>
              <w:rPr>
                <w:rFonts w:ascii="Calibri" w:cs="Calibri" w:eastAsia="Calibri" w:hAnsi="Calibri"/>
                <w:sz w:val="20"/>
                <w:szCs w:val="20"/>
                <w:color w:val="auto"/>
              </w:rPr>
              <w:t>Martn Marieta Magnesia Specialtes, LLC, a Delaware limited liability company</w:t>
            </w:r>
          </w:p>
        </w:tc>
        <w:tc>
          <w:tcPr>
            <w:tcW w:w="2460" w:type="dxa"/>
            <w:vAlign w:val="bottom"/>
          </w:tcPr>
          <w:p>
            <w:pPr>
              <w:jc w:val="center"/>
              <w:ind w:left="1781"/>
              <w:spacing w:after="0"/>
              <w:rPr>
                <w:sz w:val="20"/>
                <w:szCs w:val="20"/>
                <w:color w:val="auto"/>
              </w:rPr>
            </w:pPr>
            <w:r>
              <w:rPr>
                <w:rFonts w:ascii="Calibri" w:cs="Calibri" w:eastAsia="Calibri" w:hAnsi="Calibri"/>
                <w:sz w:val="20"/>
                <w:szCs w:val="20"/>
                <w:color w:val="auto"/>
              </w:rPr>
              <w:t>100%</w:t>
            </w:r>
          </w:p>
        </w:tc>
      </w:tr>
      <w:tr>
        <w:trPr>
          <w:trHeight w:val="457"/>
        </w:trPr>
        <w:tc>
          <w:tcPr>
            <w:tcW w:w="8600" w:type="dxa"/>
            <w:vAlign w:val="bottom"/>
          </w:tcPr>
          <w:p>
            <w:pPr>
              <w:spacing w:after="0"/>
              <w:rPr>
                <w:sz w:val="20"/>
                <w:szCs w:val="20"/>
                <w:color w:val="auto"/>
              </w:rPr>
            </w:pPr>
            <w:r>
              <w:rPr>
                <w:rFonts w:ascii="Calibri" w:cs="Calibri" w:eastAsia="Calibri" w:hAnsi="Calibri"/>
                <w:sz w:val="20"/>
                <w:szCs w:val="20"/>
                <w:color w:val="auto"/>
              </w:rPr>
              <w:t>Martn Marieta Marine Finance, LLC, a California limited liability company</w:t>
            </w:r>
          </w:p>
        </w:tc>
        <w:tc>
          <w:tcPr>
            <w:tcW w:w="2460" w:type="dxa"/>
            <w:vAlign w:val="bottom"/>
          </w:tcPr>
          <w:p>
            <w:pPr>
              <w:jc w:val="center"/>
              <w:ind w:left="1781"/>
              <w:spacing w:after="0"/>
              <w:rPr>
                <w:sz w:val="20"/>
                <w:szCs w:val="20"/>
                <w:color w:val="auto"/>
              </w:rPr>
            </w:pPr>
            <w:r>
              <w:rPr>
                <w:rFonts w:ascii="Calibri" w:cs="Calibri" w:eastAsia="Calibri" w:hAnsi="Calibri"/>
                <w:sz w:val="20"/>
                <w:szCs w:val="20"/>
                <w:color w:val="auto"/>
                <w:w w:val="93"/>
              </w:rPr>
              <w:t>100%</w:t>
            </w:r>
            <w:r>
              <w:rPr>
                <w:rFonts w:ascii="Calibri" w:cs="Calibri" w:eastAsia="Calibri" w:hAnsi="Calibri"/>
                <w:sz w:val="26"/>
                <w:szCs w:val="26"/>
                <w:color w:val="auto"/>
                <w:w w:val="93"/>
                <w:vertAlign w:val="superscript"/>
              </w:rPr>
              <w:t>21</w:t>
            </w:r>
          </w:p>
        </w:tc>
      </w:tr>
    </w:tbl>
    <w:p>
      <w:pPr>
        <w:spacing w:after="0" w:line="323" w:lineRule="exact"/>
        <w:rPr>
          <w:sz w:val="20"/>
          <w:szCs w:val="20"/>
          <w:color w:val="auto"/>
        </w:rPr>
      </w:pPr>
    </w:p>
    <w:p>
      <w:pPr>
        <w:ind w:left="152" w:hanging="152"/>
        <w:spacing w:after="0"/>
        <w:tabs>
          <w:tab w:leader="none" w:pos="152" w:val="left"/>
        </w:tabs>
        <w:numPr>
          <w:ilvl w:val="0"/>
          <w:numId w:val="36"/>
        </w:numPr>
        <w:rPr>
          <w:rFonts w:ascii="Calibri" w:cs="Calibri" w:eastAsia="Calibri" w:hAnsi="Calibri"/>
          <w:sz w:val="22"/>
          <w:szCs w:val="22"/>
          <w:color w:val="auto"/>
          <w:vertAlign w:val="superscript"/>
        </w:rPr>
      </w:pPr>
      <w:r>
        <w:rPr>
          <w:rFonts w:ascii="Calibri" w:cs="Calibri" w:eastAsia="Calibri" w:hAnsi="Calibri"/>
          <w:sz w:val="17"/>
          <w:szCs w:val="17"/>
          <w:color w:val="auto"/>
        </w:rPr>
        <w:t>Granite Canyon Quarry is owned 51% by Meridian Granite Company and 49% by Martn Marieta Materials Real Estate Investments, Inc.</w:t>
      </w:r>
    </w:p>
    <w:p>
      <w:pPr>
        <w:spacing w:after="0" w:line="54" w:lineRule="exact"/>
        <w:rPr>
          <w:rFonts w:ascii="Calibri" w:cs="Calibri" w:eastAsia="Calibri" w:hAnsi="Calibri"/>
          <w:sz w:val="22"/>
          <w:szCs w:val="22"/>
          <w:color w:val="auto"/>
          <w:vertAlign w:val="superscript"/>
        </w:rPr>
      </w:pPr>
    </w:p>
    <w:p>
      <w:pPr>
        <w:ind w:left="152" w:hanging="152"/>
        <w:spacing w:after="0" w:line="185" w:lineRule="auto"/>
        <w:tabs>
          <w:tab w:leader="none" w:pos="152" w:val="left"/>
        </w:tabs>
        <w:numPr>
          <w:ilvl w:val="0"/>
          <w:numId w:val="36"/>
        </w:numPr>
        <w:rPr>
          <w:rFonts w:ascii="Calibri" w:cs="Calibri" w:eastAsia="Calibri" w:hAnsi="Calibri"/>
          <w:sz w:val="20"/>
          <w:szCs w:val="20"/>
          <w:color w:val="auto"/>
          <w:vertAlign w:val="superscript"/>
        </w:rPr>
      </w:pPr>
      <w:r>
        <w:rPr>
          <w:rFonts w:ascii="Calibri" w:cs="Calibri" w:eastAsia="Calibri" w:hAnsi="Calibri"/>
          <w:sz w:val="15"/>
          <w:szCs w:val="15"/>
          <w:color w:val="auto"/>
        </w:rPr>
        <w:t>Kent Sand &amp; Gravel Company, LLC is a wholly owned subsidiary of Bluegrass Materials Company, LLC.</w:t>
      </w:r>
    </w:p>
    <w:p>
      <w:pPr>
        <w:spacing w:after="0" w:line="54" w:lineRule="exact"/>
        <w:rPr>
          <w:rFonts w:ascii="Calibri" w:cs="Calibri" w:eastAsia="Calibri" w:hAnsi="Calibri"/>
          <w:sz w:val="20"/>
          <w:szCs w:val="20"/>
          <w:color w:val="auto"/>
          <w:vertAlign w:val="superscript"/>
        </w:rPr>
      </w:pPr>
    </w:p>
    <w:p>
      <w:pPr>
        <w:ind w:left="152" w:hanging="152"/>
        <w:spacing w:after="0" w:line="185" w:lineRule="auto"/>
        <w:tabs>
          <w:tab w:leader="none" w:pos="152" w:val="left"/>
        </w:tabs>
        <w:numPr>
          <w:ilvl w:val="0"/>
          <w:numId w:val="36"/>
        </w:numPr>
        <w:rPr>
          <w:rFonts w:ascii="Calibri" w:cs="Calibri" w:eastAsia="Calibri" w:hAnsi="Calibri"/>
          <w:sz w:val="20"/>
          <w:szCs w:val="20"/>
          <w:color w:val="auto"/>
          <w:vertAlign w:val="superscript"/>
        </w:rPr>
      </w:pPr>
      <w:r>
        <w:rPr>
          <w:rFonts w:ascii="Calibri" w:cs="Calibri" w:eastAsia="Calibri" w:hAnsi="Calibri"/>
          <w:sz w:val="15"/>
          <w:szCs w:val="15"/>
          <w:color w:val="auto"/>
        </w:rPr>
        <w:t>Mardell Trucking Company, Inc. is owned 50% by Bluegrass Materials Company, LLC and 50% by Petrillo Brothers, Inc.</w:t>
      </w:r>
    </w:p>
    <w:p>
      <w:pPr>
        <w:spacing w:after="0" w:line="54" w:lineRule="exact"/>
        <w:rPr>
          <w:rFonts w:ascii="Calibri" w:cs="Calibri" w:eastAsia="Calibri" w:hAnsi="Calibri"/>
          <w:sz w:val="20"/>
          <w:szCs w:val="20"/>
          <w:color w:val="auto"/>
          <w:vertAlign w:val="superscript"/>
        </w:rPr>
      </w:pPr>
    </w:p>
    <w:p>
      <w:pPr>
        <w:ind w:left="152" w:hanging="152"/>
        <w:spacing w:after="0" w:line="185" w:lineRule="auto"/>
        <w:tabs>
          <w:tab w:leader="none" w:pos="152" w:val="left"/>
        </w:tabs>
        <w:numPr>
          <w:ilvl w:val="0"/>
          <w:numId w:val="36"/>
        </w:numPr>
        <w:rPr>
          <w:rFonts w:ascii="Calibri" w:cs="Calibri" w:eastAsia="Calibri" w:hAnsi="Calibri"/>
          <w:sz w:val="20"/>
          <w:szCs w:val="20"/>
          <w:color w:val="auto"/>
          <w:vertAlign w:val="superscript"/>
        </w:rPr>
      </w:pPr>
      <w:r>
        <w:rPr>
          <w:rFonts w:ascii="Calibri" w:cs="Calibri" w:eastAsia="Calibri" w:hAnsi="Calibri"/>
          <w:sz w:val="15"/>
          <w:szCs w:val="15"/>
          <w:color w:val="auto"/>
        </w:rPr>
        <w:t>Martn Marieta Arizona, LLC is a wholly owned subsidiary of Martn Marieta Materials West Division, LLC.</w:t>
      </w:r>
    </w:p>
    <w:p>
      <w:pPr>
        <w:spacing w:after="0" w:line="54" w:lineRule="exact"/>
        <w:rPr>
          <w:rFonts w:ascii="Calibri" w:cs="Calibri" w:eastAsia="Calibri" w:hAnsi="Calibri"/>
          <w:sz w:val="20"/>
          <w:szCs w:val="20"/>
          <w:color w:val="auto"/>
          <w:vertAlign w:val="superscript"/>
        </w:rPr>
      </w:pPr>
    </w:p>
    <w:p>
      <w:pPr>
        <w:ind w:left="152" w:hanging="152"/>
        <w:spacing w:after="0" w:line="185" w:lineRule="auto"/>
        <w:tabs>
          <w:tab w:leader="none" w:pos="152" w:val="left"/>
        </w:tabs>
        <w:numPr>
          <w:ilvl w:val="0"/>
          <w:numId w:val="36"/>
        </w:numPr>
        <w:rPr>
          <w:rFonts w:ascii="Calibri" w:cs="Calibri" w:eastAsia="Calibri" w:hAnsi="Calibri"/>
          <w:sz w:val="20"/>
          <w:szCs w:val="20"/>
          <w:color w:val="auto"/>
          <w:vertAlign w:val="superscript"/>
        </w:rPr>
      </w:pPr>
      <w:r>
        <w:rPr>
          <w:rFonts w:ascii="Calibri" w:cs="Calibri" w:eastAsia="Calibri" w:hAnsi="Calibri"/>
          <w:sz w:val="15"/>
          <w:szCs w:val="15"/>
          <w:color w:val="auto"/>
        </w:rPr>
        <w:t>Martn Marieta Bluegrass, LLC is owned 61.62% by Panadero Corp. and 38.38% by Martn Marieta Materials, Inc.</w:t>
      </w:r>
    </w:p>
    <w:p>
      <w:pPr>
        <w:spacing w:after="0" w:line="54" w:lineRule="exact"/>
        <w:rPr>
          <w:rFonts w:ascii="Calibri" w:cs="Calibri" w:eastAsia="Calibri" w:hAnsi="Calibri"/>
          <w:sz w:val="20"/>
          <w:szCs w:val="20"/>
          <w:color w:val="auto"/>
          <w:vertAlign w:val="superscript"/>
        </w:rPr>
      </w:pPr>
    </w:p>
    <w:p>
      <w:pPr>
        <w:ind w:left="152" w:hanging="152"/>
        <w:spacing w:after="0" w:line="185" w:lineRule="auto"/>
        <w:tabs>
          <w:tab w:leader="none" w:pos="152" w:val="left"/>
        </w:tabs>
        <w:numPr>
          <w:ilvl w:val="0"/>
          <w:numId w:val="36"/>
        </w:numPr>
        <w:rPr>
          <w:rFonts w:ascii="Calibri" w:cs="Calibri" w:eastAsia="Calibri" w:hAnsi="Calibri"/>
          <w:sz w:val="20"/>
          <w:szCs w:val="20"/>
          <w:color w:val="auto"/>
          <w:vertAlign w:val="superscript"/>
        </w:rPr>
      </w:pPr>
      <w:r>
        <w:rPr>
          <w:rFonts w:ascii="Calibri" w:cs="Calibri" w:eastAsia="Calibri" w:hAnsi="Calibri"/>
          <w:sz w:val="15"/>
          <w:szCs w:val="15"/>
          <w:color w:val="auto"/>
        </w:rPr>
        <w:t>Martn Marieta California A&amp;P, LLC is a wholly owned subsidiary of Martn Marieta Materials West Division, LLC.</w:t>
      </w:r>
    </w:p>
    <w:p>
      <w:pPr>
        <w:spacing w:after="0" w:line="54" w:lineRule="exact"/>
        <w:rPr>
          <w:rFonts w:ascii="Calibri" w:cs="Calibri" w:eastAsia="Calibri" w:hAnsi="Calibri"/>
          <w:sz w:val="20"/>
          <w:szCs w:val="20"/>
          <w:color w:val="auto"/>
          <w:vertAlign w:val="superscript"/>
        </w:rPr>
      </w:pPr>
    </w:p>
    <w:p>
      <w:pPr>
        <w:ind w:left="152" w:hanging="152"/>
        <w:spacing w:after="0" w:line="185" w:lineRule="auto"/>
        <w:tabs>
          <w:tab w:leader="none" w:pos="152" w:val="left"/>
        </w:tabs>
        <w:numPr>
          <w:ilvl w:val="0"/>
          <w:numId w:val="36"/>
        </w:numPr>
        <w:rPr>
          <w:rFonts w:ascii="Calibri" w:cs="Calibri" w:eastAsia="Calibri" w:hAnsi="Calibri"/>
          <w:sz w:val="20"/>
          <w:szCs w:val="20"/>
          <w:color w:val="auto"/>
          <w:vertAlign w:val="superscript"/>
        </w:rPr>
      </w:pPr>
      <w:r>
        <w:rPr>
          <w:rFonts w:ascii="Calibri" w:cs="Calibri" w:eastAsia="Calibri" w:hAnsi="Calibri"/>
          <w:sz w:val="15"/>
          <w:szCs w:val="15"/>
          <w:color w:val="auto"/>
        </w:rPr>
        <w:t>Martn Marieta California Ready-Mix, LLC is a wholly owned subsidiary of Martn Marieta Southern California Cement, LLC</w:t>
      </w:r>
    </w:p>
    <w:p>
      <w:pPr>
        <w:spacing w:after="0" w:line="54" w:lineRule="exact"/>
        <w:rPr>
          <w:rFonts w:ascii="Calibri" w:cs="Calibri" w:eastAsia="Calibri" w:hAnsi="Calibri"/>
          <w:sz w:val="20"/>
          <w:szCs w:val="20"/>
          <w:color w:val="auto"/>
          <w:vertAlign w:val="superscript"/>
        </w:rPr>
      </w:pPr>
    </w:p>
    <w:p>
      <w:pPr>
        <w:ind w:left="152" w:hanging="152"/>
        <w:spacing w:after="0" w:line="185" w:lineRule="auto"/>
        <w:tabs>
          <w:tab w:leader="none" w:pos="152" w:val="left"/>
        </w:tabs>
        <w:numPr>
          <w:ilvl w:val="0"/>
          <w:numId w:val="36"/>
        </w:numPr>
        <w:rPr>
          <w:rFonts w:ascii="Calibri" w:cs="Calibri" w:eastAsia="Calibri" w:hAnsi="Calibri"/>
          <w:sz w:val="20"/>
          <w:szCs w:val="20"/>
          <w:color w:val="auto"/>
          <w:vertAlign w:val="superscript"/>
        </w:rPr>
      </w:pPr>
      <w:r>
        <w:rPr>
          <w:rFonts w:ascii="Calibri" w:cs="Calibri" w:eastAsia="Calibri" w:hAnsi="Calibri"/>
          <w:sz w:val="15"/>
          <w:szCs w:val="15"/>
          <w:color w:val="auto"/>
        </w:rPr>
        <w:t>Martn Marieta Fleet Management LLC, is a wholly owned subsidiary of Martn Marieta Texas Ready-Mix, LLC</w:t>
      </w:r>
    </w:p>
    <w:p>
      <w:pPr>
        <w:spacing w:after="0" w:line="54" w:lineRule="exact"/>
        <w:rPr>
          <w:rFonts w:ascii="Calibri" w:cs="Calibri" w:eastAsia="Calibri" w:hAnsi="Calibri"/>
          <w:sz w:val="20"/>
          <w:szCs w:val="20"/>
          <w:color w:val="auto"/>
          <w:vertAlign w:val="superscript"/>
        </w:rPr>
      </w:pPr>
    </w:p>
    <w:p>
      <w:pPr>
        <w:ind w:left="152" w:hanging="152"/>
        <w:spacing w:after="0" w:line="185" w:lineRule="auto"/>
        <w:tabs>
          <w:tab w:leader="none" w:pos="152" w:val="left"/>
        </w:tabs>
        <w:numPr>
          <w:ilvl w:val="0"/>
          <w:numId w:val="36"/>
        </w:numPr>
        <w:rPr>
          <w:rFonts w:ascii="Calibri" w:cs="Calibri" w:eastAsia="Calibri" w:hAnsi="Calibri"/>
          <w:sz w:val="20"/>
          <w:szCs w:val="20"/>
          <w:color w:val="auto"/>
          <w:vertAlign w:val="superscript"/>
        </w:rPr>
      </w:pPr>
      <w:r>
        <w:rPr>
          <w:rFonts w:ascii="Calibri" w:cs="Calibri" w:eastAsia="Calibri" w:hAnsi="Calibri"/>
          <w:sz w:val="15"/>
          <w:szCs w:val="15"/>
          <w:color w:val="auto"/>
        </w:rPr>
        <w:t>Martn Marieta Kansas City, LLC is owned 95% by Martn Marieta Materials, Inc. and 5% by Martn Marieta Materials of Missouri, Inc.</w:t>
      </w:r>
    </w:p>
    <w:p>
      <w:pPr>
        <w:spacing w:after="0" w:line="54" w:lineRule="exact"/>
        <w:rPr>
          <w:rFonts w:ascii="Calibri" w:cs="Calibri" w:eastAsia="Calibri" w:hAnsi="Calibri"/>
          <w:sz w:val="20"/>
          <w:szCs w:val="20"/>
          <w:color w:val="auto"/>
          <w:vertAlign w:val="superscript"/>
        </w:rPr>
      </w:pPr>
    </w:p>
    <w:p>
      <w:pPr>
        <w:ind w:left="152" w:hanging="152"/>
        <w:spacing w:after="0" w:line="185" w:lineRule="auto"/>
        <w:tabs>
          <w:tab w:leader="none" w:pos="152" w:val="left"/>
        </w:tabs>
        <w:numPr>
          <w:ilvl w:val="0"/>
          <w:numId w:val="36"/>
        </w:numPr>
        <w:rPr>
          <w:rFonts w:ascii="Calibri" w:cs="Calibri" w:eastAsia="Calibri" w:hAnsi="Calibri"/>
          <w:sz w:val="20"/>
          <w:szCs w:val="20"/>
          <w:color w:val="auto"/>
          <w:vertAlign w:val="superscript"/>
        </w:rPr>
      </w:pPr>
      <w:r>
        <w:rPr>
          <w:rFonts w:ascii="Calibri" w:cs="Calibri" w:eastAsia="Calibri" w:hAnsi="Calibri"/>
          <w:sz w:val="15"/>
          <w:szCs w:val="15"/>
          <w:color w:val="auto"/>
        </w:rPr>
        <w:t>Martn Marieta Marine Finance, LLC is a wholly owned subsidiary of Martn Marieta Northern California Aggregates,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71120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72"/>
          </w:cols>
          <w:pgMar w:left="328" w:top="362" w:right="499" w:bottom="1440" w:gutter="0" w:footer="0" w:header="0"/>
        </w:sectPr>
      </w:pPr>
    </w:p>
    <w:bookmarkStart w:id="128" w:name="page129"/>
    <w:bookmarkEnd w:id="128"/>
    <w:tbl>
      <w:tblPr>
        <w:tblLayout w:type="fixed"/>
        <w:tblInd w:w="12" w:type="dxa"/>
        <w:tblCellMar>
          <w:top w:w="0" w:type="dxa"/>
          <w:left w:w="0" w:type="dxa"/>
          <w:bottom w:w="0" w:type="dxa"/>
          <w:right w:w="0" w:type="dxa"/>
        </w:tblCellMar>
      </w:tblPr>
      <w:tr>
        <w:trPr>
          <w:trHeight w:val="317"/>
        </w:trPr>
        <w:tc>
          <w:tcPr>
            <w:tcW w:w="8920" w:type="dxa"/>
            <w:vAlign w:val="bottom"/>
          </w:tcPr>
          <w:p>
            <w:pPr>
              <w:spacing w:after="0"/>
              <w:rPr>
                <w:sz w:val="20"/>
                <w:szCs w:val="20"/>
                <w:color w:val="auto"/>
              </w:rPr>
            </w:pPr>
            <w:r>
              <w:rPr>
                <w:rFonts w:ascii="Calibri" w:cs="Calibri" w:eastAsia="Calibri" w:hAnsi="Calibri"/>
                <w:sz w:val="20"/>
                <w:szCs w:val="20"/>
                <w:color w:val="auto"/>
              </w:rPr>
              <w:t>Martn Marieta Marine Operatons, LLC, a California limited liability company</w:t>
            </w:r>
          </w:p>
        </w:tc>
        <w:tc>
          <w:tcPr>
            <w:tcW w:w="2140" w:type="dxa"/>
            <w:vAlign w:val="bottom"/>
          </w:tcPr>
          <w:p>
            <w:pPr>
              <w:jc w:val="center"/>
              <w:ind w:left="1461"/>
              <w:spacing w:after="0"/>
              <w:rPr>
                <w:sz w:val="20"/>
                <w:szCs w:val="20"/>
                <w:color w:val="auto"/>
              </w:rPr>
            </w:pPr>
            <w:r>
              <w:rPr>
                <w:rFonts w:ascii="Calibri" w:cs="Calibri" w:eastAsia="Calibri" w:hAnsi="Calibri"/>
                <w:sz w:val="20"/>
                <w:szCs w:val="20"/>
                <w:color w:val="auto"/>
                <w:w w:val="93"/>
              </w:rPr>
              <w:t>100%</w:t>
            </w:r>
            <w:r>
              <w:rPr>
                <w:rFonts w:ascii="Calibri" w:cs="Calibri" w:eastAsia="Calibri" w:hAnsi="Calibri"/>
                <w:sz w:val="26"/>
                <w:szCs w:val="26"/>
                <w:color w:val="auto"/>
                <w:w w:val="93"/>
                <w:vertAlign w:val="superscript"/>
              </w:rPr>
              <w:t>22</w:t>
            </w:r>
          </w:p>
        </w:tc>
      </w:tr>
      <w:tr>
        <w:trPr>
          <w:trHeight w:val="380"/>
        </w:trPr>
        <w:tc>
          <w:tcPr>
            <w:tcW w:w="8920" w:type="dxa"/>
            <w:vAlign w:val="bottom"/>
          </w:tcPr>
          <w:p>
            <w:pPr>
              <w:spacing w:after="0"/>
              <w:rPr>
                <w:sz w:val="20"/>
                <w:szCs w:val="20"/>
                <w:color w:val="auto"/>
              </w:rPr>
            </w:pPr>
            <w:r>
              <w:rPr>
                <w:rFonts w:ascii="Calibri" w:cs="Calibri" w:eastAsia="Calibri" w:hAnsi="Calibri"/>
                <w:sz w:val="20"/>
                <w:szCs w:val="20"/>
                <w:color w:val="auto"/>
              </w:rPr>
              <w:t>Martn Marieta Materials Canada Limited, a Nova Scota, Canada corporaton</w:t>
            </w:r>
          </w:p>
        </w:tc>
        <w:tc>
          <w:tcPr>
            <w:tcW w:w="2140" w:type="dxa"/>
            <w:vAlign w:val="bottom"/>
          </w:tcPr>
          <w:p>
            <w:pPr>
              <w:jc w:val="center"/>
              <w:ind w:left="1461"/>
              <w:spacing w:after="0"/>
              <w:rPr>
                <w:sz w:val="20"/>
                <w:szCs w:val="20"/>
                <w:color w:val="auto"/>
              </w:rPr>
            </w:pPr>
            <w:r>
              <w:rPr>
                <w:rFonts w:ascii="Calibri" w:cs="Calibri" w:eastAsia="Calibri" w:hAnsi="Calibri"/>
                <w:sz w:val="20"/>
                <w:szCs w:val="20"/>
                <w:color w:val="auto"/>
              </w:rPr>
              <w:t>100%</w:t>
            </w:r>
          </w:p>
        </w:tc>
      </w:tr>
      <w:tr>
        <w:trPr>
          <w:trHeight w:val="418"/>
        </w:trPr>
        <w:tc>
          <w:tcPr>
            <w:tcW w:w="8920" w:type="dxa"/>
            <w:vAlign w:val="bottom"/>
          </w:tcPr>
          <w:p>
            <w:pPr>
              <w:spacing w:after="0"/>
              <w:rPr>
                <w:sz w:val="20"/>
                <w:szCs w:val="20"/>
                <w:color w:val="auto"/>
              </w:rPr>
            </w:pPr>
            <w:r>
              <w:rPr>
                <w:rFonts w:ascii="Calibri" w:cs="Calibri" w:eastAsia="Calibri" w:hAnsi="Calibri"/>
                <w:sz w:val="20"/>
                <w:szCs w:val="20"/>
                <w:color w:val="auto"/>
              </w:rPr>
              <w:t>Martn Marieta Materials of Missouri, Inc., a North Carolina corporaton</w:t>
            </w:r>
          </w:p>
        </w:tc>
        <w:tc>
          <w:tcPr>
            <w:tcW w:w="2140" w:type="dxa"/>
            <w:vAlign w:val="bottom"/>
          </w:tcPr>
          <w:p>
            <w:pPr>
              <w:jc w:val="center"/>
              <w:ind w:left="1461"/>
              <w:spacing w:after="0"/>
              <w:rPr>
                <w:sz w:val="20"/>
                <w:szCs w:val="20"/>
                <w:color w:val="auto"/>
              </w:rPr>
            </w:pPr>
            <w:r>
              <w:rPr>
                <w:rFonts w:ascii="Calibri" w:cs="Calibri" w:eastAsia="Calibri" w:hAnsi="Calibri"/>
                <w:sz w:val="20"/>
                <w:szCs w:val="20"/>
                <w:color w:val="auto"/>
              </w:rPr>
              <w:t>100%</w:t>
            </w:r>
          </w:p>
        </w:tc>
      </w:tr>
      <w:tr>
        <w:trPr>
          <w:trHeight w:val="418"/>
        </w:trPr>
        <w:tc>
          <w:tcPr>
            <w:tcW w:w="8920" w:type="dxa"/>
            <w:vAlign w:val="bottom"/>
          </w:tcPr>
          <w:p>
            <w:pPr>
              <w:spacing w:after="0"/>
              <w:rPr>
                <w:sz w:val="20"/>
                <w:szCs w:val="20"/>
                <w:color w:val="auto"/>
              </w:rPr>
            </w:pPr>
            <w:r>
              <w:rPr>
                <w:rFonts w:ascii="Calibri" w:cs="Calibri" w:eastAsia="Calibri" w:hAnsi="Calibri"/>
                <w:sz w:val="20"/>
                <w:szCs w:val="20"/>
                <w:color w:val="auto"/>
              </w:rPr>
              <w:t>Martn Marieta Materials Real Estate Investments, Inc., a North Carolina corporaton</w:t>
            </w:r>
          </w:p>
        </w:tc>
        <w:tc>
          <w:tcPr>
            <w:tcW w:w="2140" w:type="dxa"/>
            <w:vAlign w:val="bottom"/>
          </w:tcPr>
          <w:p>
            <w:pPr>
              <w:jc w:val="center"/>
              <w:ind w:left="1461"/>
              <w:spacing w:after="0"/>
              <w:rPr>
                <w:sz w:val="20"/>
                <w:szCs w:val="20"/>
                <w:color w:val="auto"/>
              </w:rPr>
            </w:pPr>
            <w:r>
              <w:rPr>
                <w:rFonts w:ascii="Calibri" w:cs="Calibri" w:eastAsia="Calibri" w:hAnsi="Calibri"/>
                <w:sz w:val="20"/>
                <w:szCs w:val="20"/>
                <w:color w:val="auto"/>
              </w:rPr>
              <w:t>100%</w:t>
            </w:r>
          </w:p>
        </w:tc>
      </w:tr>
      <w:tr>
        <w:trPr>
          <w:trHeight w:val="418"/>
        </w:trPr>
        <w:tc>
          <w:tcPr>
            <w:tcW w:w="8920" w:type="dxa"/>
            <w:vAlign w:val="bottom"/>
          </w:tcPr>
          <w:p>
            <w:pPr>
              <w:spacing w:after="0"/>
              <w:rPr>
                <w:sz w:val="20"/>
                <w:szCs w:val="20"/>
                <w:color w:val="auto"/>
              </w:rPr>
            </w:pPr>
            <w:r>
              <w:rPr>
                <w:rFonts w:ascii="Calibri" w:cs="Calibri" w:eastAsia="Calibri" w:hAnsi="Calibri"/>
                <w:sz w:val="20"/>
                <w:szCs w:val="20"/>
                <w:color w:val="auto"/>
              </w:rPr>
              <w:t>Martn Marieta Materials Southwest, LLC, a Delaware limited liability company</w:t>
            </w:r>
          </w:p>
        </w:tc>
        <w:tc>
          <w:tcPr>
            <w:tcW w:w="2140" w:type="dxa"/>
            <w:vAlign w:val="bottom"/>
          </w:tcPr>
          <w:p>
            <w:pPr>
              <w:jc w:val="center"/>
              <w:ind w:left="1461"/>
              <w:spacing w:after="0"/>
              <w:rPr>
                <w:sz w:val="20"/>
                <w:szCs w:val="20"/>
                <w:color w:val="auto"/>
              </w:rPr>
            </w:pPr>
            <w:r>
              <w:rPr>
                <w:rFonts w:ascii="Calibri" w:cs="Calibri" w:eastAsia="Calibri" w:hAnsi="Calibri"/>
                <w:sz w:val="20"/>
                <w:szCs w:val="20"/>
                <w:color w:val="auto"/>
              </w:rPr>
              <w:t>100%</w:t>
            </w:r>
          </w:p>
        </w:tc>
      </w:tr>
      <w:tr>
        <w:trPr>
          <w:trHeight w:val="418"/>
        </w:trPr>
        <w:tc>
          <w:tcPr>
            <w:tcW w:w="8920" w:type="dxa"/>
            <w:vAlign w:val="bottom"/>
          </w:tcPr>
          <w:p>
            <w:pPr>
              <w:spacing w:after="0"/>
              <w:rPr>
                <w:sz w:val="20"/>
                <w:szCs w:val="20"/>
                <w:color w:val="auto"/>
              </w:rPr>
            </w:pPr>
            <w:r>
              <w:rPr>
                <w:rFonts w:ascii="Calibri" w:cs="Calibri" w:eastAsia="Calibri" w:hAnsi="Calibri"/>
                <w:sz w:val="20"/>
                <w:szCs w:val="20"/>
                <w:color w:val="auto"/>
              </w:rPr>
              <w:t>Martn Marieta Materials West Division, LLC, a North Carolina limited liability company</w:t>
            </w:r>
          </w:p>
        </w:tc>
        <w:tc>
          <w:tcPr>
            <w:tcW w:w="2140" w:type="dxa"/>
            <w:vAlign w:val="bottom"/>
          </w:tcPr>
          <w:p>
            <w:pPr>
              <w:jc w:val="center"/>
              <w:ind w:left="1461"/>
              <w:spacing w:after="0"/>
              <w:rPr>
                <w:sz w:val="20"/>
                <w:szCs w:val="20"/>
                <w:color w:val="auto"/>
              </w:rPr>
            </w:pPr>
            <w:r>
              <w:rPr>
                <w:rFonts w:ascii="Calibri" w:cs="Calibri" w:eastAsia="Calibri" w:hAnsi="Calibri"/>
                <w:sz w:val="20"/>
                <w:szCs w:val="20"/>
                <w:color w:val="auto"/>
              </w:rPr>
              <w:t>100%</w:t>
            </w:r>
          </w:p>
        </w:tc>
      </w:tr>
      <w:tr>
        <w:trPr>
          <w:trHeight w:val="457"/>
        </w:trPr>
        <w:tc>
          <w:tcPr>
            <w:tcW w:w="8920" w:type="dxa"/>
            <w:vAlign w:val="bottom"/>
          </w:tcPr>
          <w:p>
            <w:pPr>
              <w:spacing w:after="0"/>
              <w:rPr>
                <w:sz w:val="20"/>
                <w:szCs w:val="20"/>
                <w:color w:val="auto"/>
              </w:rPr>
            </w:pPr>
            <w:r>
              <w:rPr>
                <w:rFonts w:ascii="Calibri" w:cs="Calibri" w:eastAsia="Calibri" w:hAnsi="Calibri"/>
                <w:sz w:val="20"/>
                <w:szCs w:val="20"/>
                <w:color w:val="auto"/>
              </w:rPr>
              <w:t>Martn Marieta Northern California Aggregates, LLC, a Delaware limited liability company</w:t>
            </w:r>
          </w:p>
        </w:tc>
        <w:tc>
          <w:tcPr>
            <w:tcW w:w="2140" w:type="dxa"/>
            <w:vAlign w:val="bottom"/>
          </w:tcPr>
          <w:p>
            <w:pPr>
              <w:jc w:val="center"/>
              <w:ind w:left="1461"/>
              <w:spacing w:after="0"/>
              <w:rPr>
                <w:sz w:val="20"/>
                <w:szCs w:val="20"/>
                <w:color w:val="auto"/>
              </w:rPr>
            </w:pPr>
            <w:r>
              <w:rPr>
                <w:rFonts w:ascii="Calibri" w:cs="Calibri" w:eastAsia="Calibri" w:hAnsi="Calibri"/>
                <w:sz w:val="20"/>
                <w:szCs w:val="20"/>
                <w:color w:val="auto"/>
                <w:w w:val="93"/>
              </w:rPr>
              <w:t>100%</w:t>
            </w:r>
            <w:r>
              <w:rPr>
                <w:rFonts w:ascii="Calibri" w:cs="Calibri" w:eastAsia="Calibri" w:hAnsi="Calibri"/>
                <w:sz w:val="26"/>
                <w:szCs w:val="26"/>
                <w:color w:val="auto"/>
                <w:w w:val="93"/>
                <w:vertAlign w:val="superscript"/>
              </w:rPr>
              <w:t>23</w:t>
            </w:r>
          </w:p>
        </w:tc>
      </w:tr>
      <w:tr>
        <w:trPr>
          <w:trHeight w:val="380"/>
        </w:trPr>
        <w:tc>
          <w:tcPr>
            <w:tcW w:w="8920" w:type="dxa"/>
            <w:vAlign w:val="bottom"/>
          </w:tcPr>
          <w:p>
            <w:pPr>
              <w:spacing w:after="0"/>
              <w:rPr>
                <w:sz w:val="20"/>
                <w:szCs w:val="20"/>
                <w:color w:val="auto"/>
              </w:rPr>
            </w:pPr>
            <w:r>
              <w:rPr>
                <w:rFonts w:ascii="Calibri" w:cs="Calibri" w:eastAsia="Calibri" w:hAnsi="Calibri"/>
                <w:sz w:val="20"/>
                <w:szCs w:val="20"/>
                <w:color w:val="auto"/>
              </w:rPr>
              <w:t>Martn Marieta North Texas Cement, LLC, a Delaware limited liability company</w:t>
            </w:r>
          </w:p>
        </w:tc>
        <w:tc>
          <w:tcPr>
            <w:tcW w:w="2140" w:type="dxa"/>
            <w:vAlign w:val="bottom"/>
          </w:tcPr>
          <w:p>
            <w:pPr>
              <w:jc w:val="center"/>
              <w:ind w:left="1461"/>
              <w:spacing w:after="0"/>
              <w:rPr>
                <w:sz w:val="20"/>
                <w:szCs w:val="20"/>
                <w:color w:val="auto"/>
              </w:rPr>
            </w:pPr>
            <w:r>
              <w:rPr>
                <w:rFonts w:ascii="Calibri" w:cs="Calibri" w:eastAsia="Calibri" w:hAnsi="Calibri"/>
                <w:sz w:val="20"/>
                <w:szCs w:val="20"/>
                <w:color w:val="auto"/>
              </w:rPr>
              <w:t>100%</w:t>
            </w:r>
          </w:p>
        </w:tc>
      </w:tr>
      <w:tr>
        <w:trPr>
          <w:trHeight w:val="457"/>
        </w:trPr>
        <w:tc>
          <w:tcPr>
            <w:tcW w:w="8920" w:type="dxa"/>
            <w:vAlign w:val="bottom"/>
          </w:tcPr>
          <w:p>
            <w:pPr>
              <w:spacing w:after="0"/>
              <w:rPr>
                <w:sz w:val="20"/>
                <w:szCs w:val="20"/>
                <w:color w:val="auto"/>
              </w:rPr>
            </w:pPr>
            <w:r>
              <w:rPr>
                <w:rFonts w:ascii="Calibri" w:cs="Calibri" w:eastAsia="Calibri" w:hAnsi="Calibri"/>
                <w:sz w:val="20"/>
                <w:szCs w:val="20"/>
                <w:color w:val="auto"/>
              </w:rPr>
              <w:t>Martn Marieta Pacifc District Cement LLC, a Delaware limited liability company</w:t>
            </w:r>
          </w:p>
        </w:tc>
        <w:tc>
          <w:tcPr>
            <w:tcW w:w="2140" w:type="dxa"/>
            <w:vAlign w:val="bottom"/>
          </w:tcPr>
          <w:p>
            <w:pPr>
              <w:jc w:val="center"/>
              <w:ind w:left="1461"/>
              <w:spacing w:after="0"/>
              <w:rPr>
                <w:sz w:val="20"/>
                <w:szCs w:val="20"/>
                <w:color w:val="auto"/>
              </w:rPr>
            </w:pPr>
            <w:r>
              <w:rPr>
                <w:rFonts w:ascii="Calibri" w:cs="Calibri" w:eastAsia="Calibri" w:hAnsi="Calibri"/>
                <w:sz w:val="20"/>
                <w:szCs w:val="20"/>
                <w:color w:val="auto"/>
                <w:w w:val="93"/>
              </w:rPr>
              <w:t>100%</w:t>
            </w:r>
            <w:r>
              <w:rPr>
                <w:rFonts w:ascii="Calibri" w:cs="Calibri" w:eastAsia="Calibri" w:hAnsi="Calibri"/>
                <w:sz w:val="26"/>
                <w:szCs w:val="26"/>
                <w:color w:val="auto"/>
                <w:w w:val="93"/>
                <w:vertAlign w:val="superscript"/>
              </w:rPr>
              <w:t>24</w:t>
            </w:r>
          </w:p>
        </w:tc>
      </w:tr>
      <w:tr>
        <w:trPr>
          <w:trHeight w:val="418"/>
        </w:trPr>
        <w:tc>
          <w:tcPr>
            <w:tcW w:w="8920" w:type="dxa"/>
            <w:vAlign w:val="bottom"/>
          </w:tcPr>
          <w:p>
            <w:pPr>
              <w:spacing w:after="0"/>
              <w:rPr>
                <w:sz w:val="20"/>
                <w:szCs w:val="20"/>
                <w:color w:val="auto"/>
              </w:rPr>
            </w:pPr>
            <w:r>
              <w:rPr>
                <w:rFonts w:ascii="Calibri" w:cs="Calibri" w:eastAsia="Calibri" w:hAnsi="Calibri"/>
                <w:sz w:val="20"/>
                <w:szCs w:val="20"/>
                <w:color w:val="auto"/>
              </w:rPr>
              <w:t>Martn Marieta San Diego Aggregates LLC, a California limited liability company</w:t>
            </w:r>
          </w:p>
        </w:tc>
        <w:tc>
          <w:tcPr>
            <w:tcW w:w="2140" w:type="dxa"/>
            <w:vAlign w:val="bottom"/>
          </w:tcPr>
          <w:p>
            <w:pPr>
              <w:jc w:val="center"/>
              <w:ind w:left="1461"/>
              <w:spacing w:after="0"/>
              <w:rPr>
                <w:sz w:val="20"/>
                <w:szCs w:val="20"/>
                <w:color w:val="auto"/>
              </w:rPr>
            </w:pPr>
            <w:r>
              <w:rPr>
                <w:rFonts w:ascii="Calibri" w:cs="Calibri" w:eastAsia="Calibri" w:hAnsi="Calibri"/>
                <w:sz w:val="20"/>
                <w:szCs w:val="20"/>
                <w:color w:val="auto"/>
                <w:w w:val="93"/>
              </w:rPr>
              <w:t>100%</w:t>
            </w:r>
            <w:r>
              <w:rPr>
                <w:rFonts w:ascii="Calibri" w:cs="Calibri" w:eastAsia="Calibri" w:hAnsi="Calibri"/>
                <w:sz w:val="26"/>
                <w:szCs w:val="26"/>
                <w:color w:val="auto"/>
                <w:w w:val="93"/>
                <w:vertAlign w:val="superscript"/>
              </w:rPr>
              <w:t>25</w:t>
            </w:r>
          </w:p>
        </w:tc>
      </w:tr>
      <w:tr>
        <w:trPr>
          <w:trHeight w:val="419"/>
        </w:trPr>
        <w:tc>
          <w:tcPr>
            <w:tcW w:w="8920" w:type="dxa"/>
            <w:vAlign w:val="bottom"/>
          </w:tcPr>
          <w:p>
            <w:pPr>
              <w:spacing w:after="0"/>
              <w:rPr>
                <w:sz w:val="20"/>
                <w:szCs w:val="20"/>
                <w:color w:val="auto"/>
              </w:rPr>
            </w:pPr>
            <w:r>
              <w:rPr>
                <w:rFonts w:ascii="Calibri" w:cs="Calibri" w:eastAsia="Calibri" w:hAnsi="Calibri"/>
                <w:sz w:val="20"/>
                <w:szCs w:val="20"/>
                <w:color w:val="auto"/>
              </w:rPr>
              <w:t>Martn Marieta Southern California Aggregates, LLC, a Delaware limited liability company</w:t>
            </w:r>
          </w:p>
        </w:tc>
        <w:tc>
          <w:tcPr>
            <w:tcW w:w="2140" w:type="dxa"/>
            <w:vAlign w:val="bottom"/>
          </w:tcPr>
          <w:p>
            <w:pPr>
              <w:jc w:val="center"/>
              <w:ind w:left="1461"/>
              <w:spacing w:after="0"/>
              <w:rPr>
                <w:sz w:val="20"/>
                <w:szCs w:val="20"/>
                <w:color w:val="auto"/>
              </w:rPr>
            </w:pPr>
            <w:r>
              <w:rPr>
                <w:rFonts w:ascii="Calibri" w:cs="Calibri" w:eastAsia="Calibri" w:hAnsi="Calibri"/>
                <w:sz w:val="20"/>
                <w:szCs w:val="20"/>
                <w:color w:val="auto"/>
                <w:w w:val="93"/>
              </w:rPr>
              <w:t>100%</w:t>
            </w:r>
            <w:r>
              <w:rPr>
                <w:rFonts w:ascii="Calibri" w:cs="Calibri" w:eastAsia="Calibri" w:hAnsi="Calibri"/>
                <w:sz w:val="26"/>
                <w:szCs w:val="26"/>
                <w:color w:val="auto"/>
                <w:w w:val="93"/>
                <w:vertAlign w:val="superscript"/>
              </w:rPr>
              <w:t>26</w:t>
            </w:r>
          </w:p>
        </w:tc>
      </w:tr>
      <w:tr>
        <w:trPr>
          <w:trHeight w:val="419"/>
        </w:trPr>
        <w:tc>
          <w:tcPr>
            <w:tcW w:w="8920" w:type="dxa"/>
            <w:vAlign w:val="bottom"/>
          </w:tcPr>
          <w:p>
            <w:pPr>
              <w:spacing w:after="0"/>
              <w:rPr>
                <w:sz w:val="20"/>
                <w:szCs w:val="20"/>
                <w:color w:val="auto"/>
              </w:rPr>
            </w:pPr>
            <w:r>
              <w:rPr>
                <w:rFonts w:ascii="Calibri" w:cs="Calibri" w:eastAsia="Calibri" w:hAnsi="Calibri"/>
                <w:sz w:val="20"/>
                <w:szCs w:val="20"/>
                <w:color w:val="auto"/>
              </w:rPr>
              <w:t>Martn Marieta Southern California Cement, LLC, a Delaware limited liability company</w:t>
            </w:r>
          </w:p>
        </w:tc>
        <w:tc>
          <w:tcPr>
            <w:tcW w:w="2140" w:type="dxa"/>
            <w:vAlign w:val="bottom"/>
          </w:tcPr>
          <w:p>
            <w:pPr>
              <w:jc w:val="center"/>
              <w:ind w:left="1461"/>
              <w:spacing w:after="0"/>
              <w:rPr>
                <w:sz w:val="20"/>
                <w:szCs w:val="20"/>
                <w:color w:val="auto"/>
              </w:rPr>
            </w:pPr>
            <w:r>
              <w:rPr>
                <w:rFonts w:ascii="Calibri" w:cs="Calibri" w:eastAsia="Calibri" w:hAnsi="Calibri"/>
                <w:sz w:val="20"/>
                <w:szCs w:val="20"/>
                <w:color w:val="auto"/>
                <w:w w:val="93"/>
              </w:rPr>
              <w:t>100%</w:t>
            </w:r>
            <w:r>
              <w:rPr>
                <w:rFonts w:ascii="Calibri" w:cs="Calibri" w:eastAsia="Calibri" w:hAnsi="Calibri"/>
                <w:sz w:val="26"/>
                <w:szCs w:val="26"/>
                <w:color w:val="auto"/>
                <w:w w:val="93"/>
                <w:vertAlign w:val="superscript"/>
              </w:rPr>
              <w:t>27</w:t>
            </w:r>
          </w:p>
        </w:tc>
      </w:tr>
      <w:tr>
        <w:trPr>
          <w:trHeight w:val="380"/>
        </w:trPr>
        <w:tc>
          <w:tcPr>
            <w:tcW w:w="8920" w:type="dxa"/>
            <w:vAlign w:val="bottom"/>
          </w:tcPr>
          <w:p>
            <w:pPr>
              <w:spacing w:after="0"/>
              <w:rPr>
                <w:sz w:val="20"/>
                <w:szCs w:val="20"/>
                <w:color w:val="auto"/>
              </w:rPr>
            </w:pPr>
            <w:r>
              <w:rPr>
                <w:rFonts w:ascii="Calibri" w:cs="Calibri" w:eastAsia="Calibri" w:hAnsi="Calibri"/>
                <w:sz w:val="20"/>
                <w:szCs w:val="20"/>
                <w:color w:val="auto"/>
              </w:rPr>
              <w:t>Martn Marieta South Texas Cement, LLC, a Delaware limited liability company</w:t>
            </w:r>
          </w:p>
        </w:tc>
        <w:tc>
          <w:tcPr>
            <w:tcW w:w="2140" w:type="dxa"/>
            <w:vAlign w:val="bottom"/>
          </w:tcPr>
          <w:p>
            <w:pPr>
              <w:jc w:val="center"/>
              <w:ind w:left="1461"/>
              <w:spacing w:after="0"/>
              <w:rPr>
                <w:sz w:val="20"/>
                <w:szCs w:val="20"/>
                <w:color w:val="auto"/>
              </w:rPr>
            </w:pPr>
            <w:r>
              <w:rPr>
                <w:rFonts w:ascii="Calibri" w:cs="Calibri" w:eastAsia="Calibri" w:hAnsi="Calibri"/>
                <w:sz w:val="20"/>
                <w:szCs w:val="20"/>
                <w:color w:val="auto"/>
              </w:rPr>
              <w:t>100%</w:t>
            </w:r>
          </w:p>
        </w:tc>
      </w:tr>
      <w:tr>
        <w:trPr>
          <w:trHeight w:val="457"/>
        </w:trPr>
        <w:tc>
          <w:tcPr>
            <w:tcW w:w="8920" w:type="dxa"/>
            <w:vAlign w:val="bottom"/>
          </w:tcPr>
          <w:p>
            <w:pPr>
              <w:spacing w:after="0"/>
              <w:rPr>
                <w:sz w:val="20"/>
                <w:szCs w:val="20"/>
                <w:color w:val="auto"/>
              </w:rPr>
            </w:pPr>
            <w:r>
              <w:rPr>
                <w:rFonts w:ascii="Calibri" w:cs="Calibri" w:eastAsia="Calibri" w:hAnsi="Calibri"/>
                <w:sz w:val="20"/>
                <w:szCs w:val="20"/>
                <w:color w:val="auto"/>
              </w:rPr>
              <w:t>Martn Marieta Texas Ready-Mix, LLC, a Texas limited liability company</w:t>
            </w:r>
          </w:p>
        </w:tc>
        <w:tc>
          <w:tcPr>
            <w:tcW w:w="2140" w:type="dxa"/>
            <w:vAlign w:val="bottom"/>
          </w:tcPr>
          <w:p>
            <w:pPr>
              <w:jc w:val="center"/>
              <w:ind w:left="1461"/>
              <w:spacing w:after="0"/>
              <w:rPr>
                <w:sz w:val="20"/>
                <w:szCs w:val="20"/>
                <w:color w:val="auto"/>
              </w:rPr>
            </w:pPr>
            <w:r>
              <w:rPr>
                <w:rFonts w:ascii="Calibri" w:cs="Calibri" w:eastAsia="Calibri" w:hAnsi="Calibri"/>
                <w:sz w:val="20"/>
                <w:szCs w:val="20"/>
                <w:color w:val="auto"/>
                <w:w w:val="93"/>
              </w:rPr>
              <w:t>100%</w:t>
            </w:r>
            <w:r>
              <w:rPr>
                <w:rFonts w:ascii="Calibri" w:cs="Calibri" w:eastAsia="Calibri" w:hAnsi="Calibri"/>
                <w:sz w:val="26"/>
                <w:szCs w:val="26"/>
                <w:color w:val="auto"/>
                <w:w w:val="93"/>
                <w:vertAlign w:val="superscript"/>
              </w:rPr>
              <w:t>28</w:t>
            </w:r>
          </w:p>
        </w:tc>
      </w:tr>
      <w:tr>
        <w:trPr>
          <w:trHeight w:val="418"/>
        </w:trPr>
        <w:tc>
          <w:tcPr>
            <w:tcW w:w="8920" w:type="dxa"/>
            <w:vAlign w:val="bottom"/>
          </w:tcPr>
          <w:p>
            <w:pPr>
              <w:spacing w:after="0"/>
              <w:rPr>
                <w:sz w:val="20"/>
                <w:szCs w:val="20"/>
                <w:color w:val="auto"/>
              </w:rPr>
            </w:pPr>
            <w:r>
              <w:rPr>
                <w:rFonts w:ascii="Calibri" w:cs="Calibri" w:eastAsia="Calibri" w:hAnsi="Calibri"/>
                <w:sz w:val="20"/>
                <w:szCs w:val="20"/>
                <w:color w:val="auto"/>
              </w:rPr>
              <w:t>Martn Marieta Stockton, LLC, a Delaware limited liability company</w:t>
            </w:r>
          </w:p>
        </w:tc>
        <w:tc>
          <w:tcPr>
            <w:tcW w:w="2140" w:type="dxa"/>
            <w:vAlign w:val="bottom"/>
          </w:tcPr>
          <w:p>
            <w:pPr>
              <w:jc w:val="center"/>
              <w:ind w:left="1461"/>
              <w:spacing w:after="0"/>
              <w:rPr>
                <w:sz w:val="20"/>
                <w:szCs w:val="20"/>
                <w:color w:val="auto"/>
              </w:rPr>
            </w:pPr>
            <w:r>
              <w:rPr>
                <w:rFonts w:ascii="Calibri" w:cs="Calibri" w:eastAsia="Calibri" w:hAnsi="Calibri"/>
                <w:sz w:val="20"/>
                <w:szCs w:val="20"/>
                <w:color w:val="auto"/>
                <w:w w:val="93"/>
              </w:rPr>
              <w:t>100%</w:t>
            </w:r>
            <w:r>
              <w:rPr>
                <w:rFonts w:ascii="Calibri" w:cs="Calibri" w:eastAsia="Calibri" w:hAnsi="Calibri"/>
                <w:sz w:val="26"/>
                <w:szCs w:val="26"/>
                <w:color w:val="auto"/>
                <w:w w:val="93"/>
                <w:vertAlign w:val="superscript"/>
              </w:rPr>
              <w:t>29</w:t>
            </w:r>
          </w:p>
        </w:tc>
      </w:tr>
      <w:tr>
        <w:trPr>
          <w:trHeight w:val="380"/>
        </w:trPr>
        <w:tc>
          <w:tcPr>
            <w:tcW w:w="8920" w:type="dxa"/>
            <w:vAlign w:val="bottom"/>
          </w:tcPr>
          <w:p>
            <w:pPr>
              <w:spacing w:after="0"/>
              <w:rPr>
                <w:sz w:val="20"/>
                <w:szCs w:val="20"/>
                <w:color w:val="auto"/>
              </w:rPr>
            </w:pPr>
            <w:r>
              <w:rPr>
                <w:rFonts w:ascii="Calibri" w:cs="Calibri" w:eastAsia="Calibri" w:hAnsi="Calibri"/>
                <w:sz w:val="20"/>
                <w:szCs w:val="20"/>
                <w:color w:val="auto"/>
              </w:rPr>
              <w:t>Martn Marieta Southwest Ready-Mix, Inc., a Delaware corporaton</w:t>
            </w:r>
          </w:p>
        </w:tc>
        <w:tc>
          <w:tcPr>
            <w:tcW w:w="2140" w:type="dxa"/>
            <w:vAlign w:val="bottom"/>
          </w:tcPr>
          <w:p>
            <w:pPr>
              <w:jc w:val="center"/>
              <w:ind w:left="1461"/>
              <w:spacing w:after="0"/>
              <w:rPr>
                <w:sz w:val="20"/>
                <w:szCs w:val="20"/>
                <w:color w:val="auto"/>
              </w:rPr>
            </w:pPr>
            <w:r>
              <w:rPr>
                <w:rFonts w:ascii="Calibri" w:cs="Calibri" w:eastAsia="Calibri" w:hAnsi="Calibri"/>
                <w:sz w:val="20"/>
                <w:szCs w:val="20"/>
                <w:color w:val="auto"/>
              </w:rPr>
              <w:t>100%</w:t>
            </w:r>
          </w:p>
        </w:tc>
      </w:tr>
      <w:tr>
        <w:trPr>
          <w:trHeight w:val="418"/>
        </w:trPr>
        <w:tc>
          <w:tcPr>
            <w:tcW w:w="8920" w:type="dxa"/>
            <w:vAlign w:val="bottom"/>
          </w:tcPr>
          <w:p>
            <w:pPr>
              <w:spacing w:after="0"/>
              <w:rPr>
                <w:sz w:val="20"/>
                <w:szCs w:val="20"/>
                <w:color w:val="auto"/>
              </w:rPr>
            </w:pPr>
            <w:r>
              <w:rPr>
                <w:rFonts w:ascii="Calibri" w:cs="Calibri" w:eastAsia="Calibri" w:hAnsi="Calibri"/>
                <w:sz w:val="20"/>
                <w:szCs w:val="20"/>
                <w:color w:val="auto"/>
              </w:rPr>
              <w:t>Martn Marieta Transportaton and Distributon, LLC</w:t>
            </w:r>
          </w:p>
        </w:tc>
        <w:tc>
          <w:tcPr>
            <w:tcW w:w="2140" w:type="dxa"/>
            <w:vAlign w:val="bottom"/>
          </w:tcPr>
          <w:p>
            <w:pPr>
              <w:jc w:val="center"/>
              <w:ind w:left="1461"/>
              <w:spacing w:after="0"/>
              <w:rPr>
                <w:sz w:val="20"/>
                <w:szCs w:val="20"/>
                <w:color w:val="auto"/>
              </w:rPr>
            </w:pPr>
            <w:r>
              <w:rPr>
                <w:rFonts w:ascii="Calibri" w:cs="Calibri" w:eastAsia="Calibri" w:hAnsi="Calibri"/>
                <w:sz w:val="20"/>
                <w:szCs w:val="20"/>
                <w:color w:val="auto"/>
              </w:rPr>
              <w:t>100%</w:t>
            </w:r>
          </w:p>
        </w:tc>
      </w:tr>
    </w:tbl>
    <w:p>
      <w:pPr>
        <w:spacing w:after="0" w:line="362" w:lineRule="exact"/>
        <w:rPr>
          <w:sz w:val="20"/>
          <w:szCs w:val="20"/>
          <w:color w:val="auto"/>
        </w:rPr>
      </w:pPr>
    </w:p>
    <w:p>
      <w:pPr>
        <w:ind w:left="152" w:hanging="152"/>
        <w:spacing w:after="0"/>
        <w:tabs>
          <w:tab w:leader="none" w:pos="152" w:val="left"/>
        </w:tabs>
        <w:numPr>
          <w:ilvl w:val="0"/>
          <w:numId w:val="37"/>
        </w:numPr>
        <w:rPr>
          <w:rFonts w:ascii="Calibri" w:cs="Calibri" w:eastAsia="Calibri" w:hAnsi="Calibri"/>
          <w:sz w:val="22"/>
          <w:szCs w:val="22"/>
          <w:color w:val="auto"/>
          <w:vertAlign w:val="superscript"/>
        </w:rPr>
      </w:pPr>
      <w:r>
        <w:rPr>
          <w:rFonts w:ascii="Calibri" w:cs="Calibri" w:eastAsia="Calibri" w:hAnsi="Calibri"/>
          <w:sz w:val="17"/>
          <w:szCs w:val="17"/>
          <w:color w:val="auto"/>
        </w:rPr>
        <w:t>Martn Marieta Marine Operatons, LLC is a wholly owned subsidiary of Martn Marieta Northern California Aggregates, LLC.</w:t>
      </w:r>
    </w:p>
    <w:p>
      <w:pPr>
        <w:spacing w:after="0" w:line="54" w:lineRule="exact"/>
        <w:rPr>
          <w:rFonts w:ascii="Calibri" w:cs="Calibri" w:eastAsia="Calibri" w:hAnsi="Calibri"/>
          <w:sz w:val="22"/>
          <w:szCs w:val="22"/>
          <w:color w:val="auto"/>
          <w:vertAlign w:val="superscript"/>
        </w:rPr>
      </w:pPr>
    </w:p>
    <w:p>
      <w:pPr>
        <w:ind w:left="152" w:hanging="152"/>
        <w:spacing w:after="0" w:line="185" w:lineRule="auto"/>
        <w:tabs>
          <w:tab w:leader="none" w:pos="152" w:val="left"/>
        </w:tabs>
        <w:numPr>
          <w:ilvl w:val="0"/>
          <w:numId w:val="37"/>
        </w:numPr>
        <w:rPr>
          <w:rFonts w:ascii="Calibri" w:cs="Calibri" w:eastAsia="Calibri" w:hAnsi="Calibri"/>
          <w:sz w:val="20"/>
          <w:szCs w:val="20"/>
          <w:color w:val="auto"/>
          <w:vertAlign w:val="superscript"/>
        </w:rPr>
      </w:pPr>
      <w:r>
        <w:rPr>
          <w:rFonts w:ascii="Calibri" w:cs="Calibri" w:eastAsia="Calibri" w:hAnsi="Calibri"/>
          <w:sz w:val="15"/>
          <w:szCs w:val="15"/>
          <w:color w:val="auto"/>
        </w:rPr>
        <w:t>Martn Marieta Northern California Aggregates, LLC is a wholly owned subsidiary of Martn Marieta Southern California Aggregates, LLC.</w:t>
      </w:r>
    </w:p>
    <w:p>
      <w:pPr>
        <w:spacing w:after="0" w:line="54" w:lineRule="exact"/>
        <w:rPr>
          <w:rFonts w:ascii="Calibri" w:cs="Calibri" w:eastAsia="Calibri" w:hAnsi="Calibri"/>
          <w:sz w:val="20"/>
          <w:szCs w:val="20"/>
          <w:color w:val="auto"/>
          <w:vertAlign w:val="superscript"/>
        </w:rPr>
      </w:pPr>
    </w:p>
    <w:p>
      <w:pPr>
        <w:ind w:left="152" w:hanging="152"/>
        <w:spacing w:after="0" w:line="185" w:lineRule="auto"/>
        <w:tabs>
          <w:tab w:leader="none" w:pos="152" w:val="left"/>
        </w:tabs>
        <w:numPr>
          <w:ilvl w:val="0"/>
          <w:numId w:val="37"/>
        </w:numPr>
        <w:rPr>
          <w:rFonts w:ascii="Calibri" w:cs="Calibri" w:eastAsia="Calibri" w:hAnsi="Calibri"/>
          <w:sz w:val="20"/>
          <w:szCs w:val="20"/>
          <w:color w:val="auto"/>
          <w:vertAlign w:val="superscript"/>
        </w:rPr>
      </w:pPr>
      <w:r>
        <w:rPr>
          <w:rFonts w:ascii="Calibri" w:cs="Calibri" w:eastAsia="Calibri" w:hAnsi="Calibri"/>
          <w:sz w:val="15"/>
          <w:szCs w:val="15"/>
          <w:color w:val="auto"/>
        </w:rPr>
        <w:t>Martn Marieta Pacifc District Cement LLC is a wholly owned subsidiary of MMMW CMT, LLC.</w:t>
      </w:r>
    </w:p>
    <w:p>
      <w:pPr>
        <w:spacing w:after="0" w:line="54" w:lineRule="exact"/>
        <w:rPr>
          <w:rFonts w:ascii="Calibri" w:cs="Calibri" w:eastAsia="Calibri" w:hAnsi="Calibri"/>
          <w:sz w:val="20"/>
          <w:szCs w:val="20"/>
          <w:color w:val="auto"/>
          <w:vertAlign w:val="superscript"/>
        </w:rPr>
      </w:pPr>
    </w:p>
    <w:p>
      <w:pPr>
        <w:ind w:left="152" w:hanging="152"/>
        <w:spacing w:after="0" w:line="185" w:lineRule="auto"/>
        <w:tabs>
          <w:tab w:leader="none" w:pos="152" w:val="left"/>
        </w:tabs>
        <w:numPr>
          <w:ilvl w:val="0"/>
          <w:numId w:val="37"/>
        </w:numPr>
        <w:rPr>
          <w:rFonts w:ascii="Calibri" w:cs="Calibri" w:eastAsia="Calibri" w:hAnsi="Calibri"/>
          <w:sz w:val="20"/>
          <w:szCs w:val="20"/>
          <w:color w:val="auto"/>
          <w:vertAlign w:val="superscript"/>
        </w:rPr>
      </w:pPr>
      <w:r>
        <w:rPr>
          <w:rFonts w:ascii="Calibri" w:cs="Calibri" w:eastAsia="Calibri" w:hAnsi="Calibri"/>
          <w:sz w:val="15"/>
          <w:szCs w:val="15"/>
          <w:color w:val="auto"/>
        </w:rPr>
        <w:t>Martn Marieta San Diego Aggregates LLC is a wholly owned subsidiary of Martn Marieta Southern California Aggregates, LLC.</w:t>
      </w:r>
    </w:p>
    <w:p>
      <w:pPr>
        <w:spacing w:after="0" w:line="54" w:lineRule="exact"/>
        <w:rPr>
          <w:rFonts w:ascii="Calibri" w:cs="Calibri" w:eastAsia="Calibri" w:hAnsi="Calibri"/>
          <w:sz w:val="20"/>
          <w:szCs w:val="20"/>
          <w:color w:val="auto"/>
          <w:vertAlign w:val="superscript"/>
        </w:rPr>
      </w:pPr>
    </w:p>
    <w:p>
      <w:pPr>
        <w:ind w:left="152" w:hanging="152"/>
        <w:spacing w:after="0" w:line="185" w:lineRule="auto"/>
        <w:tabs>
          <w:tab w:leader="none" w:pos="152" w:val="left"/>
        </w:tabs>
        <w:numPr>
          <w:ilvl w:val="0"/>
          <w:numId w:val="37"/>
        </w:numPr>
        <w:rPr>
          <w:rFonts w:ascii="Calibri" w:cs="Calibri" w:eastAsia="Calibri" w:hAnsi="Calibri"/>
          <w:sz w:val="20"/>
          <w:szCs w:val="20"/>
          <w:color w:val="auto"/>
          <w:vertAlign w:val="superscript"/>
        </w:rPr>
      </w:pPr>
      <w:r>
        <w:rPr>
          <w:rFonts w:ascii="Calibri" w:cs="Calibri" w:eastAsia="Calibri" w:hAnsi="Calibri"/>
          <w:sz w:val="15"/>
          <w:szCs w:val="15"/>
          <w:color w:val="auto"/>
        </w:rPr>
        <w:t>Martn Marieta Southern California Aggregates, LLC is a wholly owned subsidiary of MMMW AGG, LLC.</w:t>
      </w:r>
    </w:p>
    <w:p>
      <w:pPr>
        <w:spacing w:after="0" w:line="54" w:lineRule="exact"/>
        <w:rPr>
          <w:rFonts w:ascii="Calibri" w:cs="Calibri" w:eastAsia="Calibri" w:hAnsi="Calibri"/>
          <w:sz w:val="20"/>
          <w:szCs w:val="20"/>
          <w:color w:val="auto"/>
          <w:vertAlign w:val="superscript"/>
        </w:rPr>
      </w:pPr>
    </w:p>
    <w:p>
      <w:pPr>
        <w:ind w:left="152" w:hanging="152"/>
        <w:spacing w:after="0" w:line="185" w:lineRule="auto"/>
        <w:tabs>
          <w:tab w:leader="none" w:pos="152" w:val="left"/>
        </w:tabs>
        <w:numPr>
          <w:ilvl w:val="0"/>
          <w:numId w:val="37"/>
        </w:numPr>
        <w:rPr>
          <w:rFonts w:ascii="Calibri" w:cs="Calibri" w:eastAsia="Calibri" w:hAnsi="Calibri"/>
          <w:sz w:val="20"/>
          <w:szCs w:val="20"/>
          <w:color w:val="auto"/>
          <w:vertAlign w:val="superscript"/>
        </w:rPr>
      </w:pPr>
      <w:r>
        <w:rPr>
          <w:rFonts w:ascii="Calibri" w:cs="Calibri" w:eastAsia="Calibri" w:hAnsi="Calibri"/>
          <w:sz w:val="15"/>
          <w:szCs w:val="15"/>
          <w:color w:val="auto"/>
        </w:rPr>
        <w:t>Martn Marieta Southern California Cement, LLC is a wholly owned subsidiary of Martn Marieta Pacifc District Cement LLC.</w:t>
      </w:r>
    </w:p>
    <w:p>
      <w:pPr>
        <w:spacing w:after="0" w:line="54" w:lineRule="exact"/>
        <w:rPr>
          <w:rFonts w:ascii="Calibri" w:cs="Calibri" w:eastAsia="Calibri" w:hAnsi="Calibri"/>
          <w:sz w:val="20"/>
          <w:szCs w:val="20"/>
          <w:color w:val="auto"/>
          <w:vertAlign w:val="superscript"/>
        </w:rPr>
      </w:pPr>
    </w:p>
    <w:p>
      <w:pPr>
        <w:ind w:left="152" w:hanging="152"/>
        <w:spacing w:after="0" w:line="185" w:lineRule="auto"/>
        <w:tabs>
          <w:tab w:leader="none" w:pos="152" w:val="left"/>
        </w:tabs>
        <w:numPr>
          <w:ilvl w:val="0"/>
          <w:numId w:val="37"/>
        </w:numPr>
        <w:rPr>
          <w:rFonts w:ascii="Calibri" w:cs="Calibri" w:eastAsia="Calibri" w:hAnsi="Calibri"/>
          <w:sz w:val="20"/>
          <w:szCs w:val="20"/>
          <w:color w:val="auto"/>
          <w:vertAlign w:val="superscript"/>
        </w:rPr>
      </w:pPr>
      <w:r>
        <w:rPr>
          <w:rFonts w:ascii="Calibri" w:cs="Calibri" w:eastAsia="Calibri" w:hAnsi="Calibri"/>
          <w:sz w:val="15"/>
          <w:szCs w:val="15"/>
          <w:color w:val="auto"/>
        </w:rPr>
        <w:t>Martn Marieta Texas Ready-Mix, LLC is a wholly owned subsidiary of Martn Marieta Southwest Ready-Mix, Inc.</w:t>
      </w:r>
    </w:p>
    <w:p>
      <w:pPr>
        <w:spacing w:after="0" w:line="54" w:lineRule="exact"/>
        <w:rPr>
          <w:rFonts w:ascii="Calibri" w:cs="Calibri" w:eastAsia="Calibri" w:hAnsi="Calibri"/>
          <w:sz w:val="20"/>
          <w:szCs w:val="20"/>
          <w:color w:val="auto"/>
          <w:vertAlign w:val="superscript"/>
        </w:rPr>
      </w:pPr>
    </w:p>
    <w:p>
      <w:pPr>
        <w:ind w:left="152" w:hanging="152"/>
        <w:spacing w:after="0" w:line="185" w:lineRule="auto"/>
        <w:tabs>
          <w:tab w:leader="none" w:pos="152" w:val="left"/>
        </w:tabs>
        <w:numPr>
          <w:ilvl w:val="0"/>
          <w:numId w:val="37"/>
        </w:numPr>
        <w:rPr>
          <w:rFonts w:ascii="Calibri" w:cs="Calibri" w:eastAsia="Calibri" w:hAnsi="Calibri"/>
          <w:sz w:val="20"/>
          <w:szCs w:val="20"/>
          <w:color w:val="auto"/>
          <w:vertAlign w:val="superscript"/>
        </w:rPr>
      </w:pPr>
      <w:r>
        <w:rPr>
          <w:rFonts w:ascii="Calibri" w:cs="Calibri" w:eastAsia="Calibri" w:hAnsi="Calibri"/>
          <w:sz w:val="15"/>
          <w:szCs w:val="15"/>
          <w:color w:val="auto"/>
        </w:rPr>
        <w:t>Martn Marieta Stockton, LLC is a wholly owned subsidiary of Martn Marieta Southern California Cement,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71120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72"/>
          </w:cols>
          <w:pgMar w:left="328" w:top="327" w:right="499" w:bottom="1440" w:gutter="0" w:footer="0" w:header="0"/>
        </w:sectPr>
      </w:pPr>
    </w:p>
    <w:bookmarkStart w:id="129" w:name="page130"/>
    <w:bookmarkEnd w:id="129"/>
    <w:tbl>
      <w:tblPr>
        <w:tblLayout w:type="fixed"/>
        <w:tblInd w:w="12" w:type="dxa"/>
        <w:tblCellMar>
          <w:top w:w="0" w:type="dxa"/>
          <w:left w:w="0" w:type="dxa"/>
          <w:bottom w:w="0" w:type="dxa"/>
          <w:right w:w="0" w:type="dxa"/>
        </w:tblCellMar>
      </w:tblPr>
      <w:tr>
        <w:trPr>
          <w:trHeight w:val="317"/>
        </w:trPr>
        <w:tc>
          <w:tcPr>
            <w:tcW w:w="8940" w:type="dxa"/>
            <w:vAlign w:val="bottom"/>
          </w:tcPr>
          <w:p>
            <w:pPr>
              <w:spacing w:after="0"/>
              <w:rPr>
                <w:sz w:val="20"/>
                <w:szCs w:val="20"/>
                <w:color w:val="auto"/>
              </w:rPr>
            </w:pPr>
            <w:r>
              <w:rPr>
                <w:rFonts w:ascii="Calibri" w:cs="Calibri" w:eastAsia="Calibri" w:hAnsi="Calibri"/>
                <w:sz w:val="20"/>
                <w:szCs w:val="20"/>
                <w:color w:val="auto"/>
              </w:rPr>
              <w:t>Material Producers, Inc., an Oklahoma corporaton</w:t>
            </w:r>
          </w:p>
        </w:tc>
        <w:tc>
          <w:tcPr>
            <w:tcW w:w="2120" w:type="dxa"/>
            <w:vAlign w:val="bottom"/>
          </w:tcPr>
          <w:p>
            <w:pPr>
              <w:jc w:val="center"/>
              <w:ind w:left="1441"/>
              <w:spacing w:after="0"/>
              <w:rPr>
                <w:sz w:val="20"/>
                <w:szCs w:val="20"/>
                <w:color w:val="auto"/>
              </w:rPr>
            </w:pPr>
            <w:r>
              <w:rPr>
                <w:rFonts w:ascii="Calibri" w:cs="Calibri" w:eastAsia="Calibri" w:hAnsi="Calibri"/>
                <w:sz w:val="20"/>
                <w:szCs w:val="20"/>
                <w:color w:val="auto"/>
                <w:w w:val="93"/>
              </w:rPr>
              <w:t>100%</w:t>
            </w:r>
            <w:r>
              <w:rPr>
                <w:rFonts w:ascii="Calibri" w:cs="Calibri" w:eastAsia="Calibri" w:hAnsi="Calibri"/>
                <w:sz w:val="26"/>
                <w:szCs w:val="26"/>
                <w:color w:val="auto"/>
                <w:w w:val="93"/>
                <w:vertAlign w:val="superscript"/>
              </w:rPr>
              <w:t>30</w:t>
            </w:r>
          </w:p>
        </w:tc>
      </w:tr>
      <w:tr>
        <w:trPr>
          <w:trHeight w:val="418"/>
        </w:trPr>
        <w:tc>
          <w:tcPr>
            <w:tcW w:w="8940" w:type="dxa"/>
            <w:vAlign w:val="bottom"/>
          </w:tcPr>
          <w:p>
            <w:pPr>
              <w:spacing w:after="0"/>
              <w:rPr>
                <w:sz w:val="20"/>
                <w:szCs w:val="20"/>
                <w:color w:val="auto"/>
              </w:rPr>
            </w:pPr>
            <w:r>
              <w:rPr>
                <w:rFonts w:ascii="Calibri" w:cs="Calibri" w:eastAsia="Calibri" w:hAnsi="Calibri"/>
                <w:sz w:val="20"/>
                <w:szCs w:val="20"/>
                <w:color w:val="auto"/>
              </w:rPr>
              <w:t>Maryland Materials, Inc., a North Carolina corporaton</w:t>
            </w:r>
          </w:p>
        </w:tc>
        <w:tc>
          <w:tcPr>
            <w:tcW w:w="2120" w:type="dxa"/>
            <w:vAlign w:val="bottom"/>
          </w:tcPr>
          <w:p>
            <w:pPr>
              <w:jc w:val="center"/>
              <w:ind w:left="1441"/>
              <w:spacing w:after="0"/>
              <w:rPr>
                <w:sz w:val="20"/>
                <w:szCs w:val="20"/>
                <w:color w:val="auto"/>
              </w:rPr>
            </w:pPr>
            <w:r>
              <w:rPr>
                <w:rFonts w:ascii="Calibri" w:cs="Calibri" w:eastAsia="Calibri" w:hAnsi="Calibri"/>
                <w:sz w:val="20"/>
                <w:szCs w:val="20"/>
                <w:color w:val="auto"/>
                <w:w w:val="93"/>
              </w:rPr>
              <w:t>100%</w:t>
            </w:r>
            <w:r>
              <w:rPr>
                <w:rFonts w:ascii="Calibri" w:cs="Calibri" w:eastAsia="Calibri" w:hAnsi="Calibri"/>
                <w:sz w:val="26"/>
                <w:szCs w:val="26"/>
                <w:color w:val="auto"/>
                <w:w w:val="93"/>
                <w:vertAlign w:val="superscript"/>
              </w:rPr>
              <w:t>31</w:t>
            </w:r>
          </w:p>
        </w:tc>
      </w:tr>
      <w:tr>
        <w:trPr>
          <w:trHeight w:val="419"/>
        </w:trPr>
        <w:tc>
          <w:tcPr>
            <w:tcW w:w="8940" w:type="dxa"/>
            <w:vAlign w:val="bottom"/>
          </w:tcPr>
          <w:p>
            <w:pPr>
              <w:spacing w:after="0"/>
              <w:rPr>
                <w:sz w:val="20"/>
                <w:szCs w:val="20"/>
                <w:color w:val="auto"/>
              </w:rPr>
            </w:pPr>
            <w:r>
              <w:rPr>
                <w:rFonts w:ascii="Calibri" w:cs="Calibri" w:eastAsia="Calibri" w:hAnsi="Calibri"/>
                <w:sz w:val="20"/>
                <w:szCs w:val="20"/>
                <w:color w:val="auto"/>
              </w:rPr>
              <w:t>Meridian Aggregates Company, a Limited Partnership, a North Carolina limited partnership</w:t>
            </w:r>
          </w:p>
        </w:tc>
        <w:tc>
          <w:tcPr>
            <w:tcW w:w="2120" w:type="dxa"/>
            <w:vAlign w:val="bottom"/>
          </w:tcPr>
          <w:p>
            <w:pPr>
              <w:jc w:val="center"/>
              <w:ind w:left="1441"/>
              <w:spacing w:after="0"/>
              <w:rPr>
                <w:sz w:val="20"/>
                <w:szCs w:val="20"/>
                <w:color w:val="auto"/>
              </w:rPr>
            </w:pPr>
            <w:r>
              <w:rPr>
                <w:rFonts w:ascii="Calibri" w:cs="Calibri" w:eastAsia="Calibri" w:hAnsi="Calibri"/>
                <w:sz w:val="20"/>
                <w:szCs w:val="20"/>
                <w:color w:val="auto"/>
                <w:w w:val="93"/>
              </w:rPr>
              <w:t>100%</w:t>
            </w:r>
            <w:r>
              <w:rPr>
                <w:rFonts w:ascii="Calibri" w:cs="Calibri" w:eastAsia="Calibri" w:hAnsi="Calibri"/>
                <w:sz w:val="26"/>
                <w:szCs w:val="26"/>
                <w:color w:val="auto"/>
                <w:w w:val="93"/>
                <w:vertAlign w:val="superscript"/>
              </w:rPr>
              <w:t>32</w:t>
            </w:r>
          </w:p>
        </w:tc>
      </w:tr>
      <w:tr>
        <w:trPr>
          <w:trHeight w:val="380"/>
        </w:trPr>
        <w:tc>
          <w:tcPr>
            <w:tcW w:w="8940" w:type="dxa"/>
            <w:vAlign w:val="bottom"/>
          </w:tcPr>
          <w:p>
            <w:pPr>
              <w:spacing w:after="0"/>
              <w:rPr>
                <w:sz w:val="20"/>
                <w:szCs w:val="20"/>
                <w:color w:val="auto"/>
              </w:rPr>
            </w:pPr>
            <w:r>
              <w:rPr>
                <w:rFonts w:ascii="Calibri" w:cs="Calibri" w:eastAsia="Calibri" w:hAnsi="Calibri"/>
                <w:sz w:val="20"/>
                <w:szCs w:val="20"/>
                <w:color w:val="auto"/>
              </w:rPr>
              <w:t>Meridian Aggregates Company Northwest, LLC, a North Carolina limited liability company</w:t>
            </w:r>
          </w:p>
        </w:tc>
        <w:tc>
          <w:tcPr>
            <w:tcW w:w="2120" w:type="dxa"/>
            <w:vAlign w:val="bottom"/>
          </w:tcPr>
          <w:p>
            <w:pPr>
              <w:jc w:val="center"/>
              <w:ind w:left="1441"/>
              <w:spacing w:after="0"/>
              <w:rPr>
                <w:sz w:val="20"/>
                <w:szCs w:val="20"/>
                <w:color w:val="auto"/>
              </w:rPr>
            </w:pPr>
            <w:r>
              <w:rPr>
                <w:rFonts w:ascii="Calibri" w:cs="Calibri" w:eastAsia="Calibri" w:hAnsi="Calibri"/>
                <w:sz w:val="20"/>
                <w:szCs w:val="20"/>
                <w:color w:val="auto"/>
              </w:rPr>
              <w:t>100%</w:t>
            </w:r>
          </w:p>
        </w:tc>
      </w:tr>
      <w:tr>
        <w:trPr>
          <w:trHeight w:val="457"/>
        </w:trPr>
        <w:tc>
          <w:tcPr>
            <w:tcW w:w="8940" w:type="dxa"/>
            <w:vAlign w:val="bottom"/>
          </w:tcPr>
          <w:p>
            <w:pPr>
              <w:spacing w:after="0"/>
              <w:rPr>
                <w:sz w:val="20"/>
                <w:szCs w:val="20"/>
                <w:color w:val="auto"/>
              </w:rPr>
            </w:pPr>
            <w:r>
              <w:rPr>
                <w:rFonts w:ascii="Calibri" w:cs="Calibri" w:eastAsia="Calibri" w:hAnsi="Calibri"/>
                <w:sz w:val="20"/>
                <w:szCs w:val="20"/>
                <w:color w:val="auto"/>
              </w:rPr>
              <w:t>Meridian Aggregates Investments, LLC, a North Carolina limited liability company</w:t>
            </w:r>
          </w:p>
        </w:tc>
        <w:tc>
          <w:tcPr>
            <w:tcW w:w="2120" w:type="dxa"/>
            <w:vAlign w:val="bottom"/>
          </w:tcPr>
          <w:p>
            <w:pPr>
              <w:jc w:val="center"/>
              <w:ind w:left="1441"/>
              <w:spacing w:after="0"/>
              <w:rPr>
                <w:sz w:val="20"/>
                <w:szCs w:val="20"/>
                <w:color w:val="auto"/>
              </w:rPr>
            </w:pPr>
            <w:r>
              <w:rPr>
                <w:rFonts w:ascii="Calibri" w:cs="Calibri" w:eastAsia="Calibri" w:hAnsi="Calibri"/>
                <w:sz w:val="20"/>
                <w:szCs w:val="20"/>
                <w:color w:val="auto"/>
                <w:w w:val="93"/>
              </w:rPr>
              <w:t>100%</w:t>
            </w:r>
            <w:r>
              <w:rPr>
                <w:rFonts w:ascii="Calibri" w:cs="Calibri" w:eastAsia="Calibri" w:hAnsi="Calibri"/>
                <w:sz w:val="26"/>
                <w:szCs w:val="26"/>
                <w:color w:val="auto"/>
                <w:w w:val="93"/>
                <w:vertAlign w:val="superscript"/>
              </w:rPr>
              <w:t>33</w:t>
            </w:r>
          </w:p>
        </w:tc>
      </w:tr>
      <w:tr>
        <w:trPr>
          <w:trHeight w:val="419"/>
        </w:trPr>
        <w:tc>
          <w:tcPr>
            <w:tcW w:w="8940" w:type="dxa"/>
            <w:vAlign w:val="bottom"/>
          </w:tcPr>
          <w:p>
            <w:pPr>
              <w:spacing w:after="0"/>
              <w:rPr>
                <w:sz w:val="20"/>
                <w:szCs w:val="20"/>
                <w:color w:val="auto"/>
              </w:rPr>
            </w:pPr>
            <w:r>
              <w:rPr>
                <w:rFonts w:ascii="Calibri" w:cs="Calibri" w:eastAsia="Calibri" w:hAnsi="Calibri"/>
                <w:sz w:val="20"/>
                <w:szCs w:val="20"/>
                <w:color w:val="auto"/>
              </w:rPr>
              <w:t>Meridian Granite Company, a North Carolina corporaton</w:t>
            </w:r>
          </w:p>
        </w:tc>
        <w:tc>
          <w:tcPr>
            <w:tcW w:w="2120" w:type="dxa"/>
            <w:vAlign w:val="bottom"/>
          </w:tcPr>
          <w:p>
            <w:pPr>
              <w:jc w:val="center"/>
              <w:ind w:left="1441"/>
              <w:spacing w:after="0"/>
              <w:rPr>
                <w:sz w:val="20"/>
                <w:szCs w:val="20"/>
                <w:color w:val="auto"/>
              </w:rPr>
            </w:pPr>
            <w:r>
              <w:rPr>
                <w:rFonts w:ascii="Calibri" w:cs="Calibri" w:eastAsia="Calibri" w:hAnsi="Calibri"/>
                <w:sz w:val="20"/>
                <w:szCs w:val="20"/>
                <w:color w:val="auto"/>
                <w:w w:val="93"/>
              </w:rPr>
              <w:t>100%</w:t>
            </w:r>
            <w:r>
              <w:rPr>
                <w:rFonts w:ascii="Calibri" w:cs="Calibri" w:eastAsia="Calibri" w:hAnsi="Calibri"/>
                <w:sz w:val="26"/>
                <w:szCs w:val="26"/>
                <w:color w:val="auto"/>
                <w:w w:val="93"/>
                <w:vertAlign w:val="superscript"/>
              </w:rPr>
              <w:t>34</w:t>
            </w:r>
          </w:p>
        </w:tc>
      </w:tr>
      <w:tr>
        <w:trPr>
          <w:trHeight w:val="380"/>
        </w:trPr>
        <w:tc>
          <w:tcPr>
            <w:tcW w:w="8940" w:type="dxa"/>
            <w:vAlign w:val="bottom"/>
          </w:tcPr>
          <w:p>
            <w:pPr>
              <w:spacing w:after="0"/>
              <w:rPr>
                <w:sz w:val="20"/>
                <w:szCs w:val="20"/>
                <w:color w:val="auto"/>
              </w:rPr>
            </w:pPr>
            <w:r>
              <w:rPr>
                <w:rFonts w:ascii="Calibri" w:cs="Calibri" w:eastAsia="Calibri" w:hAnsi="Calibri"/>
                <w:sz w:val="20"/>
                <w:szCs w:val="20"/>
                <w:color w:val="auto"/>
              </w:rPr>
              <w:t>Mid-State Constructon &amp; Materials, Inc., an Arkansas corporaton</w:t>
            </w:r>
          </w:p>
        </w:tc>
        <w:tc>
          <w:tcPr>
            <w:tcW w:w="2120" w:type="dxa"/>
            <w:vAlign w:val="bottom"/>
          </w:tcPr>
          <w:p>
            <w:pPr>
              <w:jc w:val="center"/>
              <w:ind w:left="1441"/>
              <w:spacing w:after="0"/>
              <w:rPr>
                <w:sz w:val="20"/>
                <w:szCs w:val="20"/>
                <w:color w:val="auto"/>
              </w:rPr>
            </w:pPr>
            <w:r>
              <w:rPr>
                <w:rFonts w:ascii="Calibri" w:cs="Calibri" w:eastAsia="Calibri" w:hAnsi="Calibri"/>
                <w:sz w:val="20"/>
                <w:szCs w:val="20"/>
                <w:color w:val="auto"/>
              </w:rPr>
              <w:t>100%</w:t>
            </w:r>
          </w:p>
        </w:tc>
      </w:tr>
      <w:tr>
        <w:trPr>
          <w:trHeight w:val="457"/>
        </w:trPr>
        <w:tc>
          <w:tcPr>
            <w:tcW w:w="8940" w:type="dxa"/>
            <w:vAlign w:val="bottom"/>
          </w:tcPr>
          <w:p>
            <w:pPr>
              <w:spacing w:after="0"/>
              <w:rPr>
                <w:sz w:val="20"/>
                <w:szCs w:val="20"/>
                <w:color w:val="auto"/>
              </w:rPr>
            </w:pPr>
            <w:r>
              <w:rPr>
                <w:rFonts w:ascii="Calibri" w:cs="Calibri" w:eastAsia="Calibri" w:hAnsi="Calibri"/>
                <w:sz w:val="20"/>
                <w:szCs w:val="20"/>
                <w:color w:val="auto"/>
              </w:rPr>
              <w:t>Mission Valley Rock Co., LLC, a California limited liability company</w:t>
            </w:r>
          </w:p>
        </w:tc>
        <w:tc>
          <w:tcPr>
            <w:tcW w:w="2120" w:type="dxa"/>
            <w:vAlign w:val="bottom"/>
          </w:tcPr>
          <w:p>
            <w:pPr>
              <w:jc w:val="center"/>
              <w:ind w:left="1441"/>
              <w:spacing w:after="0"/>
              <w:rPr>
                <w:sz w:val="20"/>
                <w:szCs w:val="20"/>
                <w:color w:val="auto"/>
              </w:rPr>
            </w:pPr>
            <w:r>
              <w:rPr>
                <w:rFonts w:ascii="Calibri" w:cs="Calibri" w:eastAsia="Calibri" w:hAnsi="Calibri"/>
                <w:sz w:val="20"/>
                <w:szCs w:val="20"/>
                <w:color w:val="auto"/>
                <w:w w:val="93"/>
              </w:rPr>
              <w:t>100%</w:t>
            </w:r>
            <w:r>
              <w:rPr>
                <w:rFonts w:ascii="Calibri" w:cs="Calibri" w:eastAsia="Calibri" w:hAnsi="Calibri"/>
                <w:sz w:val="26"/>
                <w:szCs w:val="26"/>
                <w:color w:val="auto"/>
                <w:w w:val="93"/>
                <w:vertAlign w:val="superscript"/>
              </w:rPr>
              <w:t>35</w:t>
            </w:r>
          </w:p>
        </w:tc>
      </w:tr>
      <w:tr>
        <w:trPr>
          <w:trHeight w:val="418"/>
        </w:trPr>
        <w:tc>
          <w:tcPr>
            <w:tcW w:w="8940" w:type="dxa"/>
            <w:vAlign w:val="bottom"/>
          </w:tcPr>
          <w:p>
            <w:pPr>
              <w:spacing w:after="0"/>
              <w:rPr>
                <w:sz w:val="20"/>
                <w:szCs w:val="20"/>
                <w:color w:val="auto"/>
              </w:rPr>
            </w:pPr>
            <w:r>
              <w:rPr>
                <w:rFonts w:ascii="Calibri" w:cs="Calibri" w:eastAsia="Calibri" w:hAnsi="Calibri"/>
                <w:sz w:val="20"/>
                <w:szCs w:val="20"/>
                <w:color w:val="auto"/>
              </w:rPr>
              <w:t>MMM Mexico I, LLC, a North Carolina limited liability company</w:t>
            </w:r>
          </w:p>
        </w:tc>
        <w:tc>
          <w:tcPr>
            <w:tcW w:w="2120" w:type="dxa"/>
            <w:vAlign w:val="bottom"/>
          </w:tcPr>
          <w:p>
            <w:pPr>
              <w:jc w:val="center"/>
              <w:ind w:left="1441"/>
              <w:spacing w:after="0"/>
              <w:rPr>
                <w:sz w:val="20"/>
                <w:szCs w:val="20"/>
                <w:color w:val="auto"/>
              </w:rPr>
            </w:pPr>
            <w:r>
              <w:rPr>
                <w:rFonts w:ascii="Calibri" w:cs="Calibri" w:eastAsia="Calibri" w:hAnsi="Calibri"/>
                <w:sz w:val="20"/>
                <w:szCs w:val="20"/>
                <w:color w:val="auto"/>
                <w:w w:val="93"/>
              </w:rPr>
              <w:t>100%</w:t>
            </w:r>
            <w:r>
              <w:rPr>
                <w:rFonts w:ascii="Calibri" w:cs="Calibri" w:eastAsia="Calibri" w:hAnsi="Calibri"/>
                <w:sz w:val="26"/>
                <w:szCs w:val="26"/>
                <w:color w:val="auto"/>
                <w:w w:val="93"/>
                <w:vertAlign w:val="superscript"/>
              </w:rPr>
              <w:t>36</w:t>
            </w:r>
          </w:p>
        </w:tc>
      </w:tr>
      <w:tr>
        <w:trPr>
          <w:trHeight w:val="419"/>
        </w:trPr>
        <w:tc>
          <w:tcPr>
            <w:tcW w:w="8940" w:type="dxa"/>
            <w:vAlign w:val="bottom"/>
          </w:tcPr>
          <w:p>
            <w:pPr>
              <w:spacing w:after="0"/>
              <w:rPr>
                <w:sz w:val="20"/>
                <w:szCs w:val="20"/>
                <w:color w:val="auto"/>
              </w:rPr>
            </w:pPr>
            <w:r>
              <w:rPr>
                <w:rFonts w:ascii="Calibri" w:cs="Calibri" w:eastAsia="Calibri" w:hAnsi="Calibri"/>
                <w:sz w:val="20"/>
                <w:szCs w:val="20"/>
                <w:color w:val="auto"/>
              </w:rPr>
              <w:t>MMM Mexico, LLC, a North Carolina limited liability company</w:t>
            </w:r>
          </w:p>
        </w:tc>
        <w:tc>
          <w:tcPr>
            <w:tcW w:w="2120" w:type="dxa"/>
            <w:vAlign w:val="bottom"/>
          </w:tcPr>
          <w:p>
            <w:pPr>
              <w:jc w:val="center"/>
              <w:ind w:left="1441"/>
              <w:spacing w:after="0"/>
              <w:rPr>
                <w:sz w:val="20"/>
                <w:szCs w:val="20"/>
                <w:color w:val="auto"/>
              </w:rPr>
            </w:pPr>
            <w:r>
              <w:rPr>
                <w:rFonts w:ascii="Calibri" w:cs="Calibri" w:eastAsia="Calibri" w:hAnsi="Calibri"/>
                <w:sz w:val="20"/>
                <w:szCs w:val="20"/>
                <w:color w:val="auto"/>
                <w:w w:val="93"/>
              </w:rPr>
              <w:t>100%</w:t>
            </w:r>
            <w:r>
              <w:rPr>
                <w:rFonts w:ascii="Calibri" w:cs="Calibri" w:eastAsia="Calibri" w:hAnsi="Calibri"/>
                <w:sz w:val="26"/>
                <w:szCs w:val="26"/>
                <w:color w:val="auto"/>
                <w:w w:val="93"/>
                <w:vertAlign w:val="superscript"/>
              </w:rPr>
              <w:t>37</w:t>
            </w:r>
          </w:p>
        </w:tc>
      </w:tr>
      <w:tr>
        <w:trPr>
          <w:trHeight w:val="419"/>
        </w:trPr>
        <w:tc>
          <w:tcPr>
            <w:tcW w:w="8940" w:type="dxa"/>
            <w:vAlign w:val="bottom"/>
          </w:tcPr>
          <w:p>
            <w:pPr>
              <w:spacing w:after="0"/>
              <w:rPr>
                <w:sz w:val="20"/>
                <w:szCs w:val="20"/>
                <w:color w:val="auto"/>
              </w:rPr>
            </w:pPr>
            <w:r>
              <w:rPr>
                <w:rFonts w:ascii="Calibri" w:cs="Calibri" w:eastAsia="Calibri" w:hAnsi="Calibri"/>
                <w:sz w:val="20"/>
                <w:szCs w:val="20"/>
                <w:color w:val="auto"/>
              </w:rPr>
              <w:t>MMMW AGG, LLC, a North Carolina limited liability company</w:t>
            </w:r>
          </w:p>
        </w:tc>
        <w:tc>
          <w:tcPr>
            <w:tcW w:w="2120" w:type="dxa"/>
            <w:vAlign w:val="bottom"/>
          </w:tcPr>
          <w:p>
            <w:pPr>
              <w:jc w:val="center"/>
              <w:ind w:left="1441"/>
              <w:spacing w:after="0"/>
              <w:rPr>
                <w:sz w:val="20"/>
                <w:szCs w:val="20"/>
                <w:color w:val="auto"/>
              </w:rPr>
            </w:pPr>
            <w:r>
              <w:rPr>
                <w:rFonts w:ascii="Calibri" w:cs="Calibri" w:eastAsia="Calibri" w:hAnsi="Calibri"/>
                <w:sz w:val="20"/>
                <w:szCs w:val="20"/>
                <w:color w:val="auto"/>
                <w:w w:val="93"/>
              </w:rPr>
              <w:t>100%</w:t>
            </w:r>
            <w:r>
              <w:rPr>
                <w:rFonts w:ascii="Calibri" w:cs="Calibri" w:eastAsia="Calibri" w:hAnsi="Calibri"/>
                <w:sz w:val="26"/>
                <w:szCs w:val="26"/>
                <w:color w:val="auto"/>
                <w:w w:val="93"/>
                <w:vertAlign w:val="superscript"/>
              </w:rPr>
              <w:t>38</w:t>
            </w:r>
          </w:p>
        </w:tc>
      </w:tr>
      <w:tr>
        <w:trPr>
          <w:trHeight w:val="418"/>
        </w:trPr>
        <w:tc>
          <w:tcPr>
            <w:tcW w:w="8940" w:type="dxa"/>
            <w:vAlign w:val="bottom"/>
          </w:tcPr>
          <w:p>
            <w:pPr>
              <w:spacing w:after="0"/>
              <w:rPr>
                <w:sz w:val="20"/>
                <w:szCs w:val="20"/>
                <w:color w:val="auto"/>
              </w:rPr>
            </w:pPr>
            <w:r>
              <w:rPr>
                <w:rFonts w:ascii="Calibri" w:cs="Calibri" w:eastAsia="Calibri" w:hAnsi="Calibri"/>
                <w:sz w:val="20"/>
                <w:szCs w:val="20"/>
                <w:color w:val="auto"/>
              </w:rPr>
              <w:t>MMMW CMT, LLC, a North Carolina limited liability company</w:t>
            </w:r>
          </w:p>
        </w:tc>
        <w:tc>
          <w:tcPr>
            <w:tcW w:w="2120" w:type="dxa"/>
            <w:vAlign w:val="bottom"/>
          </w:tcPr>
          <w:p>
            <w:pPr>
              <w:jc w:val="center"/>
              <w:ind w:left="1441"/>
              <w:spacing w:after="0"/>
              <w:rPr>
                <w:sz w:val="20"/>
                <w:szCs w:val="20"/>
                <w:color w:val="auto"/>
              </w:rPr>
            </w:pPr>
            <w:r>
              <w:rPr>
                <w:rFonts w:ascii="Calibri" w:cs="Calibri" w:eastAsia="Calibri" w:hAnsi="Calibri"/>
                <w:sz w:val="20"/>
                <w:szCs w:val="20"/>
                <w:color w:val="auto"/>
                <w:w w:val="93"/>
              </w:rPr>
              <w:t>100%</w:t>
            </w:r>
            <w:r>
              <w:rPr>
                <w:rFonts w:ascii="Calibri" w:cs="Calibri" w:eastAsia="Calibri" w:hAnsi="Calibri"/>
                <w:sz w:val="26"/>
                <w:szCs w:val="26"/>
                <w:color w:val="auto"/>
                <w:w w:val="93"/>
                <w:vertAlign w:val="superscript"/>
              </w:rPr>
              <w:t>39</w:t>
            </w:r>
          </w:p>
        </w:tc>
      </w:tr>
      <w:tr>
        <w:trPr>
          <w:trHeight w:val="419"/>
        </w:trPr>
        <w:tc>
          <w:tcPr>
            <w:tcW w:w="8940" w:type="dxa"/>
            <w:vAlign w:val="bottom"/>
          </w:tcPr>
          <w:p>
            <w:pPr>
              <w:spacing w:after="0"/>
              <w:rPr>
                <w:sz w:val="20"/>
                <w:szCs w:val="20"/>
                <w:color w:val="auto"/>
              </w:rPr>
            </w:pPr>
            <w:r>
              <w:rPr>
                <w:rFonts w:ascii="Calibri" w:cs="Calibri" w:eastAsia="Calibri" w:hAnsi="Calibri"/>
                <w:sz w:val="20"/>
                <w:szCs w:val="20"/>
                <w:color w:val="auto"/>
              </w:rPr>
              <w:t>MTD Pipeline LLC, a Delaware limited liability company</w:t>
            </w:r>
          </w:p>
        </w:tc>
        <w:tc>
          <w:tcPr>
            <w:tcW w:w="2120" w:type="dxa"/>
            <w:vAlign w:val="bottom"/>
          </w:tcPr>
          <w:p>
            <w:pPr>
              <w:jc w:val="center"/>
              <w:ind w:left="1461"/>
              <w:spacing w:after="0"/>
              <w:rPr>
                <w:sz w:val="20"/>
                <w:szCs w:val="20"/>
                <w:color w:val="auto"/>
              </w:rPr>
            </w:pPr>
            <w:r>
              <w:rPr>
                <w:rFonts w:ascii="Calibri" w:cs="Calibri" w:eastAsia="Calibri" w:hAnsi="Calibri"/>
                <w:sz w:val="20"/>
                <w:szCs w:val="20"/>
                <w:color w:val="auto"/>
                <w:w w:val="91"/>
              </w:rPr>
              <w:t>50%</w:t>
            </w:r>
            <w:r>
              <w:rPr>
                <w:rFonts w:ascii="Calibri" w:cs="Calibri" w:eastAsia="Calibri" w:hAnsi="Calibri"/>
                <w:sz w:val="26"/>
                <w:szCs w:val="26"/>
                <w:color w:val="auto"/>
                <w:w w:val="91"/>
                <w:vertAlign w:val="superscript"/>
              </w:rPr>
              <w:t>40</w:t>
            </w:r>
          </w:p>
        </w:tc>
      </w:tr>
      <w:tr>
        <w:trPr>
          <w:trHeight w:val="418"/>
        </w:trPr>
        <w:tc>
          <w:tcPr>
            <w:tcW w:w="8940" w:type="dxa"/>
            <w:vAlign w:val="bottom"/>
          </w:tcPr>
          <w:p>
            <w:pPr>
              <w:spacing w:after="0"/>
              <w:rPr>
                <w:sz w:val="20"/>
                <w:szCs w:val="20"/>
                <w:color w:val="auto"/>
              </w:rPr>
            </w:pPr>
            <w:r>
              <w:rPr>
                <w:rFonts w:ascii="Calibri" w:cs="Calibri" w:eastAsia="Calibri" w:hAnsi="Calibri"/>
                <w:sz w:val="20"/>
                <w:szCs w:val="20"/>
                <w:color w:val="auto"/>
              </w:rPr>
              <w:t>North East Land and Material Company, Inc., a North Carolina corporaton</w:t>
            </w:r>
          </w:p>
        </w:tc>
        <w:tc>
          <w:tcPr>
            <w:tcW w:w="2120" w:type="dxa"/>
            <w:vAlign w:val="bottom"/>
          </w:tcPr>
          <w:p>
            <w:pPr>
              <w:jc w:val="center"/>
              <w:ind w:left="1441"/>
              <w:spacing w:after="0"/>
              <w:rPr>
                <w:sz w:val="20"/>
                <w:szCs w:val="20"/>
                <w:color w:val="auto"/>
              </w:rPr>
            </w:pPr>
            <w:r>
              <w:rPr>
                <w:rFonts w:ascii="Calibri" w:cs="Calibri" w:eastAsia="Calibri" w:hAnsi="Calibri"/>
                <w:sz w:val="20"/>
                <w:szCs w:val="20"/>
                <w:color w:val="auto"/>
                <w:w w:val="93"/>
              </w:rPr>
              <w:t>100%</w:t>
            </w:r>
            <w:r>
              <w:rPr>
                <w:rFonts w:ascii="Calibri" w:cs="Calibri" w:eastAsia="Calibri" w:hAnsi="Calibri"/>
                <w:sz w:val="26"/>
                <w:szCs w:val="26"/>
                <w:color w:val="auto"/>
                <w:w w:val="93"/>
                <w:vertAlign w:val="superscript"/>
              </w:rPr>
              <w:t>41</w:t>
            </w:r>
          </w:p>
        </w:tc>
      </w:tr>
      <w:tr>
        <w:trPr>
          <w:trHeight w:val="380"/>
        </w:trPr>
        <w:tc>
          <w:tcPr>
            <w:tcW w:w="8940" w:type="dxa"/>
            <w:vAlign w:val="bottom"/>
          </w:tcPr>
          <w:p>
            <w:pPr>
              <w:spacing w:after="0"/>
              <w:rPr>
                <w:sz w:val="20"/>
                <w:szCs w:val="20"/>
                <w:color w:val="auto"/>
              </w:rPr>
            </w:pPr>
            <w:r>
              <w:rPr>
                <w:rFonts w:ascii="Calibri" w:cs="Calibri" w:eastAsia="Calibri" w:hAnsi="Calibri"/>
                <w:sz w:val="20"/>
                <w:szCs w:val="20"/>
                <w:color w:val="auto"/>
              </w:rPr>
              <w:t>Panadero Corp., a North Carolina corporaton</w:t>
            </w:r>
          </w:p>
        </w:tc>
        <w:tc>
          <w:tcPr>
            <w:tcW w:w="2120" w:type="dxa"/>
            <w:vAlign w:val="bottom"/>
          </w:tcPr>
          <w:p>
            <w:pPr>
              <w:jc w:val="center"/>
              <w:ind w:left="1441"/>
              <w:spacing w:after="0"/>
              <w:rPr>
                <w:sz w:val="20"/>
                <w:szCs w:val="20"/>
                <w:color w:val="auto"/>
              </w:rPr>
            </w:pPr>
            <w:r>
              <w:rPr>
                <w:rFonts w:ascii="Calibri" w:cs="Calibri" w:eastAsia="Calibri" w:hAnsi="Calibri"/>
                <w:sz w:val="20"/>
                <w:szCs w:val="20"/>
                <w:color w:val="auto"/>
              </w:rPr>
              <w:t>100%</w:t>
            </w:r>
          </w:p>
        </w:tc>
      </w:tr>
      <w:tr>
        <w:trPr>
          <w:trHeight w:val="457"/>
        </w:trPr>
        <w:tc>
          <w:tcPr>
            <w:tcW w:w="8940" w:type="dxa"/>
            <w:vAlign w:val="bottom"/>
          </w:tcPr>
          <w:p>
            <w:pPr>
              <w:spacing w:after="0"/>
              <w:rPr>
                <w:sz w:val="20"/>
                <w:szCs w:val="20"/>
                <w:color w:val="auto"/>
              </w:rPr>
            </w:pPr>
            <w:r>
              <w:rPr>
                <w:rFonts w:ascii="Calibri" w:cs="Calibri" w:eastAsia="Calibri" w:hAnsi="Calibri"/>
                <w:sz w:val="20"/>
                <w:szCs w:val="20"/>
                <w:color w:val="auto"/>
              </w:rPr>
              <w:t>Panadero Midco, LLC, a North Carolina limited liability company</w:t>
            </w:r>
          </w:p>
        </w:tc>
        <w:tc>
          <w:tcPr>
            <w:tcW w:w="2120" w:type="dxa"/>
            <w:vAlign w:val="bottom"/>
          </w:tcPr>
          <w:p>
            <w:pPr>
              <w:jc w:val="center"/>
              <w:ind w:left="1441"/>
              <w:spacing w:after="0"/>
              <w:rPr>
                <w:sz w:val="20"/>
                <w:szCs w:val="20"/>
                <w:color w:val="auto"/>
              </w:rPr>
            </w:pPr>
            <w:r>
              <w:rPr>
                <w:rFonts w:ascii="Calibri" w:cs="Calibri" w:eastAsia="Calibri" w:hAnsi="Calibri"/>
                <w:sz w:val="20"/>
                <w:szCs w:val="20"/>
                <w:color w:val="auto"/>
                <w:w w:val="93"/>
              </w:rPr>
              <w:t>100%</w:t>
            </w:r>
            <w:r>
              <w:rPr>
                <w:rFonts w:ascii="Calibri" w:cs="Calibri" w:eastAsia="Calibri" w:hAnsi="Calibri"/>
                <w:sz w:val="26"/>
                <w:szCs w:val="26"/>
                <w:color w:val="auto"/>
                <w:w w:val="93"/>
                <w:vertAlign w:val="superscript"/>
              </w:rPr>
              <w:t>42</w:t>
            </w:r>
          </w:p>
        </w:tc>
      </w:tr>
    </w:tbl>
    <w:p>
      <w:pPr>
        <w:spacing w:after="0" w:line="323" w:lineRule="exact"/>
        <w:rPr>
          <w:sz w:val="20"/>
          <w:szCs w:val="20"/>
          <w:color w:val="auto"/>
        </w:rPr>
      </w:pPr>
    </w:p>
    <w:p>
      <w:pPr>
        <w:ind w:left="152" w:hanging="152"/>
        <w:spacing w:after="0"/>
        <w:tabs>
          <w:tab w:leader="none" w:pos="152" w:val="left"/>
        </w:tabs>
        <w:numPr>
          <w:ilvl w:val="0"/>
          <w:numId w:val="38"/>
        </w:numPr>
        <w:rPr>
          <w:rFonts w:ascii="Calibri" w:cs="Calibri" w:eastAsia="Calibri" w:hAnsi="Calibri"/>
          <w:sz w:val="22"/>
          <w:szCs w:val="22"/>
          <w:color w:val="auto"/>
          <w:vertAlign w:val="superscript"/>
        </w:rPr>
      </w:pPr>
      <w:r>
        <w:rPr>
          <w:rFonts w:ascii="Calibri" w:cs="Calibri" w:eastAsia="Calibri" w:hAnsi="Calibri"/>
          <w:sz w:val="17"/>
          <w:szCs w:val="17"/>
          <w:color w:val="auto"/>
        </w:rPr>
        <w:t>Material Producers, Inc. is a wholly owned subsidiary of Martn Marieta Materials Southwest, LLC.</w:t>
      </w:r>
    </w:p>
    <w:p>
      <w:pPr>
        <w:spacing w:after="0" w:line="54" w:lineRule="exact"/>
        <w:rPr>
          <w:rFonts w:ascii="Calibri" w:cs="Calibri" w:eastAsia="Calibri" w:hAnsi="Calibri"/>
          <w:sz w:val="22"/>
          <w:szCs w:val="22"/>
          <w:color w:val="auto"/>
          <w:vertAlign w:val="superscript"/>
        </w:rPr>
      </w:pPr>
    </w:p>
    <w:p>
      <w:pPr>
        <w:ind w:left="152" w:hanging="152"/>
        <w:spacing w:after="0" w:line="185" w:lineRule="auto"/>
        <w:tabs>
          <w:tab w:leader="none" w:pos="152" w:val="left"/>
        </w:tabs>
        <w:numPr>
          <w:ilvl w:val="0"/>
          <w:numId w:val="38"/>
        </w:numPr>
        <w:rPr>
          <w:rFonts w:ascii="Calibri" w:cs="Calibri" w:eastAsia="Calibri" w:hAnsi="Calibri"/>
          <w:sz w:val="20"/>
          <w:szCs w:val="20"/>
          <w:color w:val="auto"/>
          <w:vertAlign w:val="superscript"/>
        </w:rPr>
      </w:pPr>
      <w:r>
        <w:rPr>
          <w:rFonts w:ascii="Calibri" w:cs="Calibri" w:eastAsia="Calibri" w:hAnsi="Calibri"/>
          <w:sz w:val="15"/>
          <w:szCs w:val="15"/>
          <w:color w:val="auto"/>
        </w:rPr>
        <w:t>Maryland Materials, Inc. is owned 50% by Bluegrass Materials Company, LLC and 50% by Petrillo Brothers, Inc.</w:t>
      </w:r>
    </w:p>
    <w:p>
      <w:pPr>
        <w:spacing w:after="0" w:line="54" w:lineRule="exact"/>
        <w:rPr>
          <w:rFonts w:ascii="Calibri" w:cs="Calibri" w:eastAsia="Calibri" w:hAnsi="Calibri"/>
          <w:sz w:val="20"/>
          <w:szCs w:val="20"/>
          <w:color w:val="auto"/>
          <w:vertAlign w:val="superscript"/>
        </w:rPr>
      </w:pPr>
    </w:p>
    <w:p>
      <w:pPr>
        <w:ind w:left="-8" w:right="300" w:firstLine="8"/>
        <w:spacing w:after="0" w:line="204" w:lineRule="auto"/>
        <w:tabs>
          <w:tab w:leader="none" w:pos="154" w:val="left"/>
        </w:tabs>
        <w:numPr>
          <w:ilvl w:val="0"/>
          <w:numId w:val="38"/>
        </w:numPr>
        <w:rPr>
          <w:rFonts w:ascii="Calibri" w:cs="Calibri" w:eastAsia="Calibri" w:hAnsi="Calibri"/>
          <w:sz w:val="22"/>
          <w:szCs w:val="22"/>
          <w:color w:val="auto"/>
          <w:vertAlign w:val="superscript"/>
        </w:rPr>
      </w:pPr>
      <w:r>
        <w:rPr>
          <w:rFonts w:ascii="Calibri" w:cs="Calibri" w:eastAsia="Calibri" w:hAnsi="Calibri"/>
          <w:sz w:val="17"/>
          <w:szCs w:val="17"/>
          <w:color w:val="auto"/>
        </w:rPr>
        <w:t>Meridian Aggregates Company, a Limited Partnership, is owned 98% by Meridian Aggregates Investments, LLC. The remaining 2% is owned by Martn Marieta Materials, Inc.</w:t>
      </w:r>
    </w:p>
    <w:p>
      <w:pPr>
        <w:ind w:left="152" w:hanging="152"/>
        <w:spacing w:after="0" w:line="217" w:lineRule="auto"/>
        <w:tabs>
          <w:tab w:leader="none" w:pos="152" w:val="left"/>
        </w:tabs>
        <w:numPr>
          <w:ilvl w:val="0"/>
          <w:numId w:val="38"/>
        </w:numPr>
        <w:rPr>
          <w:rFonts w:ascii="Calibri" w:cs="Calibri" w:eastAsia="Calibri" w:hAnsi="Calibri"/>
          <w:sz w:val="22"/>
          <w:szCs w:val="22"/>
          <w:color w:val="auto"/>
          <w:vertAlign w:val="superscript"/>
        </w:rPr>
      </w:pPr>
      <w:r>
        <w:rPr>
          <w:rFonts w:ascii="Calibri" w:cs="Calibri" w:eastAsia="Calibri" w:hAnsi="Calibri"/>
          <w:sz w:val="17"/>
          <w:szCs w:val="17"/>
          <w:color w:val="auto"/>
        </w:rPr>
        <w:t>Meridian Aggregates Investments, LLC is owned 99% by Martn Marieta Materials, Inc. and 1% by Martn Marieta Materials Real Estate Investments, Inc.</w:t>
      </w:r>
    </w:p>
    <w:p>
      <w:pPr>
        <w:spacing w:after="0" w:line="54" w:lineRule="exact"/>
        <w:rPr>
          <w:rFonts w:ascii="Calibri" w:cs="Calibri" w:eastAsia="Calibri" w:hAnsi="Calibri"/>
          <w:sz w:val="22"/>
          <w:szCs w:val="22"/>
          <w:color w:val="auto"/>
          <w:vertAlign w:val="superscript"/>
        </w:rPr>
      </w:pPr>
    </w:p>
    <w:p>
      <w:pPr>
        <w:ind w:left="152" w:hanging="152"/>
        <w:spacing w:after="0" w:line="185" w:lineRule="auto"/>
        <w:tabs>
          <w:tab w:leader="none" w:pos="152" w:val="left"/>
        </w:tabs>
        <w:numPr>
          <w:ilvl w:val="0"/>
          <w:numId w:val="38"/>
        </w:numPr>
        <w:rPr>
          <w:rFonts w:ascii="Calibri" w:cs="Calibri" w:eastAsia="Calibri" w:hAnsi="Calibri"/>
          <w:sz w:val="20"/>
          <w:szCs w:val="20"/>
          <w:color w:val="auto"/>
          <w:vertAlign w:val="superscript"/>
        </w:rPr>
      </w:pPr>
      <w:r>
        <w:rPr>
          <w:rFonts w:ascii="Calibri" w:cs="Calibri" w:eastAsia="Calibri" w:hAnsi="Calibri"/>
          <w:sz w:val="15"/>
          <w:szCs w:val="15"/>
          <w:color w:val="auto"/>
        </w:rPr>
        <w:t>Meridian Granite Company is a wholly owned subsidiary of Meridian Aggregates Company, a Limited Partnership.</w:t>
      </w:r>
    </w:p>
    <w:p>
      <w:pPr>
        <w:spacing w:after="0" w:line="54" w:lineRule="exact"/>
        <w:rPr>
          <w:rFonts w:ascii="Calibri" w:cs="Calibri" w:eastAsia="Calibri" w:hAnsi="Calibri"/>
          <w:sz w:val="20"/>
          <w:szCs w:val="20"/>
          <w:color w:val="auto"/>
          <w:vertAlign w:val="superscript"/>
        </w:rPr>
      </w:pPr>
    </w:p>
    <w:p>
      <w:pPr>
        <w:ind w:left="152" w:hanging="152"/>
        <w:spacing w:after="0" w:line="185" w:lineRule="auto"/>
        <w:tabs>
          <w:tab w:leader="none" w:pos="152" w:val="left"/>
        </w:tabs>
        <w:numPr>
          <w:ilvl w:val="0"/>
          <w:numId w:val="38"/>
        </w:numPr>
        <w:rPr>
          <w:rFonts w:ascii="Calibri" w:cs="Calibri" w:eastAsia="Calibri" w:hAnsi="Calibri"/>
          <w:sz w:val="20"/>
          <w:szCs w:val="20"/>
          <w:color w:val="auto"/>
          <w:vertAlign w:val="superscript"/>
        </w:rPr>
      </w:pPr>
      <w:r>
        <w:rPr>
          <w:rFonts w:ascii="Calibri" w:cs="Calibri" w:eastAsia="Calibri" w:hAnsi="Calibri"/>
          <w:sz w:val="15"/>
          <w:szCs w:val="15"/>
          <w:color w:val="auto"/>
        </w:rPr>
        <w:t>Mission Valley Rock Co., LLC is a wholly owned subsidiary of Martn Marieta Northern California Aggregates, LLC.</w:t>
      </w:r>
    </w:p>
    <w:p>
      <w:pPr>
        <w:spacing w:after="0" w:line="54" w:lineRule="exact"/>
        <w:rPr>
          <w:rFonts w:ascii="Calibri" w:cs="Calibri" w:eastAsia="Calibri" w:hAnsi="Calibri"/>
          <w:sz w:val="20"/>
          <w:szCs w:val="20"/>
          <w:color w:val="auto"/>
          <w:vertAlign w:val="superscript"/>
        </w:rPr>
      </w:pPr>
    </w:p>
    <w:p>
      <w:pPr>
        <w:ind w:left="152" w:hanging="152"/>
        <w:spacing w:after="0" w:line="185" w:lineRule="auto"/>
        <w:tabs>
          <w:tab w:leader="none" w:pos="152" w:val="left"/>
        </w:tabs>
        <w:numPr>
          <w:ilvl w:val="0"/>
          <w:numId w:val="38"/>
        </w:numPr>
        <w:rPr>
          <w:rFonts w:ascii="Calibri" w:cs="Calibri" w:eastAsia="Calibri" w:hAnsi="Calibri"/>
          <w:sz w:val="20"/>
          <w:szCs w:val="20"/>
          <w:color w:val="auto"/>
          <w:vertAlign w:val="superscript"/>
        </w:rPr>
      </w:pPr>
      <w:r>
        <w:rPr>
          <w:rFonts w:ascii="Calibri" w:cs="Calibri" w:eastAsia="Calibri" w:hAnsi="Calibri"/>
          <w:sz w:val="15"/>
          <w:szCs w:val="15"/>
          <w:color w:val="auto"/>
        </w:rPr>
        <w:t>MMM Mexico I, LLC is a wholly owned subsidiary of Martn Marieta Materials West Division, LLC.</w:t>
      </w:r>
    </w:p>
    <w:p>
      <w:pPr>
        <w:spacing w:after="0" w:line="54" w:lineRule="exact"/>
        <w:rPr>
          <w:rFonts w:ascii="Calibri" w:cs="Calibri" w:eastAsia="Calibri" w:hAnsi="Calibri"/>
          <w:sz w:val="20"/>
          <w:szCs w:val="20"/>
          <w:color w:val="auto"/>
          <w:vertAlign w:val="superscript"/>
        </w:rPr>
      </w:pPr>
    </w:p>
    <w:p>
      <w:pPr>
        <w:ind w:left="152" w:hanging="152"/>
        <w:spacing w:after="0" w:line="185" w:lineRule="auto"/>
        <w:tabs>
          <w:tab w:leader="none" w:pos="152" w:val="left"/>
        </w:tabs>
        <w:numPr>
          <w:ilvl w:val="0"/>
          <w:numId w:val="38"/>
        </w:numPr>
        <w:rPr>
          <w:rFonts w:ascii="Calibri" w:cs="Calibri" w:eastAsia="Calibri" w:hAnsi="Calibri"/>
          <w:sz w:val="20"/>
          <w:szCs w:val="20"/>
          <w:color w:val="auto"/>
          <w:vertAlign w:val="superscript"/>
        </w:rPr>
      </w:pPr>
      <w:r>
        <w:rPr>
          <w:rFonts w:ascii="Calibri" w:cs="Calibri" w:eastAsia="Calibri" w:hAnsi="Calibri"/>
          <w:sz w:val="15"/>
          <w:szCs w:val="15"/>
          <w:color w:val="auto"/>
        </w:rPr>
        <w:t>MMM Mexico, LLC is a wholly owned subsidiary of Martn Marieta Materials West Division, LLC.</w:t>
      </w:r>
    </w:p>
    <w:p>
      <w:pPr>
        <w:spacing w:after="0" w:line="54" w:lineRule="exact"/>
        <w:rPr>
          <w:rFonts w:ascii="Calibri" w:cs="Calibri" w:eastAsia="Calibri" w:hAnsi="Calibri"/>
          <w:sz w:val="20"/>
          <w:szCs w:val="20"/>
          <w:color w:val="auto"/>
          <w:vertAlign w:val="superscript"/>
        </w:rPr>
      </w:pPr>
    </w:p>
    <w:p>
      <w:pPr>
        <w:ind w:left="152" w:hanging="152"/>
        <w:spacing w:after="0" w:line="185" w:lineRule="auto"/>
        <w:tabs>
          <w:tab w:leader="none" w:pos="152" w:val="left"/>
        </w:tabs>
        <w:numPr>
          <w:ilvl w:val="0"/>
          <w:numId w:val="38"/>
        </w:numPr>
        <w:rPr>
          <w:rFonts w:ascii="Calibri" w:cs="Calibri" w:eastAsia="Calibri" w:hAnsi="Calibri"/>
          <w:sz w:val="20"/>
          <w:szCs w:val="20"/>
          <w:color w:val="auto"/>
          <w:vertAlign w:val="superscript"/>
        </w:rPr>
      </w:pPr>
      <w:r>
        <w:rPr>
          <w:rFonts w:ascii="Calibri" w:cs="Calibri" w:eastAsia="Calibri" w:hAnsi="Calibri"/>
          <w:sz w:val="15"/>
          <w:szCs w:val="15"/>
          <w:color w:val="auto"/>
        </w:rPr>
        <w:t>MMMW AGG, LLC is a wholly owned subsidiary of Martn Marieta Materials West Division, LLC.</w:t>
      </w:r>
    </w:p>
    <w:p>
      <w:pPr>
        <w:spacing w:after="0" w:line="54" w:lineRule="exact"/>
        <w:rPr>
          <w:rFonts w:ascii="Calibri" w:cs="Calibri" w:eastAsia="Calibri" w:hAnsi="Calibri"/>
          <w:sz w:val="20"/>
          <w:szCs w:val="20"/>
          <w:color w:val="auto"/>
          <w:vertAlign w:val="superscript"/>
        </w:rPr>
      </w:pPr>
    </w:p>
    <w:p>
      <w:pPr>
        <w:ind w:left="152" w:hanging="152"/>
        <w:spacing w:after="0" w:line="185" w:lineRule="auto"/>
        <w:tabs>
          <w:tab w:leader="none" w:pos="152" w:val="left"/>
        </w:tabs>
        <w:numPr>
          <w:ilvl w:val="0"/>
          <w:numId w:val="38"/>
        </w:numPr>
        <w:rPr>
          <w:rFonts w:ascii="Calibri" w:cs="Calibri" w:eastAsia="Calibri" w:hAnsi="Calibri"/>
          <w:sz w:val="20"/>
          <w:szCs w:val="20"/>
          <w:color w:val="auto"/>
          <w:vertAlign w:val="superscript"/>
        </w:rPr>
      </w:pPr>
      <w:r>
        <w:rPr>
          <w:rFonts w:ascii="Calibri" w:cs="Calibri" w:eastAsia="Calibri" w:hAnsi="Calibri"/>
          <w:sz w:val="15"/>
          <w:szCs w:val="15"/>
          <w:color w:val="auto"/>
        </w:rPr>
        <w:t>MMMW CMT, LLC is a wholly owned subsidiary of Martn Marieta Materials West Division, LLC.</w:t>
      </w:r>
    </w:p>
    <w:p>
      <w:pPr>
        <w:spacing w:after="0" w:line="54" w:lineRule="exact"/>
        <w:rPr>
          <w:rFonts w:ascii="Calibri" w:cs="Calibri" w:eastAsia="Calibri" w:hAnsi="Calibri"/>
          <w:sz w:val="20"/>
          <w:szCs w:val="20"/>
          <w:color w:val="auto"/>
          <w:vertAlign w:val="superscript"/>
        </w:rPr>
      </w:pPr>
    </w:p>
    <w:p>
      <w:pPr>
        <w:ind w:left="152" w:hanging="152"/>
        <w:spacing w:after="0" w:line="185" w:lineRule="auto"/>
        <w:tabs>
          <w:tab w:leader="none" w:pos="152" w:val="left"/>
        </w:tabs>
        <w:numPr>
          <w:ilvl w:val="0"/>
          <w:numId w:val="38"/>
        </w:numPr>
        <w:rPr>
          <w:rFonts w:ascii="Calibri" w:cs="Calibri" w:eastAsia="Calibri" w:hAnsi="Calibri"/>
          <w:sz w:val="20"/>
          <w:szCs w:val="20"/>
          <w:color w:val="auto"/>
          <w:vertAlign w:val="superscript"/>
        </w:rPr>
      </w:pPr>
      <w:r>
        <w:rPr>
          <w:rFonts w:ascii="Calibri" w:cs="Calibri" w:eastAsia="Calibri" w:hAnsi="Calibri"/>
          <w:sz w:val="15"/>
          <w:szCs w:val="15"/>
          <w:color w:val="auto"/>
        </w:rPr>
        <w:t>Martn Marieta Magnesia Specialtes, LLC, a wholly owned subsidiary of Martn Marieta Materials, Inc., owns a 50% interest in MTD Pipeline LLC.</w:t>
      </w:r>
    </w:p>
    <w:p>
      <w:pPr>
        <w:spacing w:after="0" w:line="54" w:lineRule="exact"/>
        <w:rPr>
          <w:rFonts w:ascii="Calibri" w:cs="Calibri" w:eastAsia="Calibri" w:hAnsi="Calibri"/>
          <w:sz w:val="20"/>
          <w:szCs w:val="20"/>
          <w:color w:val="auto"/>
          <w:vertAlign w:val="superscript"/>
        </w:rPr>
      </w:pPr>
    </w:p>
    <w:p>
      <w:pPr>
        <w:ind w:left="152" w:hanging="152"/>
        <w:spacing w:after="0" w:line="185" w:lineRule="auto"/>
        <w:tabs>
          <w:tab w:leader="none" w:pos="152" w:val="left"/>
        </w:tabs>
        <w:numPr>
          <w:ilvl w:val="0"/>
          <w:numId w:val="38"/>
        </w:numPr>
        <w:rPr>
          <w:rFonts w:ascii="Calibri" w:cs="Calibri" w:eastAsia="Calibri" w:hAnsi="Calibri"/>
          <w:sz w:val="20"/>
          <w:szCs w:val="20"/>
          <w:color w:val="auto"/>
          <w:vertAlign w:val="superscript"/>
        </w:rPr>
      </w:pPr>
      <w:r>
        <w:rPr>
          <w:rFonts w:ascii="Calibri" w:cs="Calibri" w:eastAsia="Calibri" w:hAnsi="Calibri"/>
          <w:sz w:val="15"/>
          <w:szCs w:val="15"/>
          <w:color w:val="auto"/>
        </w:rPr>
        <w:t>North East Land and Material Company, Inc. is a wholly owned subsidiary of Maryland Materials, Inc.</w:t>
      </w:r>
    </w:p>
    <w:p>
      <w:pPr>
        <w:spacing w:after="0" w:line="54" w:lineRule="exact"/>
        <w:rPr>
          <w:rFonts w:ascii="Calibri" w:cs="Calibri" w:eastAsia="Calibri" w:hAnsi="Calibri"/>
          <w:sz w:val="20"/>
          <w:szCs w:val="20"/>
          <w:color w:val="auto"/>
          <w:vertAlign w:val="superscript"/>
        </w:rPr>
      </w:pPr>
    </w:p>
    <w:p>
      <w:pPr>
        <w:ind w:left="152" w:hanging="152"/>
        <w:spacing w:after="0" w:line="185" w:lineRule="auto"/>
        <w:tabs>
          <w:tab w:leader="none" w:pos="152" w:val="left"/>
        </w:tabs>
        <w:numPr>
          <w:ilvl w:val="0"/>
          <w:numId w:val="38"/>
        </w:numPr>
        <w:rPr>
          <w:rFonts w:ascii="Calibri" w:cs="Calibri" w:eastAsia="Calibri" w:hAnsi="Calibri"/>
          <w:sz w:val="20"/>
          <w:szCs w:val="20"/>
          <w:color w:val="auto"/>
          <w:vertAlign w:val="superscript"/>
        </w:rPr>
      </w:pPr>
      <w:r>
        <w:rPr>
          <w:rFonts w:ascii="Calibri" w:cs="Calibri" w:eastAsia="Calibri" w:hAnsi="Calibri"/>
          <w:sz w:val="15"/>
          <w:szCs w:val="15"/>
          <w:color w:val="auto"/>
        </w:rPr>
        <w:t>Panadero Midco, LLC is a wholly owned subsidiary of Martn Marieta Bluegrass,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71120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72"/>
          </w:cols>
          <w:pgMar w:left="328" w:top="327" w:right="499" w:bottom="1440" w:gutter="0" w:footer="0" w:header="0"/>
        </w:sectPr>
      </w:pPr>
    </w:p>
    <w:bookmarkStart w:id="130" w:name="page131"/>
    <w:bookmarkEnd w:id="130"/>
    <w:tbl>
      <w:tblPr>
        <w:tblLayout w:type="fixed"/>
        <w:tblInd w:w="12" w:type="dxa"/>
        <w:tblCellMar>
          <w:top w:w="0" w:type="dxa"/>
          <w:left w:w="0" w:type="dxa"/>
          <w:bottom w:w="0" w:type="dxa"/>
          <w:right w:w="0" w:type="dxa"/>
        </w:tblCellMar>
      </w:tblPr>
      <w:tr>
        <w:trPr>
          <w:trHeight w:val="317"/>
        </w:trPr>
        <w:tc>
          <w:tcPr>
            <w:tcW w:w="8320" w:type="dxa"/>
            <w:vAlign w:val="bottom"/>
          </w:tcPr>
          <w:p>
            <w:pPr>
              <w:spacing w:after="0"/>
              <w:rPr>
                <w:sz w:val="20"/>
                <w:szCs w:val="20"/>
                <w:color w:val="auto"/>
              </w:rPr>
            </w:pPr>
            <w:r>
              <w:rPr>
                <w:rFonts w:ascii="Calibri" w:cs="Calibri" w:eastAsia="Calibri" w:hAnsi="Calibri"/>
                <w:sz w:val="20"/>
                <w:szCs w:val="20"/>
                <w:color w:val="auto"/>
              </w:rPr>
              <w:t>PCAz Leasing, LLC, an Arizona limited liability company</w:t>
            </w:r>
          </w:p>
        </w:tc>
        <w:tc>
          <w:tcPr>
            <w:tcW w:w="2780" w:type="dxa"/>
            <w:vAlign w:val="bottom"/>
          </w:tcPr>
          <w:p>
            <w:pPr>
              <w:jc w:val="center"/>
              <w:ind w:left="2021"/>
              <w:spacing w:after="0"/>
              <w:rPr>
                <w:sz w:val="20"/>
                <w:szCs w:val="20"/>
                <w:color w:val="auto"/>
              </w:rPr>
            </w:pPr>
            <w:r>
              <w:rPr>
                <w:rFonts w:ascii="Calibri" w:cs="Calibri" w:eastAsia="Calibri" w:hAnsi="Calibri"/>
                <w:sz w:val="20"/>
                <w:szCs w:val="20"/>
                <w:color w:val="auto"/>
                <w:w w:val="93"/>
              </w:rPr>
              <w:t>100%</w:t>
            </w:r>
            <w:r>
              <w:rPr>
                <w:rFonts w:ascii="Calibri" w:cs="Calibri" w:eastAsia="Calibri" w:hAnsi="Calibri"/>
                <w:sz w:val="26"/>
                <w:szCs w:val="26"/>
                <w:color w:val="auto"/>
                <w:w w:val="93"/>
                <w:vertAlign w:val="superscript"/>
              </w:rPr>
              <w:t>43</w:t>
            </w:r>
          </w:p>
        </w:tc>
      </w:tr>
      <w:tr>
        <w:trPr>
          <w:trHeight w:val="419"/>
        </w:trPr>
        <w:tc>
          <w:tcPr>
            <w:tcW w:w="8320" w:type="dxa"/>
            <w:vAlign w:val="bottom"/>
          </w:tcPr>
          <w:p>
            <w:pPr>
              <w:spacing w:after="0"/>
              <w:rPr>
                <w:sz w:val="20"/>
                <w:szCs w:val="20"/>
                <w:color w:val="auto"/>
              </w:rPr>
            </w:pPr>
            <w:r>
              <w:rPr>
                <w:rFonts w:ascii="Calibri" w:cs="Calibri" w:eastAsia="Calibri" w:hAnsi="Calibri"/>
                <w:sz w:val="20"/>
                <w:szCs w:val="20"/>
                <w:color w:val="auto"/>
              </w:rPr>
              <w:t>Petrillo Brothers, Inc., a North Carolina corporaton</w:t>
            </w:r>
          </w:p>
        </w:tc>
        <w:tc>
          <w:tcPr>
            <w:tcW w:w="2780" w:type="dxa"/>
            <w:vAlign w:val="bottom"/>
          </w:tcPr>
          <w:p>
            <w:pPr>
              <w:jc w:val="center"/>
              <w:ind w:left="2021"/>
              <w:spacing w:after="0"/>
              <w:rPr>
                <w:sz w:val="20"/>
                <w:szCs w:val="20"/>
                <w:color w:val="auto"/>
              </w:rPr>
            </w:pPr>
            <w:r>
              <w:rPr>
                <w:rFonts w:ascii="Calibri" w:cs="Calibri" w:eastAsia="Calibri" w:hAnsi="Calibri"/>
                <w:sz w:val="20"/>
                <w:szCs w:val="20"/>
                <w:color w:val="auto"/>
                <w:w w:val="93"/>
              </w:rPr>
              <w:t>100%</w:t>
            </w:r>
            <w:r>
              <w:rPr>
                <w:rFonts w:ascii="Calibri" w:cs="Calibri" w:eastAsia="Calibri" w:hAnsi="Calibri"/>
                <w:sz w:val="26"/>
                <w:szCs w:val="26"/>
                <w:color w:val="auto"/>
                <w:w w:val="93"/>
                <w:vertAlign w:val="superscript"/>
              </w:rPr>
              <w:t>44</w:t>
            </w:r>
          </w:p>
        </w:tc>
      </w:tr>
      <w:tr>
        <w:trPr>
          <w:trHeight w:val="418"/>
        </w:trPr>
        <w:tc>
          <w:tcPr>
            <w:tcW w:w="8320" w:type="dxa"/>
            <w:vAlign w:val="bottom"/>
          </w:tcPr>
          <w:p>
            <w:pPr>
              <w:spacing w:after="0"/>
              <w:rPr>
                <w:sz w:val="20"/>
                <w:szCs w:val="20"/>
                <w:color w:val="auto"/>
              </w:rPr>
            </w:pPr>
            <w:r>
              <w:rPr>
                <w:rFonts w:ascii="Calibri" w:cs="Calibri" w:eastAsia="Calibri" w:hAnsi="Calibri"/>
                <w:sz w:val="20"/>
                <w:szCs w:val="20"/>
                <w:color w:val="auto"/>
              </w:rPr>
              <w:t>Piedras y Arenas Baja, S. de R.L. de C.V., a Mexican limited liability company</w:t>
            </w:r>
          </w:p>
        </w:tc>
        <w:tc>
          <w:tcPr>
            <w:tcW w:w="2780" w:type="dxa"/>
            <w:vAlign w:val="bottom"/>
          </w:tcPr>
          <w:p>
            <w:pPr>
              <w:jc w:val="center"/>
              <w:ind w:left="2021"/>
              <w:spacing w:after="0"/>
              <w:rPr>
                <w:sz w:val="20"/>
                <w:szCs w:val="20"/>
                <w:color w:val="auto"/>
              </w:rPr>
            </w:pPr>
            <w:r>
              <w:rPr>
                <w:rFonts w:ascii="Calibri" w:cs="Calibri" w:eastAsia="Calibri" w:hAnsi="Calibri"/>
                <w:sz w:val="20"/>
                <w:szCs w:val="20"/>
                <w:color w:val="auto"/>
                <w:w w:val="93"/>
              </w:rPr>
              <w:t>100%</w:t>
            </w:r>
            <w:r>
              <w:rPr>
                <w:rFonts w:ascii="Calibri" w:cs="Calibri" w:eastAsia="Calibri" w:hAnsi="Calibri"/>
                <w:sz w:val="26"/>
                <w:szCs w:val="26"/>
                <w:color w:val="auto"/>
                <w:w w:val="93"/>
                <w:vertAlign w:val="superscript"/>
              </w:rPr>
              <w:t>45</w:t>
            </w:r>
          </w:p>
        </w:tc>
      </w:tr>
      <w:tr>
        <w:trPr>
          <w:trHeight w:val="419"/>
        </w:trPr>
        <w:tc>
          <w:tcPr>
            <w:tcW w:w="8320" w:type="dxa"/>
            <w:vAlign w:val="bottom"/>
          </w:tcPr>
          <w:p>
            <w:pPr>
              <w:spacing w:after="0"/>
              <w:rPr>
                <w:sz w:val="20"/>
                <w:szCs w:val="20"/>
                <w:color w:val="auto"/>
              </w:rPr>
            </w:pPr>
            <w:r>
              <w:rPr>
                <w:rFonts w:ascii="Calibri" w:cs="Calibri" w:eastAsia="Calibri" w:hAnsi="Calibri"/>
                <w:sz w:val="20"/>
                <w:szCs w:val="20"/>
                <w:color w:val="auto"/>
              </w:rPr>
              <w:t>Powderly Transportaton, Inc., a North Carolina corporaton</w:t>
            </w:r>
          </w:p>
        </w:tc>
        <w:tc>
          <w:tcPr>
            <w:tcW w:w="2780" w:type="dxa"/>
            <w:vAlign w:val="bottom"/>
          </w:tcPr>
          <w:p>
            <w:pPr>
              <w:jc w:val="center"/>
              <w:ind w:left="2021"/>
              <w:spacing w:after="0"/>
              <w:rPr>
                <w:sz w:val="20"/>
                <w:szCs w:val="20"/>
                <w:color w:val="auto"/>
              </w:rPr>
            </w:pPr>
            <w:r>
              <w:rPr>
                <w:rFonts w:ascii="Calibri" w:cs="Calibri" w:eastAsia="Calibri" w:hAnsi="Calibri"/>
                <w:sz w:val="20"/>
                <w:szCs w:val="20"/>
                <w:color w:val="auto"/>
                <w:w w:val="93"/>
              </w:rPr>
              <w:t>100%</w:t>
            </w:r>
            <w:r>
              <w:rPr>
                <w:rFonts w:ascii="Calibri" w:cs="Calibri" w:eastAsia="Calibri" w:hAnsi="Calibri"/>
                <w:sz w:val="26"/>
                <w:szCs w:val="26"/>
                <w:color w:val="auto"/>
                <w:w w:val="93"/>
                <w:vertAlign w:val="superscript"/>
              </w:rPr>
              <w:t>46</w:t>
            </w:r>
          </w:p>
        </w:tc>
      </w:tr>
      <w:tr>
        <w:trPr>
          <w:trHeight w:val="419"/>
        </w:trPr>
        <w:tc>
          <w:tcPr>
            <w:tcW w:w="8320" w:type="dxa"/>
            <w:vAlign w:val="bottom"/>
          </w:tcPr>
          <w:p>
            <w:pPr>
              <w:spacing w:after="0"/>
              <w:rPr>
                <w:sz w:val="20"/>
                <w:szCs w:val="20"/>
                <w:color w:val="auto"/>
              </w:rPr>
            </w:pPr>
            <w:r>
              <w:rPr>
                <w:rFonts w:ascii="Calibri" w:cs="Calibri" w:eastAsia="Calibri" w:hAnsi="Calibri"/>
                <w:sz w:val="20"/>
                <w:szCs w:val="20"/>
                <w:color w:val="auto"/>
              </w:rPr>
              <w:t>R&amp;S Sand &amp; Gravel, LLC, a North Carolina limited liability company</w:t>
            </w:r>
          </w:p>
        </w:tc>
        <w:tc>
          <w:tcPr>
            <w:tcW w:w="2780" w:type="dxa"/>
            <w:vAlign w:val="bottom"/>
          </w:tcPr>
          <w:p>
            <w:pPr>
              <w:jc w:val="center"/>
              <w:ind w:left="2021"/>
              <w:spacing w:after="0"/>
              <w:rPr>
                <w:sz w:val="20"/>
                <w:szCs w:val="20"/>
                <w:color w:val="auto"/>
              </w:rPr>
            </w:pPr>
            <w:r>
              <w:rPr>
                <w:rFonts w:ascii="Calibri" w:cs="Calibri" w:eastAsia="Calibri" w:hAnsi="Calibri"/>
                <w:sz w:val="20"/>
                <w:szCs w:val="20"/>
                <w:color w:val="auto"/>
                <w:w w:val="93"/>
              </w:rPr>
              <w:t>100%</w:t>
            </w:r>
            <w:r>
              <w:rPr>
                <w:rFonts w:ascii="Calibri" w:cs="Calibri" w:eastAsia="Calibri" w:hAnsi="Calibri"/>
                <w:sz w:val="26"/>
                <w:szCs w:val="26"/>
                <w:color w:val="auto"/>
                <w:w w:val="93"/>
                <w:vertAlign w:val="superscript"/>
              </w:rPr>
              <w:t>47</w:t>
            </w:r>
          </w:p>
        </w:tc>
      </w:tr>
      <w:tr>
        <w:trPr>
          <w:trHeight w:val="418"/>
        </w:trPr>
        <w:tc>
          <w:tcPr>
            <w:tcW w:w="8320" w:type="dxa"/>
            <w:vAlign w:val="bottom"/>
          </w:tcPr>
          <w:p>
            <w:pPr>
              <w:spacing w:after="0"/>
              <w:rPr>
                <w:sz w:val="20"/>
                <w:szCs w:val="20"/>
                <w:color w:val="auto"/>
              </w:rPr>
            </w:pPr>
            <w:r>
              <w:rPr>
                <w:rFonts w:ascii="Calibri" w:cs="Calibri" w:eastAsia="Calibri" w:hAnsi="Calibri"/>
                <w:sz w:val="20"/>
                <w:szCs w:val="20"/>
                <w:color w:val="auto"/>
              </w:rPr>
              <w:t>Riverside Cement Company, a California partnership</w:t>
            </w:r>
          </w:p>
        </w:tc>
        <w:tc>
          <w:tcPr>
            <w:tcW w:w="2780" w:type="dxa"/>
            <w:vAlign w:val="bottom"/>
          </w:tcPr>
          <w:p>
            <w:pPr>
              <w:jc w:val="center"/>
              <w:ind w:left="2021"/>
              <w:spacing w:after="0"/>
              <w:rPr>
                <w:sz w:val="20"/>
                <w:szCs w:val="20"/>
                <w:color w:val="auto"/>
              </w:rPr>
            </w:pPr>
            <w:r>
              <w:rPr>
                <w:rFonts w:ascii="Calibri" w:cs="Calibri" w:eastAsia="Calibri" w:hAnsi="Calibri"/>
                <w:sz w:val="20"/>
                <w:szCs w:val="20"/>
                <w:color w:val="auto"/>
                <w:w w:val="93"/>
              </w:rPr>
              <w:t>100%</w:t>
            </w:r>
            <w:r>
              <w:rPr>
                <w:rFonts w:ascii="Calibri" w:cs="Calibri" w:eastAsia="Calibri" w:hAnsi="Calibri"/>
                <w:sz w:val="26"/>
                <w:szCs w:val="26"/>
                <w:color w:val="auto"/>
                <w:w w:val="93"/>
                <w:vertAlign w:val="superscript"/>
              </w:rPr>
              <w:t>48</w:t>
            </w:r>
          </w:p>
        </w:tc>
      </w:tr>
      <w:tr>
        <w:trPr>
          <w:trHeight w:val="380"/>
        </w:trPr>
        <w:tc>
          <w:tcPr>
            <w:tcW w:w="8320" w:type="dxa"/>
            <w:vAlign w:val="bottom"/>
          </w:tcPr>
          <w:p>
            <w:pPr>
              <w:spacing w:after="0"/>
              <w:rPr>
                <w:sz w:val="20"/>
                <w:szCs w:val="20"/>
                <w:color w:val="auto"/>
              </w:rPr>
            </w:pPr>
            <w:r>
              <w:rPr>
                <w:rFonts w:ascii="Calibri" w:cs="Calibri" w:eastAsia="Calibri" w:hAnsi="Calibri"/>
                <w:sz w:val="20"/>
                <w:szCs w:val="20"/>
                <w:color w:val="auto"/>
              </w:rPr>
              <w:t>Rock &amp; Rail LLC, a Colorado limited liability company</w:t>
            </w:r>
          </w:p>
        </w:tc>
        <w:tc>
          <w:tcPr>
            <w:tcW w:w="2780" w:type="dxa"/>
            <w:vAlign w:val="bottom"/>
          </w:tcPr>
          <w:p>
            <w:pPr>
              <w:jc w:val="center"/>
              <w:ind w:left="2021"/>
              <w:spacing w:after="0"/>
              <w:rPr>
                <w:sz w:val="20"/>
                <w:szCs w:val="20"/>
                <w:color w:val="auto"/>
              </w:rPr>
            </w:pPr>
            <w:r>
              <w:rPr>
                <w:rFonts w:ascii="Calibri" w:cs="Calibri" w:eastAsia="Calibri" w:hAnsi="Calibri"/>
                <w:sz w:val="20"/>
                <w:szCs w:val="20"/>
                <w:color w:val="auto"/>
              </w:rPr>
              <w:t>100%</w:t>
            </w:r>
          </w:p>
        </w:tc>
      </w:tr>
      <w:tr>
        <w:trPr>
          <w:trHeight w:val="419"/>
        </w:trPr>
        <w:tc>
          <w:tcPr>
            <w:tcW w:w="8320" w:type="dxa"/>
            <w:vAlign w:val="bottom"/>
          </w:tcPr>
          <w:p>
            <w:pPr>
              <w:spacing w:after="0"/>
              <w:rPr>
                <w:sz w:val="20"/>
                <w:szCs w:val="20"/>
                <w:color w:val="auto"/>
              </w:rPr>
            </w:pPr>
            <w:r>
              <w:rPr>
                <w:rFonts w:ascii="Calibri" w:cs="Calibri" w:eastAsia="Calibri" w:hAnsi="Calibri"/>
                <w:sz w:val="20"/>
                <w:szCs w:val="20"/>
                <w:color w:val="auto"/>
              </w:rPr>
              <w:t>Rocky Mountain Materials and Asphalt, Inc., a Colorado corporaton</w:t>
            </w:r>
          </w:p>
        </w:tc>
        <w:tc>
          <w:tcPr>
            <w:tcW w:w="2780" w:type="dxa"/>
            <w:vAlign w:val="bottom"/>
          </w:tcPr>
          <w:p>
            <w:pPr>
              <w:jc w:val="center"/>
              <w:ind w:left="2021"/>
              <w:spacing w:after="0"/>
              <w:rPr>
                <w:sz w:val="20"/>
                <w:szCs w:val="20"/>
                <w:color w:val="auto"/>
              </w:rPr>
            </w:pPr>
            <w:r>
              <w:rPr>
                <w:rFonts w:ascii="Calibri" w:cs="Calibri" w:eastAsia="Calibri" w:hAnsi="Calibri"/>
                <w:sz w:val="20"/>
                <w:szCs w:val="20"/>
                <w:color w:val="auto"/>
              </w:rPr>
              <w:t>100%</w:t>
            </w:r>
          </w:p>
        </w:tc>
      </w:tr>
      <w:tr>
        <w:trPr>
          <w:trHeight w:val="418"/>
        </w:trPr>
        <w:tc>
          <w:tcPr>
            <w:tcW w:w="8320" w:type="dxa"/>
            <w:vAlign w:val="bottom"/>
          </w:tcPr>
          <w:p>
            <w:pPr>
              <w:spacing w:after="0"/>
              <w:rPr>
                <w:sz w:val="20"/>
                <w:szCs w:val="20"/>
                <w:color w:val="auto"/>
              </w:rPr>
            </w:pPr>
            <w:r>
              <w:rPr>
                <w:rFonts w:ascii="Calibri" w:cs="Calibri" w:eastAsia="Calibri" w:hAnsi="Calibri"/>
                <w:sz w:val="20"/>
                <w:szCs w:val="20"/>
                <w:color w:val="auto"/>
              </w:rPr>
              <w:t>Rocky Mountain Premix, Inc., a Colorado corporaton</w:t>
            </w:r>
          </w:p>
        </w:tc>
        <w:tc>
          <w:tcPr>
            <w:tcW w:w="2780" w:type="dxa"/>
            <w:vAlign w:val="bottom"/>
          </w:tcPr>
          <w:p>
            <w:pPr>
              <w:jc w:val="center"/>
              <w:ind w:left="2021"/>
              <w:spacing w:after="0"/>
              <w:rPr>
                <w:sz w:val="20"/>
                <w:szCs w:val="20"/>
                <w:color w:val="auto"/>
              </w:rPr>
            </w:pPr>
            <w:r>
              <w:rPr>
                <w:rFonts w:ascii="Calibri" w:cs="Calibri" w:eastAsia="Calibri" w:hAnsi="Calibri"/>
                <w:sz w:val="20"/>
                <w:szCs w:val="20"/>
                <w:color w:val="auto"/>
              </w:rPr>
              <w:t>100%</w:t>
            </w:r>
          </w:p>
        </w:tc>
      </w:tr>
      <w:tr>
        <w:trPr>
          <w:trHeight w:val="457"/>
        </w:trPr>
        <w:tc>
          <w:tcPr>
            <w:tcW w:w="8320" w:type="dxa"/>
            <w:vAlign w:val="bottom"/>
          </w:tcPr>
          <w:p>
            <w:pPr>
              <w:spacing w:after="0"/>
              <w:rPr>
                <w:sz w:val="20"/>
                <w:szCs w:val="20"/>
                <w:color w:val="auto"/>
              </w:rPr>
            </w:pPr>
            <w:r>
              <w:rPr>
                <w:rFonts w:ascii="Calibri" w:cs="Calibri" w:eastAsia="Calibri" w:hAnsi="Calibri"/>
                <w:sz w:val="20"/>
                <w:szCs w:val="20"/>
                <w:color w:val="auto"/>
              </w:rPr>
              <w:t>Rocky Mountain Ready Mix Concrete, Inc., a Colorado corporaton</w:t>
            </w:r>
          </w:p>
        </w:tc>
        <w:tc>
          <w:tcPr>
            <w:tcW w:w="2780" w:type="dxa"/>
            <w:vAlign w:val="bottom"/>
          </w:tcPr>
          <w:p>
            <w:pPr>
              <w:jc w:val="center"/>
              <w:ind w:left="2021"/>
              <w:spacing w:after="0"/>
              <w:rPr>
                <w:sz w:val="20"/>
                <w:szCs w:val="20"/>
                <w:color w:val="auto"/>
              </w:rPr>
            </w:pPr>
            <w:r>
              <w:rPr>
                <w:rFonts w:ascii="Calibri" w:cs="Calibri" w:eastAsia="Calibri" w:hAnsi="Calibri"/>
                <w:sz w:val="20"/>
                <w:szCs w:val="20"/>
                <w:color w:val="auto"/>
                <w:w w:val="93"/>
              </w:rPr>
              <w:t>100%</w:t>
            </w:r>
            <w:r>
              <w:rPr>
                <w:rFonts w:ascii="Calibri" w:cs="Calibri" w:eastAsia="Calibri" w:hAnsi="Calibri"/>
                <w:sz w:val="26"/>
                <w:szCs w:val="26"/>
                <w:color w:val="auto"/>
                <w:w w:val="93"/>
                <w:vertAlign w:val="superscript"/>
              </w:rPr>
              <w:t>49</w:t>
            </w:r>
          </w:p>
        </w:tc>
      </w:tr>
      <w:tr>
        <w:trPr>
          <w:trHeight w:val="419"/>
        </w:trPr>
        <w:tc>
          <w:tcPr>
            <w:tcW w:w="8320" w:type="dxa"/>
            <w:vAlign w:val="bottom"/>
          </w:tcPr>
          <w:p>
            <w:pPr>
              <w:spacing w:after="0"/>
              <w:rPr>
                <w:sz w:val="20"/>
                <w:szCs w:val="20"/>
                <w:color w:val="auto"/>
              </w:rPr>
            </w:pPr>
            <w:r>
              <w:rPr>
                <w:rFonts w:ascii="Calibri" w:cs="Calibri" w:eastAsia="Calibri" w:hAnsi="Calibri"/>
                <w:sz w:val="20"/>
                <w:szCs w:val="20"/>
                <w:color w:val="auto"/>
              </w:rPr>
              <w:t>Royal Gorge Express, LLC, a Colorado Limited Liability Company</w:t>
            </w:r>
          </w:p>
        </w:tc>
        <w:tc>
          <w:tcPr>
            <w:tcW w:w="2780" w:type="dxa"/>
            <w:vAlign w:val="bottom"/>
          </w:tcPr>
          <w:p>
            <w:pPr>
              <w:jc w:val="center"/>
              <w:ind w:left="2041"/>
              <w:spacing w:after="0"/>
              <w:rPr>
                <w:sz w:val="20"/>
                <w:szCs w:val="20"/>
                <w:color w:val="auto"/>
              </w:rPr>
            </w:pPr>
            <w:r>
              <w:rPr>
                <w:rFonts w:ascii="Calibri" w:cs="Calibri" w:eastAsia="Calibri" w:hAnsi="Calibri"/>
                <w:sz w:val="20"/>
                <w:szCs w:val="20"/>
                <w:color w:val="auto"/>
                <w:w w:val="91"/>
              </w:rPr>
              <w:t>50%</w:t>
            </w:r>
            <w:r>
              <w:rPr>
                <w:rFonts w:ascii="Calibri" w:cs="Calibri" w:eastAsia="Calibri" w:hAnsi="Calibri"/>
                <w:sz w:val="26"/>
                <w:szCs w:val="26"/>
                <w:color w:val="auto"/>
                <w:w w:val="91"/>
                <w:vertAlign w:val="superscript"/>
              </w:rPr>
              <w:t>50</w:t>
            </w:r>
          </w:p>
        </w:tc>
      </w:tr>
      <w:tr>
        <w:trPr>
          <w:trHeight w:val="419"/>
        </w:trPr>
        <w:tc>
          <w:tcPr>
            <w:tcW w:w="8320" w:type="dxa"/>
            <w:vAlign w:val="bottom"/>
          </w:tcPr>
          <w:p>
            <w:pPr>
              <w:spacing w:after="0"/>
              <w:rPr>
                <w:sz w:val="20"/>
                <w:szCs w:val="20"/>
                <w:color w:val="auto"/>
              </w:rPr>
            </w:pPr>
            <w:r>
              <w:rPr>
                <w:rFonts w:ascii="Calibri" w:cs="Calibri" w:eastAsia="Calibri" w:hAnsi="Calibri"/>
                <w:sz w:val="20"/>
                <w:szCs w:val="20"/>
                <w:color w:val="auto"/>
              </w:rPr>
              <w:t>St. Marys Sand Company, LLC, a North Carolina limited liability company</w:t>
            </w:r>
          </w:p>
        </w:tc>
        <w:tc>
          <w:tcPr>
            <w:tcW w:w="2780" w:type="dxa"/>
            <w:vAlign w:val="bottom"/>
          </w:tcPr>
          <w:p>
            <w:pPr>
              <w:jc w:val="center"/>
              <w:ind w:left="2021"/>
              <w:spacing w:after="0"/>
              <w:rPr>
                <w:sz w:val="20"/>
                <w:szCs w:val="20"/>
                <w:color w:val="auto"/>
              </w:rPr>
            </w:pPr>
            <w:r>
              <w:rPr>
                <w:rFonts w:ascii="Calibri" w:cs="Calibri" w:eastAsia="Calibri" w:hAnsi="Calibri"/>
                <w:sz w:val="20"/>
                <w:szCs w:val="20"/>
                <w:color w:val="auto"/>
                <w:w w:val="93"/>
              </w:rPr>
              <w:t>100%</w:t>
            </w:r>
            <w:r>
              <w:rPr>
                <w:rFonts w:ascii="Calibri" w:cs="Calibri" w:eastAsia="Calibri" w:hAnsi="Calibri"/>
                <w:sz w:val="26"/>
                <w:szCs w:val="26"/>
                <w:color w:val="auto"/>
                <w:w w:val="93"/>
                <w:vertAlign w:val="superscript"/>
              </w:rPr>
              <w:t>51</w:t>
            </w:r>
          </w:p>
        </w:tc>
      </w:tr>
      <w:tr>
        <w:trPr>
          <w:trHeight w:val="380"/>
        </w:trPr>
        <w:tc>
          <w:tcPr>
            <w:tcW w:w="8320" w:type="dxa"/>
            <w:vAlign w:val="bottom"/>
          </w:tcPr>
          <w:p>
            <w:pPr>
              <w:spacing w:after="0"/>
              <w:rPr>
                <w:sz w:val="20"/>
                <w:szCs w:val="20"/>
                <w:color w:val="auto"/>
              </w:rPr>
            </w:pPr>
            <w:r>
              <w:rPr>
                <w:rFonts w:ascii="Calibri" w:cs="Calibri" w:eastAsia="Calibri" w:hAnsi="Calibri"/>
                <w:sz w:val="20"/>
                <w:szCs w:val="20"/>
                <w:color w:val="auto"/>
              </w:rPr>
              <w:t>Suburban Acquisiton Company, a Colorado corporaton</w:t>
            </w:r>
          </w:p>
        </w:tc>
        <w:tc>
          <w:tcPr>
            <w:tcW w:w="2780" w:type="dxa"/>
            <w:vAlign w:val="bottom"/>
          </w:tcPr>
          <w:p>
            <w:pPr>
              <w:jc w:val="center"/>
              <w:ind w:left="2021"/>
              <w:spacing w:after="0"/>
              <w:rPr>
                <w:sz w:val="20"/>
                <w:szCs w:val="20"/>
                <w:color w:val="auto"/>
              </w:rPr>
            </w:pPr>
            <w:r>
              <w:rPr>
                <w:rFonts w:ascii="Calibri" w:cs="Calibri" w:eastAsia="Calibri" w:hAnsi="Calibri"/>
                <w:sz w:val="20"/>
                <w:szCs w:val="20"/>
                <w:color w:val="auto"/>
              </w:rPr>
              <w:t>100%</w:t>
            </w:r>
          </w:p>
        </w:tc>
      </w:tr>
      <w:tr>
        <w:trPr>
          <w:trHeight w:val="457"/>
        </w:trPr>
        <w:tc>
          <w:tcPr>
            <w:tcW w:w="8320" w:type="dxa"/>
            <w:vAlign w:val="bottom"/>
          </w:tcPr>
          <w:p>
            <w:pPr>
              <w:spacing w:after="0"/>
              <w:rPr>
                <w:sz w:val="20"/>
                <w:szCs w:val="20"/>
                <w:color w:val="auto"/>
              </w:rPr>
            </w:pPr>
            <w:r>
              <w:rPr>
                <w:rFonts w:ascii="Calibri" w:cs="Calibri" w:eastAsia="Calibri" w:hAnsi="Calibri"/>
                <w:sz w:val="20"/>
                <w:szCs w:val="20"/>
                <w:color w:val="auto"/>
              </w:rPr>
              <w:t>Theodore Holding, LLC, a Delaware limited liability company</w:t>
            </w:r>
          </w:p>
        </w:tc>
        <w:tc>
          <w:tcPr>
            <w:tcW w:w="2780" w:type="dxa"/>
            <w:vAlign w:val="bottom"/>
          </w:tcPr>
          <w:p>
            <w:pPr>
              <w:jc w:val="center"/>
              <w:ind w:left="2041"/>
              <w:spacing w:after="0"/>
              <w:rPr>
                <w:sz w:val="20"/>
                <w:szCs w:val="20"/>
                <w:color w:val="auto"/>
              </w:rPr>
            </w:pPr>
            <w:r>
              <w:rPr>
                <w:rFonts w:ascii="Calibri" w:cs="Calibri" w:eastAsia="Calibri" w:hAnsi="Calibri"/>
                <w:sz w:val="20"/>
                <w:szCs w:val="20"/>
                <w:color w:val="auto"/>
                <w:w w:val="94"/>
              </w:rPr>
              <w:t>60.7%</w:t>
            </w:r>
            <w:r>
              <w:rPr>
                <w:rFonts w:ascii="Calibri" w:cs="Calibri" w:eastAsia="Calibri" w:hAnsi="Calibri"/>
                <w:sz w:val="26"/>
                <w:szCs w:val="26"/>
                <w:color w:val="auto"/>
                <w:w w:val="94"/>
                <w:vertAlign w:val="superscript"/>
              </w:rPr>
              <w:t>52</w:t>
            </w:r>
          </w:p>
        </w:tc>
      </w:tr>
      <w:tr>
        <w:trPr>
          <w:trHeight w:val="380"/>
        </w:trPr>
        <w:tc>
          <w:tcPr>
            <w:tcW w:w="8320" w:type="dxa"/>
            <w:vAlign w:val="bottom"/>
          </w:tcPr>
          <w:p>
            <w:pPr>
              <w:spacing w:after="0"/>
              <w:rPr>
                <w:sz w:val="20"/>
                <w:szCs w:val="20"/>
                <w:color w:val="auto"/>
              </w:rPr>
            </w:pPr>
            <w:r>
              <w:rPr>
                <w:rFonts w:ascii="Calibri" w:cs="Calibri" w:eastAsia="Calibri" w:hAnsi="Calibri"/>
                <w:sz w:val="20"/>
                <w:szCs w:val="20"/>
                <w:color w:val="auto"/>
              </w:rPr>
              <w:t>Tiller Corporaton, a North Carolina corporaton</w:t>
            </w:r>
          </w:p>
        </w:tc>
        <w:tc>
          <w:tcPr>
            <w:tcW w:w="2780" w:type="dxa"/>
            <w:vAlign w:val="bottom"/>
          </w:tcPr>
          <w:p>
            <w:pPr>
              <w:jc w:val="center"/>
              <w:ind w:left="2021"/>
              <w:spacing w:after="0"/>
              <w:rPr>
                <w:sz w:val="20"/>
                <w:szCs w:val="20"/>
                <w:color w:val="auto"/>
              </w:rPr>
            </w:pPr>
            <w:r>
              <w:rPr>
                <w:rFonts w:ascii="Calibri" w:cs="Calibri" w:eastAsia="Calibri" w:hAnsi="Calibri"/>
                <w:sz w:val="20"/>
                <w:szCs w:val="20"/>
                <w:color w:val="auto"/>
              </w:rPr>
              <w:t>100%</w:t>
            </w:r>
          </w:p>
        </w:tc>
      </w:tr>
      <w:tr>
        <w:trPr>
          <w:trHeight w:val="457"/>
        </w:trPr>
        <w:tc>
          <w:tcPr>
            <w:tcW w:w="8320" w:type="dxa"/>
            <w:vAlign w:val="bottom"/>
          </w:tcPr>
          <w:p>
            <w:pPr>
              <w:spacing w:after="0"/>
              <w:rPr>
                <w:sz w:val="20"/>
                <w:szCs w:val="20"/>
                <w:color w:val="auto"/>
              </w:rPr>
            </w:pPr>
            <w:r>
              <w:rPr>
                <w:rFonts w:ascii="Calibri" w:cs="Calibri" w:eastAsia="Calibri" w:hAnsi="Calibri"/>
                <w:sz w:val="20"/>
                <w:szCs w:val="20"/>
                <w:color w:val="auto"/>
              </w:rPr>
              <w:t>Two Rivers Cement LLC, a Delaware limited liability company</w:t>
            </w:r>
          </w:p>
        </w:tc>
        <w:tc>
          <w:tcPr>
            <w:tcW w:w="2780" w:type="dxa"/>
            <w:vAlign w:val="bottom"/>
          </w:tcPr>
          <w:p>
            <w:pPr>
              <w:jc w:val="center"/>
              <w:ind w:left="2041"/>
              <w:spacing w:after="0"/>
              <w:rPr>
                <w:sz w:val="20"/>
                <w:szCs w:val="20"/>
                <w:color w:val="auto"/>
              </w:rPr>
            </w:pPr>
            <w:r>
              <w:rPr>
                <w:rFonts w:ascii="Calibri" w:cs="Calibri" w:eastAsia="Calibri" w:hAnsi="Calibri"/>
                <w:sz w:val="20"/>
                <w:szCs w:val="20"/>
                <w:color w:val="auto"/>
                <w:w w:val="91"/>
              </w:rPr>
              <w:t>50%</w:t>
            </w:r>
            <w:r>
              <w:rPr>
                <w:rFonts w:ascii="Calibri" w:cs="Calibri" w:eastAsia="Calibri" w:hAnsi="Calibri"/>
                <w:sz w:val="26"/>
                <w:szCs w:val="26"/>
                <w:color w:val="auto"/>
                <w:w w:val="91"/>
                <w:vertAlign w:val="superscript"/>
              </w:rPr>
              <w:t>53</w:t>
            </w:r>
          </w:p>
        </w:tc>
      </w:tr>
      <w:tr>
        <w:trPr>
          <w:trHeight w:val="418"/>
        </w:trPr>
        <w:tc>
          <w:tcPr>
            <w:tcW w:w="8320" w:type="dxa"/>
            <w:vAlign w:val="bottom"/>
          </w:tcPr>
          <w:p>
            <w:pPr>
              <w:spacing w:after="0"/>
              <w:rPr>
                <w:sz w:val="20"/>
                <w:szCs w:val="20"/>
                <w:color w:val="auto"/>
              </w:rPr>
            </w:pPr>
            <w:r>
              <w:rPr>
                <w:rFonts w:ascii="Calibri" w:cs="Calibri" w:eastAsia="Calibri" w:hAnsi="Calibri"/>
                <w:sz w:val="20"/>
                <w:szCs w:val="20"/>
                <w:color w:val="auto"/>
              </w:rPr>
              <w:t>TXI Aviaton, Inc. dba TXI Retail, a Texas corporaton</w:t>
            </w:r>
          </w:p>
        </w:tc>
        <w:tc>
          <w:tcPr>
            <w:tcW w:w="2780" w:type="dxa"/>
            <w:vAlign w:val="bottom"/>
          </w:tcPr>
          <w:p>
            <w:pPr>
              <w:jc w:val="center"/>
              <w:ind w:left="2021"/>
              <w:spacing w:after="0"/>
              <w:rPr>
                <w:sz w:val="20"/>
                <w:szCs w:val="20"/>
                <w:color w:val="auto"/>
              </w:rPr>
            </w:pPr>
            <w:r>
              <w:rPr>
                <w:rFonts w:ascii="Calibri" w:cs="Calibri" w:eastAsia="Calibri" w:hAnsi="Calibri"/>
                <w:sz w:val="20"/>
                <w:szCs w:val="20"/>
                <w:color w:val="auto"/>
                <w:w w:val="93"/>
              </w:rPr>
              <w:t>100%</w:t>
            </w:r>
            <w:r>
              <w:rPr>
                <w:rFonts w:ascii="Calibri" w:cs="Calibri" w:eastAsia="Calibri" w:hAnsi="Calibri"/>
                <w:sz w:val="26"/>
                <w:szCs w:val="26"/>
                <w:color w:val="auto"/>
                <w:w w:val="93"/>
                <w:vertAlign w:val="superscript"/>
              </w:rPr>
              <w:t>54</w:t>
            </w:r>
          </w:p>
        </w:tc>
      </w:tr>
    </w:tbl>
    <w:p>
      <w:pPr>
        <w:spacing w:after="0" w:line="323" w:lineRule="exact"/>
        <w:rPr>
          <w:sz w:val="20"/>
          <w:szCs w:val="20"/>
          <w:color w:val="auto"/>
        </w:rPr>
      </w:pPr>
    </w:p>
    <w:p>
      <w:pPr>
        <w:ind w:left="152" w:hanging="152"/>
        <w:spacing w:after="0"/>
        <w:tabs>
          <w:tab w:leader="none" w:pos="152" w:val="left"/>
        </w:tabs>
        <w:numPr>
          <w:ilvl w:val="0"/>
          <w:numId w:val="39"/>
        </w:numPr>
        <w:rPr>
          <w:rFonts w:ascii="Calibri" w:cs="Calibri" w:eastAsia="Calibri" w:hAnsi="Calibri"/>
          <w:sz w:val="22"/>
          <w:szCs w:val="22"/>
          <w:color w:val="auto"/>
          <w:vertAlign w:val="superscript"/>
        </w:rPr>
      </w:pPr>
      <w:r>
        <w:rPr>
          <w:rFonts w:ascii="Calibri" w:cs="Calibri" w:eastAsia="Calibri" w:hAnsi="Calibri"/>
          <w:sz w:val="17"/>
          <w:szCs w:val="17"/>
          <w:color w:val="auto"/>
        </w:rPr>
        <w:t>PCAz Leasing, LLC is a wholly owned subsidiary of Martn Marieta Arizona, LLC.</w:t>
      </w:r>
    </w:p>
    <w:p>
      <w:pPr>
        <w:spacing w:after="0" w:line="54" w:lineRule="exact"/>
        <w:rPr>
          <w:rFonts w:ascii="Calibri" w:cs="Calibri" w:eastAsia="Calibri" w:hAnsi="Calibri"/>
          <w:sz w:val="22"/>
          <w:szCs w:val="22"/>
          <w:color w:val="auto"/>
          <w:vertAlign w:val="superscript"/>
        </w:rPr>
      </w:pPr>
    </w:p>
    <w:p>
      <w:pPr>
        <w:ind w:left="152" w:hanging="152"/>
        <w:spacing w:after="0" w:line="185" w:lineRule="auto"/>
        <w:tabs>
          <w:tab w:leader="none" w:pos="152" w:val="left"/>
        </w:tabs>
        <w:numPr>
          <w:ilvl w:val="0"/>
          <w:numId w:val="39"/>
        </w:numPr>
        <w:rPr>
          <w:rFonts w:ascii="Calibri" w:cs="Calibri" w:eastAsia="Calibri" w:hAnsi="Calibri"/>
          <w:sz w:val="20"/>
          <w:szCs w:val="20"/>
          <w:color w:val="auto"/>
          <w:vertAlign w:val="superscript"/>
        </w:rPr>
      </w:pPr>
      <w:r>
        <w:rPr>
          <w:rFonts w:ascii="Calibri" w:cs="Calibri" w:eastAsia="Calibri" w:hAnsi="Calibri"/>
          <w:sz w:val="15"/>
          <w:szCs w:val="15"/>
          <w:color w:val="auto"/>
        </w:rPr>
        <w:t>Petrillo Brothers, Inc. is a wholly owned subsidiary of Bluegrass Materials Company, LLC.</w:t>
      </w:r>
    </w:p>
    <w:p>
      <w:pPr>
        <w:spacing w:after="0" w:line="54" w:lineRule="exact"/>
        <w:rPr>
          <w:rFonts w:ascii="Calibri" w:cs="Calibri" w:eastAsia="Calibri" w:hAnsi="Calibri"/>
          <w:sz w:val="20"/>
          <w:szCs w:val="20"/>
          <w:color w:val="auto"/>
          <w:vertAlign w:val="superscript"/>
        </w:rPr>
      </w:pPr>
    </w:p>
    <w:p>
      <w:pPr>
        <w:ind w:left="152" w:hanging="152"/>
        <w:spacing w:after="0" w:line="185" w:lineRule="auto"/>
        <w:tabs>
          <w:tab w:leader="none" w:pos="152" w:val="left"/>
        </w:tabs>
        <w:numPr>
          <w:ilvl w:val="0"/>
          <w:numId w:val="39"/>
        </w:numPr>
        <w:rPr>
          <w:rFonts w:ascii="Calibri" w:cs="Calibri" w:eastAsia="Calibri" w:hAnsi="Calibri"/>
          <w:sz w:val="20"/>
          <w:szCs w:val="20"/>
          <w:color w:val="auto"/>
          <w:vertAlign w:val="superscript"/>
        </w:rPr>
      </w:pPr>
      <w:r>
        <w:rPr>
          <w:rFonts w:ascii="Calibri" w:cs="Calibri" w:eastAsia="Calibri" w:hAnsi="Calibri"/>
          <w:sz w:val="15"/>
          <w:szCs w:val="15"/>
          <w:color w:val="auto"/>
        </w:rPr>
        <w:t>Piedras y Arenas Baja, S. De R.L. de C.V. is owned 99.9999% by MMM Mexico, LLC and 0.0001% by MMM Mexico I, LLC.</w:t>
      </w:r>
    </w:p>
    <w:p>
      <w:pPr>
        <w:spacing w:after="0" w:line="54" w:lineRule="exact"/>
        <w:rPr>
          <w:rFonts w:ascii="Calibri" w:cs="Calibri" w:eastAsia="Calibri" w:hAnsi="Calibri"/>
          <w:sz w:val="20"/>
          <w:szCs w:val="20"/>
          <w:color w:val="auto"/>
          <w:vertAlign w:val="superscript"/>
        </w:rPr>
      </w:pPr>
    </w:p>
    <w:p>
      <w:pPr>
        <w:ind w:left="152" w:hanging="152"/>
        <w:spacing w:after="0" w:line="185" w:lineRule="auto"/>
        <w:tabs>
          <w:tab w:leader="none" w:pos="152" w:val="left"/>
        </w:tabs>
        <w:numPr>
          <w:ilvl w:val="0"/>
          <w:numId w:val="39"/>
        </w:numPr>
        <w:rPr>
          <w:rFonts w:ascii="Calibri" w:cs="Calibri" w:eastAsia="Calibri" w:hAnsi="Calibri"/>
          <w:sz w:val="20"/>
          <w:szCs w:val="20"/>
          <w:color w:val="auto"/>
          <w:vertAlign w:val="superscript"/>
        </w:rPr>
      </w:pPr>
      <w:r>
        <w:rPr>
          <w:rFonts w:ascii="Calibri" w:cs="Calibri" w:eastAsia="Calibri" w:hAnsi="Calibri"/>
          <w:sz w:val="15"/>
          <w:szCs w:val="15"/>
          <w:color w:val="auto"/>
        </w:rPr>
        <w:t>Powderly Transportaton, Inc. is a wholly owned subsidiary of Meridian Aggregates Company, a Limited Partnership.</w:t>
      </w:r>
    </w:p>
    <w:p>
      <w:pPr>
        <w:spacing w:after="0" w:line="54" w:lineRule="exact"/>
        <w:rPr>
          <w:rFonts w:ascii="Calibri" w:cs="Calibri" w:eastAsia="Calibri" w:hAnsi="Calibri"/>
          <w:sz w:val="20"/>
          <w:szCs w:val="20"/>
          <w:color w:val="auto"/>
          <w:vertAlign w:val="superscript"/>
        </w:rPr>
      </w:pPr>
    </w:p>
    <w:p>
      <w:pPr>
        <w:ind w:left="-8" w:right="740" w:firstLine="8"/>
        <w:spacing w:after="0" w:line="204" w:lineRule="auto"/>
        <w:tabs>
          <w:tab w:leader="none" w:pos="154" w:val="left"/>
        </w:tabs>
        <w:numPr>
          <w:ilvl w:val="0"/>
          <w:numId w:val="39"/>
        </w:numPr>
        <w:rPr>
          <w:rFonts w:ascii="Calibri" w:cs="Calibri" w:eastAsia="Calibri" w:hAnsi="Calibri"/>
          <w:sz w:val="22"/>
          <w:szCs w:val="22"/>
          <w:color w:val="auto"/>
          <w:vertAlign w:val="superscript"/>
        </w:rPr>
      </w:pPr>
      <w:r>
        <w:rPr>
          <w:rFonts w:ascii="Calibri" w:cs="Calibri" w:eastAsia="Calibri" w:hAnsi="Calibri"/>
          <w:sz w:val="17"/>
          <w:szCs w:val="17"/>
          <w:color w:val="auto"/>
        </w:rPr>
        <w:t>Martn Marieta Materials, Inc. is the manager of and owns a 90% interest in R&amp;S Sand &amp; Gravel, LLC. The other 10% is owned by Harding Street Corporaton, a wholly owned subsidiary of Martn Marieta Materials, Inc.</w:t>
      </w:r>
    </w:p>
    <w:p>
      <w:pPr>
        <w:ind w:left="152" w:hanging="152"/>
        <w:spacing w:after="0" w:line="217" w:lineRule="auto"/>
        <w:tabs>
          <w:tab w:leader="none" w:pos="152" w:val="left"/>
        </w:tabs>
        <w:numPr>
          <w:ilvl w:val="0"/>
          <w:numId w:val="39"/>
        </w:numPr>
        <w:rPr>
          <w:rFonts w:ascii="Calibri" w:cs="Calibri" w:eastAsia="Calibri" w:hAnsi="Calibri"/>
          <w:sz w:val="22"/>
          <w:szCs w:val="22"/>
          <w:color w:val="auto"/>
          <w:vertAlign w:val="superscript"/>
        </w:rPr>
      </w:pPr>
      <w:r>
        <w:rPr>
          <w:rFonts w:ascii="Calibri" w:cs="Calibri" w:eastAsia="Calibri" w:hAnsi="Calibri"/>
          <w:sz w:val="17"/>
          <w:szCs w:val="17"/>
          <w:color w:val="auto"/>
        </w:rPr>
        <w:t>Riverside Cement Company is owned 49% by TXI California, LLC. and 51% by TXI Riverside LLC</w:t>
      </w:r>
    </w:p>
    <w:p>
      <w:pPr>
        <w:spacing w:after="0" w:line="54" w:lineRule="exact"/>
        <w:rPr>
          <w:rFonts w:ascii="Calibri" w:cs="Calibri" w:eastAsia="Calibri" w:hAnsi="Calibri"/>
          <w:sz w:val="22"/>
          <w:szCs w:val="22"/>
          <w:color w:val="auto"/>
          <w:vertAlign w:val="superscript"/>
        </w:rPr>
      </w:pPr>
    </w:p>
    <w:p>
      <w:pPr>
        <w:ind w:left="152" w:hanging="152"/>
        <w:spacing w:after="0" w:line="185" w:lineRule="auto"/>
        <w:tabs>
          <w:tab w:leader="none" w:pos="152" w:val="left"/>
        </w:tabs>
        <w:numPr>
          <w:ilvl w:val="0"/>
          <w:numId w:val="39"/>
        </w:numPr>
        <w:rPr>
          <w:rFonts w:ascii="Calibri" w:cs="Calibri" w:eastAsia="Calibri" w:hAnsi="Calibri"/>
          <w:sz w:val="20"/>
          <w:szCs w:val="20"/>
          <w:color w:val="auto"/>
          <w:vertAlign w:val="superscript"/>
        </w:rPr>
      </w:pPr>
      <w:r>
        <w:rPr>
          <w:rFonts w:ascii="Calibri" w:cs="Calibri" w:eastAsia="Calibri" w:hAnsi="Calibri"/>
          <w:sz w:val="15"/>
          <w:szCs w:val="15"/>
          <w:color w:val="auto"/>
        </w:rPr>
        <w:t>Rocky Mountain Ready Mix Concrete, Inc. is a wholly owned subsidiary of Campbell’s C-Ment Contractng, Inc.</w:t>
      </w:r>
    </w:p>
    <w:p>
      <w:pPr>
        <w:spacing w:after="0" w:line="54" w:lineRule="exact"/>
        <w:rPr>
          <w:rFonts w:ascii="Calibri" w:cs="Calibri" w:eastAsia="Calibri" w:hAnsi="Calibri"/>
          <w:sz w:val="20"/>
          <w:szCs w:val="20"/>
          <w:color w:val="auto"/>
          <w:vertAlign w:val="superscript"/>
        </w:rPr>
      </w:pPr>
    </w:p>
    <w:p>
      <w:pPr>
        <w:ind w:left="152" w:hanging="152"/>
        <w:spacing w:after="0" w:line="185" w:lineRule="auto"/>
        <w:tabs>
          <w:tab w:leader="none" w:pos="152" w:val="left"/>
        </w:tabs>
        <w:numPr>
          <w:ilvl w:val="0"/>
          <w:numId w:val="39"/>
        </w:numPr>
        <w:rPr>
          <w:rFonts w:ascii="Calibri" w:cs="Calibri" w:eastAsia="Calibri" w:hAnsi="Calibri"/>
          <w:sz w:val="20"/>
          <w:szCs w:val="20"/>
          <w:color w:val="auto"/>
          <w:vertAlign w:val="superscript"/>
        </w:rPr>
      </w:pPr>
      <w:r>
        <w:rPr>
          <w:rFonts w:ascii="Calibri" w:cs="Calibri" w:eastAsia="Calibri" w:hAnsi="Calibri"/>
          <w:sz w:val="15"/>
          <w:szCs w:val="15"/>
          <w:color w:val="auto"/>
        </w:rPr>
        <w:t>Rock &amp; Rail LLC, a wholly owned subsidiary of Martn Marieta Materials, Inc., owns a 50% interest in Royal Gorge Express, LLC</w:t>
      </w:r>
    </w:p>
    <w:p>
      <w:pPr>
        <w:spacing w:after="0" w:line="54" w:lineRule="exact"/>
        <w:rPr>
          <w:rFonts w:ascii="Calibri" w:cs="Calibri" w:eastAsia="Calibri" w:hAnsi="Calibri"/>
          <w:sz w:val="20"/>
          <w:szCs w:val="20"/>
          <w:color w:val="auto"/>
          <w:vertAlign w:val="superscript"/>
        </w:rPr>
      </w:pPr>
    </w:p>
    <w:p>
      <w:pPr>
        <w:ind w:left="152" w:hanging="152"/>
        <w:spacing w:after="0" w:line="185" w:lineRule="auto"/>
        <w:tabs>
          <w:tab w:leader="none" w:pos="152" w:val="left"/>
        </w:tabs>
        <w:numPr>
          <w:ilvl w:val="0"/>
          <w:numId w:val="39"/>
        </w:numPr>
        <w:rPr>
          <w:rFonts w:ascii="Calibri" w:cs="Calibri" w:eastAsia="Calibri" w:hAnsi="Calibri"/>
          <w:sz w:val="20"/>
          <w:szCs w:val="20"/>
          <w:color w:val="auto"/>
          <w:vertAlign w:val="superscript"/>
        </w:rPr>
      </w:pPr>
      <w:r>
        <w:rPr>
          <w:rFonts w:ascii="Calibri" w:cs="Calibri" w:eastAsia="Calibri" w:hAnsi="Calibri"/>
          <w:sz w:val="15"/>
          <w:szCs w:val="15"/>
          <w:color w:val="auto"/>
        </w:rPr>
        <w:t>St. Marys Sand Company, LLC is a wholly owned subsidiary of Bluegrass-St. Marys, LLC.</w:t>
      </w:r>
    </w:p>
    <w:p>
      <w:pPr>
        <w:spacing w:after="0" w:line="54" w:lineRule="exact"/>
        <w:rPr>
          <w:rFonts w:ascii="Calibri" w:cs="Calibri" w:eastAsia="Calibri" w:hAnsi="Calibri"/>
          <w:sz w:val="20"/>
          <w:szCs w:val="20"/>
          <w:color w:val="auto"/>
          <w:vertAlign w:val="superscript"/>
        </w:rPr>
      </w:pPr>
    </w:p>
    <w:p>
      <w:pPr>
        <w:ind w:left="152" w:hanging="152"/>
        <w:spacing w:after="0" w:line="185" w:lineRule="auto"/>
        <w:tabs>
          <w:tab w:leader="none" w:pos="152" w:val="left"/>
        </w:tabs>
        <w:numPr>
          <w:ilvl w:val="0"/>
          <w:numId w:val="39"/>
        </w:numPr>
        <w:rPr>
          <w:rFonts w:ascii="Calibri" w:cs="Calibri" w:eastAsia="Calibri" w:hAnsi="Calibri"/>
          <w:sz w:val="20"/>
          <w:szCs w:val="20"/>
          <w:color w:val="auto"/>
          <w:vertAlign w:val="superscript"/>
        </w:rPr>
      </w:pPr>
      <w:r>
        <w:rPr>
          <w:rFonts w:ascii="Calibri" w:cs="Calibri" w:eastAsia="Calibri" w:hAnsi="Calibri"/>
          <w:sz w:val="15"/>
          <w:szCs w:val="15"/>
          <w:color w:val="auto"/>
        </w:rPr>
        <w:t>Martn Marieta Materials, Inc. is the manager of and owns a 60.7% interest in Theodore Holdings, LLC.</w:t>
      </w:r>
    </w:p>
    <w:p>
      <w:pPr>
        <w:spacing w:after="0" w:line="54" w:lineRule="exact"/>
        <w:rPr>
          <w:rFonts w:ascii="Calibri" w:cs="Calibri" w:eastAsia="Calibri" w:hAnsi="Calibri"/>
          <w:sz w:val="20"/>
          <w:szCs w:val="20"/>
          <w:color w:val="auto"/>
          <w:vertAlign w:val="superscript"/>
        </w:rPr>
      </w:pPr>
    </w:p>
    <w:p>
      <w:pPr>
        <w:ind w:left="152" w:hanging="152"/>
        <w:spacing w:after="0" w:line="185" w:lineRule="auto"/>
        <w:tabs>
          <w:tab w:leader="none" w:pos="152" w:val="left"/>
        </w:tabs>
        <w:numPr>
          <w:ilvl w:val="0"/>
          <w:numId w:val="39"/>
        </w:numPr>
        <w:rPr>
          <w:rFonts w:ascii="Calibri" w:cs="Calibri" w:eastAsia="Calibri" w:hAnsi="Calibri"/>
          <w:sz w:val="20"/>
          <w:szCs w:val="20"/>
          <w:color w:val="auto"/>
          <w:vertAlign w:val="superscript"/>
        </w:rPr>
      </w:pPr>
      <w:r>
        <w:rPr>
          <w:rFonts w:ascii="Calibri" w:cs="Calibri" w:eastAsia="Calibri" w:hAnsi="Calibri"/>
          <w:sz w:val="15"/>
          <w:szCs w:val="15"/>
          <w:color w:val="auto"/>
        </w:rPr>
        <w:t>MMMW CMT, LLC, a wholly owned subsidiary of Martn Marieta Materials, Inc., owns a 50% ownership interest in Two Rivers Cement LLC.</w:t>
      </w:r>
    </w:p>
    <w:p>
      <w:pPr>
        <w:spacing w:after="0" w:line="54" w:lineRule="exact"/>
        <w:rPr>
          <w:rFonts w:ascii="Calibri" w:cs="Calibri" w:eastAsia="Calibri" w:hAnsi="Calibri"/>
          <w:sz w:val="20"/>
          <w:szCs w:val="20"/>
          <w:color w:val="auto"/>
          <w:vertAlign w:val="superscript"/>
        </w:rPr>
      </w:pPr>
    </w:p>
    <w:p>
      <w:pPr>
        <w:ind w:left="152" w:hanging="152"/>
        <w:spacing w:after="0" w:line="185" w:lineRule="auto"/>
        <w:tabs>
          <w:tab w:leader="none" w:pos="152" w:val="left"/>
        </w:tabs>
        <w:numPr>
          <w:ilvl w:val="0"/>
          <w:numId w:val="39"/>
        </w:numPr>
        <w:rPr>
          <w:rFonts w:ascii="Calibri" w:cs="Calibri" w:eastAsia="Calibri" w:hAnsi="Calibri"/>
          <w:sz w:val="20"/>
          <w:szCs w:val="20"/>
          <w:color w:val="auto"/>
          <w:vertAlign w:val="superscript"/>
        </w:rPr>
      </w:pPr>
      <w:r>
        <w:rPr>
          <w:rFonts w:ascii="Calibri" w:cs="Calibri" w:eastAsia="Calibri" w:hAnsi="Calibri"/>
          <w:sz w:val="15"/>
          <w:szCs w:val="15"/>
          <w:color w:val="auto"/>
        </w:rPr>
        <w:t>TXI Aviaton, Inc. is a wholly owned subsidiary of Martn Marieta Southwest Ready-Mix,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71120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12"/>
          </w:cols>
          <w:pgMar w:left="328" w:top="327" w:right="459" w:bottom="1440" w:gutter="0" w:footer="0" w:header="0"/>
        </w:sectPr>
      </w:pPr>
    </w:p>
    <w:bookmarkStart w:id="131" w:name="page132"/>
    <w:bookmarkEnd w:id="131"/>
    <w:tbl>
      <w:tblPr>
        <w:tblLayout w:type="fixed"/>
        <w:tblInd w:w="12" w:type="dxa"/>
        <w:tblCellMar>
          <w:top w:w="0" w:type="dxa"/>
          <w:left w:w="0" w:type="dxa"/>
          <w:bottom w:w="0" w:type="dxa"/>
          <w:right w:w="0" w:type="dxa"/>
        </w:tblCellMar>
      </w:tblPr>
      <w:tr>
        <w:trPr>
          <w:trHeight w:val="317"/>
        </w:trPr>
        <w:tc>
          <w:tcPr>
            <w:tcW w:w="7500" w:type="dxa"/>
            <w:vAlign w:val="bottom"/>
          </w:tcPr>
          <w:p>
            <w:pPr>
              <w:spacing w:after="0"/>
              <w:rPr>
                <w:sz w:val="20"/>
                <w:szCs w:val="20"/>
                <w:color w:val="auto"/>
              </w:rPr>
            </w:pPr>
            <w:r>
              <w:rPr>
                <w:rFonts w:ascii="Calibri" w:cs="Calibri" w:eastAsia="Calibri" w:hAnsi="Calibri"/>
                <w:sz w:val="20"/>
                <w:szCs w:val="20"/>
                <w:color w:val="auto"/>
              </w:rPr>
              <w:t>TXI California, LLC, a Delaware limited liability company</w:t>
            </w:r>
          </w:p>
        </w:tc>
        <w:tc>
          <w:tcPr>
            <w:tcW w:w="3560" w:type="dxa"/>
            <w:vAlign w:val="bottom"/>
          </w:tcPr>
          <w:p>
            <w:pPr>
              <w:jc w:val="center"/>
              <w:ind w:left="2881"/>
              <w:spacing w:after="0"/>
              <w:rPr>
                <w:sz w:val="20"/>
                <w:szCs w:val="20"/>
                <w:color w:val="auto"/>
              </w:rPr>
            </w:pPr>
            <w:r>
              <w:rPr>
                <w:rFonts w:ascii="Calibri" w:cs="Calibri" w:eastAsia="Calibri" w:hAnsi="Calibri"/>
                <w:sz w:val="20"/>
                <w:szCs w:val="20"/>
                <w:color w:val="auto"/>
                <w:w w:val="93"/>
              </w:rPr>
              <w:t>100%</w:t>
            </w:r>
            <w:r>
              <w:rPr>
                <w:rFonts w:ascii="Calibri" w:cs="Calibri" w:eastAsia="Calibri" w:hAnsi="Calibri"/>
                <w:sz w:val="26"/>
                <w:szCs w:val="26"/>
                <w:color w:val="auto"/>
                <w:w w:val="93"/>
                <w:vertAlign w:val="superscript"/>
              </w:rPr>
              <w:t>55</w:t>
            </w:r>
          </w:p>
        </w:tc>
      </w:tr>
      <w:tr>
        <w:trPr>
          <w:trHeight w:val="418"/>
        </w:trPr>
        <w:tc>
          <w:tcPr>
            <w:tcW w:w="7500" w:type="dxa"/>
            <w:vAlign w:val="bottom"/>
          </w:tcPr>
          <w:p>
            <w:pPr>
              <w:spacing w:after="0"/>
              <w:rPr>
                <w:sz w:val="20"/>
                <w:szCs w:val="20"/>
                <w:color w:val="auto"/>
              </w:rPr>
            </w:pPr>
            <w:r>
              <w:rPr>
                <w:rFonts w:ascii="Calibri" w:cs="Calibri" w:eastAsia="Calibri" w:hAnsi="Calibri"/>
                <w:sz w:val="20"/>
                <w:szCs w:val="20"/>
                <w:color w:val="auto"/>
              </w:rPr>
              <w:t>TXI Riverside, LLC, a Delaware limited liability company</w:t>
            </w:r>
          </w:p>
        </w:tc>
        <w:tc>
          <w:tcPr>
            <w:tcW w:w="3560" w:type="dxa"/>
            <w:vAlign w:val="bottom"/>
          </w:tcPr>
          <w:p>
            <w:pPr>
              <w:jc w:val="center"/>
              <w:ind w:left="2881"/>
              <w:spacing w:after="0"/>
              <w:rPr>
                <w:sz w:val="20"/>
                <w:szCs w:val="20"/>
                <w:color w:val="auto"/>
              </w:rPr>
            </w:pPr>
            <w:r>
              <w:rPr>
                <w:rFonts w:ascii="Calibri" w:cs="Calibri" w:eastAsia="Calibri" w:hAnsi="Calibri"/>
                <w:sz w:val="20"/>
                <w:szCs w:val="20"/>
                <w:color w:val="auto"/>
                <w:w w:val="93"/>
              </w:rPr>
              <w:t>100%</w:t>
            </w:r>
            <w:r>
              <w:rPr>
                <w:rFonts w:ascii="Calibri" w:cs="Calibri" w:eastAsia="Calibri" w:hAnsi="Calibri"/>
                <w:sz w:val="26"/>
                <w:szCs w:val="26"/>
                <w:color w:val="auto"/>
                <w:w w:val="93"/>
                <w:vertAlign w:val="superscript"/>
              </w:rPr>
              <w:t>56</w:t>
            </w:r>
          </w:p>
        </w:tc>
      </w:tr>
      <w:tr>
        <w:trPr>
          <w:trHeight w:val="419"/>
        </w:trPr>
        <w:tc>
          <w:tcPr>
            <w:tcW w:w="7500" w:type="dxa"/>
            <w:vAlign w:val="bottom"/>
          </w:tcPr>
          <w:p>
            <w:pPr>
              <w:spacing w:after="0"/>
              <w:rPr>
                <w:sz w:val="20"/>
                <w:szCs w:val="20"/>
                <w:color w:val="auto"/>
              </w:rPr>
            </w:pPr>
            <w:r>
              <w:rPr>
                <w:rFonts w:ascii="Calibri" w:cs="Calibri" w:eastAsia="Calibri" w:hAnsi="Calibri"/>
                <w:sz w:val="20"/>
                <w:szCs w:val="20"/>
                <w:color w:val="auto"/>
              </w:rPr>
              <w:t>Valley Stone LLC, a Virginia limited liability company</w:t>
            </w:r>
          </w:p>
        </w:tc>
        <w:tc>
          <w:tcPr>
            <w:tcW w:w="3560" w:type="dxa"/>
            <w:vAlign w:val="bottom"/>
          </w:tcPr>
          <w:p>
            <w:pPr>
              <w:jc w:val="center"/>
              <w:ind w:left="2901"/>
              <w:spacing w:after="0"/>
              <w:rPr>
                <w:sz w:val="20"/>
                <w:szCs w:val="20"/>
                <w:color w:val="auto"/>
              </w:rPr>
            </w:pPr>
            <w:r>
              <w:rPr>
                <w:rFonts w:ascii="Calibri" w:cs="Calibri" w:eastAsia="Calibri" w:hAnsi="Calibri"/>
                <w:sz w:val="20"/>
                <w:szCs w:val="20"/>
                <w:color w:val="auto"/>
                <w:w w:val="91"/>
              </w:rPr>
              <w:t>50%</w:t>
            </w:r>
            <w:r>
              <w:rPr>
                <w:rFonts w:ascii="Calibri" w:cs="Calibri" w:eastAsia="Calibri" w:hAnsi="Calibri"/>
                <w:sz w:val="26"/>
                <w:szCs w:val="26"/>
                <w:color w:val="auto"/>
                <w:w w:val="91"/>
                <w:vertAlign w:val="superscript"/>
              </w:rPr>
              <w:t>57</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52" w:hanging="152"/>
        <w:spacing w:after="0"/>
        <w:tabs>
          <w:tab w:leader="none" w:pos="152" w:val="left"/>
        </w:tabs>
        <w:numPr>
          <w:ilvl w:val="0"/>
          <w:numId w:val="40"/>
        </w:numPr>
        <w:rPr>
          <w:rFonts w:ascii="Calibri" w:cs="Calibri" w:eastAsia="Calibri" w:hAnsi="Calibri"/>
          <w:sz w:val="22"/>
          <w:szCs w:val="22"/>
          <w:color w:val="auto"/>
          <w:vertAlign w:val="superscript"/>
        </w:rPr>
      </w:pPr>
      <w:r>
        <w:rPr>
          <w:rFonts w:ascii="Calibri" w:cs="Calibri" w:eastAsia="Calibri" w:hAnsi="Calibri"/>
          <w:sz w:val="17"/>
          <w:szCs w:val="17"/>
          <w:color w:val="auto"/>
        </w:rPr>
        <w:t>TXI California, LLC is a wholly owned subsidiary of Martn Marieta Southwest Ready-Mix, Inc.</w:t>
      </w:r>
    </w:p>
    <w:p>
      <w:pPr>
        <w:spacing w:after="0" w:line="54" w:lineRule="exact"/>
        <w:rPr>
          <w:rFonts w:ascii="Calibri" w:cs="Calibri" w:eastAsia="Calibri" w:hAnsi="Calibri"/>
          <w:sz w:val="22"/>
          <w:szCs w:val="22"/>
          <w:color w:val="auto"/>
          <w:vertAlign w:val="superscript"/>
        </w:rPr>
      </w:pPr>
    </w:p>
    <w:p>
      <w:pPr>
        <w:ind w:left="152" w:hanging="152"/>
        <w:spacing w:after="0" w:line="185" w:lineRule="auto"/>
        <w:tabs>
          <w:tab w:leader="none" w:pos="152" w:val="left"/>
        </w:tabs>
        <w:numPr>
          <w:ilvl w:val="0"/>
          <w:numId w:val="40"/>
        </w:numPr>
        <w:rPr>
          <w:rFonts w:ascii="Calibri" w:cs="Calibri" w:eastAsia="Calibri" w:hAnsi="Calibri"/>
          <w:sz w:val="20"/>
          <w:szCs w:val="20"/>
          <w:color w:val="auto"/>
          <w:vertAlign w:val="superscript"/>
        </w:rPr>
      </w:pPr>
      <w:r>
        <w:rPr>
          <w:rFonts w:ascii="Calibri" w:cs="Calibri" w:eastAsia="Calibri" w:hAnsi="Calibri"/>
          <w:sz w:val="15"/>
          <w:szCs w:val="15"/>
          <w:color w:val="auto"/>
        </w:rPr>
        <w:t>TXI Riverside, LLC is a wholly owned subsidiary of Martn Marieta Southwest Ready-Mix, Inc.</w:t>
      </w:r>
    </w:p>
    <w:p>
      <w:pPr>
        <w:spacing w:after="0" w:line="54" w:lineRule="exact"/>
        <w:rPr>
          <w:rFonts w:ascii="Calibri" w:cs="Calibri" w:eastAsia="Calibri" w:hAnsi="Calibri"/>
          <w:sz w:val="20"/>
          <w:szCs w:val="20"/>
          <w:color w:val="auto"/>
          <w:vertAlign w:val="superscript"/>
        </w:rPr>
      </w:pPr>
    </w:p>
    <w:p>
      <w:pPr>
        <w:ind w:left="152" w:hanging="152"/>
        <w:spacing w:after="0" w:line="185" w:lineRule="auto"/>
        <w:tabs>
          <w:tab w:leader="none" w:pos="152" w:val="left"/>
        </w:tabs>
        <w:numPr>
          <w:ilvl w:val="0"/>
          <w:numId w:val="40"/>
        </w:numPr>
        <w:rPr>
          <w:rFonts w:ascii="Calibri" w:cs="Calibri" w:eastAsia="Calibri" w:hAnsi="Calibri"/>
          <w:sz w:val="20"/>
          <w:szCs w:val="20"/>
          <w:color w:val="auto"/>
          <w:vertAlign w:val="superscript"/>
        </w:rPr>
      </w:pPr>
      <w:r>
        <w:rPr>
          <w:rFonts w:ascii="Calibri" w:cs="Calibri" w:eastAsia="Calibri" w:hAnsi="Calibri"/>
          <w:sz w:val="15"/>
          <w:szCs w:val="15"/>
          <w:color w:val="auto"/>
        </w:rPr>
        <w:t>Martn Marieta Materials, Inc. is the manager of and owns a 50% interest in Valley Stone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71120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72"/>
          </w:cols>
          <w:pgMar w:left="328" w:top="327" w:right="499" w:bottom="1440" w:gutter="0" w:footer="0" w:header="0"/>
        </w:sectPr>
      </w:pPr>
    </w:p>
    <w:bookmarkStart w:id="132" w:name="page133"/>
    <w:bookmarkEnd w:id="132"/>
    <w:p>
      <w:pPr>
        <w:jc w:val="right"/>
        <w:spacing w:after="0"/>
        <w:rPr>
          <w:sz w:val="20"/>
          <w:szCs w:val="20"/>
          <w:color w:val="auto"/>
        </w:rPr>
      </w:pPr>
      <w:r>
        <w:rPr>
          <w:rFonts w:ascii="Calibri" w:cs="Calibri" w:eastAsia="Calibri" w:hAnsi="Calibri"/>
          <w:sz w:val="20"/>
          <w:szCs w:val="20"/>
          <w:b w:val="1"/>
          <w:bCs w:val="1"/>
          <w:color w:val="auto"/>
        </w:rPr>
        <w:t>EXHIBIT 23.01</w:t>
      </w: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CONSENT OF INDEPENDENT REGISTERED PUBLIC ACCOUNTING FIRM</w:t>
      </w:r>
    </w:p>
    <w:p>
      <w:pPr>
        <w:spacing w:after="0" w:line="252"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We hereby consent to the incorporaton by reference in the Registraton Statements on Form S-3 (No. 333-238199) and Form S-8 (Nos. 33-83516, 333-37886, 333-79039, 333-115918, 333-85608, 333-15429, 333-211735, and 333-197201) of Martn Marieta Materials, Inc. of our report dated February 24, 2023 relatng to the fnancial statements, fnancial statement schedule and the efectveness of internal control over fnancial reportng, which appears in this Form 10-K.</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alibri" w:cs="Calibri" w:eastAsia="Calibri" w:hAnsi="Calibri"/>
          <w:sz w:val="20"/>
          <w:szCs w:val="20"/>
          <w:color w:val="auto"/>
        </w:rPr>
        <w:t>/s/ PricewaterhouseCoopers LLP</w:t>
      </w:r>
    </w:p>
    <w:p>
      <w:pPr>
        <w:spacing w:after="0" w:line="238" w:lineRule="auto"/>
        <w:rPr>
          <w:sz w:val="20"/>
          <w:szCs w:val="20"/>
          <w:color w:val="auto"/>
        </w:rPr>
      </w:pPr>
      <w:r>
        <w:rPr>
          <w:rFonts w:ascii="Calibri" w:cs="Calibri" w:eastAsia="Calibri" w:hAnsi="Calibri"/>
          <w:sz w:val="20"/>
          <w:szCs w:val="20"/>
          <w:color w:val="auto"/>
        </w:rPr>
        <w:t>Raleigh, North Carolina</w:t>
      </w:r>
    </w:p>
    <w:p>
      <w:pPr>
        <w:spacing w:after="0"/>
        <w:rPr>
          <w:sz w:val="20"/>
          <w:szCs w:val="20"/>
          <w:color w:val="auto"/>
        </w:rPr>
      </w:pPr>
      <w:r>
        <w:rPr>
          <w:rFonts w:ascii="Calibri" w:cs="Calibri" w:eastAsia="Calibri" w:hAnsi="Calibri"/>
          <w:sz w:val="20"/>
          <w:szCs w:val="20"/>
          <w:color w:val="auto"/>
        </w:rPr>
        <w:t>February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368300</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33" w:name="page134"/>
    <w:bookmarkEnd w:id="133"/>
    <w:p>
      <w:pPr>
        <w:jc w:val="right"/>
        <w:spacing w:after="0"/>
        <w:rPr>
          <w:sz w:val="20"/>
          <w:szCs w:val="20"/>
          <w:color w:val="auto"/>
        </w:rPr>
      </w:pPr>
      <w:r>
        <w:rPr>
          <w:rFonts w:ascii="Calibri" w:cs="Calibri" w:eastAsia="Calibri" w:hAnsi="Calibri"/>
          <w:sz w:val="20"/>
          <w:szCs w:val="20"/>
          <w:b w:val="1"/>
          <w:bCs w:val="1"/>
          <w:color w:val="auto"/>
        </w:rPr>
        <w:t>EXHIBIT 31.01</w:t>
      </w: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CERTIFICATION PURSUANT TO SECURITIES AND EXCHANGE ACT OF 1934</w:t>
      </w:r>
    </w:p>
    <w:p>
      <w:pPr>
        <w:spacing w:after="0" w:line="188"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RULE 13a-14 AS ADOPTED PURSUANT TO SECTION 302 OF THE</w:t>
      </w: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SARBANES-OXLEY ACT OF 2002</w:t>
      </w: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CERTIFICATIONS</w:t>
      </w:r>
    </w:p>
    <w:p>
      <w:pPr>
        <w:spacing w:after="0" w:line="188" w:lineRule="exact"/>
        <w:rPr>
          <w:sz w:val="20"/>
          <w:szCs w:val="20"/>
          <w:color w:val="auto"/>
        </w:rPr>
      </w:pPr>
    </w:p>
    <w:p>
      <w:pPr>
        <w:spacing w:after="0"/>
        <w:rPr>
          <w:sz w:val="20"/>
          <w:szCs w:val="20"/>
          <w:color w:val="auto"/>
        </w:rPr>
      </w:pPr>
      <w:r>
        <w:rPr>
          <w:rFonts w:ascii="Calibri" w:cs="Calibri" w:eastAsia="Calibri" w:hAnsi="Calibri"/>
          <w:sz w:val="20"/>
          <w:szCs w:val="20"/>
          <w:color w:val="auto"/>
        </w:rPr>
        <w:t>I, C. Howard Nye, certfy that:</w:t>
      </w:r>
    </w:p>
    <w:p>
      <w:pPr>
        <w:spacing w:after="0" w:line="201" w:lineRule="exact"/>
        <w:rPr>
          <w:sz w:val="20"/>
          <w:szCs w:val="20"/>
          <w:color w:val="auto"/>
        </w:rPr>
      </w:pPr>
    </w:p>
    <w:p>
      <w:pPr>
        <w:ind w:left="1140" w:hanging="383"/>
        <w:spacing w:after="0"/>
        <w:tabs>
          <w:tab w:leader="none" w:pos="1140" w:val="left"/>
        </w:tabs>
        <w:numPr>
          <w:ilvl w:val="0"/>
          <w:numId w:val="41"/>
        </w:numPr>
        <w:rPr>
          <w:rFonts w:ascii="Calibri" w:cs="Calibri" w:eastAsia="Calibri" w:hAnsi="Calibri"/>
          <w:sz w:val="20"/>
          <w:szCs w:val="20"/>
          <w:color w:val="auto"/>
        </w:rPr>
      </w:pPr>
      <w:r>
        <w:rPr>
          <w:rFonts w:ascii="Calibri" w:cs="Calibri" w:eastAsia="Calibri" w:hAnsi="Calibri"/>
          <w:sz w:val="20"/>
          <w:szCs w:val="20"/>
          <w:color w:val="auto"/>
        </w:rPr>
        <w:t>I have reviewed this Form 10-K of Martn Marieta Materials, Inc.;</w:t>
      </w:r>
    </w:p>
    <w:p>
      <w:pPr>
        <w:spacing w:after="0" w:line="211"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41"/>
        </w:numPr>
        <w:rPr>
          <w:rFonts w:ascii="Calibri" w:cs="Calibri" w:eastAsia="Calibri" w:hAnsi="Calibri"/>
          <w:sz w:val="20"/>
          <w:szCs w:val="20"/>
          <w:color w:val="auto"/>
        </w:rPr>
      </w:pPr>
      <w:r>
        <w:rPr>
          <w:rFonts w:ascii="Calibri" w:cs="Calibri" w:eastAsia="Calibri" w:hAnsi="Calibri"/>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41"/>
        </w:numPr>
        <w:rPr>
          <w:rFonts w:ascii="Calibri" w:cs="Calibri" w:eastAsia="Calibri" w:hAnsi="Calibri"/>
          <w:sz w:val="20"/>
          <w:szCs w:val="20"/>
          <w:color w:val="auto"/>
        </w:rPr>
      </w:pPr>
      <w:r>
        <w:rPr>
          <w:rFonts w:ascii="Calibri" w:cs="Calibri" w:eastAsia="Calibri" w:hAnsi="Calibri"/>
          <w:sz w:val="20"/>
          <w:szCs w:val="20"/>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211"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41"/>
        </w:numPr>
        <w:rPr>
          <w:rFonts w:ascii="Calibri" w:cs="Calibri" w:eastAsia="Calibri" w:hAnsi="Calibri"/>
          <w:sz w:val="20"/>
          <w:szCs w:val="20"/>
          <w:color w:val="auto"/>
        </w:rPr>
      </w:pPr>
      <w:r>
        <w:rPr>
          <w:rFonts w:ascii="Calibri" w:cs="Calibri" w:eastAsia="Calibri" w:hAnsi="Calibri"/>
          <w:sz w:val="20"/>
          <w:szCs w:val="20"/>
          <w:color w:val="auto"/>
        </w:rPr>
        <w:t>The registrant’s other certfying ofcer(s)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116" w:lineRule="exact"/>
        <w:rPr>
          <w:rFonts w:ascii="Calibri" w:cs="Calibri" w:eastAsia="Calibri" w:hAnsi="Calibri"/>
          <w:sz w:val="20"/>
          <w:szCs w:val="20"/>
          <w:color w:val="auto"/>
        </w:rPr>
      </w:pPr>
    </w:p>
    <w:p>
      <w:pPr>
        <w:jc w:val="both"/>
        <w:ind w:left="1840" w:hanging="751"/>
        <w:spacing w:after="0" w:line="236" w:lineRule="auto"/>
        <w:tabs>
          <w:tab w:leader="none" w:pos="1840" w:val="left"/>
        </w:tabs>
        <w:numPr>
          <w:ilvl w:val="1"/>
          <w:numId w:val="41"/>
        </w:numPr>
        <w:rPr>
          <w:rFonts w:ascii="Calibri" w:cs="Calibri" w:eastAsia="Calibri" w:hAnsi="Calibri"/>
          <w:sz w:val="20"/>
          <w:szCs w:val="20"/>
          <w:color w:val="auto"/>
        </w:rPr>
      </w:pPr>
      <w:r>
        <w:rPr>
          <w:rFonts w:ascii="Calibri" w:cs="Calibri" w:eastAsia="Calibri" w:hAnsi="Calibri"/>
          <w:sz w:val="20"/>
          <w:szCs w:val="20"/>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19" w:lineRule="exact"/>
        <w:rPr>
          <w:rFonts w:ascii="Calibri" w:cs="Calibri" w:eastAsia="Calibri" w:hAnsi="Calibri"/>
          <w:sz w:val="20"/>
          <w:szCs w:val="20"/>
          <w:color w:val="auto"/>
        </w:rPr>
      </w:pPr>
    </w:p>
    <w:p>
      <w:pPr>
        <w:jc w:val="both"/>
        <w:ind w:left="1840" w:hanging="751"/>
        <w:spacing w:after="0" w:line="236" w:lineRule="auto"/>
        <w:tabs>
          <w:tab w:leader="none" w:pos="1840" w:val="left"/>
        </w:tabs>
        <w:numPr>
          <w:ilvl w:val="1"/>
          <w:numId w:val="41"/>
        </w:numPr>
        <w:rPr>
          <w:rFonts w:ascii="Calibri" w:cs="Calibri" w:eastAsia="Calibri" w:hAnsi="Calibri"/>
          <w:sz w:val="20"/>
          <w:szCs w:val="20"/>
          <w:color w:val="auto"/>
        </w:rPr>
      </w:pPr>
      <w:r>
        <w:rPr>
          <w:rFonts w:ascii="Calibri" w:cs="Calibri" w:eastAsia="Calibri" w:hAnsi="Calibri"/>
          <w:sz w:val="20"/>
          <w:szCs w:val="20"/>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19" w:lineRule="exact"/>
        <w:rPr>
          <w:rFonts w:ascii="Calibri" w:cs="Calibri" w:eastAsia="Calibri" w:hAnsi="Calibri"/>
          <w:sz w:val="20"/>
          <w:szCs w:val="20"/>
          <w:color w:val="auto"/>
        </w:rPr>
      </w:pPr>
    </w:p>
    <w:p>
      <w:pPr>
        <w:jc w:val="both"/>
        <w:ind w:left="1840" w:hanging="751"/>
        <w:spacing w:after="0" w:line="236" w:lineRule="auto"/>
        <w:tabs>
          <w:tab w:leader="none" w:pos="1840" w:val="left"/>
        </w:tabs>
        <w:numPr>
          <w:ilvl w:val="1"/>
          <w:numId w:val="41"/>
        </w:numPr>
        <w:rPr>
          <w:rFonts w:ascii="Calibri" w:cs="Calibri" w:eastAsia="Calibri" w:hAnsi="Calibri"/>
          <w:sz w:val="20"/>
          <w:szCs w:val="20"/>
          <w:color w:val="auto"/>
        </w:rPr>
      </w:pPr>
      <w:r>
        <w:rPr>
          <w:rFonts w:ascii="Calibri" w:cs="Calibri" w:eastAsia="Calibri" w:hAnsi="Calibri"/>
          <w:sz w:val="20"/>
          <w:szCs w:val="20"/>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116" w:lineRule="exact"/>
        <w:rPr>
          <w:rFonts w:ascii="Calibri" w:cs="Calibri" w:eastAsia="Calibri" w:hAnsi="Calibri"/>
          <w:sz w:val="20"/>
          <w:szCs w:val="20"/>
          <w:color w:val="auto"/>
        </w:rPr>
      </w:pPr>
    </w:p>
    <w:p>
      <w:pPr>
        <w:jc w:val="both"/>
        <w:ind w:left="1840" w:hanging="751"/>
        <w:spacing w:after="0" w:line="236" w:lineRule="auto"/>
        <w:tabs>
          <w:tab w:leader="none" w:pos="1840" w:val="left"/>
        </w:tabs>
        <w:numPr>
          <w:ilvl w:val="1"/>
          <w:numId w:val="41"/>
        </w:numPr>
        <w:rPr>
          <w:rFonts w:ascii="Calibri" w:cs="Calibri" w:eastAsia="Calibri" w:hAnsi="Calibri"/>
          <w:sz w:val="20"/>
          <w:szCs w:val="20"/>
          <w:color w:val="auto"/>
        </w:rPr>
      </w:pPr>
      <w:r>
        <w:rPr>
          <w:rFonts w:ascii="Calibri" w:cs="Calibri" w:eastAsia="Calibri" w:hAnsi="Calibri"/>
          <w:sz w:val="20"/>
          <w:szCs w:val="20"/>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34" w:name="page135"/>
    <w:bookmarkEnd w:id="134"/>
    <w:p>
      <w:pPr>
        <w:jc w:val="both"/>
        <w:ind w:left="1140" w:hanging="383"/>
        <w:spacing w:after="0" w:line="236" w:lineRule="auto"/>
        <w:tabs>
          <w:tab w:leader="none" w:pos="1140" w:val="left"/>
        </w:tabs>
        <w:numPr>
          <w:ilvl w:val="0"/>
          <w:numId w:val="42"/>
        </w:numPr>
        <w:rPr>
          <w:rFonts w:ascii="Calibri" w:cs="Calibri" w:eastAsia="Calibri" w:hAnsi="Calibri"/>
          <w:sz w:val="20"/>
          <w:szCs w:val="20"/>
          <w:color w:val="auto"/>
        </w:rPr>
      </w:pPr>
      <w:r>
        <w:rPr>
          <w:rFonts w:ascii="Calibri" w:cs="Calibri" w:eastAsia="Calibri" w:hAnsi="Calibri"/>
          <w:sz w:val="20"/>
          <w:szCs w:val="20"/>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116" w:lineRule="exact"/>
        <w:rPr>
          <w:rFonts w:ascii="Calibri" w:cs="Calibri" w:eastAsia="Calibri" w:hAnsi="Calibri"/>
          <w:sz w:val="20"/>
          <w:szCs w:val="20"/>
          <w:color w:val="auto"/>
        </w:rPr>
      </w:pPr>
    </w:p>
    <w:p>
      <w:pPr>
        <w:jc w:val="both"/>
        <w:ind w:left="1840" w:hanging="751"/>
        <w:spacing w:after="0" w:line="236" w:lineRule="auto"/>
        <w:tabs>
          <w:tab w:leader="none" w:pos="1840" w:val="left"/>
        </w:tabs>
        <w:numPr>
          <w:ilvl w:val="1"/>
          <w:numId w:val="42"/>
        </w:numPr>
        <w:rPr>
          <w:rFonts w:ascii="Calibri" w:cs="Calibri" w:eastAsia="Calibri" w:hAnsi="Calibri"/>
          <w:sz w:val="20"/>
          <w:szCs w:val="20"/>
          <w:color w:val="auto"/>
        </w:rPr>
      </w:pPr>
      <w:r>
        <w:rPr>
          <w:rFonts w:ascii="Calibri" w:cs="Calibri" w:eastAsia="Calibri" w:hAnsi="Calibri"/>
          <w:sz w:val="20"/>
          <w:szCs w:val="20"/>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116" w:lineRule="exact"/>
        <w:rPr>
          <w:rFonts w:ascii="Calibri" w:cs="Calibri" w:eastAsia="Calibri" w:hAnsi="Calibri"/>
          <w:sz w:val="20"/>
          <w:szCs w:val="20"/>
          <w:color w:val="auto"/>
        </w:rPr>
      </w:pPr>
    </w:p>
    <w:p>
      <w:pPr>
        <w:ind w:left="1840" w:right="20" w:hanging="751"/>
        <w:spacing w:after="0" w:line="234" w:lineRule="auto"/>
        <w:tabs>
          <w:tab w:leader="none" w:pos="1840" w:val="left"/>
        </w:tabs>
        <w:numPr>
          <w:ilvl w:val="1"/>
          <w:numId w:val="42"/>
        </w:numPr>
        <w:rPr>
          <w:rFonts w:ascii="Calibri" w:cs="Calibri" w:eastAsia="Calibri" w:hAnsi="Calibri"/>
          <w:sz w:val="20"/>
          <w:szCs w:val="20"/>
          <w:color w:val="auto"/>
        </w:rPr>
      </w:pPr>
      <w:r>
        <w:rPr>
          <w:rFonts w:ascii="Calibri" w:cs="Calibri" w:eastAsia="Calibri" w:hAnsi="Calibri"/>
          <w:sz w:val="20"/>
          <w:szCs w:val="20"/>
          <w:color w:val="auto"/>
        </w:rPr>
        <w:t>any fraud, whether or not material, that involves management or other employees who have a signifcant role in the registrant’s internal control over fnancial reportng.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980" w:type="dxa"/>
            <w:vAlign w:val="bottom"/>
          </w:tcPr>
          <w:p>
            <w:pPr>
              <w:ind w:left="20"/>
              <w:spacing w:after="0"/>
              <w:rPr>
                <w:sz w:val="20"/>
                <w:szCs w:val="20"/>
                <w:color w:val="auto"/>
              </w:rPr>
            </w:pPr>
            <w:r>
              <w:rPr>
                <w:rFonts w:ascii="Calibri" w:cs="Calibri" w:eastAsia="Calibri" w:hAnsi="Calibri"/>
                <w:sz w:val="20"/>
                <w:szCs w:val="20"/>
                <w:color w:val="auto"/>
              </w:rPr>
              <w:t>Date:   February 24, 2023</w:t>
            </w:r>
          </w:p>
        </w:tc>
        <w:tc>
          <w:tcPr>
            <w:tcW w:w="4260" w:type="dxa"/>
            <w:vAlign w:val="bottom"/>
          </w:tcPr>
          <w:p>
            <w:pPr>
              <w:spacing w:after="0"/>
              <w:rPr>
                <w:sz w:val="20"/>
                <w:szCs w:val="20"/>
                <w:color w:val="auto"/>
              </w:rPr>
            </w:pPr>
            <w:r>
              <w:rPr>
                <w:rFonts w:ascii="Calibri" w:cs="Calibri" w:eastAsia="Calibri" w:hAnsi="Calibri"/>
                <w:sz w:val="20"/>
                <w:szCs w:val="20"/>
                <w:color w:val="auto"/>
              </w:rPr>
              <w:t>By:  /s/   C. Howard Nye</w:t>
            </w:r>
          </w:p>
        </w:tc>
      </w:tr>
      <w:tr>
        <w:trPr>
          <w:trHeight w:val="47"/>
        </w:trPr>
        <w:tc>
          <w:tcPr>
            <w:tcW w:w="6980" w:type="dxa"/>
            <w:vAlign w:val="bottom"/>
          </w:tcPr>
          <w:p>
            <w:pPr>
              <w:spacing w:after="0"/>
              <w:rPr>
                <w:sz w:val="4"/>
                <w:szCs w:val="4"/>
                <w:color w:val="auto"/>
              </w:rPr>
            </w:pPr>
          </w:p>
        </w:tc>
        <w:tc>
          <w:tcPr>
            <w:tcW w:w="4260" w:type="dxa"/>
            <w:vAlign w:val="bottom"/>
            <w:tcBorders>
              <w:bottom w:val="single" w:sz="8" w:color="auto"/>
            </w:tcBorders>
          </w:tcPr>
          <w:p>
            <w:pPr>
              <w:spacing w:after="0"/>
              <w:rPr>
                <w:sz w:val="4"/>
                <w:szCs w:val="4"/>
                <w:color w:val="auto"/>
              </w:rPr>
            </w:pPr>
          </w:p>
        </w:tc>
      </w:tr>
      <w:tr>
        <w:trPr>
          <w:trHeight w:val="228"/>
        </w:trPr>
        <w:tc>
          <w:tcPr>
            <w:tcW w:w="6980" w:type="dxa"/>
            <w:vAlign w:val="bottom"/>
          </w:tcPr>
          <w:p>
            <w:pPr>
              <w:spacing w:after="0"/>
              <w:rPr>
                <w:sz w:val="19"/>
                <w:szCs w:val="19"/>
                <w:color w:val="auto"/>
              </w:rPr>
            </w:pPr>
          </w:p>
        </w:tc>
        <w:tc>
          <w:tcPr>
            <w:tcW w:w="4260" w:type="dxa"/>
            <w:vAlign w:val="bottom"/>
          </w:tcPr>
          <w:p>
            <w:pPr>
              <w:ind w:left="960"/>
              <w:spacing w:after="0" w:line="228" w:lineRule="exact"/>
              <w:rPr>
                <w:sz w:val="20"/>
                <w:szCs w:val="20"/>
                <w:color w:val="auto"/>
              </w:rPr>
            </w:pPr>
            <w:r>
              <w:rPr>
                <w:rFonts w:ascii="Calibri" w:cs="Calibri" w:eastAsia="Calibri" w:hAnsi="Calibri"/>
                <w:sz w:val="20"/>
                <w:szCs w:val="20"/>
                <w:color w:val="auto"/>
              </w:rPr>
              <w:t>C. Howard Nye</w:t>
            </w:r>
          </w:p>
        </w:tc>
      </w:tr>
      <w:tr>
        <w:trPr>
          <w:trHeight w:val="259"/>
        </w:trPr>
        <w:tc>
          <w:tcPr>
            <w:tcW w:w="6980" w:type="dxa"/>
            <w:vAlign w:val="bottom"/>
          </w:tcPr>
          <w:p>
            <w:pPr>
              <w:spacing w:after="0"/>
              <w:rPr>
                <w:sz w:val="22"/>
                <w:szCs w:val="22"/>
                <w:color w:val="auto"/>
              </w:rPr>
            </w:pPr>
          </w:p>
        </w:tc>
        <w:tc>
          <w:tcPr>
            <w:tcW w:w="4260" w:type="dxa"/>
            <w:vAlign w:val="bottom"/>
          </w:tcPr>
          <w:p>
            <w:pPr>
              <w:ind w:left="960"/>
              <w:spacing w:after="0"/>
              <w:rPr>
                <w:sz w:val="20"/>
                <w:szCs w:val="20"/>
                <w:color w:val="auto"/>
              </w:rPr>
            </w:pPr>
            <w:r>
              <w:rPr>
                <w:rFonts w:ascii="Calibri" w:cs="Calibri" w:eastAsia="Calibri" w:hAnsi="Calibri"/>
                <w:sz w:val="20"/>
                <w:szCs w:val="20"/>
                <w:color w:val="auto"/>
              </w:rPr>
              <w:t>Chairman, President and</w:t>
            </w:r>
          </w:p>
        </w:tc>
      </w:tr>
      <w:tr>
        <w:trPr>
          <w:trHeight w:val="270"/>
        </w:trPr>
        <w:tc>
          <w:tcPr>
            <w:tcW w:w="6980" w:type="dxa"/>
            <w:vAlign w:val="bottom"/>
          </w:tcPr>
          <w:p>
            <w:pPr>
              <w:spacing w:after="0"/>
              <w:rPr>
                <w:sz w:val="23"/>
                <w:szCs w:val="23"/>
                <w:color w:val="auto"/>
              </w:rPr>
            </w:pPr>
          </w:p>
        </w:tc>
        <w:tc>
          <w:tcPr>
            <w:tcW w:w="4260" w:type="dxa"/>
            <w:vAlign w:val="bottom"/>
          </w:tcPr>
          <w:p>
            <w:pPr>
              <w:ind w:left="960"/>
              <w:spacing w:after="0"/>
              <w:rPr>
                <w:sz w:val="20"/>
                <w:szCs w:val="20"/>
                <w:color w:val="auto"/>
              </w:rPr>
            </w:pPr>
            <w:r>
              <w:rPr>
                <w:rFonts w:ascii="Calibri" w:cs="Calibri" w:eastAsia="Calibri" w:hAnsi="Calibri"/>
                <w:sz w:val="20"/>
                <w:szCs w:val="20"/>
                <w:color w:val="auto"/>
              </w:rPr>
              <w:t>Chief Executve Ofcer</w:t>
            </w:r>
          </w:p>
        </w:tc>
      </w:tr>
      <w:tr>
        <w:trPr>
          <w:trHeight w:val="378"/>
        </w:trPr>
        <w:tc>
          <w:tcPr>
            <w:tcW w:w="698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8" w:right="339" w:bottom="1440" w:gutter="0" w:footer="0" w:header="0"/>
        </w:sectPr>
      </w:pPr>
    </w:p>
    <w:bookmarkStart w:id="135" w:name="page136"/>
    <w:bookmarkEnd w:id="135"/>
    <w:p>
      <w:pPr>
        <w:jc w:val="right"/>
        <w:spacing w:after="0"/>
        <w:rPr>
          <w:sz w:val="20"/>
          <w:szCs w:val="20"/>
          <w:color w:val="auto"/>
        </w:rPr>
      </w:pPr>
      <w:r>
        <w:rPr>
          <w:rFonts w:ascii="Calibri" w:cs="Calibri" w:eastAsia="Calibri" w:hAnsi="Calibri"/>
          <w:sz w:val="20"/>
          <w:szCs w:val="20"/>
          <w:b w:val="1"/>
          <w:bCs w:val="1"/>
          <w:color w:val="auto"/>
        </w:rPr>
        <w:t>EXHIBIT 31.02</w:t>
      </w: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CERTIFICATION PURSUANT TO SECURITIES AND EXCHANGE ACT OF 1934</w:t>
      </w:r>
    </w:p>
    <w:p>
      <w:pPr>
        <w:spacing w:after="0" w:line="188"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RULE 13a-14 AS ADOPTED PURSUANT TO SECTION 302 OF THE</w:t>
      </w: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SARBANES-OXLEY ACT OF 2002</w:t>
      </w: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CERTIFICATIONS</w:t>
      </w:r>
    </w:p>
    <w:p>
      <w:pPr>
        <w:spacing w:after="0" w:line="188" w:lineRule="exact"/>
        <w:rPr>
          <w:sz w:val="20"/>
          <w:szCs w:val="20"/>
          <w:color w:val="auto"/>
        </w:rPr>
      </w:pPr>
    </w:p>
    <w:p>
      <w:pPr>
        <w:spacing w:after="0"/>
        <w:rPr>
          <w:sz w:val="20"/>
          <w:szCs w:val="20"/>
          <w:color w:val="auto"/>
        </w:rPr>
      </w:pPr>
      <w:r>
        <w:rPr>
          <w:rFonts w:ascii="Calibri" w:cs="Calibri" w:eastAsia="Calibri" w:hAnsi="Calibri"/>
          <w:sz w:val="20"/>
          <w:szCs w:val="20"/>
          <w:color w:val="auto"/>
        </w:rPr>
        <w:t>I, James A. J. Nickolas, certfy that:</w:t>
      </w:r>
    </w:p>
    <w:p>
      <w:pPr>
        <w:spacing w:after="0" w:line="201" w:lineRule="exact"/>
        <w:rPr>
          <w:sz w:val="20"/>
          <w:szCs w:val="20"/>
          <w:color w:val="auto"/>
        </w:rPr>
      </w:pPr>
    </w:p>
    <w:p>
      <w:pPr>
        <w:ind w:left="1140" w:hanging="383"/>
        <w:spacing w:after="0"/>
        <w:tabs>
          <w:tab w:leader="none" w:pos="1140" w:val="left"/>
        </w:tabs>
        <w:numPr>
          <w:ilvl w:val="0"/>
          <w:numId w:val="43"/>
        </w:numPr>
        <w:rPr>
          <w:rFonts w:ascii="Calibri" w:cs="Calibri" w:eastAsia="Calibri" w:hAnsi="Calibri"/>
          <w:sz w:val="20"/>
          <w:szCs w:val="20"/>
          <w:color w:val="auto"/>
        </w:rPr>
      </w:pPr>
      <w:r>
        <w:rPr>
          <w:rFonts w:ascii="Calibri" w:cs="Calibri" w:eastAsia="Calibri" w:hAnsi="Calibri"/>
          <w:sz w:val="20"/>
          <w:szCs w:val="20"/>
          <w:color w:val="auto"/>
        </w:rPr>
        <w:t>I have reviewed this Form 10-K of Martn Marieta Materials, Inc.;</w:t>
      </w:r>
    </w:p>
    <w:p>
      <w:pPr>
        <w:spacing w:after="0" w:line="211"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43"/>
        </w:numPr>
        <w:rPr>
          <w:rFonts w:ascii="Calibri" w:cs="Calibri" w:eastAsia="Calibri" w:hAnsi="Calibri"/>
          <w:sz w:val="20"/>
          <w:szCs w:val="20"/>
          <w:color w:val="auto"/>
        </w:rPr>
      </w:pPr>
      <w:r>
        <w:rPr>
          <w:rFonts w:ascii="Calibri" w:cs="Calibri" w:eastAsia="Calibri" w:hAnsi="Calibri"/>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43"/>
        </w:numPr>
        <w:rPr>
          <w:rFonts w:ascii="Calibri" w:cs="Calibri" w:eastAsia="Calibri" w:hAnsi="Calibri"/>
          <w:sz w:val="20"/>
          <w:szCs w:val="20"/>
          <w:color w:val="auto"/>
        </w:rPr>
      </w:pPr>
      <w:r>
        <w:rPr>
          <w:rFonts w:ascii="Calibri" w:cs="Calibri" w:eastAsia="Calibri" w:hAnsi="Calibri"/>
          <w:sz w:val="20"/>
          <w:szCs w:val="20"/>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211"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43"/>
        </w:numPr>
        <w:rPr>
          <w:rFonts w:ascii="Calibri" w:cs="Calibri" w:eastAsia="Calibri" w:hAnsi="Calibri"/>
          <w:sz w:val="20"/>
          <w:szCs w:val="20"/>
          <w:color w:val="auto"/>
        </w:rPr>
      </w:pPr>
      <w:r>
        <w:rPr>
          <w:rFonts w:ascii="Calibri" w:cs="Calibri" w:eastAsia="Calibri" w:hAnsi="Calibri"/>
          <w:sz w:val="20"/>
          <w:szCs w:val="20"/>
          <w:color w:val="auto"/>
        </w:rPr>
        <w:t>The registrant’s other certfying ofcer(s)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116" w:lineRule="exact"/>
        <w:rPr>
          <w:rFonts w:ascii="Calibri" w:cs="Calibri" w:eastAsia="Calibri" w:hAnsi="Calibri"/>
          <w:sz w:val="20"/>
          <w:szCs w:val="20"/>
          <w:color w:val="auto"/>
        </w:rPr>
      </w:pPr>
    </w:p>
    <w:p>
      <w:pPr>
        <w:jc w:val="both"/>
        <w:ind w:left="1840" w:hanging="751"/>
        <w:spacing w:after="0" w:line="236" w:lineRule="auto"/>
        <w:tabs>
          <w:tab w:leader="none" w:pos="1840" w:val="left"/>
        </w:tabs>
        <w:numPr>
          <w:ilvl w:val="1"/>
          <w:numId w:val="43"/>
        </w:numPr>
        <w:rPr>
          <w:rFonts w:ascii="Calibri" w:cs="Calibri" w:eastAsia="Calibri" w:hAnsi="Calibri"/>
          <w:sz w:val="20"/>
          <w:szCs w:val="20"/>
          <w:color w:val="auto"/>
        </w:rPr>
      </w:pPr>
      <w:r>
        <w:rPr>
          <w:rFonts w:ascii="Calibri" w:cs="Calibri" w:eastAsia="Calibri" w:hAnsi="Calibri"/>
          <w:sz w:val="20"/>
          <w:szCs w:val="20"/>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19" w:lineRule="exact"/>
        <w:rPr>
          <w:rFonts w:ascii="Calibri" w:cs="Calibri" w:eastAsia="Calibri" w:hAnsi="Calibri"/>
          <w:sz w:val="20"/>
          <w:szCs w:val="20"/>
          <w:color w:val="auto"/>
        </w:rPr>
      </w:pPr>
    </w:p>
    <w:p>
      <w:pPr>
        <w:jc w:val="both"/>
        <w:ind w:left="1840" w:hanging="751"/>
        <w:spacing w:after="0" w:line="236" w:lineRule="auto"/>
        <w:tabs>
          <w:tab w:leader="none" w:pos="1840" w:val="left"/>
        </w:tabs>
        <w:numPr>
          <w:ilvl w:val="1"/>
          <w:numId w:val="43"/>
        </w:numPr>
        <w:rPr>
          <w:rFonts w:ascii="Calibri" w:cs="Calibri" w:eastAsia="Calibri" w:hAnsi="Calibri"/>
          <w:sz w:val="20"/>
          <w:szCs w:val="20"/>
          <w:color w:val="auto"/>
        </w:rPr>
      </w:pPr>
      <w:r>
        <w:rPr>
          <w:rFonts w:ascii="Calibri" w:cs="Calibri" w:eastAsia="Calibri" w:hAnsi="Calibri"/>
          <w:sz w:val="20"/>
          <w:szCs w:val="20"/>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19" w:lineRule="exact"/>
        <w:rPr>
          <w:rFonts w:ascii="Calibri" w:cs="Calibri" w:eastAsia="Calibri" w:hAnsi="Calibri"/>
          <w:sz w:val="20"/>
          <w:szCs w:val="20"/>
          <w:color w:val="auto"/>
        </w:rPr>
      </w:pPr>
    </w:p>
    <w:p>
      <w:pPr>
        <w:jc w:val="both"/>
        <w:ind w:left="1840" w:hanging="751"/>
        <w:spacing w:after="0" w:line="236" w:lineRule="auto"/>
        <w:tabs>
          <w:tab w:leader="none" w:pos="1840" w:val="left"/>
        </w:tabs>
        <w:numPr>
          <w:ilvl w:val="1"/>
          <w:numId w:val="43"/>
        </w:numPr>
        <w:rPr>
          <w:rFonts w:ascii="Calibri" w:cs="Calibri" w:eastAsia="Calibri" w:hAnsi="Calibri"/>
          <w:sz w:val="20"/>
          <w:szCs w:val="20"/>
          <w:color w:val="auto"/>
        </w:rPr>
      </w:pPr>
      <w:r>
        <w:rPr>
          <w:rFonts w:ascii="Calibri" w:cs="Calibri" w:eastAsia="Calibri" w:hAnsi="Calibri"/>
          <w:sz w:val="20"/>
          <w:szCs w:val="20"/>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116" w:lineRule="exact"/>
        <w:rPr>
          <w:rFonts w:ascii="Calibri" w:cs="Calibri" w:eastAsia="Calibri" w:hAnsi="Calibri"/>
          <w:sz w:val="20"/>
          <w:szCs w:val="20"/>
          <w:color w:val="auto"/>
        </w:rPr>
      </w:pPr>
    </w:p>
    <w:p>
      <w:pPr>
        <w:jc w:val="both"/>
        <w:ind w:left="1840" w:hanging="751"/>
        <w:spacing w:after="0" w:line="236" w:lineRule="auto"/>
        <w:tabs>
          <w:tab w:leader="none" w:pos="1840" w:val="left"/>
        </w:tabs>
        <w:numPr>
          <w:ilvl w:val="1"/>
          <w:numId w:val="43"/>
        </w:numPr>
        <w:rPr>
          <w:rFonts w:ascii="Calibri" w:cs="Calibri" w:eastAsia="Calibri" w:hAnsi="Calibri"/>
          <w:sz w:val="20"/>
          <w:szCs w:val="20"/>
          <w:color w:val="auto"/>
        </w:rPr>
      </w:pPr>
      <w:r>
        <w:rPr>
          <w:rFonts w:ascii="Calibri" w:cs="Calibri" w:eastAsia="Calibri" w:hAnsi="Calibri"/>
          <w:sz w:val="20"/>
          <w:szCs w:val="20"/>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36" w:name="page137"/>
    <w:bookmarkEnd w:id="136"/>
    <w:p>
      <w:pPr>
        <w:jc w:val="both"/>
        <w:ind w:left="1140" w:hanging="383"/>
        <w:spacing w:after="0" w:line="236" w:lineRule="auto"/>
        <w:tabs>
          <w:tab w:leader="none" w:pos="1140" w:val="left"/>
        </w:tabs>
        <w:numPr>
          <w:ilvl w:val="0"/>
          <w:numId w:val="44"/>
        </w:numPr>
        <w:rPr>
          <w:rFonts w:ascii="Calibri" w:cs="Calibri" w:eastAsia="Calibri" w:hAnsi="Calibri"/>
          <w:sz w:val="20"/>
          <w:szCs w:val="20"/>
          <w:color w:val="auto"/>
        </w:rPr>
      </w:pPr>
      <w:r>
        <w:rPr>
          <w:rFonts w:ascii="Calibri" w:cs="Calibri" w:eastAsia="Calibri" w:hAnsi="Calibri"/>
          <w:sz w:val="20"/>
          <w:szCs w:val="20"/>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116" w:lineRule="exact"/>
        <w:rPr>
          <w:rFonts w:ascii="Calibri" w:cs="Calibri" w:eastAsia="Calibri" w:hAnsi="Calibri"/>
          <w:sz w:val="20"/>
          <w:szCs w:val="20"/>
          <w:color w:val="auto"/>
        </w:rPr>
      </w:pPr>
    </w:p>
    <w:p>
      <w:pPr>
        <w:jc w:val="both"/>
        <w:ind w:left="1840" w:hanging="751"/>
        <w:spacing w:after="0" w:line="236" w:lineRule="auto"/>
        <w:tabs>
          <w:tab w:leader="none" w:pos="1840" w:val="left"/>
        </w:tabs>
        <w:numPr>
          <w:ilvl w:val="1"/>
          <w:numId w:val="44"/>
        </w:numPr>
        <w:rPr>
          <w:rFonts w:ascii="Calibri" w:cs="Calibri" w:eastAsia="Calibri" w:hAnsi="Calibri"/>
          <w:sz w:val="20"/>
          <w:szCs w:val="20"/>
          <w:color w:val="auto"/>
        </w:rPr>
      </w:pPr>
      <w:r>
        <w:rPr>
          <w:rFonts w:ascii="Calibri" w:cs="Calibri" w:eastAsia="Calibri" w:hAnsi="Calibri"/>
          <w:sz w:val="20"/>
          <w:szCs w:val="20"/>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116" w:lineRule="exact"/>
        <w:rPr>
          <w:rFonts w:ascii="Calibri" w:cs="Calibri" w:eastAsia="Calibri" w:hAnsi="Calibri"/>
          <w:sz w:val="20"/>
          <w:szCs w:val="20"/>
          <w:color w:val="auto"/>
        </w:rPr>
      </w:pPr>
    </w:p>
    <w:p>
      <w:pPr>
        <w:ind w:left="1840" w:right="20" w:hanging="751"/>
        <w:spacing w:after="0" w:line="234" w:lineRule="auto"/>
        <w:tabs>
          <w:tab w:leader="none" w:pos="1840" w:val="left"/>
        </w:tabs>
        <w:numPr>
          <w:ilvl w:val="1"/>
          <w:numId w:val="44"/>
        </w:numPr>
        <w:rPr>
          <w:rFonts w:ascii="Calibri" w:cs="Calibri" w:eastAsia="Calibri" w:hAnsi="Calibri"/>
          <w:sz w:val="20"/>
          <w:szCs w:val="20"/>
          <w:color w:val="auto"/>
        </w:rPr>
      </w:pPr>
      <w:r>
        <w:rPr>
          <w:rFonts w:ascii="Calibri" w:cs="Calibri" w:eastAsia="Calibri" w:hAnsi="Calibri"/>
          <w:sz w:val="20"/>
          <w:szCs w:val="20"/>
          <w:color w:val="auto"/>
        </w:rPr>
        <w:t>any fraud, whether or not material, that involves management or other employees who have a signifcant role in the registrant’s internal control over fnancial reportng.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100" w:type="dxa"/>
            <w:vAlign w:val="bottom"/>
          </w:tcPr>
          <w:p>
            <w:pPr>
              <w:ind w:left="20"/>
              <w:spacing w:after="0"/>
              <w:rPr>
                <w:sz w:val="20"/>
                <w:szCs w:val="20"/>
                <w:color w:val="auto"/>
              </w:rPr>
            </w:pPr>
            <w:r>
              <w:rPr>
                <w:rFonts w:ascii="Calibri" w:cs="Calibri" w:eastAsia="Calibri" w:hAnsi="Calibri"/>
                <w:sz w:val="20"/>
                <w:szCs w:val="20"/>
                <w:color w:val="auto"/>
              </w:rPr>
              <w:t>Date:   February 24, 2023</w:t>
            </w:r>
          </w:p>
        </w:tc>
        <w:tc>
          <w:tcPr>
            <w:tcW w:w="4140" w:type="dxa"/>
            <w:vAlign w:val="bottom"/>
          </w:tcPr>
          <w:p>
            <w:pPr>
              <w:jc w:val="right"/>
              <w:ind w:right="1601"/>
              <w:spacing w:after="0"/>
              <w:rPr>
                <w:sz w:val="20"/>
                <w:szCs w:val="20"/>
                <w:color w:val="auto"/>
              </w:rPr>
            </w:pPr>
            <w:r>
              <w:rPr>
                <w:rFonts w:ascii="Calibri" w:cs="Calibri" w:eastAsia="Calibri" w:hAnsi="Calibri"/>
                <w:sz w:val="20"/>
                <w:szCs w:val="20"/>
                <w:color w:val="auto"/>
              </w:rPr>
              <w:t>By:  /s/  James A. J. Nickolas</w:t>
            </w:r>
          </w:p>
        </w:tc>
      </w:tr>
      <w:tr>
        <w:trPr>
          <w:trHeight w:val="47"/>
        </w:trPr>
        <w:tc>
          <w:tcPr>
            <w:tcW w:w="7100" w:type="dxa"/>
            <w:vAlign w:val="bottom"/>
          </w:tcPr>
          <w:p>
            <w:pPr>
              <w:spacing w:after="0"/>
              <w:rPr>
                <w:sz w:val="4"/>
                <w:szCs w:val="4"/>
                <w:color w:val="auto"/>
              </w:rPr>
            </w:pPr>
          </w:p>
        </w:tc>
        <w:tc>
          <w:tcPr>
            <w:tcW w:w="4140" w:type="dxa"/>
            <w:vAlign w:val="bottom"/>
            <w:tcBorders>
              <w:bottom w:val="single" w:sz="8" w:color="auto"/>
            </w:tcBorders>
          </w:tcPr>
          <w:p>
            <w:pPr>
              <w:spacing w:after="0"/>
              <w:rPr>
                <w:sz w:val="4"/>
                <w:szCs w:val="4"/>
                <w:color w:val="auto"/>
              </w:rPr>
            </w:pPr>
          </w:p>
        </w:tc>
      </w:tr>
      <w:tr>
        <w:trPr>
          <w:trHeight w:val="228"/>
        </w:trPr>
        <w:tc>
          <w:tcPr>
            <w:tcW w:w="7100" w:type="dxa"/>
            <w:vAlign w:val="bottom"/>
          </w:tcPr>
          <w:p>
            <w:pPr>
              <w:spacing w:after="0"/>
              <w:rPr>
                <w:sz w:val="19"/>
                <w:szCs w:val="19"/>
                <w:color w:val="auto"/>
              </w:rPr>
            </w:pPr>
          </w:p>
        </w:tc>
        <w:tc>
          <w:tcPr>
            <w:tcW w:w="4140" w:type="dxa"/>
            <w:vAlign w:val="bottom"/>
          </w:tcPr>
          <w:p>
            <w:pPr>
              <w:jc w:val="right"/>
              <w:ind w:right="1601"/>
              <w:spacing w:after="0" w:line="228" w:lineRule="exact"/>
              <w:rPr>
                <w:sz w:val="20"/>
                <w:szCs w:val="20"/>
                <w:color w:val="auto"/>
              </w:rPr>
            </w:pPr>
            <w:r>
              <w:rPr>
                <w:rFonts w:ascii="Calibri" w:cs="Calibri" w:eastAsia="Calibri" w:hAnsi="Calibri"/>
                <w:sz w:val="20"/>
                <w:szCs w:val="20"/>
                <w:color w:val="auto"/>
              </w:rPr>
              <w:t>James A. J. Nickolas</w:t>
            </w:r>
          </w:p>
        </w:tc>
      </w:tr>
      <w:tr>
        <w:trPr>
          <w:trHeight w:val="259"/>
        </w:trPr>
        <w:tc>
          <w:tcPr>
            <w:tcW w:w="7100" w:type="dxa"/>
            <w:vAlign w:val="bottom"/>
          </w:tcPr>
          <w:p>
            <w:pPr>
              <w:spacing w:after="0"/>
              <w:rPr>
                <w:sz w:val="22"/>
                <w:szCs w:val="22"/>
                <w:color w:val="auto"/>
              </w:rPr>
            </w:pPr>
          </w:p>
        </w:tc>
        <w:tc>
          <w:tcPr>
            <w:tcW w:w="4140" w:type="dxa"/>
            <w:vAlign w:val="bottom"/>
          </w:tcPr>
          <w:p>
            <w:pPr>
              <w:jc w:val="right"/>
              <w:ind w:right="1121"/>
              <w:spacing w:after="0"/>
              <w:rPr>
                <w:sz w:val="20"/>
                <w:szCs w:val="20"/>
                <w:color w:val="auto"/>
              </w:rPr>
            </w:pPr>
            <w:r>
              <w:rPr>
                <w:rFonts w:ascii="Calibri" w:cs="Calibri" w:eastAsia="Calibri" w:hAnsi="Calibri"/>
                <w:sz w:val="20"/>
                <w:szCs w:val="20"/>
                <w:color w:val="auto"/>
              </w:rPr>
              <w:t>Senior Vice President and</w:t>
            </w:r>
          </w:p>
        </w:tc>
      </w:tr>
      <w:tr>
        <w:trPr>
          <w:trHeight w:val="270"/>
        </w:trPr>
        <w:tc>
          <w:tcPr>
            <w:tcW w:w="7100" w:type="dxa"/>
            <w:vAlign w:val="bottom"/>
          </w:tcPr>
          <w:p>
            <w:pPr>
              <w:spacing w:after="0"/>
              <w:rPr>
                <w:sz w:val="23"/>
                <w:szCs w:val="23"/>
                <w:color w:val="auto"/>
              </w:rPr>
            </w:pPr>
          </w:p>
        </w:tc>
        <w:tc>
          <w:tcPr>
            <w:tcW w:w="4140" w:type="dxa"/>
            <w:vAlign w:val="bottom"/>
          </w:tcPr>
          <w:p>
            <w:pPr>
              <w:jc w:val="right"/>
              <w:ind w:right="1281"/>
              <w:spacing w:after="0"/>
              <w:rPr>
                <w:sz w:val="20"/>
                <w:szCs w:val="20"/>
                <w:color w:val="auto"/>
              </w:rPr>
            </w:pPr>
            <w:r>
              <w:rPr>
                <w:rFonts w:ascii="Calibri" w:cs="Calibri" w:eastAsia="Calibri" w:hAnsi="Calibri"/>
                <w:sz w:val="20"/>
                <w:szCs w:val="20"/>
                <w:color w:val="auto"/>
              </w:rPr>
              <w:t>Chief Financial Ofcer</w:t>
            </w:r>
          </w:p>
        </w:tc>
      </w:tr>
      <w:tr>
        <w:trPr>
          <w:trHeight w:val="377"/>
        </w:trPr>
        <w:tc>
          <w:tcPr>
            <w:tcW w:w="710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8" w:right="339" w:bottom="1440" w:gutter="0" w:footer="0" w:header="0"/>
        </w:sectPr>
      </w:pPr>
    </w:p>
    <w:bookmarkStart w:id="137" w:name="page138"/>
    <w:bookmarkEnd w:id="137"/>
    <w:p>
      <w:pPr>
        <w:jc w:val="right"/>
        <w:spacing w:after="0"/>
        <w:rPr>
          <w:sz w:val="20"/>
          <w:szCs w:val="20"/>
          <w:color w:val="auto"/>
        </w:rPr>
      </w:pPr>
      <w:r>
        <w:rPr>
          <w:rFonts w:ascii="Calibri" w:cs="Calibri" w:eastAsia="Calibri" w:hAnsi="Calibri"/>
          <w:sz w:val="20"/>
          <w:szCs w:val="20"/>
          <w:b w:val="1"/>
          <w:bCs w:val="1"/>
          <w:color w:val="auto"/>
        </w:rPr>
        <w:t>EXHIBIT 32.01</w:t>
      </w: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WRITTEN STATEMENT PURSUANT TO 18 U.S.C. 1350,</w:t>
      </w:r>
    </w:p>
    <w:p>
      <w:pPr>
        <w:spacing w:after="0" w:line="188"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AS ADOPTED PURSUANT TO SECTION 906 OF THE</w:t>
      </w: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SARBANES-OXLEY ACT OF 2002</w:t>
      </w:r>
    </w:p>
    <w:p>
      <w:pPr>
        <w:spacing w:after="0" w:line="211" w:lineRule="exact"/>
        <w:rPr>
          <w:sz w:val="20"/>
          <w:szCs w:val="20"/>
          <w:color w:val="auto"/>
        </w:rPr>
      </w:pPr>
    </w:p>
    <w:p>
      <w:pPr>
        <w:ind w:right="20" w:firstLine="509"/>
        <w:spacing w:after="0" w:line="234" w:lineRule="auto"/>
        <w:rPr>
          <w:sz w:val="20"/>
          <w:szCs w:val="20"/>
          <w:color w:val="auto"/>
        </w:rPr>
      </w:pPr>
      <w:r>
        <w:rPr>
          <w:rFonts w:ascii="Calibri" w:cs="Calibri" w:eastAsia="Calibri" w:hAnsi="Calibri"/>
          <w:sz w:val="20"/>
          <w:szCs w:val="20"/>
          <w:color w:val="auto"/>
        </w:rPr>
        <w:t>In connecton with the 2022 Annual Report on Form 10-K (the Report) of Martn Marieta Materials, Inc. (the Registrant), as fled with the Securites and Exchange Commission, I, C. Howard Nye, the Chief Executve Ofcer of the Registrant, certfy that:</w:t>
      </w:r>
    </w:p>
    <w:p>
      <w:pPr>
        <w:spacing w:after="0" w:line="118" w:lineRule="exact"/>
        <w:rPr>
          <w:sz w:val="20"/>
          <w:szCs w:val="20"/>
          <w:color w:val="auto"/>
        </w:rPr>
      </w:pPr>
    </w:p>
    <w:p>
      <w:pPr>
        <w:ind w:left="1020" w:hanging="503"/>
        <w:spacing w:after="0" w:line="234" w:lineRule="auto"/>
        <w:tabs>
          <w:tab w:leader="none" w:pos="1020" w:val="left"/>
        </w:tabs>
        <w:numPr>
          <w:ilvl w:val="0"/>
          <w:numId w:val="45"/>
        </w:numPr>
        <w:rPr>
          <w:rFonts w:ascii="Calibri" w:cs="Calibri" w:eastAsia="Calibri" w:hAnsi="Calibri"/>
          <w:sz w:val="20"/>
          <w:szCs w:val="20"/>
          <w:color w:val="auto"/>
        </w:rPr>
      </w:pPr>
      <w:r>
        <w:rPr>
          <w:rFonts w:ascii="Calibri" w:cs="Calibri" w:eastAsia="Calibri" w:hAnsi="Calibri"/>
          <w:sz w:val="20"/>
          <w:szCs w:val="20"/>
          <w:color w:val="auto"/>
        </w:rPr>
        <w:t>the Report fully complies with the requirements of Secton 13(a) or 15(d) of the Securites Exchange Act of 1934, as amended; and</w:t>
      </w:r>
    </w:p>
    <w:p>
      <w:pPr>
        <w:spacing w:after="0" w:line="117" w:lineRule="exact"/>
        <w:rPr>
          <w:rFonts w:ascii="Calibri" w:cs="Calibri" w:eastAsia="Calibri" w:hAnsi="Calibri"/>
          <w:sz w:val="20"/>
          <w:szCs w:val="20"/>
          <w:color w:val="auto"/>
        </w:rPr>
      </w:pPr>
    </w:p>
    <w:p>
      <w:pPr>
        <w:ind w:left="1020" w:right="20" w:hanging="503"/>
        <w:spacing w:after="0" w:line="234" w:lineRule="auto"/>
        <w:tabs>
          <w:tab w:leader="none" w:pos="1020" w:val="left"/>
        </w:tabs>
        <w:numPr>
          <w:ilvl w:val="0"/>
          <w:numId w:val="45"/>
        </w:numPr>
        <w:rPr>
          <w:rFonts w:ascii="Calibri" w:cs="Calibri" w:eastAsia="Calibri" w:hAnsi="Calibri"/>
          <w:sz w:val="20"/>
          <w:szCs w:val="20"/>
          <w:color w:val="auto"/>
        </w:rPr>
      </w:pPr>
      <w:r>
        <w:rPr>
          <w:rFonts w:ascii="Calibri" w:cs="Calibri" w:eastAsia="Calibri" w:hAnsi="Calibri"/>
          <w:sz w:val="20"/>
          <w:szCs w:val="20"/>
          <w:color w:val="auto"/>
        </w:rPr>
        <w:t>the informaton contained in the Report fairly presents, in all material respects, the fnancial conditon and results of operatons of the Registrant.</w:t>
      </w:r>
    </w:p>
    <w:p>
      <w:pPr>
        <w:spacing w:after="0" w:line="257" w:lineRule="exact"/>
        <w:rPr>
          <w:sz w:val="20"/>
          <w:szCs w:val="20"/>
          <w:color w:val="auto"/>
        </w:rPr>
      </w:pPr>
    </w:p>
    <w:p>
      <w:pPr>
        <w:ind w:left="6780"/>
        <w:spacing w:after="0"/>
        <w:rPr>
          <w:sz w:val="20"/>
          <w:szCs w:val="20"/>
          <w:color w:val="auto"/>
        </w:rPr>
      </w:pPr>
      <w:r>
        <w:rPr>
          <w:rFonts w:ascii="Calibri" w:cs="Calibri" w:eastAsia="Calibri" w:hAnsi="Calibri"/>
          <w:sz w:val="20"/>
          <w:szCs w:val="20"/>
          <w:color w:val="auto"/>
        </w:rPr>
        <w:t>/s/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29845</wp:posOffset>
            </wp:positionV>
            <wp:extent cx="284607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7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9" w:lineRule="exact"/>
        <w:rPr>
          <w:sz w:val="20"/>
          <w:szCs w:val="20"/>
          <w:color w:val="auto"/>
        </w:rPr>
      </w:pPr>
    </w:p>
    <w:p>
      <w:pPr>
        <w:ind w:left="6780"/>
        <w:spacing w:after="0"/>
        <w:rPr>
          <w:sz w:val="20"/>
          <w:szCs w:val="20"/>
          <w:color w:val="auto"/>
        </w:rPr>
      </w:pPr>
      <w:r>
        <w:rPr>
          <w:rFonts w:ascii="Calibri" w:cs="Calibri" w:eastAsia="Calibri" w:hAnsi="Calibri"/>
          <w:sz w:val="20"/>
          <w:szCs w:val="20"/>
          <w:color w:val="auto"/>
        </w:rPr>
        <w:t>C. Howard Nye</w:t>
      </w:r>
    </w:p>
    <w:p>
      <w:pPr>
        <w:spacing w:after="0" w:line="26" w:lineRule="exact"/>
        <w:rPr>
          <w:sz w:val="20"/>
          <w:szCs w:val="20"/>
          <w:color w:val="auto"/>
        </w:rPr>
      </w:pPr>
    </w:p>
    <w:p>
      <w:pPr>
        <w:ind w:left="6780"/>
        <w:spacing w:after="0"/>
        <w:rPr>
          <w:sz w:val="20"/>
          <w:szCs w:val="20"/>
          <w:color w:val="auto"/>
        </w:rPr>
      </w:pPr>
      <w:r>
        <w:rPr>
          <w:rFonts w:ascii="Calibri" w:cs="Calibri" w:eastAsia="Calibri" w:hAnsi="Calibri"/>
          <w:sz w:val="20"/>
          <w:szCs w:val="20"/>
          <w:color w:val="auto"/>
        </w:rPr>
        <w:t>Chief Executve Ofcer</w:t>
      </w:r>
    </w:p>
    <w:p>
      <w:pPr>
        <w:spacing w:after="0" w:line="255" w:lineRule="exact"/>
        <w:rPr>
          <w:sz w:val="20"/>
          <w:szCs w:val="20"/>
          <w:color w:val="auto"/>
        </w:rPr>
      </w:pPr>
    </w:p>
    <w:p>
      <w:pPr>
        <w:spacing w:after="0"/>
        <w:rPr>
          <w:sz w:val="20"/>
          <w:szCs w:val="20"/>
          <w:color w:val="auto"/>
        </w:rPr>
      </w:pPr>
      <w:r>
        <w:rPr>
          <w:rFonts w:ascii="Calibri" w:cs="Calibri" w:eastAsia="Calibri" w:hAnsi="Calibri"/>
          <w:sz w:val="20"/>
          <w:szCs w:val="20"/>
          <w:color w:val="auto"/>
        </w:rPr>
        <w:t>Date:  February 24, 2023</w:t>
      </w:r>
    </w:p>
    <w:p>
      <w:pPr>
        <w:spacing w:after="0" w:line="198" w:lineRule="exact"/>
        <w:rPr>
          <w:sz w:val="20"/>
          <w:szCs w:val="20"/>
          <w:color w:val="auto"/>
        </w:rPr>
      </w:pPr>
    </w:p>
    <w:p>
      <w:pPr>
        <w:ind w:right="20" w:firstLine="509"/>
        <w:spacing w:after="0" w:line="234" w:lineRule="auto"/>
        <w:rPr>
          <w:sz w:val="20"/>
          <w:szCs w:val="20"/>
          <w:color w:val="auto"/>
        </w:rPr>
      </w:pPr>
      <w:r>
        <w:rPr>
          <w:rFonts w:ascii="Calibri" w:cs="Calibri" w:eastAsia="Calibri" w:hAnsi="Calibri"/>
          <w:sz w:val="20"/>
          <w:szCs w:val="20"/>
          <w:color w:val="auto"/>
        </w:rPr>
        <w:t>A signed original of this writen statement required by Secton 906 has been provided to Martn Marieta Materials, Inc. and will be retained by Martn Marieta Materials, Inc. and furnished to the Securites and Exchange Commission or its staf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38" w:name="page139"/>
    <w:bookmarkEnd w:id="138"/>
    <w:p>
      <w:pPr>
        <w:jc w:val="right"/>
        <w:spacing w:after="0"/>
        <w:rPr>
          <w:sz w:val="20"/>
          <w:szCs w:val="20"/>
          <w:color w:val="auto"/>
        </w:rPr>
      </w:pPr>
      <w:r>
        <w:rPr>
          <w:rFonts w:ascii="Calibri" w:cs="Calibri" w:eastAsia="Calibri" w:hAnsi="Calibri"/>
          <w:sz w:val="20"/>
          <w:szCs w:val="20"/>
          <w:b w:val="1"/>
          <w:bCs w:val="1"/>
          <w:color w:val="auto"/>
        </w:rPr>
        <w:t>EXHIBIT 32.02</w:t>
      </w: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WRITTEN STATEMENT PURSUANT TO 18 U.S.C. 1350,</w:t>
      </w:r>
    </w:p>
    <w:p>
      <w:pPr>
        <w:spacing w:after="0" w:line="188"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AS ADOPTED PURSUANT TO SECTION 906 OF THE</w:t>
      </w: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SARBANES-OXLEY ACT OF 2002</w:t>
      </w:r>
    </w:p>
    <w:p>
      <w:pPr>
        <w:spacing w:after="0" w:line="211" w:lineRule="exact"/>
        <w:rPr>
          <w:sz w:val="20"/>
          <w:szCs w:val="20"/>
          <w:color w:val="auto"/>
        </w:rPr>
      </w:pPr>
    </w:p>
    <w:p>
      <w:pPr>
        <w:ind w:right="20" w:firstLine="509"/>
        <w:spacing w:after="0" w:line="234" w:lineRule="auto"/>
        <w:rPr>
          <w:sz w:val="20"/>
          <w:szCs w:val="20"/>
          <w:color w:val="auto"/>
        </w:rPr>
      </w:pPr>
      <w:r>
        <w:rPr>
          <w:rFonts w:ascii="Calibri" w:cs="Calibri" w:eastAsia="Calibri" w:hAnsi="Calibri"/>
          <w:sz w:val="20"/>
          <w:szCs w:val="20"/>
          <w:color w:val="auto"/>
        </w:rPr>
        <w:t>In connecton with the 2022 Annual Report on Form 10-K (the Report) of Martn Marieta Materials, Inc. (the Registrant), as fled with the Securites and Exchange Commission, I, James A. J. Nickolas, the Chief Financial Ofcer of the Registrant, certfy that:</w:t>
      </w:r>
    </w:p>
    <w:p>
      <w:pPr>
        <w:spacing w:after="0" w:line="118" w:lineRule="exact"/>
        <w:rPr>
          <w:sz w:val="20"/>
          <w:szCs w:val="20"/>
          <w:color w:val="auto"/>
        </w:rPr>
      </w:pPr>
    </w:p>
    <w:p>
      <w:pPr>
        <w:ind w:left="1020" w:hanging="503"/>
        <w:spacing w:after="0" w:line="234" w:lineRule="auto"/>
        <w:tabs>
          <w:tab w:leader="none" w:pos="1020" w:val="left"/>
        </w:tabs>
        <w:numPr>
          <w:ilvl w:val="0"/>
          <w:numId w:val="46"/>
        </w:numPr>
        <w:rPr>
          <w:rFonts w:ascii="Calibri" w:cs="Calibri" w:eastAsia="Calibri" w:hAnsi="Calibri"/>
          <w:sz w:val="20"/>
          <w:szCs w:val="20"/>
          <w:color w:val="auto"/>
        </w:rPr>
      </w:pPr>
      <w:r>
        <w:rPr>
          <w:rFonts w:ascii="Calibri" w:cs="Calibri" w:eastAsia="Calibri" w:hAnsi="Calibri"/>
          <w:sz w:val="20"/>
          <w:szCs w:val="20"/>
          <w:color w:val="auto"/>
        </w:rPr>
        <w:t>the Report fully complies with the requirements of Secton 13(a) or 15(d) of the Securites Exchange Act of 1934, as amended; and</w:t>
      </w:r>
    </w:p>
    <w:p>
      <w:pPr>
        <w:spacing w:after="0" w:line="117" w:lineRule="exact"/>
        <w:rPr>
          <w:rFonts w:ascii="Calibri" w:cs="Calibri" w:eastAsia="Calibri" w:hAnsi="Calibri"/>
          <w:sz w:val="20"/>
          <w:szCs w:val="20"/>
          <w:color w:val="auto"/>
        </w:rPr>
      </w:pPr>
    </w:p>
    <w:p>
      <w:pPr>
        <w:ind w:left="1020" w:right="20" w:hanging="503"/>
        <w:spacing w:after="0" w:line="234" w:lineRule="auto"/>
        <w:tabs>
          <w:tab w:leader="none" w:pos="1020" w:val="left"/>
        </w:tabs>
        <w:numPr>
          <w:ilvl w:val="0"/>
          <w:numId w:val="46"/>
        </w:numPr>
        <w:rPr>
          <w:rFonts w:ascii="Calibri" w:cs="Calibri" w:eastAsia="Calibri" w:hAnsi="Calibri"/>
          <w:sz w:val="20"/>
          <w:szCs w:val="20"/>
          <w:color w:val="auto"/>
        </w:rPr>
      </w:pPr>
      <w:r>
        <w:rPr>
          <w:rFonts w:ascii="Calibri" w:cs="Calibri" w:eastAsia="Calibri" w:hAnsi="Calibri"/>
          <w:sz w:val="20"/>
          <w:szCs w:val="20"/>
          <w:color w:val="auto"/>
        </w:rPr>
        <w:t>the informaton contained in the Report fairly presents, in all material respects, the fnancial conditon and results of operatons of the Registrant.</w:t>
      </w:r>
    </w:p>
    <w:p>
      <w:pPr>
        <w:spacing w:after="0" w:line="257" w:lineRule="exact"/>
        <w:rPr>
          <w:sz w:val="20"/>
          <w:szCs w:val="20"/>
          <w:color w:val="auto"/>
        </w:rPr>
      </w:pPr>
    </w:p>
    <w:p>
      <w:pPr>
        <w:ind w:left="6780"/>
        <w:spacing w:after="0"/>
        <w:rPr>
          <w:sz w:val="20"/>
          <w:szCs w:val="20"/>
          <w:color w:val="auto"/>
        </w:rPr>
      </w:pPr>
      <w:r>
        <w:rPr>
          <w:rFonts w:ascii="Calibri" w:cs="Calibri" w:eastAsia="Calibri" w:hAnsi="Calibri"/>
          <w:sz w:val="20"/>
          <w:szCs w:val="20"/>
          <w:color w:val="auto"/>
        </w:rPr>
        <w:t>/s/ James A. J. Nickolas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29845</wp:posOffset>
            </wp:positionV>
            <wp:extent cx="284607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7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9" w:lineRule="exact"/>
        <w:rPr>
          <w:sz w:val="20"/>
          <w:szCs w:val="20"/>
          <w:color w:val="auto"/>
        </w:rPr>
      </w:pPr>
    </w:p>
    <w:p>
      <w:pPr>
        <w:ind w:left="6780"/>
        <w:spacing w:after="0"/>
        <w:rPr>
          <w:sz w:val="20"/>
          <w:szCs w:val="20"/>
          <w:color w:val="auto"/>
        </w:rPr>
      </w:pPr>
      <w:r>
        <w:rPr>
          <w:rFonts w:ascii="Calibri" w:cs="Calibri" w:eastAsia="Calibri" w:hAnsi="Calibri"/>
          <w:sz w:val="20"/>
          <w:szCs w:val="20"/>
          <w:color w:val="auto"/>
        </w:rPr>
        <w:t>James A. J. Nickolas</w:t>
      </w:r>
    </w:p>
    <w:p>
      <w:pPr>
        <w:spacing w:after="0" w:line="26" w:lineRule="exact"/>
        <w:rPr>
          <w:sz w:val="20"/>
          <w:szCs w:val="20"/>
          <w:color w:val="auto"/>
        </w:rPr>
      </w:pPr>
    </w:p>
    <w:p>
      <w:pPr>
        <w:ind w:left="6780"/>
        <w:spacing w:after="0"/>
        <w:rPr>
          <w:sz w:val="20"/>
          <w:szCs w:val="20"/>
          <w:color w:val="auto"/>
        </w:rPr>
      </w:pPr>
      <w:r>
        <w:rPr>
          <w:rFonts w:ascii="Calibri" w:cs="Calibri" w:eastAsia="Calibri" w:hAnsi="Calibri"/>
          <w:sz w:val="20"/>
          <w:szCs w:val="20"/>
          <w:color w:val="auto"/>
        </w:rPr>
        <w:t>Chief Financial Ofcer</w:t>
      </w:r>
    </w:p>
    <w:p>
      <w:pPr>
        <w:spacing w:after="0" w:line="255" w:lineRule="exact"/>
        <w:rPr>
          <w:sz w:val="20"/>
          <w:szCs w:val="20"/>
          <w:color w:val="auto"/>
        </w:rPr>
      </w:pPr>
    </w:p>
    <w:p>
      <w:pPr>
        <w:spacing w:after="0"/>
        <w:rPr>
          <w:sz w:val="20"/>
          <w:szCs w:val="20"/>
          <w:color w:val="auto"/>
        </w:rPr>
      </w:pPr>
      <w:r>
        <w:rPr>
          <w:rFonts w:ascii="Calibri" w:cs="Calibri" w:eastAsia="Calibri" w:hAnsi="Calibri"/>
          <w:sz w:val="20"/>
          <w:szCs w:val="20"/>
          <w:color w:val="auto"/>
        </w:rPr>
        <w:t>Date: February 24, 2023</w:t>
      </w:r>
    </w:p>
    <w:p>
      <w:pPr>
        <w:spacing w:after="0" w:line="198" w:lineRule="exact"/>
        <w:rPr>
          <w:sz w:val="20"/>
          <w:szCs w:val="20"/>
          <w:color w:val="auto"/>
        </w:rPr>
      </w:pPr>
    </w:p>
    <w:p>
      <w:pPr>
        <w:ind w:right="20" w:firstLine="509"/>
        <w:spacing w:after="0" w:line="234" w:lineRule="auto"/>
        <w:rPr>
          <w:sz w:val="20"/>
          <w:szCs w:val="20"/>
          <w:color w:val="auto"/>
        </w:rPr>
      </w:pPr>
      <w:r>
        <w:rPr>
          <w:rFonts w:ascii="Calibri" w:cs="Calibri" w:eastAsia="Calibri" w:hAnsi="Calibri"/>
          <w:sz w:val="20"/>
          <w:szCs w:val="20"/>
          <w:color w:val="auto"/>
        </w:rPr>
        <w:t>A signed original of this writen statement required by Secton 906 has been provided to Martn Marieta Materials, Inc. and will be retained by Martn Marieta Materials, Inc. and furnished to the Securites and Exchange Commission or its staf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39" w:name="page140"/>
    <w:bookmarkEnd w:id="139"/>
    <w:p>
      <w:pPr>
        <w:ind w:left="7500"/>
        <w:spacing w:after="0"/>
        <w:rPr>
          <w:sz w:val="20"/>
          <w:szCs w:val="20"/>
          <w:color w:val="auto"/>
        </w:rPr>
      </w:pPr>
      <w:r>
        <w:rPr>
          <w:rFonts w:ascii="Calibri" w:cs="Calibri" w:eastAsia="Calibri" w:hAnsi="Calibri"/>
          <w:sz w:val="18"/>
          <w:szCs w:val="18"/>
          <w:b w:val="1"/>
          <w:bCs w:val="1"/>
          <w:color w:val="auto"/>
        </w:rPr>
        <w:t>EXHIBIT 95</w:t>
      </w:r>
    </w:p>
    <w:p>
      <w:pPr>
        <w:spacing w:after="0" w:line="17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MINE SAFETY DISCLOSURE EXHIBIT</w:t>
      </w:r>
    </w:p>
    <w:p>
      <w:pPr>
        <w:spacing w:after="0" w:line="325"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The operaton of the Company’s U.S. aggregate quarries and mines (including the mining operatons of the cement product line) is subject to regulaton by the federal Mine Safety and Health Administraton (MSHA) under the Federal Mine Safety and Health Act of 1977 (the Mine Act). MSHA inspects the Company’s quarries and mines (and cement plants) on a regular basis and issues various citatons and orders when it believes a violaton has occurred under the Mine Act. Whenever MSHA issues a citaton or order, it also generally proposes a civil penalty, or fne, related to the alleged violaton. Citatons or orders can be contested and appealed, and as part of that process, are ofen reduced in severity and amount, and are sometmes dismissed.</w:t>
      </w:r>
    </w:p>
    <w:p>
      <w:pPr>
        <w:spacing w:after="0" w:line="220"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Under the Dodd-Frank Wall Street Reform and Consumer Protecton Act (the Dodd-Frank Act), the Company is required to present informaton regarding certain mining safety and health citatons which MSHA has issued with respect to its aggregates mining operatons in its periodic reports fled with the Securites and Exchange Commission (the SEC). In evaluatng this informaton, consideraton should be given to factors such as: (i) the number of citatons and orders will vary depending on the size of the quarry or mine and type of operatons (underground or surface), (ii) the number of citatons issued will vary from inspector to inspector and locaton to locaton, and (iii) citatons and orders can be contested and appealed, and in that process, may be reduced in severity and amount, and are sometmes dismissed.</w:t>
      </w:r>
    </w:p>
    <w:p>
      <w:pPr>
        <w:spacing w:after="0" w:line="221"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We have provided informaton below in response to the rules and regulatons of the SEC issued under Secton 1503(a) of the Dodd-Frank Act. The disclosures refect U.S. mining operatons only, as the requirements of the Dodd-Frank Act and the SEC rules and regulatons thereunder do not apply to our quarries and mines operated outside the United States.</w:t>
      </w:r>
    </w:p>
    <w:p>
      <w:pPr>
        <w:spacing w:after="0" w:line="214"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Company presents the following items regarding certain mining safety and health maters for the year ended December 31, 2022 (Appendix 1):</w:t>
      </w:r>
    </w:p>
    <w:p>
      <w:pPr>
        <w:spacing w:after="0" w:line="123" w:lineRule="exact"/>
        <w:rPr>
          <w:sz w:val="20"/>
          <w:szCs w:val="20"/>
          <w:color w:val="auto"/>
        </w:rPr>
      </w:pPr>
    </w:p>
    <w:p>
      <w:pPr>
        <w:jc w:val="both"/>
        <w:ind w:left="1020" w:hanging="503"/>
        <w:spacing w:after="0" w:line="235" w:lineRule="auto"/>
        <w:tabs>
          <w:tab w:leader="none" w:pos="1020" w:val="left"/>
        </w:tabs>
        <w:numPr>
          <w:ilvl w:val="0"/>
          <w:numId w:val="47"/>
        </w:numPr>
        <w:rPr>
          <w:rFonts w:ascii="Times New Roman" w:cs="Times New Roman" w:eastAsia="Times New Roman" w:hAnsi="Times New Roman"/>
          <w:sz w:val="18"/>
          <w:szCs w:val="18"/>
          <w:b w:val="1"/>
          <w:bCs w:val="1"/>
          <w:color w:val="auto"/>
        </w:rPr>
      </w:pPr>
      <w:r>
        <w:rPr>
          <w:rFonts w:ascii="Calibri" w:cs="Calibri" w:eastAsia="Calibri" w:hAnsi="Calibri"/>
          <w:sz w:val="18"/>
          <w:szCs w:val="18"/>
          <w:color w:val="auto"/>
        </w:rPr>
        <w:t>Total number of violatons of mandatory health or safety standards that could signifcantly and substantally contribute to the cause and efect of a mine safety or health hazard under secton 104 of the Mine Act for which the Company received a citaton from MSHA (hereinafer, “Secton 104 S&amp;S Citatons”). If MSHA determines that a violaton of a mandatory health or safety standard is reasonably likely to result in a reasonably serious injury or illness under the unique circumstance contributed to by the violaton, MSHA will classify the violaton as a “signifcant and substantal” violaton (commonly referred to as a “S&amp;S” violaton). MSHA inspectors will classify each citaton or order writen as a S&amp;S violaton or not.</w:t>
      </w:r>
    </w:p>
    <w:p>
      <w:pPr>
        <w:spacing w:after="0" w:line="126" w:lineRule="exact"/>
        <w:rPr>
          <w:rFonts w:ascii="Times New Roman" w:cs="Times New Roman" w:eastAsia="Times New Roman" w:hAnsi="Times New Roman"/>
          <w:sz w:val="18"/>
          <w:szCs w:val="18"/>
          <w:b w:val="1"/>
          <w:bCs w:val="1"/>
          <w:color w:val="auto"/>
        </w:rPr>
      </w:pPr>
    </w:p>
    <w:p>
      <w:pPr>
        <w:jc w:val="both"/>
        <w:ind w:left="1020" w:hanging="503"/>
        <w:spacing w:after="0" w:line="235" w:lineRule="auto"/>
        <w:tabs>
          <w:tab w:leader="none" w:pos="1020" w:val="left"/>
        </w:tabs>
        <w:numPr>
          <w:ilvl w:val="0"/>
          <w:numId w:val="47"/>
        </w:numPr>
        <w:rPr>
          <w:rFonts w:ascii="Times New Roman" w:cs="Times New Roman" w:eastAsia="Times New Roman" w:hAnsi="Times New Roman"/>
          <w:sz w:val="18"/>
          <w:szCs w:val="18"/>
          <w:b w:val="1"/>
          <w:bCs w:val="1"/>
          <w:color w:val="auto"/>
        </w:rPr>
      </w:pPr>
      <w:r>
        <w:rPr>
          <w:rFonts w:ascii="Calibri" w:cs="Calibri" w:eastAsia="Calibri" w:hAnsi="Calibri"/>
          <w:sz w:val="18"/>
          <w:szCs w:val="18"/>
          <w:color w:val="auto"/>
        </w:rPr>
        <w:t>Total number of orders issued under secton 104(b) of the Mine Act (hereinafer, “Secton 104(b) Orders”). These orders are issued for situatons in which MSHA determines a previous violaton covered by a Secton 104(a) citaton has not been totally abated within the prescribed tme period, so a further order is needed to require the mine operator to immediately withdraw all persons (except certain authorized persons) from the afected area of a quarry or mine.</w:t>
      </w:r>
    </w:p>
    <w:p>
      <w:pPr>
        <w:spacing w:after="0" w:line="124" w:lineRule="exact"/>
        <w:rPr>
          <w:rFonts w:ascii="Times New Roman" w:cs="Times New Roman" w:eastAsia="Times New Roman" w:hAnsi="Times New Roman"/>
          <w:sz w:val="18"/>
          <w:szCs w:val="18"/>
          <w:b w:val="1"/>
          <w:bCs w:val="1"/>
          <w:color w:val="auto"/>
        </w:rPr>
      </w:pPr>
    </w:p>
    <w:p>
      <w:pPr>
        <w:jc w:val="both"/>
        <w:ind w:left="1020" w:hanging="503"/>
        <w:spacing w:after="0" w:line="235" w:lineRule="auto"/>
        <w:tabs>
          <w:tab w:leader="none" w:pos="1020" w:val="left"/>
        </w:tabs>
        <w:numPr>
          <w:ilvl w:val="0"/>
          <w:numId w:val="47"/>
        </w:numPr>
        <w:rPr>
          <w:rFonts w:ascii="Times New Roman" w:cs="Times New Roman" w:eastAsia="Times New Roman" w:hAnsi="Times New Roman"/>
          <w:sz w:val="18"/>
          <w:szCs w:val="18"/>
          <w:b w:val="1"/>
          <w:bCs w:val="1"/>
          <w:color w:val="auto"/>
        </w:rPr>
      </w:pPr>
      <w:r>
        <w:rPr>
          <w:rFonts w:ascii="Calibri" w:cs="Calibri" w:eastAsia="Calibri" w:hAnsi="Calibri"/>
          <w:sz w:val="18"/>
          <w:szCs w:val="18"/>
          <w:color w:val="auto"/>
        </w:rPr>
        <w:t>Total number of citatons and orders for unwarrantable failure of the mine operator to comply with mandatory health or safety standards under Secton 104(d) of the Mine Act (hereinafer, “Secton 104(d) Citatons and Orders”). These violatons are similar to those described above, but the standard is that the violaton could signifcantly and substantally contribute to the cause and efect of a safety or health hazard, but the conditons do not cause imminent danger, and the MSHA inspector fnds that the violaton is caused by an unwarranted failure of the operator to comply with the health and safety standards.</w:t>
      </w:r>
    </w:p>
    <w:p>
      <w:pPr>
        <w:spacing w:after="0" w:line="125" w:lineRule="exact"/>
        <w:rPr>
          <w:rFonts w:ascii="Times New Roman" w:cs="Times New Roman" w:eastAsia="Times New Roman" w:hAnsi="Times New Roman"/>
          <w:sz w:val="18"/>
          <w:szCs w:val="18"/>
          <w:b w:val="1"/>
          <w:bCs w:val="1"/>
          <w:color w:val="auto"/>
        </w:rPr>
      </w:pPr>
    </w:p>
    <w:p>
      <w:pPr>
        <w:jc w:val="both"/>
        <w:ind w:left="1020" w:hanging="503"/>
        <w:spacing w:after="0" w:line="235" w:lineRule="auto"/>
        <w:tabs>
          <w:tab w:leader="none" w:pos="1020" w:val="left"/>
        </w:tabs>
        <w:numPr>
          <w:ilvl w:val="0"/>
          <w:numId w:val="47"/>
        </w:numPr>
        <w:rPr>
          <w:rFonts w:ascii="Times New Roman" w:cs="Times New Roman" w:eastAsia="Times New Roman" w:hAnsi="Times New Roman"/>
          <w:sz w:val="18"/>
          <w:szCs w:val="18"/>
          <w:b w:val="1"/>
          <w:bCs w:val="1"/>
          <w:color w:val="auto"/>
        </w:rPr>
      </w:pPr>
      <w:r>
        <w:rPr>
          <w:rFonts w:ascii="Calibri" w:cs="Calibri" w:eastAsia="Calibri" w:hAnsi="Calibri"/>
          <w:sz w:val="18"/>
          <w:szCs w:val="18"/>
          <w:color w:val="auto"/>
        </w:rPr>
        <w:t>Total number of fagrant violatons under secton 110(b)(2) of the Mine Act (hereinafer, “Secton 110(b)(2) Violatons”). These violatons are penalty violatons issued if MSHA determines that violatons are “fagrant”, for which civil penaltes may be assessed. A “fagrant” violaton means a reckless or repeated failure to make reasonable eforts to eliminate a known violaton of a mandatory health or safety standard that substantally and proximately caused, or reasonably could have been expected to cause, death or serious bodily injury.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0" w:name="page141"/>
    <w:bookmarkEnd w:id="140"/>
    <w:p>
      <w:pPr>
        <w:jc w:val="both"/>
        <w:ind w:left="1020" w:hanging="503"/>
        <w:spacing w:after="0" w:line="235" w:lineRule="auto"/>
        <w:tabs>
          <w:tab w:leader="none" w:pos="1020" w:val="left"/>
        </w:tabs>
        <w:numPr>
          <w:ilvl w:val="0"/>
          <w:numId w:val="48"/>
        </w:numPr>
        <w:rPr>
          <w:rFonts w:ascii="Times New Roman" w:cs="Times New Roman" w:eastAsia="Times New Roman" w:hAnsi="Times New Roman"/>
          <w:sz w:val="18"/>
          <w:szCs w:val="18"/>
          <w:b w:val="1"/>
          <w:bCs w:val="1"/>
          <w:color w:val="auto"/>
        </w:rPr>
      </w:pPr>
      <w:r>
        <w:rPr>
          <w:rFonts w:ascii="Calibri" w:cs="Calibri" w:eastAsia="Calibri" w:hAnsi="Calibri"/>
          <w:sz w:val="18"/>
          <w:szCs w:val="18"/>
          <w:color w:val="auto"/>
        </w:rPr>
        <w:t>Total number of imminent danger orders issued under secton 107(a) of the Mine Act (hereinafer, “Secton 107(a) Orders”). These orders are issued for situatons in which MSHA determines an imminent danger exists in the quarry or mine and results in orders of immediate withdrawal of all persons (except certain authorized persons) from the area of the quarry or mine afected by its conditon untl the imminent danger and the underlying conditons causing the imminent danger no longer exist.</w:t>
      </w:r>
    </w:p>
    <w:p>
      <w:pPr>
        <w:spacing w:after="0" w:line="124" w:lineRule="exact"/>
        <w:rPr>
          <w:rFonts w:ascii="Times New Roman" w:cs="Times New Roman" w:eastAsia="Times New Roman" w:hAnsi="Times New Roman"/>
          <w:sz w:val="18"/>
          <w:szCs w:val="18"/>
          <w:b w:val="1"/>
          <w:bCs w:val="1"/>
          <w:color w:val="auto"/>
        </w:rPr>
      </w:pPr>
    </w:p>
    <w:p>
      <w:pPr>
        <w:jc w:val="both"/>
        <w:ind w:left="1020" w:hanging="503"/>
        <w:spacing w:after="0" w:line="235" w:lineRule="auto"/>
        <w:tabs>
          <w:tab w:leader="none" w:pos="1020" w:val="left"/>
        </w:tabs>
        <w:numPr>
          <w:ilvl w:val="0"/>
          <w:numId w:val="48"/>
        </w:numPr>
        <w:rPr>
          <w:rFonts w:ascii="Times New Roman" w:cs="Times New Roman" w:eastAsia="Times New Roman" w:hAnsi="Times New Roman"/>
          <w:sz w:val="18"/>
          <w:szCs w:val="18"/>
          <w:b w:val="1"/>
          <w:bCs w:val="1"/>
          <w:color w:val="auto"/>
        </w:rPr>
      </w:pPr>
      <w:r>
        <w:rPr>
          <w:rFonts w:ascii="Calibri" w:cs="Calibri" w:eastAsia="Calibri" w:hAnsi="Calibri"/>
          <w:sz w:val="18"/>
          <w:szCs w:val="18"/>
          <w:color w:val="auto"/>
        </w:rPr>
        <w:t>Total Dollar Value of MSHA Assessments Proposed. These are the amounts of proposed assessments issued by MSHA with each citaton or order for the tme period covered by the report. Penaltes are assessed by MSHA according to a formula that considers a number of factors, including the mine operator’s history, size, negligence, gravity of the violaton, good faith in trying to correct the violaton promptly, and the efect of the penalty on the operator’s ability to contnue in business.</w:t>
      </w:r>
    </w:p>
    <w:p>
      <w:pPr>
        <w:spacing w:after="0" w:line="124" w:lineRule="exact"/>
        <w:rPr>
          <w:rFonts w:ascii="Times New Roman" w:cs="Times New Roman" w:eastAsia="Times New Roman" w:hAnsi="Times New Roman"/>
          <w:sz w:val="18"/>
          <w:szCs w:val="18"/>
          <w:b w:val="1"/>
          <w:bCs w:val="1"/>
          <w:color w:val="auto"/>
        </w:rPr>
      </w:pPr>
    </w:p>
    <w:p>
      <w:pPr>
        <w:jc w:val="both"/>
        <w:ind w:left="1020" w:hanging="503"/>
        <w:spacing w:after="0" w:line="235" w:lineRule="auto"/>
        <w:tabs>
          <w:tab w:leader="none" w:pos="1020" w:val="left"/>
        </w:tabs>
        <w:numPr>
          <w:ilvl w:val="0"/>
          <w:numId w:val="48"/>
        </w:numPr>
        <w:rPr>
          <w:rFonts w:ascii="Times New Roman" w:cs="Times New Roman" w:eastAsia="Times New Roman" w:hAnsi="Times New Roman"/>
          <w:sz w:val="18"/>
          <w:szCs w:val="18"/>
          <w:b w:val="1"/>
          <w:bCs w:val="1"/>
          <w:color w:val="auto"/>
        </w:rPr>
      </w:pPr>
      <w:r>
        <w:rPr>
          <w:rFonts w:ascii="Calibri" w:cs="Calibri" w:eastAsia="Calibri" w:hAnsi="Calibri"/>
          <w:sz w:val="18"/>
          <w:szCs w:val="18"/>
          <w:color w:val="auto"/>
        </w:rPr>
        <w:t>Total Number of Mining-Related Fatalites. Mines subject to the Mine Act are required to report all fatalites occurring at their facilites unless the fatality is determined to be “non-chargeable” to the mining industry. The fnal rules of the SEC require disclosure of mining-related fatalites at mines subject to the Mine Act. Only fatalites determined by MSHA not to be mining-related may be excluded.</w:t>
      </w:r>
    </w:p>
    <w:p>
      <w:pPr>
        <w:spacing w:after="0" w:line="124" w:lineRule="exact"/>
        <w:rPr>
          <w:rFonts w:ascii="Times New Roman" w:cs="Times New Roman" w:eastAsia="Times New Roman" w:hAnsi="Times New Roman"/>
          <w:sz w:val="18"/>
          <w:szCs w:val="18"/>
          <w:b w:val="1"/>
          <w:bCs w:val="1"/>
          <w:color w:val="auto"/>
        </w:rPr>
      </w:pPr>
    </w:p>
    <w:p>
      <w:pPr>
        <w:jc w:val="both"/>
        <w:ind w:left="1020" w:hanging="503"/>
        <w:spacing w:after="0" w:line="235" w:lineRule="auto"/>
        <w:tabs>
          <w:tab w:leader="none" w:pos="1020" w:val="left"/>
        </w:tabs>
        <w:numPr>
          <w:ilvl w:val="0"/>
          <w:numId w:val="48"/>
        </w:numPr>
        <w:rPr>
          <w:rFonts w:ascii="Times New Roman" w:cs="Times New Roman" w:eastAsia="Times New Roman" w:hAnsi="Times New Roman"/>
          <w:sz w:val="18"/>
          <w:szCs w:val="18"/>
          <w:b w:val="1"/>
          <w:bCs w:val="1"/>
          <w:color w:val="auto"/>
        </w:rPr>
      </w:pPr>
      <w:r>
        <w:rPr>
          <w:rFonts w:ascii="Calibri" w:cs="Calibri" w:eastAsia="Calibri" w:hAnsi="Calibri"/>
          <w:sz w:val="18"/>
          <w:szCs w:val="18"/>
          <w:color w:val="auto"/>
        </w:rPr>
        <w:t>Receipt of writen notce from MSHA of a patern (or a potental to have such a patern) of violatons of mandatory health or safety standards that are of such nature as could have signifcantly and substantally contributed to the cause and efect of other mine health or safety hazards under secton 104(e) of the Mine Act. If MHSA determines that a mine has a “patern” of these types of violatons, or the potental to have such a patern, MSHA is required to notfy the mine operator of the existence of such a thing.</w:t>
      </w:r>
    </w:p>
    <w:p>
      <w:pPr>
        <w:spacing w:after="0" w:line="120"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b w:val="1"/>
          <w:bCs w:val="1"/>
          <w:color w:val="auto"/>
        </w:rPr>
      </w:pPr>
      <w:r>
        <w:rPr>
          <w:rFonts w:ascii="Calibri" w:cs="Calibri" w:eastAsia="Calibri" w:hAnsi="Calibri"/>
          <w:sz w:val="18"/>
          <w:szCs w:val="18"/>
          <w:color w:val="auto"/>
        </w:rPr>
        <w:t>Legal Actons Pending as of the Last Day of Period.</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b w:val="1"/>
          <w:bCs w:val="1"/>
          <w:color w:val="auto"/>
        </w:rPr>
      </w:pPr>
      <w:r>
        <w:rPr>
          <w:rFonts w:ascii="Calibri" w:cs="Calibri" w:eastAsia="Calibri" w:hAnsi="Calibri"/>
          <w:sz w:val="18"/>
          <w:szCs w:val="18"/>
          <w:color w:val="auto"/>
        </w:rPr>
        <w:t>Legal Actons Initated During Period.</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b w:val="1"/>
          <w:bCs w:val="1"/>
          <w:color w:val="auto"/>
        </w:rPr>
      </w:pPr>
      <w:r>
        <w:rPr>
          <w:rFonts w:ascii="Calibri" w:cs="Calibri" w:eastAsia="Calibri" w:hAnsi="Calibri"/>
          <w:sz w:val="18"/>
          <w:szCs w:val="18"/>
          <w:color w:val="auto"/>
        </w:rPr>
        <w:t>Legal Actons Resolved During Period.</w:t>
      </w:r>
    </w:p>
    <w:p>
      <w:pPr>
        <w:spacing w:after="0" w:line="217" w:lineRule="exact"/>
        <w:rPr>
          <w:sz w:val="20"/>
          <w:szCs w:val="20"/>
          <w:color w:val="auto"/>
        </w:rPr>
      </w:pPr>
    </w:p>
    <w:p>
      <w:pPr>
        <w:jc w:val="both"/>
        <w:ind w:firstLine="509"/>
        <w:spacing w:after="0" w:line="251" w:lineRule="auto"/>
        <w:rPr>
          <w:sz w:val="20"/>
          <w:szCs w:val="20"/>
          <w:color w:val="auto"/>
        </w:rPr>
      </w:pPr>
      <w:r>
        <w:rPr>
          <w:rFonts w:ascii="Calibri" w:cs="Calibri" w:eastAsia="Calibri" w:hAnsi="Calibri"/>
          <w:sz w:val="17"/>
          <w:szCs w:val="17"/>
          <w:color w:val="auto"/>
        </w:rPr>
        <w:t>The Federal Mine Safety and Health Review Commission (the Commission) is an independent adjudicatve agency that provides administratve trial and appellate review of legal disputes arising under the Mine Act. The cases may involve, among other questons, challenges by operators to citatons, orders and penaltes they have received from MSHA, or complaints of discriminaton by miners under Secton 105 of the Mine Act. Appendix 1 shows, for each of the Company’s quarries and mines identfed, as of December 31, 2022, the number of legal actons pending before the Commission, along with the number of legal actons initated before the Commission during the year as well as resolved during the year. In additon, Appendix 1 includes a footnote to the column for legal actons before the Commission pending as of the last day of the period, which footnote breaks down that total number of legal actons pending by categories according to the type of proceeding in accordance with various categories established by the Procedural Rules of the Commission.</w:t>
      </w:r>
    </w:p>
    <w:p>
      <w:pPr>
        <w:spacing w:after="0" w:line="312" w:lineRule="exact"/>
        <w:rPr>
          <w:sz w:val="20"/>
          <w:szCs w:val="20"/>
          <w:color w:val="auto"/>
        </w:rPr>
      </w:pPr>
    </w:p>
    <w:p>
      <w:pPr>
        <w:spacing w:after="0"/>
        <w:rPr>
          <w:sz w:val="20"/>
          <w:szCs w:val="20"/>
          <w:color w:val="auto"/>
        </w:rPr>
      </w:pPr>
      <w:r>
        <w:rPr>
          <w:rFonts w:ascii="Calibri" w:cs="Calibri" w:eastAsia="Calibri" w:hAnsi="Calibri"/>
          <w:sz w:val="18"/>
          <w:szCs w:val="18"/>
          <w:color w:val="auto"/>
        </w:rPr>
        <w:t>Appendix 1 atached.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551180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41" w:name="page142"/>
    <w:bookmarkEnd w:id="141"/>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ind w:left="40"/>
              <w:spacing w:after="0"/>
              <w:rPr>
                <w:sz w:val="20"/>
                <w:szCs w:val="20"/>
                <w:color w:val="auto"/>
              </w:rPr>
            </w:pPr>
            <w:r>
              <w:rPr>
                <w:rFonts w:ascii="Calibri" w:cs="Calibri" w:eastAsia="Calibri" w:hAnsi="Calibri"/>
                <w:sz w:val="18"/>
                <w:szCs w:val="18"/>
                <w:color w:val="auto"/>
                <w:w w:val="94"/>
              </w:rPr>
              <w:t>Appendix 1</w:t>
            </w:r>
          </w:p>
        </w:tc>
      </w:tr>
      <w:tr>
        <w:trPr>
          <w:trHeight w:val="204"/>
        </w:trPr>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60" w:type="dxa"/>
            <w:vAlign w:val="bottom"/>
          </w:tcPr>
          <w:p>
            <w:pPr>
              <w:ind w:left="80"/>
              <w:spacing w:after="0"/>
              <w:rPr>
                <w:sz w:val="20"/>
                <w:szCs w:val="20"/>
                <w:color w:val="auto"/>
              </w:rPr>
            </w:pPr>
            <w:r>
              <w:rPr>
                <w:rFonts w:ascii="Arial" w:cs="Arial" w:eastAsia="Arial" w:hAnsi="Arial"/>
                <w:sz w:val="17"/>
                <w:szCs w:val="17"/>
                <w:b w:val="1"/>
                <w:bCs w:val="1"/>
                <w:color w:val="auto"/>
              </w:rPr>
              <w:t>Receive</w:t>
            </w: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89"/>
        </w:trPr>
        <w:tc>
          <w:tcPr>
            <w:tcW w:w="1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80" w:type="dxa"/>
            <w:vAlign w:val="bottom"/>
            <w:gridSpan w:val="2"/>
          </w:tcPr>
          <w:p>
            <w:pPr>
              <w:ind w:left="60"/>
              <w:spacing w:after="0" w:line="189" w:lineRule="exact"/>
              <w:rPr>
                <w:sz w:val="20"/>
                <w:szCs w:val="20"/>
                <w:color w:val="auto"/>
              </w:rPr>
            </w:pPr>
            <w:r>
              <w:rPr>
                <w:rFonts w:ascii="Arial" w:cs="Arial" w:eastAsia="Arial" w:hAnsi="Arial"/>
                <w:sz w:val="17"/>
                <w:szCs w:val="17"/>
                <w:b w:val="1"/>
                <w:bCs w:val="1"/>
                <w:color w:val="auto"/>
              </w:rPr>
              <w:t>d Notice Received</w:t>
            </w:r>
          </w:p>
        </w:tc>
        <w:tc>
          <w:tcPr>
            <w:tcW w:w="6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Legal</w:t>
            </w: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9"/>
        </w:trPr>
        <w:tc>
          <w:tcPr>
            <w:tcW w:w="1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center"/>
              <w:ind w:right="135"/>
              <w:spacing w:after="0" w:line="189" w:lineRule="exact"/>
              <w:rPr>
                <w:sz w:val="20"/>
                <w:szCs w:val="20"/>
                <w:color w:val="auto"/>
              </w:rPr>
            </w:pPr>
            <w:r>
              <w:rPr>
                <w:rFonts w:ascii="Arial" w:cs="Arial" w:eastAsia="Arial" w:hAnsi="Arial"/>
                <w:sz w:val="17"/>
                <w:szCs w:val="17"/>
                <w:b w:val="1"/>
                <w:bCs w:val="1"/>
                <w:color w:val="auto"/>
                <w:w w:val="98"/>
              </w:rPr>
              <w:t>Total</w:t>
            </w:r>
          </w:p>
        </w:tc>
        <w:tc>
          <w:tcPr>
            <w:tcW w:w="1000" w:type="dxa"/>
            <w:vAlign w:val="bottom"/>
          </w:tcPr>
          <w:p>
            <w:pPr>
              <w:spacing w:after="0"/>
              <w:rPr>
                <w:sz w:val="16"/>
                <w:szCs w:val="16"/>
                <w:color w:val="auto"/>
              </w:rPr>
            </w:pPr>
          </w:p>
        </w:tc>
        <w:tc>
          <w:tcPr>
            <w:tcW w:w="760" w:type="dxa"/>
            <w:vAlign w:val="bottom"/>
          </w:tcPr>
          <w:p>
            <w:pPr>
              <w:ind w:left="300"/>
              <w:spacing w:after="0" w:line="189" w:lineRule="exact"/>
              <w:rPr>
                <w:sz w:val="20"/>
                <w:szCs w:val="20"/>
                <w:color w:val="auto"/>
              </w:rPr>
            </w:pPr>
            <w:r>
              <w:rPr>
                <w:rFonts w:ascii="Arial" w:cs="Arial" w:eastAsia="Arial" w:hAnsi="Arial"/>
                <w:sz w:val="17"/>
                <w:szCs w:val="17"/>
                <w:b w:val="1"/>
                <w:bCs w:val="1"/>
                <w:color w:val="auto"/>
              </w:rPr>
              <w:t>of</w:t>
            </w:r>
          </w:p>
        </w:tc>
        <w:tc>
          <w:tcPr>
            <w:tcW w:w="8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Notice of</w:t>
            </w:r>
          </w:p>
        </w:tc>
        <w:tc>
          <w:tcPr>
            <w:tcW w:w="640" w:type="dxa"/>
            <w:vAlign w:val="bottom"/>
          </w:tcPr>
          <w:p>
            <w:pPr>
              <w:ind w:left="60"/>
              <w:spacing w:after="0" w:line="189" w:lineRule="exact"/>
              <w:rPr>
                <w:sz w:val="20"/>
                <w:szCs w:val="20"/>
                <w:color w:val="auto"/>
              </w:rPr>
            </w:pPr>
            <w:r>
              <w:rPr>
                <w:rFonts w:ascii="Arial" w:cs="Arial" w:eastAsia="Arial" w:hAnsi="Arial"/>
                <w:sz w:val="17"/>
                <w:szCs w:val="17"/>
                <w:b w:val="1"/>
                <w:bCs w:val="1"/>
                <w:color w:val="auto"/>
              </w:rPr>
              <w:t>Action</w:t>
            </w: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9"/>
        </w:trPr>
        <w:tc>
          <w:tcPr>
            <w:tcW w:w="1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center"/>
              <w:ind w:right="135"/>
              <w:spacing w:after="0" w:line="189" w:lineRule="exact"/>
              <w:rPr>
                <w:sz w:val="20"/>
                <w:szCs w:val="20"/>
                <w:color w:val="auto"/>
              </w:rPr>
            </w:pPr>
            <w:r>
              <w:rPr>
                <w:rFonts w:ascii="Arial" w:cs="Arial" w:eastAsia="Arial" w:hAnsi="Arial"/>
                <w:sz w:val="17"/>
                <w:szCs w:val="17"/>
                <w:b w:val="1"/>
                <w:bCs w:val="1"/>
                <w:color w:val="auto"/>
                <w:w w:val="99"/>
              </w:rPr>
              <w:t>Dollar</w:t>
            </w:r>
          </w:p>
        </w:tc>
        <w:tc>
          <w:tcPr>
            <w:tcW w:w="1000" w:type="dxa"/>
            <w:vAlign w:val="bottom"/>
          </w:tcPr>
          <w:p>
            <w:pPr>
              <w:spacing w:after="0"/>
              <w:rPr>
                <w:sz w:val="16"/>
                <w:szCs w:val="16"/>
                <w:color w:val="auto"/>
              </w:rPr>
            </w:pPr>
          </w:p>
        </w:tc>
        <w:tc>
          <w:tcPr>
            <w:tcW w:w="760" w:type="dxa"/>
            <w:vAlign w:val="bottom"/>
          </w:tcPr>
          <w:p>
            <w:pPr>
              <w:ind w:left="100"/>
              <w:spacing w:after="0" w:line="189" w:lineRule="exact"/>
              <w:rPr>
                <w:sz w:val="20"/>
                <w:szCs w:val="20"/>
                <w:color w:val="auto"/>
              </w:rPr>
            </w:pPr>
            <w:r>
              <w:rPr>
                <w:rFonts w:ascii="Arial" w:cs="Arial" w:eastAsia="Arial" w:hAnsi="Arial"/>
                <w:sz w:val="17"/>
                <w:szCs w:val="17"/>
                <w:b w:val="1"/>
                <w:bCs w:val="1"/>
                <w:color w:val="auto"/>
              </w:rPr>
              <w:t>Pattern</w:t>
            </w:r>
          </w:p>
        </w:tc>
        <w:tc>
          <w:tcPr>
            <w:tcW w:w="8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Potential</w:t>
            </w:r>
          </w:p>
        </w:tc>
        <w:tc>
          <w:tcPr>
            <w:tcW w:w="6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84"/>
              </w:rPr>
              <w:t>s</w:t>
            </w:r>
          </w:p>
        </w:tc>
        <w:tc>
          <w:tcPr>
            <w:tcW w:w="6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Legal</w:t>
            </w:r>
          </w:p>
        </w:tc>
        <w:tc>
          <w:tcPr>
            <w:tcW w:w="840" w:type="dxa"/>
            <w:vAlign w:val="bottom"/>
          </w:tcPr>
          <w:p>
            <w:pPr>
              <w:spacing w:after="0"/>
              <w:rPr>
                <w:sz w:val="16"/>
                <w:szCs w:val="16"/>
                <w:color w:val="auto"/>
              </w:rPr>
            </w:pPr>
          </w:p>
        </w:tc>
      </w:tr>
      <w:tr>
        <w:trPr>
          <w:trHeight w:val="189"/>
        </w:trPr>
        <w:tc>
          <w:tcPr>
            <w:tcW w:w="1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7"/>
              </w:rPr>
              <w:t>Section</w:t>
            </w: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gridSpan w:val="2"/>
          </w:tcPr>
          <w:p>
            <w:pPr>
              <w:ind w:left="40"/>
              <w:spacing w:after="0" w:line="189" w:lineRule="exact"/>
              <w:rPr>
                <w:sz w:val="20"/>
                <w:szCs w:val="20"/>
                <w:color w:val="auto"/>
              </w:rPr>
            </w:pPr>
            <w:r>
              <w:rPr>
                <w:rFonts w:ascii="Arial" w:cs="Arial" w:eastAsia="Arial" w:hAnsi="Arial"/>
                <w:sz w:val="17"/>
                <w:szCs w:val="17"/>
                <w:b w:val="1"/>
                <w:bCs w:val="1"/>
                <w:color w:val="auto"/>
              </w:rPr>
              <w:t>Value of</w:t>
            </w:r>
          </w:p>
        </w:tc>
        <w:tc>
          <w:tcPr>
            <w:tcW w:w="10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Total</w:t>
            </w:r>
          </w:p>
        </w:tc>
        <w:tc>
          <w:tcPr>
            <w:tcW w:w="760" w:type="dxa"/>
            <w:vAlign w:val="bottom"/>
          </w:tcPr>
          <w:p>
            <w:pPr>
              <w:ind w:left="300"/>
              <w:spacing w:after="0" w:line="189" w:lineRule="exact"/>
              <w:rPr>
                <w:sz w:val="20"/>
                <w:szCs w:val="20"/>
                <w:color w:val="auto"/>
              </w:rPr>
            </w:pPr>
            <w:r>
              <w:rPr>
                <w:rFonts w:ascii="Arial" w:cs="Arial" w:eastAsia="Arial" w:hAnsi="Arial"/>
                <w:sz w:val="17"/>
                <w:szCs w:val="17"/>
                <w:b w:val="1"/>
                <w:bCs w:val="1"/>
                <w:color w:val="auto"/>
              </w:rPr>
              <w:t>of</w:t>
            </w:r>
          </w:p>
        </w:tc>
        <w:tc>
          <w:tcPr>
            <w:tcW w:w="8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to have</w:t>
            </w:r>
          </w:p>
        </w:tc>
        <w:tc>
          <w:tcPr>
            <w:tcW w:w="1320" w:type="dxa"/>
            <w:vAlign w:val="bottom"/>
            <w:gridSpan w:val="2"/>
          </w:tcPr>
          <w:p>
            <w:pPr>
              <w:ind w:left="40"/>
              <w:spacing w:after="0" w:line="189" w:lineRule="exact"/>
              <w:rPr>
                <w:sz w:val="20"/>
                <w:szCs w:val="20"/>
                <w:color w:val="auto"/>
              </w:rPr>
            </w:pPr>
            <w:r>
              <w:rPr>
                <w:rFonts w:ascii="Arial" w:cs="Arial" w:eastAsia="Arial" w:hAnsi="Arial"/>
                <w:sz w:val="17"/>
                <w:szCs w:val="17"/>
                <w:b w:val="1"/>
                <w:bCs w:val="1"/>
                <w:color w:val="auto"/>
              </w:rPr>
              <w:t>Pendin Actions</w:t>
            </w:r>
          </w:p>
        </w:tc>
        <w:tc>
          <w:tcPr>
            <w:tcW w:w="8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Legal</w:t>
            </w:r>
          </w:p>
        </w:tc>
      </w:tr>
      <w:tr>
        <w:trPr>
          <w:trHeight w:val="189"/>
        </w:trPr>
        <w:tc>
          <w:tcPr>
            <w:tcW w:w="1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00" w:type="dxa"/>
            <w:vAlign w:val="bottom"/>
            <w:gridSpan w:val="2"/>
          </w:tcPr>
          <w:p>
            <w:pPr>
              <w:ind w:left="40"/>
              <w:spacing w:after="0" w:line="189" w:lineRule="exact"/>
              <w:rPr>
                <w:sz w:val="20"/>
                <w:szCs w:val="20"/>
                <w:color w:val="auto"/>
              </w:rPr>
            </w:pPr>
            <w:r>
              <w:rPr>
                <w:rFonts w:ascii="Arial" w:cs="Arial" w:eastAsia="Arial" w:hAnsi="Arial"/>
                <w:sz w:val="17"/>
                <w:szCs w:val="17"/>
                <w:b w:val="1"/>
                <w:bCs w:val="1"/>
                <w:color w:val="auto"/>
              </w:rPr>
              <w:t>Section Sectio</w:t>
            </w:r>
          </w:p>
        </w:tc>
        <w:tc>
          <w:tcPr>
            <w:tcW w:w="7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104(d)</w:t>
            </w:r>
          </w:p>
        </w:tc>
        <w:tc>
          <w:tcPr>
            <w:tcW w:w="740" w:type="dxa"/>
            <w:vAlign w:val="bottom"/>
          </w:tcPr>
          <w:p>
            <w:pPr>
              <w:spacing w:after="0"/>
              <w:rPr>
                <w:sz w:val="16"/>
                <w:szCs w:val="16"/>
                <w:color w:val="auto"/>
              </w:rPr>
            </w:pPr>
          </w:p>
        </w:tc>
        <w:tc>
          <w:tcPr>
            <w:tcW w:w="6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7"/>
              </w:rPr>
              <w:t>Sectio</w:t>
            </w:r>
          </w:p>
        </w:tc>
        <w:tc>
          <w:tcPr>
            <w:tcW w:w="820" w:type="dxa"/>
            <w:vAlign w:val="bottom"/>
            <w:gridSpan w:val="2"/>
          </w:tcPr>
          <w:p>
            <w:pPr>
              <w:jc w:val="center"/>
              <w:ind w:right="15"/>
              <w:spacing w:after="0" w:line="189" w:lineRule="exact"/>
              <w:rPr>
                <w:sz w:val="20"/>
                <w:szCs w:val="20"/>
                <w:color w:val="auto"/>
              </w:rPr>
            </w:pPr>
            <w:r>
              <w:rPr>
                <w:rFonts w:ascii="Arial" w:cs="Arial" w:eastAsia="Arial" w:hAnsi="Arial"/>
                <w:sz w:val="17"/>
                <w:szCs w:val="17"/>
                <w:b w:val="1"/>
                <w:bCs w:val="1"/>
                <w:color w:val="auto"/>
              </w:rPr>
              <w:t>MSHA</w:t>
            </w:r>
          </w:p>
        </w:tc>
        <w:tc>
          <w:tcPr>
            <w:tcW w:w="10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Number of</w:t>
            </w:r>
          </w:p>
        </w:tc>
        <w:tc>
          <w:tcPr>
            <w:tcW w:w="760" w:type="dxa"/>
            <w:vAlign w:val="bottom"/>
          </w:tcPr>
          <w:p>
            <w:pPr>
              <w:ind w:left="100"/>
              <w:spacing w:after="0" w:line="189" w:lineRule="exact"/>
              <w:rPr>
                <w:sz w:val="20"/>
                <w:szCs w:val="20"/>
                <w:color w:val="auto"/>
              </w:rPr>
            </w:pPr>
            <w:r>
              <w:rPr>
                <w:rFonts w:ascii="Arial" w:cs="Arial" w:eastAsia="Arial" w:hAnsi="Arial"/>
                <w:sz w:val="17"/>
                <w:szCs w:val="17"/>
                <w:b w:val="1"/>
                <w:bCs w:val="1"/>
                <w:color w:val="auto"/>
              </w:rPr>
              <w:t>Violatio</w:t>
            </w:r>
          </w:p>
        </w:tc>
        <w:tc>
          <w:tcPr>
            <w:tcW w:w="8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Pattern</w:t>
            </w:r>
          </w:p>
        </w:tc>
        <w:tc>
          <w:tcPr>
            <w:tcW w:w="2160" w:type="dxa"/>
            <w:vAlign w:val="bottom"/>
            <w:gridSpan w:val="3"/>
          </w:tcPr>
          <w:p>
            <w:pPr>
              <w:ind w:left="20"/>
              <w:spacing w:after="0" w:line="189" w:lineRule="exact"/>
              <w:rPr>
                <w:sz w:val="20"/>
                <w:szCs w:val="20"/>
                <w:color w:val="auto"/>
              </w:rPr>
            </w:pPr>
            <w:r>
              <w:rPr>
                <w:rFonts w:ascii="Arial" w:cs="Arial" w:eastAsia="Arial" w:hAnsi="Arial"/>
                <w:sz w:val="17"/>
                <w:szCs w:val="17"/>
                <w:b w:val="1"/>
                <w:bCs w:val="1"/>
                <w:color w:val="auto"/>
              </w:rPr>
              <w:t>g as of Institute Actions</w:t>
            </w:r>
          </w:p>
        </w:tc>
      </w:tr>
      <w:tr>
        <w:trPr>
          <w:trHeight w:val="189"/>
        </w:trPr>
        <w:tc>
          <w:tcPr>
            <w:tcW w:w="1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104</w:t>
            </w:r>
          </w:p>
        </w:tc>
        <w:tc>
          <w:tcPr>
            <w:tcW w:w="6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n</w:t>
            </w:r>
          </w:p>
        </w:tc>
        <w:tc>
          <w:tcPr>
            <w:tcW w:w="720" w:type="dxa"/>
            <w:vAlign w:val="bottom"/>
          </w:tcPr>
          <w:p>
            <w:pPr>
              <w:ind w:left="40"/>
              <w:spacing w:after="0" w:line="189" w:lineRule="exact"/>
              <w:rPr>
                <w:sz w:val="20"/>
                <w:szCs w:val="20"/>
                <w:color w:val="auto"/>
              </w:rPr>
            </w:pPr>
            <w:r>
              <w:rPr>
                <w:rFonts w:ascii="Arial" w:cs="Arial" w:eastAsia="Arial" w:hAnsi="Arial"/>
                <w:sz w:val="17"/>
                <w:szCs w:val="17"/>
                <w:b w:val="1"/>
                <w:bCs w:val="1"/>
                <w:color w:val="auto"/>
              </w:rPr>
              <w:t>Citation</w:t>
            </w:r>
          </w:p>
        </w:tc>
        <w:tc>
          <w:tcPr>
            <w:tcW w:w="7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Section</w:t>
            </w:r>
          </w:p>
        </w:tc>
        <w:tc>
          <w:tcPr>
            <w:tcW w:w="6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5"/>
              </w:rPr>
              <w:t>n</w:t>
            </w:r>
          </w:p>
        </w:tc>
        <w:tc>
          <w:tcPr>
            <w:tcW w:w="820" w:type="dxa"/>
            <w:vAlign w:val="bottom"/>
            <w:gridSpan w:val="2"/>
          </w:tcPr>
          <w:p>
            <w:pPr>
              <w:ind w:left="80"/>
              <w:spacing w:after="0" w:line="189" w:lineRule="exact"/>
              <w:rPr>
                <w:sz w:val="20"/>
                <w:szCs w:val="20"/>
                <w:color w:val="auto"/>
              </w:rPr>
            </w:pPr>
            <w:r>
              <w:rPr>
                <w:rFonts w:ascii="Arial" w:cs="Arial" w:eastAsia="Arial" w:hAnsi="Arial"/>
                <w:sz w:val="17"/>
                <w:szCs w:val="17"/>
                <w:b w:val="1"/>
                <w:bCs w:val="1"/>
                <w:color w:val="auto"/>
              </w:rPr>
              <w:t>Assess</w:t>
            </w:r>
          </w:p>
        </w:tc>
        <w:tc>
          <w:tcPr>
            <w:tcW w:w="10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Mining</w:t>
            </w:r>
          </w:p>
        </w:tc>
        <w:tc>
          <w:tcPr>
            <w:tcW w:w="760" w:type="dxa"/>
            <w:vAlign w:val="bottom"/>
          </w:tcPr>
          <w:p>
            <w:pPr>
              <w:ind w:left="60"/>
              <w:spacing w:after="0" w:line="189" w:lineRule="exact"/>
              <w:rPr>
                <w:sz w:val="20"/>
                <w:szCs w:val="20"/>
                <w:color w:val="auto"/>
              </w:rPr>
            </w:pPr>
            <w:r>
              <w:rPr>
                <w:rFonts w:ascii="Arial" w:cs="Arial" w:eastAsia="Arial" w:hAnsi="Arial"/>
                <w:sz w:val="17"/>
                <w:szCs w:val="17"/>
                <w:b w:val="1"/>
                <w:bCs w:val="1"/>
                <w:color w:val="auto"/>
              </w:rPr>
              <w:t>n Under</w:t>
            </w:r>
          </w:p>
        </w:tc>
        <w:tc>
          <w:tcPr>
            <w:tcW w:w="8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under</w:t>
            </w:r>
          </w:p>
        </w:tc>
        <w:tc>
          <w:tcPr>
            <w:tcW w:w="6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Last</w:t>
            </w:r>
          </w:p>
        </w:tc>
        <w:tc>
          <w:tcPr>
            <w:tcW w:w="6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5"/>
              </w:rPr>
              <w:t>d</w:t>
            </w:r>
          </w:p>
        </w:tc>
        <w:tc>
          <w:tcPr>
            <w:tcW w:w="8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Resolved</w:t>
            </w:r>
          </w:p>
        </w:tc>
      </w:tr>
      <w:tr>
        <w:trPr>
          <w:trHeight w:val="189"/>
        </w:trPr>
        <w:tc>
          <w:tcPr>
            <w:tcW w:w="1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S&amp;S</w:t>
            </w:r>
          </w:p>
        </w:tc>
        <w:tc>
          <w:tcPr>
            <w:tcW w:w="6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104(b)</w:t>
            </w:r>
          </w:p>
        </w:tc>
        <w:tc>
          <w:tcPr>
            <w:tcW w:w="7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s and</w:t>
            </w:r>
          </w:p>
        </w:tc>
        <w:tc>
          <w:tcPr>
            <w:tcW w:w="1340" w:type="dxa"/>
            <w:vAlign w:val="bottom"/>
            <w:gridSpan w:val="2"/>
          </w:tcPr>
          <w:p>
            <w:pPr>
              <w:ind w:left="20"/>
              <w:spacing w:after="0" w:line="189" w:lineRule="exact"/>
              <w:rPr>
                <w:sz w:val="20"/>
                <w:szCs w:val="20"/>
                <w:color w:val="auto"/>
              </w:rPr>
            </w:pPr>
            <w:r>
              <w:rPr>
                <w:rFonts w:ascii="Arial" w:cs="Arial" w:eastAsia="Arial" w:hAnsi="Arial"/>
                <w:sz w:val="17"/>
                <w:szCs w:val="17"/>
                <w:b w:val="1"/>
                <w:bCs w:val="1"/>
                <w:color w:val="auto"/>
              </w:rPr>
              <w:t>110(b)(2) 107(a)</w:t>
            </w:r>
          </w:p>
        </w:tc>
        <w:tc>
          <w:tcPr>
            <w:tcW w:w="820" w:type="dxa"/>
            <w:vAlign w:val="bottom"/>
            <w:gridSpan w:val="2"/>
          </w:tcPr>
          <w:p>
            <w:pPr>
              <w:jc w:val="center"/>
              <w:ind w:right="15"/>
              <w:spacing w:after="0" w:line="189" w:lineRule="exact"/>
              <w:rPr>
                <w:sz w:val="20"/>
                <w:szCs w:val="20"/>
                <w:color w:val="auto"/>
              </w:rPr>
            </w:pPr>
            <w:r>
              <w:rPr>
                <w:rFonts w:ascii="Arial" w:cs="Arial" w:eastAsia="Arial" w:hAnsi="Arial"/>
                <w:sz w:val="17"/>
                <w:szCs w:val="17"/>
                <w:b w:val="1"/>
                <w:bCs w:val="1"/>
                <w:color w:val="auto"/>
              </w:rPr>
              <w:t>ment/$</w:t>
            </w:r>
          </w:p>
        </w:tc>
        <w:tc>
          <w:tcPr>
            <w:tcW w:w="10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Related</w:t>
            </w:r>
          </w:p>
        </w:tc>
        <w:tc>
          <w:tcPr>
            <w:tcW w:w="760" w:type="dxa"/>
            <w:vAlign w:val="bottom"/>
          </w:tcPr>
          <w:p>
            <w:pPr>
              <w:ind w:left="80"/>
              <w:spacing w:after="0" w:line="189" w:lineRule="exact"/>
              <w:rPr>
                <w:sz w:val="20"/>
                <w:szCs w:val="20"/>
                <w:color w:val="auto"/>
              </w:rPr>
            </w:pPr>
            <w:r>
              <w:rPr>
                <w:rFonts w:ascii="Arial" w:cs="Arial" w:eastAsia="Arial" w:hAnsi="Arial"/>
                <w:sz w:val="17"/>
                <w:szCs w:val="17"/>
                <w:b w:val="1"/>
                <w:bCs w:val="1"/>
                <w:color w:val="auto"/>
              </w:rPr>
              <w:t>Section</w:t>
            </w:r>
          </w:p>
        </w:tc>
        <w:tc>
          <w:tcPr>
            <w:tcW w:w="8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Section</w:t>
            </w:r>
          </w:p>
        </w:tc>
        <w:tc>
          <w:tcPr>
            <w:tcW w:w="6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Day of</w:t>
            </w:r>
          </w:p>
        </w:tc>
        <w:tc>
          <w:tcPr>
            <w:tcW w:w="6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During</w:t>
            </w:r>
          </w:p>
        </w:tc>
        <w:tc>
          <w:tcPr>
            <w:tcW w:w="8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During</w:t>
            </w:r>
          </w:p>
        </w:tc>
      </w:tr>
      <w:tr>
        <w:trPr>
          <w:trHeight w:val="189"/>
        </w:trPr>
        <w:tc>
          <w:tcPr>
            <w:tcW w:w="1720" w:type="dxa"/>
            <w:vAlign w:val="bottom"/>
          </w:tcPr>
          <w:p>
            <w:pPr>
              <w:spacing w:after="0"/>
              <w:rPr>
                <w:sz w:val="16"/>
                <w:szCs w:val="16"/>
                <w:color w:val="auto"/>
              </w:rPr>
            </w:pPr>
          </w:p>
        </w:tc>
        <w:tc>
          <w:tcPr>
            <w:tcW w:w="600" w:type="dxa"/>
            <w:vAlign w:val="bottom"/>
          </w:tcPr>
          <w:p>
            <w:pPr>
              <w:ind w:left="40"/>
              <w:spacing w:after="0" w:line="189" w:lineRule="exact"/>
              <w:rPr>
                <w:sz w:val="20"/>
                <w:szCs w:val="20"/>
                <w:color w:val="auto"/>
              </w:rPr>
            </w:pPr>
            <w:r>
              <w:rPr>
                <w:rFonts w:ascii="Arial" w:cs="Arial" w:eastAsia="Arial" w:hAnsi="Arial"/>
                <w:sz w:val="17"/>
                <w:szCs w:val="17"/>
                <w:b w:val="1"/>
                <w:bCs w:val="1"/>
                <w:color w:val="auto"/>
              </w:rPr>
              <w:t>MSHA</w:t>
            </w:r>
          </w:p>
        </w:tc>
        <w:tc>
          <w:tcPr>
            <w:tcW w:w="1300" w:type="dxa"/>
            <w:vAlign w:val="bottom"/>
            <w:gridSpan w:val="2"/>
          </w:tcPr>
          <w:p>
            <w:pPr>
              <w:ind w:left="60"/>
              <w:spacing w:after="0" w:line="189" w:lineRule="exact"/>
              <w:rPr>
                <w:sz w:val="20"/>
                <w:szCs w:val="20"/>
                <w:color w:val="auto"/>
              </w:rPr>
            </w:pPr>
            <w:r>
              <w:rPr>
                <w:rFonts w:ascii="Arial" w:cs="Arial" w:eastAsia="Arial" w:hAnsi="Arial"/>
                <w:sz w:val="17"/>
                <w:szCs w:val="17"/>
                <w:b w:val="1"/>
                <w:bCs w:val="1"/>
                <w:color w:val="auto"/>
              </w:rPr>
              <w:t>Citation Order</w:t>
            </w:r>
          </w:p>
        </w:tc>
        <w:tc>
          <w:tcPr>
            <w:tcW w:w="7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Orders</w:t>
            </w:r>
          </w:p>
        </w:tc>
        <w:tc>
          <w:tcPr>
            <w:tcW w:w="2160" w:type="dxa"/>
            <w:vAlign w:val="bottom"/>
            <w:gridSpan w:val="4"/>
          </w:tcPr>
          <w:p>
            <w:pPr>
              <w:jc w:val="center"/>
              <w:spacing w:after="0" w:line="189" w:lineRule="exact"/>
              <w:rPr>
                <w:sz w:val="20"/>
                <w:szCs w:val="20"/>
                <w:color w:val="auto"/>
              </w:rPr>
            </w:pPr>
            <w:r>
              <w:rPr>
                <w:rFonts w:ascii="Arial" w:cs="Arial" w:eastAsia="Arial" w:hAnsi="Arial"/>
                <w:sz w:val="17"/>
                <w:szCs w:val="17"/>
                <w:b w:val="1"/>
                <w:bCs w:val="1"/>
                <w:color w:val="auto"/>
              </w:rPr>
              <w:t>Violation Order Propose</w:t>
            </w:r>
          </w:p>
        </w:tc>
        <w:tc>
          <w:tcPr>
            <w:tcW w:w="10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Fatalities</w:t>
            </w:r>
          </w:p>
        </w:tc>
        <w:tc>
          <w:tcPr>
            <w:tcW w:w="760" w:type="dxa"/>
            <w:vAlign w:val="bottom"/>
          </w:tcPr>
          <w:p>
            <w:pPr>
              <w:ind w:left="140"/>
              <w:spacing w:after="0" w:line="189" w:lineRule="exact"/>
              <w:rPr>
                <w:sz w:val="20"/>
                <w:szCs w:val="20"/>
                <w:color w:val="auto"/>
              </w:rPr>
            </w:pPr>
            <w:r>
              <w:rPr>
                <w:rFonts w:ascii="Arial" w:cs="Arial" w:eastAsia="Arial" w:hAnsi="Arial"/>
                <w:sz w:val="17"/>
                <w:szCs w:val="17"/>
                <w:b w:val="1"/>
                <w:bCs w:val="1"/>
                <w:color w:val="auto"/>
              </w:rPr>
              <w:t>104(e)</w:t>
            </w:r>
          </w:p>
        </w:tc>
        <w:tc>
          <w:tcPr>
            <w:tcW w:w="8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104(e)</w:t>
            </w:r>
          </w:p>
        </w:tc>
        <w:tc>
          <w:tcPr>
            <w:tcW w:w="6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Period</w:t>
            </w:r>
          </w:p>
        </w:tc>
        <w:tc>
          <w:tcPr>
            <w:tcW w:w="6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Period</w:t>
            </w:r>
          </w:p>
        </w:tc>
        <w:tc>
          <w:tcPr>
            <w:tcW w:w="8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Period</w:t>
            </w:r>
          </w:p>
        </w:tc>
      </w:tr>
      <w:tr>
        <w:trPr>
          <w:trHeight w:val="211"/>
        </w:trPr>
        <w:tc>
          <w:tcPr>
            <w:tcW w:w="1720" w:type="dxa"/>
            <w:vAlign w:val="bottom"/>
          </w:tcPr>
          <w:p>
            <w:pPr>
              <w:ind w:left="520"/>
              <w:spacing w:after="0"/>
              <w:rPr>
                <w:sz w:val="20"/>
                <w:szCs w:val="20"/>
                <w:color w:val="auto"/>
              </w:rPr>
            </w:pPr>
            <w:r>
              <w:rPr>
                <w:rFonts w:ascii="Arial" w:cs="Arial" w:eastAsia="Arial" w:hAnsi="Arial"/>
                <w:sz w:val="17"/>
                <w:szCs w:val="17"/>
                <w:b w:val="1"/>
                <w:bCs w:val="1"/>
                <w:color w:val="auto"/>
              </w:rPr>
              <w:t>Location</w:t>
            </w:r>
          </w:p>
        </w:tc>
        <w:tc>
          <w:tcPr>
            <w:tcW w:w="600" w:type="dxa"/>
            <w:vAlign w:val="bottom"/>
          </w:tcPr>
          <w:p>
            <w:pPr>
              <w:ind w:left="240"/>
              <w:spacing w:after="0"/>
              <w:rPr>
                <w:sz w:val="20"/>
                <w:szCs w:val="20"/>
                <w:color w:val="auto"/>
              </w:rPr>
            </w:pPr>
            <w:r>
              <w:rPr>
                <w:rFonts w:ascii="Arial" w:cs="Arial" w:eastAsia="Arial" w:hAnsi="Arial"/>
                <w:sz w:val="17"/>
                <w:szCs w:val="17"/>
                <w:b w:val="1"/>
                <w:bCs w:val="1"/>
                <w:color w:val="auto"/>
              </w:rPr>
              <w:t>ID</w:t>
            </w:r>
          </w:p>
        </w:tc>
        <w:tc>
          <w:tcPr>
            <w:tcW w:w="640" w:type="dxa"/>
            <w:vAlign w:val="bottom"/>
          </w:tcPr>
          <w:p>
            <w:pPr>
              <w:ind w:left="200"/>
              <w:spacing w:after="0"/>
              <w:rPr>
                <w:sz w:val="20"/>
                <w:szCs w:val="20"/>
                <w:color w:val="auto"/>
              </w:rPr>
            </w:pPr>
            <w:r>
              <w:rPr>
                <w:rFonts w:ascii="Arial" w:cs="Arial" w:eastAsia="Arial" w:hAnsi="Arial"/>
                <w:sz w:val="17"/>
                <w:szCs w:val="17"/>
                <w:b w:val="1"/>
                <w:bCs w:val="1"/>
                <w:color w:val="auto"/>
              </w:rPr>
              <w:t>s (#)</w:t>
            </w:r>
          </w:p>
        </w:tc>
        <w:tc>
          <w:tcPr>
            <w:tcW w:w="660" w:type="dxa"/>
            <w:vAlign w:val="bottom"/>
          </w:tcPr>
          <w:p>
            <w:pPr>
              <w:ind w:left="180"/>
              <w:spacing w:after="0"/>
              <w:rPr>
                <w:sz w:val="20"/>
                <w:szCs w:val="20"/>
                <w:color w:val="auto"/>
              </w:rPr>
            </w:pPr>
            <w:r>
              <w:rPr>
                <w:rFonts w:ascii="Arial" w:cs="Arial" w:eastAsia="Arial" w:hAnsi="Arial"/>
                <w:sz w:val="17"/>
                <w:szCs w:val="17"/>
                <w:b w:val="1"/>
                <w:bCs w:val="1"/>
                <w:color w:val="auto"/>
              </w:rPr>
              <w:t>s (#)</w:t>
            </w:r>
          </w:p>
        </w:tc>
        <w:tc>
          <w:tcPr>
            <w:tcW w:w="720" w:type="dxa"/>
            <w:vAlign w:val="bottom"/>
          </w:tcPr>
          <w:p>
            <w:pPr>
              <w:jc w:val="center"/>
              <w:spacing w:after="0"/>
              <w:rPr>
                <w:sz w:val="20"/>
                <w:szCs w:val="20"/>
                <w:color w:val="auto"/>
              </w:rPr>
            </w:pPr>
            <w:r>
              <w:rPr>
                <w:rFonts w:ascii="Arial" w:cs="Arial" w:eastAsia="Arial" w:hAnsi="Arial"/>
                <w:sz w:val="17"/>
                <w:szCs w:val="17"/>
                <w:b w:val="1"/>
                <w:bCs w:val="1"/>
                <w:color w:val="auto"/>
                <w:w w:val="96"/>
              </w:rPr>
              <w:t>(#)</w:t>
            </w:r>
          </w:p>
        </w:tc>
        <w:tc>
          <w:tcPr>
            <w:tcW w:w="740" w:type="dxa"/>
            <w:vAlign w:val="bottom"/>
          </w:tcPr>
          <w:p>
            <w:pPr>
              <w:ind w:left="220"/>
              <w:spacing w:after="0"/>
              <w:rPr>
                <w:sz w:val="20"/>
                <w:szCs w:val="20"/>
                <w:color w:val="auto"/>
              </w:rPr>
            </w:pPr>
            <w:r>
              <w:rPr>
                <w:rFonts w:ascii="Arial" w:cs="Arial" w:eastAsia="Arial" w:hAnsi="Arial"/>
                <w:sz w:val="17"/>
                <w:szCs w:val="17"/>
                <w:b w:val="1"/>
                <w:bCs w:val="1"/>
                <w:color w:val="auto"/>
              </w:rPr>
              <w:t>s (#)</w:t>
            </w:r>
          </w:p>
        </w:tc>
        <w:tc>
          <w:tcPr>
            <w:tcW w:w="600" w:type="dxa"/>
            <w:vAlign w:val="bottom"/>
          </w:tcPr>
          <w:p>
            <w:pPr>
              <w:jc w:val="center"/>
              <w:spacing w:after="0"/>
              <w:rPr>
                <w:sz w:val="20"/>
                <w:szCs w:val="20"/>
                <w:color w:val="auto"/>
              </w:rPr>
            </w:pPr>
            <w:r>
              <w:rPr>
                <w:rFonts w:ascii="Arial" w:cs="Arial" w:eastAsia="Arial" w:hAnsi="Arial"/>
                <w:sz w:val="17"/>
                <w:szCs w:val="17"/>
                <w:b w:val="1"/>
                <w:bCs w:val="1"/>
                <w:color w:val="auto"/>
              </w:rPr>
              <w:t>s (#)**</w:t>
            </w:r>
          </w:p>
        </w:tc>
        <w:tc>
          <w:tcPr>
            <w:tcW w:w="120" w:type="dxa"/>
            <w:vAlign w:val="bottom"/>
          </w:tcPr>
          <w:p>
            <w:pPr>
              <w:spacing w:after="0"/>
              <w:rPr>
                <w:sz w:val="18"/>
                <w:szCs w:val="18"/>
                <w:color w:val="auto"/>
              </w:rPr>
            </w:pPr>
          </w:p>
        </w:tc>
        <w:tc>
          <w:tcPr>
            <w:tcW w:w="700" w:type="dxa"/>
            <w:vAlign w:val="bottom"/>
          </w:tcPr>
          <w:p>
            <w:pPr>
              <w:jc w:val="right"/>
              <w:ind w:right="295"/>
              <w:spacing w:after="0"/>
              <w:rPr>
                <w:sz w:val="20"/>
                <w:szCs w:val="20"/>
                <w:color w:val="auto"/>
              </w:rPr>
            </w:pPr>
            <w:r>
              <w:rPr>
                <w:rFonts w:ascii="Arial" w:cs="Arial" w:eastAsia="Arial" w:hAnsi="Arial"/>
                <w:sz w:val="17"/>
                <w:szCs w:val="17"/>
                <w:b w:val="1"/>
                <w:bCs w:val="1"/>
                <w:color w:val="auto"/>
              </w:rPr>
              <w:t>d</w:t>
            </w: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w w:val="96"/>
              </w:rPr>
              <w:t>(#)</w:t>
            </w:r>
          </w:p>
        </w:tc>
        <w:tc>
          <w:tcPr>
            <w:tcW w:w="760" w:type="dxa"/>
            <w:vAlign w:val="bottom"/>
          </w:tcPr>
          <w:p>
            <w:pPr>
              <w:ind w:left="80"/>
              <w:spacing w:after="0"/>
              <w:rPr>
                <w:sz w:val="20"/>
                <w:szCs w:val="20"/>
                <w:color w:val="auto"/>
              </w:rPr>
            </w:pPr>
            <w:r>
              <w:rPr>
                <w:rFonts w:ascii="Arial" w:cs="Arial" w:eastAsia="Arial" w:hAnsi="Arial"/>
                <w:sz w:val="17"/>
                <w:szCs w:val="17"/>
                <w:b w:val="1"/>
                <w:bCs w:val="1"/>
                <w:color w:val="auto"/>
              </w:rPr>
              <w:t>(yes/no)</w:t>
            </w:r>
          </w:p>
        </w:tc>
        <w:tc>
          <w:tcPr>
            <w:tcW w:w="820" w:type="dxa"/>
            <w:vAlign w:val="bottom"/>
          </w:tcPr>
          <w:p>
            <w:pPr>
              <w:ind w:left="100"/>
              <w:spacing w:after="0"/>
              <w:rPr>
                <w:sz w:val="20"/>
                <w:szCs w:val="20"/>
                <w:color w:val="auto"/>
              </w:rPr>
            </w:pPr>
            <w:r>
              <w:rPr>
                <w:rFonts w:ascii="Arial" w:cs="Arial" w:eastAsia="Arial" w:hAnsi="Arial"/>
                <w:sz w:val="17"/>
                <w:szCs w:val="17"/>
                <w:b w:val="1"/>
                <w:bCs w:val="1"/>
                <w:color w:val="auto"/>
              </w:rPr>
              <w:t>(yes/no)</w:t>
            </w:r>
          </w:p>
        </w:tc>
        <w:tc>
          <w:tcPr>
            <w:tcW w:w="64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68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center"/>
              <w:spacing w:after="0"/>
              <w:rPr>
                <w:sz w:val="20"/>
                <w:szCs w:val="20"/>
                <w:color w:val="auto"/>
              </w:rPr>
            </w:pPr>
            <w:r>
              <w:rPr>
                <w:rFonts w:ascii="Arial" w:cs="Arial" w:eastAsia="Arial" w:hAnsi="Arial"/>
                <w:sz w:val="17"/>
                <w:szCs w:val="17"/>
                <w:b w:val="1"/>
                <w:bCs w:val="1"/>
                <w:color w:val="auto"/>
                <w:w w:val="96"/>
              </w:rPr>
              <w:t>(#)</w:t>
            </w:r>
          </w:p>
        </w:tc>
      </w:tr>
      <w:tr>
        <w:trPr>
          <w:trHeight w:val="203"/>
        </w:trPr>
        <w:tc>
          <w:tcPr>
            <w:tcW w:w="1720" w:type="dxa"/>
            <w:vAlign w:val="bottom"/>
          </w:tcPr>
          <w:p>
            <w:pPr>
              <w:spacing w:after="0"/>
              <w:rPr>
                <w:sz w:val="17"/>
                <w:szCs w:val="17"/>
                <w:color w:val="auto"/>
              </w:rPr>
            </w:pPr>
          </w:p>
        </w:tc>
        <w:tc>
          <w:tcPr>
            <w:tcW w:w="600" w:type="dxa"/>
            <w:vAlign w:val="bottom"/>
          </w:tcPr>
          <w:p>
            <w:pPr>
              <w:jc w:val="center"/>
              <w:spacing w:after="0" w:line="203" w:lineRule="exact"/>
              <w:rPr>
                <w:sz w:val="20"/>
                <w:szCs w:val="20"/>
                <w:color w:val="auto"/>
              </w:rPr>
            </w:pPr>
            <w:r>
              <w:rPr>
                <w:rFonts w:ascii="Calibri" w:cs="Calibri" w:eastAsia="Calibri" w:hAnsi="Calibri"/>
                <w:sz w:val="17"/>
                <w:szCs w:val="17"/>
                <w:color w:val="auto"/>
              </w:rPr>
              <w:t>310163</w:t>
            </w: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Alexander Quarry</w:t>
            </w:r>
          </w:p>
        </w:tc>
        <w:tc>
          <w:tcPr>
            <w:tcW w:w="6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6</w:t>
            </w:r>
          </w:p>
        </w:tc>
        <w:tc>
          <w:tcPr>
            <w:tcW w:w="6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6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2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Pr>
          <w:p>
            <w:pPr>
              <w:jc w:val="center"/>
              <w:spacing w:after="0" w:line="205" w:lineRule="exact"/>
              <w:rPr>
                <w:sz w:val="20"/>
                <w:szCs w:val="20"/>
                <w:color w:val="auto"/>
              </w:rPr>
            </w:pPr>
            <w:r>
              <w:rPr>
                <w:rFonts w:ascii="Calibri" w:cs="Calibri" w:eastAsia="Calibri" w:hAnsi="Calibri"/>
                <w:sz w:val="17"/>
                <w:szCs w:val="17"/>
                <w:color w:val="auto"/>
              </w:rPr>
              <w:t>0</w:t>
            </w:r>
          </w:p>
        </w:tc>
        <w:tc>
          <w:tcPr>
            <w:tcW w:w="120" w:type="dxa"/>
            <w:vAlign w:val="bottom"/>
          </w:tcPr>
          <w:p>
            <w:pPr>
              <w:ind w:left="20"/>
              <w:spacing w:after="0" w:line="205" w:lineRule="exact"/>
              <w:rPr>
                <w:sz w:val="20"/>
                <w:szCs w:val="20"/>
                <w:color w:val="auto"/>
              </w:rPr>
            </w:pPr>
            <w:r>
              <w:rPr>
                <w:rFonts w:ascii="Calibri" w:cs="Calibri" w:eastAsia="Calibri" w:hAnsi="Calibri"/>
                <w:sz w:val="17"/>
                <w:szCs w:val="17"/>
                <w:b w:val="1"/>
                <w:bCs w:val="1"/>
                <w:color w:val="auto"/>
                <w:w w:val="92"/>
              </w:rPr>
              <w:t>$</w:t>
            </w:r>
          </w:p>
        </w:tc>
        <w:tc>
          <w:tcPr>
            <w:tcW w:w="70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10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60" w:type="dxa"/>
            <w:vAlign w:val="bottom"/>
          </w:tcPr>
          <w:p>
            <w:pPr>
              <w:ind w:left="320"/>
              <w:spacing w:after="0" w:line="205" w:lineRule="exact"/>
              <w:rPr>
                <w:sz w:val="20"/>
                <w:szCs w:val="20"/>
                <w:color w:val="auto"/>
              </w:rPr>
            </w:pPr>
            <w:r>
              <w:rPr>
                <w:rFonts w:ascii="Calibri" w:cs="Calibri" w:eastAsia="Calibri" w:hAnsi="Calibri"/>
                <w:sz w:val="17"/>
                <w:szCs w:val="17"/>
                <w:color w:val="auto"/>
              </w:rPr>
              <w:t>no</w:t>
            </w:r>
          </w:p>
        </w:tc>
        <w:tc>
          <w:tcPr>
            <w:tcW w:w="820" w:type="dxa"/>
            <w:vAlign w:val="bottom"/>
          </w:tcPr>
          <w:p>
            <w:pPr>
              <w:jc w:val="center"/>
              <w:spacing w:after="0" w:line="205" w:lineRule="exact"/>
              <w:rPr>
                <w:sz w:val="20"/>
                <w:szCs w:val="20"/>
                <w:color w:val="auto"/>
              </w:rPr>
            </w:pPr>
            <w:r>
              <w:rPr>
                <w:rFonts w:ascii="Calibri" w:cs="Calibri" w:eastAsia="Calibri" w:hAnsi="Calibri"/>
                <w:sz w:val="17"/>
                <w:szCs w:val="17"/>
                <w:color w:val="auto"/>
              </w:rPr>
              <w:t>no</w:t>
            </w:r>
          </w:p>
        </w:tc>
        <w:tc>
          <w:tcPr>
            <w:tcW w:w="6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80" w:type="dxa"/>
            <w:vAlign w:val="bottom"/>
          </w:tcPr>
          <w:p>
            <w:pPr>
              <w:jc w:val="center"/>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600" w:type="dxa"/>
            <w:vAlign w:val="bottom"/>
            <w:shd w:val="clear" w:color="auto" w:fill="E5F1F8"/>
          </w:tcPr>
          <w:p>
            <w:pPr>
              <w:jc w:val="center"/>
              <w:spacing w:after="0" w:line="189" w:lineRule="exact"/>
              <w:rPr>
                <w:sz w:val="20"/>
                <w:szCs w:val="20"/>
                <w:color w:val="auto"/>
              </w:rPr>
            </w:pPr>
            <w:r>
              <w:rPr>
                <w:rFonts w:ascii="Calibri" w:cs="Calibri" w:eastAsia="Calibri" w:hAnsi="Calibri"/>
                <w:sz w:val="17"/>
                <w:szCs w:val="17"/>
                <w:color w:val="auto"/>
              </w:rPr>
              <w:t>310018</w:t>
            </w:r>
          </w:p>
        </w:tc>
        <w:tc>
          <w:tcPr>
            <w:tcW w:w="64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12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10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20" w:type="dxa"/>
            <w:vAlign w:val="bottom"/>
            <w:shd w:val="clear" w:color="auto" w:fill="E5F1F8"/>
          </w:tcPr>
          <w:p>
            <w:pPr>
              <w:spacing w:after="0"/>
              <w:rPr>
                <w:sz w:val="16"/>
                <w:szCs w:val="16"/>
                <w:color w:val="auto"/>
              </w:rPr>
            </w:pPr>
          </w:p>
        </w:tc>
        <w:tc>
          <w:tcPr>
            <w:tcW w:w="64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American Stone</w:t>
            </w:r>
          </w:p>
        </w:tc>
        <w:tc>
          <w:tcPr>
            <w:tcW w:w="6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9</w:t>
            </w:r>
          </w:p>
        </w:tc>
        <w:tc>
          <w:tcPr>
            <w:tcW w:w="6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6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2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0</w:t>
            </w:r>
          </w:p>
        </w:tc>
        <w:tc>
          <w:tcPr>
            <w:tcW w:w="1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b w:val="1"/>
                <w:bCs w:val="1"/>
                <w:color w:val="auto"/>
                <w:w w:val="92"/>
              </w:rPr>
              <w:t>$</w:t>
            </w:r>
          </w:p>
        </w:tc>
        <w:tc>
          <w:tcPr>
            <w:tcW w:w="70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266</w:t>
            </w:r>
          </w:p>
        </w:tc>
        <w:tc>
          <w:tcPr>
            <w:tcW w:w="10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60" w:type="dxa"/>
            <w:vAlign w:val="bottom"/>
            <w:tcBorders>
              <w:bottom w:val="single" w:sz="8" w:color="E5F1F8"/>
            </w:tcBorders>
            <w:shd w:val="clear" w:color="auto" w:fill="E5F1F8"/>
          </w:tcPr>
          <w:p>
            <w:pPr>
              <w:ind w:left="320"/>
              <w:spacing w:after="0" w:line="205" w:lineRule="exact"/>
              <w:rPr>
                <w:sz w:val="20"/>
                <w:szCs w:val="20"/>
                <w:color w:val="auto"/>
              </w:rPr>
            </w:pPr>
            <w:r>
              <w:rPr>
                <w:rFonts w:ascii="Calibri" w:cs="Calibri" w:eastAsia="Calibri" w:hAnsi="Calibri"/>
                <w:sz w:val="17"/>
                <w:szCs w:val="17"/>
                <w:color w:val="auto"/>
              </w:rPr>
              <w:t>no</w:t>
            </w:r>
          </w:p>
        </w:tc>
        <w:tc>
          <w:tcPr>
            <w:tcW w:w="82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no</w:t>
            </w:r>
          </w:p>
        </w:tc>
        <w:tc>
          <w:tcPr>
            <w:tcW w:w="6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8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600" w:type="dxa"/>
            <w:vAlign w:val="bottom"/>
          </w:tcPr>
          <w:p>
            <w:pPr>
              <w:jc w:val="center"/>
              <w:spacing w:after="0" w:line="189" w:lineRule="exact"/>
              <w:rPr>
                <w:sz w:val="20"/>
                <w:szCs w:val="20"/>
                <w:color w:val="auto"/>
              </w:rPr>
            </w:pPr>
            <w:r>
              <w:rPr>
                <w:rFonts w:ascii="Calibri" w:cs="Calibri" w:eastAsia="Calibri" w:hAnsi="Calibri"/>
                <w:sz w:val="17"/>
                <w:szCs w:val="17"/>
                <w:color w:val="auto"/>
              </w:rPr>
              <w:t>440296</w:t>
            </w: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Anderson Creek Quarry</w:t>
            </w:r>
          </w:p>
        </w:tc>
        <w:tc>
          <w:tcPr>
            <w:tcW w:w="6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3</w:t>
            </w:r>
          </w:p>
        </w:tc>
        <w:tc>
          <w:tcPr>
            <w:tcW w:w="6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6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2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Pr>
          <w:p>
            <w:pPr>
              <w:jc w:val="center"/>
              <w:spacing w:after="0" w:line="205" w:lineRule="exact"/>
              <w:rPr>
                <w:sz w:val="20"/>
                <w:szCs w:val="20"/>
                <w:color w:val="auto"/>
              </w:rPr>
            </w:pPr>
            <w:r>
              <w:rPr>
                <w:rFonts w:ascii="Calibri" w:cs="Calibri" w:eastAsia="Calibri" w:hAnsi="Calibri"/>
                <w:sz w:val="17"/>
                <w:szCs w:val="17"/>
                <w:color w:val="auto"/>
              </w:rPr>
              <w:t>0</w:t>
            </w:r>
          </w:p>
        </w:tc>
        <w:tc>
          <w:tcPr>
            <w:tcW w:w="120" w:type="dxa"/>
            <w:vAlign w:val="bottom"/>
          </w:tcPr>
          <w:p>
            <w:pPr>
              <w:ind w:left="20"/>
              <w:spacing w:after="0" w:line="205" w:lineRule="exact"/>
              <w:rPr>
                <w:sz w:val="20"/>
                <w:szCs w:val="20"/>
                <w:color w:val="auto"/>
              </w:rPr>
            </w:pPr>
            <w:r>
              <w:rPr>
                <w:rFonts w:ascii="Calibri" w:cs="Calibri" w:eastAsia="Calibri" w:hAnsi="Calibri"/>
                <w:sz w:val="17"/>
                <w:szCs w:val="17"/>
                <w:b w:val="1"/>
                <w:bCs w:val="1"/>
                <w:color w:val="auto"/>
                <w:w w:val="92"/>
              </w:rPr>
              <w:t>$</w:t>
            </w:r>
          </w:p>
        </w:tc>
        <w:tc>
          <w:tcPr>
            <w:tcW w:w="70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183</w:t>
            </w:r>
          </w:p>
        </w:tc>
        <w:tc>
          <w:tcPr>
            <w:tcW w:w="10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60" w:type="dxa"/>
            <w:vAlign w:val="bottom"/>
          </w:tcPr>
          <w:p>
            <w:pPr>
              <w:ind w:left="320"/>
              <w:spacing w:after="0" w:line="205" w:lineRule="exact"/>
              <w:rPr>
                <w:sz w:val="20"/>
                <w:szCs w:val="20"/>
                <w:color w:val="auto"/>
              </w:rPr>
            </w:pPr>
            <w:r>
              <w:rPr>
                <w:rFonts w:ascii="Calibri" w:cs="Calibri" w:eastAsia="Calibri" w:hAnsi="Calibri"/>
                <w:sz w:val="17"/>
                <w:szCs w:val="17"/>
                <w:color w:val="auto"/>
              </w:rPr>
              <w:t>no</w:t>
            </w:r>
          </w:p>
        </w:tc>
        <w:tc>
          <w:tcPr>
            <w:tcW w:w="820" w:type="dxa"/>
            <w:vAlign w:val="bottom"/>
          </w:tcPr>
          <w:p>
            <w:pPr>
              <w:jc w:val="center"/>
              <w:spacing w:after="0" w:line="205" w:lineRule="exact"/>
              <w:rPr>
                <w:sz w:val="20"/>
                <w:szCs w:val="20"/>
                <w:color w:val="auto"/>
              </w:rPr>
            </w:pPr>
            <w:r>
              <w:rPr>
                <w:rFonts w:ascii="Calibri" w:cs="Calibri" w:eastAsia="Calibri" w:hAnsi="Calibri"/>
                <w:sz w:val="17"/>
                <w:szCs w:val="17"/>
                <w:color w:val="auto"/>
              </w:rPr>
              <w:t>no</w:t>
            </w:r>
          </w:p>
        </w:tc>
        <w:tc>
          <w:tcPr>
            <w:tcW w:w="6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80" w:type="dxa"/>
            <w:vAlign w:val="bottom"/>
          </w:tcPr>
          <w:p>
            <w:pPr>
              <w:jc w:val="center"/>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600" w:type="dxa"/>
            <w:vAlign w:val="bottom"/>
            <w:shd w:val="clear" w:color="auto" w:fill="E5F1F8"/>
          </w:tcPr>
          <w:p>
            <w:pPr>
              <w:jc w:val="center"/>
              <w:spacing w:after="0" w:line="189" w:lineRule="exact"/>
              <w:rPr>
                <w:sz w:val="20"/>
                <w:szCs w:val="20"/>
                <w:color w:val="auto"/>
              </w:rPr>
            </w:pPr>
            <w:r>
              <w:rPr>
                <w:rFonts w:ascii="Calibri" w:cs="Calibri" w:eastAsia="Calibri" w:hAnsi="Calibri"/>
                <w:sz w:val="17"/>
                <w:szCs w:val="17"/>
                <w:color w:val="auto"/>
              </w:rPr>
              <w:t>090108</w:t>
            </w:r>
          </w:p>
        </w:tc>
        <w:tc>
          <w:tcPr>
            <w:tcW w:w="64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12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10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20" w:type="dxa"/>
            <w:vAlign w:val="bottom"/>
            <w:shd w:val="clear" w:color="auto" w:fill="E5F1F8"/>
          </w:tcPr>
          <w:p>
            <w:pPr>
              <w:spacing w:after="0"/>
              <w:rPr>
                <w:sz w:val="16"/>
                <w:szCs w:val="16"/>
                <w:color w:val="auto"/>
              </w:rPr>
            </w:pPr>
          </w:p>
        </w:tc>
        <w:tc>
          <w:tcPr>
            <w:tcW w:w="64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Appling Quarry</w:t>
            </w:r>
          </w:p>
        </w:tc>
        <w:tc>
          <w:tcPr>
            <w:tcW w:w="6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3</w:t>
            </w:r>
          </w:p>
        </w:tc>
        <w:tc>
          <w:tcPr>
            <w:tcW w:w="6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6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2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0</w:t>
            </w:r>
          </w:p>
        </w:tc>
        <w:tc>
          <w:tcPr>
            <w:tcW w:w="1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b w:val="1"/>
                <w:bCs w:val="1"/>
                <w:color w:val="auto"/>
                <w:w w:val="92"/>
              </w:rPr>
              <w:t>$</w:t>
            </w:r>
          </w:p>
        </w:tc>
        <w:tc>
          <w:tcPr>
            <w:tcW w:w="70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133</w:t>
            </w:r>
          </w:p>
        </w:tc>
        <w:tc>
          <w:tcPr>
            <w:tcW w:w="10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60" w:type="dxa"/>
            <w:vAlign w:val="bottom"/>
            <w:tcBorders>
              <w:bottom w:val="single" w:sz="8" w:color="E5F1F8"/>
            </w:tcBorders>
            <w:shd w:val="clear" w:color="auto" w:fill="E5F1F8"/>
          </w:tcPr>
          <w:p>
            <w:pPr>
              <w:ind w:left="320"/>
              <w:spacing w:after="0" w:line="205" w:lineRule="exact"/>
              <w:rPr>
                <w:sz w:val="20"/>
                <w:szCs w:val="20"/>
                <w:color w:val="auto"/>
              </w:rPr>
            </w:pPr>
            <w:r>
              <w:rPr>
                <w:rFonts w:ascii="Calibri" w:cs="Calibri" w:eastAsia="Calibri" w:hAnsi="Calibri"/>
                <w:sz w:val="17"/>
                <w:szCs w:val="17"/>
                <w:color w:val="auto"/>
              </w:rPr>
              <w:t>no</w:t>
            </w:r>
          </w:p>
        </w:tc>
        <w:tc>
          <w:tcPr>
            <w:tcW w:w="82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no</w:t>
            </w:r>
          </w:p>
        </w:tc>
        <w:tc>
          <w:tcPr>
            <w:tcW w:w="6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8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600" w:type="dxa"/>
            <w:vAlign w:val="bottom"/>
          </w:tcPr>
          <w:p>
            <w:pPr>
              <w:jc w:val="center"/>
              <w:spacing w:after="0" w:line="189" w:lineRule="exact"/>
              <w:rPr>
                <w:sz w:val="20"/>
                <w:szCs w:val="20"/>
                <w:color w:val="auto"/>
              </w:rPr>
            </w:pPr>
            <w:r>
              <w:rPr>
                <w:rFonts w:ascii="Calibri" w:cs="Calibri" w:eastAsia="Calibri" w:hAnsi="Calibri"/>
                <w:sz w:val="17"/>
                <w:szCs w:val="17"/>
                <w:color w:val="auto"/>
              </w:rPr>
              <w:t>310005</w:t>
            </w: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Arrowood Quarry</w:t>
            </w:r>
          </w:p>
        </w:tc>
        <w:tc>
          <w:tcPr>
            <w:tcW w:w="6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9</w:t>
            </w:r>
          </w:p>
        </w:tc>
        <w:tc>
          <w:tcPr>
            <w:tcW w:w="6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1</w:t>
            </w:r>
          </w:p>
        </w:tc>
        <w:tc>
          <w:tcPr>
            <w:tcW w:w="66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2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Pr>
          <w:p>
            <w:pPr>
              <w:jc w:val="center"/>
              <w:spacing w:after="0" w:line="205" w:lineRule="exact"/>
              <w:rPr>
                <w:sz w:val="20"/>
                <w:szCs w:val="20"/>
                <w:color w:val="auto"/>
              </w:rPr>
            </w:pPr>
            <w:r>
              <w:rPr>
                <w:rFonts w:ascii="Calibri" w:cs="Calibri" w:eastAsia="Calibri" w:hAnsi="Calibri"/>
                <w:sz w:val="17"/>
                <w:szCs w:val="17"/>
                <w:color w:val="auto"/>
              </w:rPr>
              <w:t>0</w:t>
            </w:r>
          </w:p>
        </w:tc>
        <w:tc>
          <w:tcPr>
            <w:tcW w:w="120" w:type="dxa"/>
            <w:vAlign w:val="bottom"/>
          </w:tcPr>
          <w:p>
            <w:pPr>
              <w:ind w:left="20"/>
              <w:spacing w:after="0" w:line="205" w:lineRule="exact"/>
              <w:rPr>
                <w:sz w:val="20"/>
                <w:szCs w:val="20"/>
                <w:color w:val="auto"/>
              </w:rPr>
            </w:pPr>
            <w:r>
              <w:rPr>
                <w:rFonts w:ascii="Calibri" w:cs="Calibri" w:eastAsia="Calibri" w:hAnsi="Calibri"/>
                <w:sz w:val="17"/>
                <w:szCs w:val="17"/>
                <w:b w:val="1"/>
                <w:bCs w:val="1"/>
                <w:color w:val="auto"/>
                <w:w w:val="92"/>
              </w:rPr>
              <w:t>$</w:t>
            </w:r>
          </w:p>
        </w:tc>
        <w:tc>
          <w:tcPr>
            <w:tcW w:w="70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454</w:t>
            </w:r>
          </w:p>
        </w:tc>
        <w:tc>
          <w:tcPr>
            <w:tcW w:w="10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60" w:type="dxa"/>
            <w:vAlign w:val="bottom"/>
          </w:tcPr>
          <w:p>
            <w:pPr>
              <w:ind w:left="320"/>
              <w:spacing w:after="0" w:line="205" w:lineRule="exact"/>
              <w:rPr>
                <w:sz w:val="20"/>
                <w:szCs w:val="20"/>
                <w:color w:val="auto"/>
              </w:rPr>
            </w:pPr>
            <w:r>
              <w:rPr>
                <w:rFonts w:ascii="Calibri" w:cs="Calibri" w:eastAsia="Calibri" w:hAnsi="Calibri"/>
                <w:sz w:val="17"/>
                <w:szCs w:val="17"/>
                <w:color w:val="auto"/>
              </w:rPr>
              <w:t>no</w:t>
            </w:r>
          </w:p>
        </w:tc>
        <w:tc>
          <w:tcPr>
            <w:tcW w:w="820" w:type="dxa"/>
            <w:vAlign w:val="bottom"/>
          </w:tcPr>
          <w:p>
            <w:pPr>
              <w:jc w:val="center"/>
              <w:spacing w:after="0" w:line="205" w:lineRule="exact"/>
              <w:rPr>
                <w:sz w:val="20"/>
                <w:szCs w:val="20"/>
                <w:color w:val="auto"/>
              </w:rPr>
            </w:pPr>
            <w:r>
              <w:rPr>
                <w:rFonts w:ascii="Calibri" w:cs="Calibri" w:eastAsia="Calibri" w:hAnsi="Calibri"/>
                <w:sz w:val="17"/>
                <w:szCs w:val="17"/>
                <w:color w:val="auto"/>
              </w:rPr>
              <w:t>no</w:t>
            </w:r>
          </w:p>
        </w:tc>
        <w:tc>
          <w:tcPr>
            <w:tcW w:w="6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80" w:type="dxa"/>
            <w:vAlign w:val="bottom"/>
          </w:tcPr>
          <w:p>
            <w:pPr>
              <w:jc w:val="center"/>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600" w:type="dxa"/>
            <w:vAlign w:val="bottom"/>
            <w:shd w:val="clear" w:color="auto" w:fill="E5F1F8"/>
          </w:tcPr>
          <w:p>
            <w:pPr>
              <w:jc w:val="center"/>
              <w:spacing w:after="0" w:line="189" w:lineRule="exact"/>
              <w:rPr>
                <w:sz w:val="20"/>
                <w:szCs w:val="20"/>
                <w:color w:val="auto"/>
              </w:rPr>
            </w:pPr>
            <w:r>
              <w:rPr>
                <w:rFonts w:ascii="Calibri" w:cs="Calibri" w:eastAsia="Calibri" w:hAnsi="Calibri"/>
                <w:sz w:val="17"/>
                <w:szCs w:val="17"/>
                <w:color w:val="auto"/>
              </w:rPr>
              <w:t>310006</w:t>
            </w:r>
          </w:p>
        </w:tc>
        <w:tc>
          <w:tcPr>
            <w:tcW w:w="64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12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10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20" w:type="dxa"/>
            <w:vAlign w:val="bottom"/>
            <w:shd w:val="clear" w:color="auto" w:fill="E5F1F8"/>
          </w:tcPr>
          <w:p>
            <w:pPr>
              <w:spacing w:after="0"/>
              <w:rPr>
                <w:sz w:val="16"/>
                <w:szCs w:val="16"/>
                <w:color w:val="auto"/>
              </w:rPr>
            </w:pPr>
          </w:p>
        </w:tc>
        <w:tc>
          <w:tcPr>
            <w:tcW w:w="64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Asheboro Quarry</w:t>
            </w:r>
          </w:p>
        </w:tc>
        <w:tc>
          <w:tcPr>
            <w:tcW w:w="6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6</w:t>
            </w:r>
          </w:p>
        </w:tc>
        <w:tc>
          <w:tcPr>
            <w:tcW w:w="6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6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2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0</w:t>
            </w:r>
          </w:p>
        </w:tc>
        <w:tc>
          <w:tcPr>
            <w:tcW w:w="1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b w:val="1"/>
                <w:bCs w:val="1"/>
                <w:color w:val="auto"/>
                <w:w w:val="92"/>
              </w:rPr>
              <w:t>$</w:t>
            </w:r>
          </w:p>
        </w:tc>
        <w:tc>
          <w:tcPr>
            <w:tcW w:w="70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10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60" w:type="dxa"/>
            <w:vAlign w:val="bottom"/>
            <w:tcBorders>
              <w:bottom w:val="single" w:sz="8" w:color="E5F1F8"/>
            </w:tcBorders>
            <w:shd w:val="clear" w:color="auto" w:fill="E5F1F8"/>
          </w:tcPr>
          <w:p>
            <w:pPr>
              <w:ind w:left="320"/>
              <w:spacing w:after="0" w:line="205" w:lineRule="exact"/>
              <w:rPr>
                <w:sz w:val="20"/>
                <w:szCs w:val="20"/>
                <w:color w:val="auto"/>
              </w:rPr>
            </w:pPr>
            <w:r>
              <w:rPr>
                <w:rFonts w:ascii="Calibri" w:cs="Calibri" w:eastAsia="Calibri" w:hAnsi="Calibri"/>
                <w:sz w:val="17"/>
                <w:szCs w:val="17"/>
                <w:color w:val="auto"/>
              </w:rPr>
              <w:t>no</w:t>
            </w:r>
          </w:p>
        </w:tc>
        <w:tc>
          <w:tcPr>
            <w:tcW w:w="82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no</w:t>
            </w:r>
          </w:p>
        </w:tc>
        <w:tc>
          <w:tcPr>
            <w:tcW w:w="6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8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600" w:type="dxa"/>
            <w:vAlign w:val="bottom"/>
          </w:tcPr>
          <w:p>
            <w:pPr>
              <w:jc w:val="center"/>
              <w:spacing w:after="0" w:line="189" w:lineRule="exact"/>
              <w:rPr>
                <w:sz w:val="20"/>
                <w:szCs w:val="20"/>
                <w:color w:val="auto"/>
              </w:rPr>
            </w:pPr>
            <w:r>
              <w:rPr>
                <w:rFonts w:ascii="Calibri" w:cs="Calibri" w:eastAsia="Calibri" w:hAnsi="Calibri"/>
                <w:sz w:val="17"/>
                <w:szCs w:val="17"/>
                <w:color w:val="auto"/>
              </w:rPr>
              <w:t>010000</w:t>
            </w: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Auburn Al Quarry</w:t>
            </w:r>
          </w:p>
        </w:tc>
        <w:tc>
          <w:tcPr>
            <w:tcW w:w="6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6</w:t>
            </w:r>
          </w:p>
        </w:tc>
        <w:tc>
          <w:tcPr>
            <w:tcW w:w="6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6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2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Pr>
          <w:p>
            <w:pPr>
              <w:jc w:val="center"/>
              <w:spacing w:after="0" w:line="205" w:lineRule="exact"/>
              <w:rPr>
                <w:sz w:val="20"/>
                <w:szCs w:val="20"/>
                <w:color w:val="auto"/>
              </w:rPr>
            </w:pPr>
            <w:r>
              <w:rPr>
                <w:rFonts w:ascii="Calibri" w:cs="Calibri" w:eastAsia="Calibri" w:hAnsi="Calibri"/>
                <w:sz w:val="17"/>
                <w:szCs w:val="17"/>
                <w:color w:val="auto"/>
              </w:rPr>
              <w:t>0</w:t>
            </w:r>
          </w:p>
        </w:tc>
        <w:tc>
          <w:tcPr>
            <w:tcW w:w="120" w:type="dxa"/>
            <w:vAlign w:val="bottom"/>
          </w:tcPr>
          <w:p>
            <w:pPr>
              <w:ind w:left="20"/>
              <w:spacing w:after="0" w:line="205" w:lineRule="exact"/>
              <w:rPr>
                <w:sz w:val="20"/>
                <w:szCs w:val="20"/>
                <w:color w:val="auto"/>
              </w:rPr>
            </w:pPr>
            <w:r>
              <w:rPr>
                <w:rFonts w:ascii="Calibri" w:cs="Calibri" w:eastAsia="Calibri" w:hAnsi="Calibri"/>
                <w:sz w:val="17"/>
                <w:szCs w:val="17"/>
                <w:b w:val="1"/>
                <w:bCs w:val="1"/>
                <w:color w:val="auto"/>
                <w:w w:val="92"/>
              </w:rPr>
              <w:t>$</w:t>
            </w:r>
          </w:p>
        </w:tc>
        <w:tc>
          <w:tcPr>
            <w:tcW w:w="70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133</w:t>
            </w:r>
          </w:p>
        </w:tc>
        <w:tc>
          <w:tcPr>
            <w:tcW w:w="10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60" w:type="dxa"/>
            <w:vAlign w:val="bottom"/>
          </w:tcPr>
          <w:p>
            <w:pPr>
              <w:ind w:left="320"/>
              <w:spacing w:after="0" w:line="205" w:lineRule="exact"/>
              <w:rPr>
                <w:sz w:val="20"/>
                <w:szCs w:val="20"/>
                <w:color w:val="auto"/>
              </w:rPr>
            </w:pPr>
            <w:r>
              <w:rPr>
                <w:rFonts w:ascii="Calibri" w:cs="Calibri" w:eastAsia="Calibri" w:hAnsi="Calibri"/>
                <w:sz w:val="17"/>
                <w:szCs w:val="17"/>
                <w:color w:val="auto"/>
              </w:rPr>
              <w:t>no</w:t>
            </w:r>
          </w:p>
        </w:tc>
        <w:tc>
          <w:tcPr>
            <w:tcW w:w="820" w:type="dxa"/>
            <w:vAlign w:val="bottom"/>
          </w:tcPr>
          <w:p>
            <w:pPr>
              <w:jc w:val="center"/>
              <w:spacing w:after="0" w:line="205" w:lineRule="exact"/>
              <w:rPr>
                <w:sz w:val="20"/>
                <w:szCs w:val="20"/>
                <w:color w:val="auto"/>
              </w:rPr>
            </w:pPr>
            <w:r>
              <w:rPr>
                <w:rFonts w:ascii="Calibri" w:cs="Calibri" w:eastAsia="Calibri" w:hAnsi="Calibri"/>
                <w:sz w:val="17"/>
                <w:szCs w:val="17"/>
                <w:color w:val="auto"/>
              </w:rPr>
              <w:t>no</w:t>
            </w:r>
          </w:p>
        </w:tc>
        <w:tc>
          <w:tcPr>
            <w:tcW w:w="6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80" w:type="dxa"/>
            <w:vAlign w:val="bottom"/>
          </w:tcPr>
          <w:p>
            <w:pPr>
              <w:jc w:val="center"/>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600" w:type="dxa"/>
            <w:vAlign w:val="bottom"/>
            <w:shd w:val="clear" w:color="auto" w:fill="E5F1F8"/>
          </w:tcPr>
          <w:p>
            <w:pPr>
              <w:jc w:val="center"/>
              <w:spacing w:after="0" w:line="189" w:lineRule="exact"/>
              <w:rPr>
                <w:sz w:val="20"/>
                <w:szCs w:val="20"/>
                <w:color w:val="auto"/>
              </w:rPr>
            </w:pPr>
            <w:r>
              <w:rPr>
                <w:rFonts w:ascii="Calibri" w:cs="Calibri" w:eastAsia="Calibri" w:hAnsi="Calibri"/>
                <w:sz w:val="17"/>
                <w:szCs w:val="17"/>
                <w:color w:val="auto"/>
              </w:rPr>
              <w:t>090043</w:t>
            </w:r>
          </w:p>
        </w:tc>
        <w:tc>
          <w:tcPr>
            <w:tcW w:w="64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12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10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20" w:type="dxa"/>
            <w:vAlign w:val="bottom"/>
            <w:shd w:val="clear" w:color="auto" w:fill="E5F1F8"/>
          </w:tcPr>
          <w:p>
            <w:pPr>
              <w:spacing w:after="0"/>
              <w:rPr>
                <w:sz w:val="16"/>
                <w:szCs w:val="16"/>
                <w:color w:val="auto"/>
              </w:rPr>
            </w:pPr>
          </w:p>
        </w:tc>
        <w:tc>
          <w:tcPr>
            <w:tcW w:w="64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Auburn GA Quarry</w:t>
            </w:r>
          </w:p>
        </w:tc>
        <w:tc>
          <w:tcPr>
            <w:tcW w:w="6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6</w:t>
            </w:r>
          </w:p>
        </w:tc>
        <w:tc>
          <w:tcPr>
            <w:tcW w:w="6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6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2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0</w:t>
            </w:r>
          </w:p>
        </w:tc>
        <w:tc>
          <w:tcPr>
            <w:tcW w:w="1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b w:val="1"/>
                <w:bCs w:val="1"/>
                <w:color w:val="auto"/>
                <w:w w:val="92"/>
              </w:rPr>
              <w:t>$</w:t>
            </w:r>
          </w:p>
        </w:tc>
        <w:tc>
          <w:tcPr>
            <w:tcW w:w="70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632</w:t>
            </w:r>
          </w:p>
        </w:tc>
        <w:tc>
          <w:tcPr>
            <w:tcW w:w="10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60" w:type="dxa"/>
            <w:vAlign w:val="bottom"/>
            <w:tcBorders>
              <w:bottom w:val="single" w:sz="8" w:color="E5F1F8"/>
            </w:tcBorders>
            <w:shd w:val="clear" w:color="auto" w:fill="E5F1F8"/>
          </w:tcPr>
          <w:p>
            <w:pPr>
              <w:ind w:left="320"/>
              <w:spacing w:after="0" w:line="205" w:lineRule="exact"/>
              <w:rPr>
                <w:sz w:val="20"/>
                <w:szCs w:val="20"/>
                <w:color w:val="auto"/>
              </w:rPr>
            </w:pPr>
            <w:r>
              <w:rPr>
                <w:rFonts w:ascii="Calibri" w:cs="Calibri" w:eastAsia="Calibri" w:hAnsi="Calibri"/>
                <w:sz w:val="17"/>
                <w:szCs w:val="17"/>
                <w:color w:val="auto"/>
              </w:rPr>
              <w:t>no</w:t>
            </w:r>
          </w:p>
        </w:tc>
        <w:tc>
          <w:tcPr>
            <w:tcW w:w="82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no</w:t>
            </w:r>
          </w:p>
        </w:tc>
        <w:tc>
          <w:tcPr>
            <w:tcW w:w="6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8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600" w:type="dxa"/>
            <w:vAlign w:val="bottom"/>
          </w:tcPr>
          <w:p>
            <w:pPr>
              <w:jc w:val="center"/>
              <w:spacing w:after="0" w:line="189" w:lineRule="exact"/>
              <w:rPr>
                <w:sz w:val="20"/>
                <w:szCs w:val="20"/>
                <w:color w:val="auto"/>
              </w:rPr>
            </w:pPr>
            <w:r>
              <w:rPr>
                <w:rFonts w:ascii="Calibri" w:cs="Calibri" w:eastAsia="Calibri" w:hAnsi="Calibri"/>
                <w:sz w:val="17"/>
                <w:szCs w:val="17"/>
                <w:color w:val="auto"/>
              </w:rPr>
              <w:t>090006</w:t>
            </w: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Augusta GA Quarry</w:t>
            </w:r>
          </w:p>
        </w:tc>
        <w:tc>
          <w:tcPr>
            <w:tcW w:w="6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5</w:t>
            </w:r>
          </w:p>
        </w:tc>
        <w:tc>
          <w:tcPr>
            <w:tcW w:w="6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6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2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Pr>
          <w:p>
            <w:pPr>
              <w:jc w:val="center"/>
              <w:spacing w:after="0" w:line="205" w:lineRule="exact"/>
              <w:rPr>
                <w:sz w:val="20"/>
                <w:szCs w:val="20"/>
                <w:color w:val="auto"/>
              </w:rPr>
            </w:pPr>
            <w:r>
              <w:rPr>
                <w:rFonts w:ascii="Calibri" w:cs="Calibri" w:eastAsia="Calibri" w:hAnsi="Calibri"/>
                <w:sz w:val="17"/>
                <w:szCs w:val="17"/>
                <w:color w:val="auto"/>
              </w:rPr>
              <w:t>0</w:t>
            </w:r>
          </w:p>
        </w:tc>
        <w:tc>
          <w:tcPr>
            <w:tcW w:w="120" w:type="dxa"/>
            <w:vAlign w:val="bottom"/>
          </w:tcPr>
          <w:p>
            <w:pPr>
              <w:ind w:left="20"/>
              <w:spacing w:after="0" w:line="205" w:lineRule="exact"/>
              <w:rPr>
                <w:sz w:val="20"/>
                <w:szCs w:val="20"/>
                <w:color w:val="auto"/>
              </w:rPr>
            </w:pPr>
            <w:r>
              <w:rPr>
                <w:rFonts w:ascii="Calibri" w:cs="Calibri" w:eastAsia="Calibri" w:hAnsi="Calibri"/>
                <w:sz w:val="17"/>
                <w:szCs w:val="17"/>
                <w:b w:val="1"/>
                <w:bCs w:val="1"/>
                <w:color w:val="auto"/>
                <w:w w:val="92"/>
              </w:rPr>
              <w:t>$</w:t>
            </w:r>
          </w:p>
        </w:tc>
        <w:tc>
          <w:tcPr>
            <w:tcW w:w="70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266</w:t>
            </w:r>
          </w:p>
        </w:tc>
        <w:tc>
          <w:tcPr>
            <w:tcW w:w="10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60" w:type="dxa"/>
            <w:vAlign w:val="bottom"/>
          </w:tcPr>
          <w:p>
            <w:pPr>
              <w:ind w:left="320"/>
              <w:spacing w:after="0" w:line="205" w:lineRule="exact"/>
              <w:rPr>
                <w:sz w:val="20"/>
                <w:szCs w:val="20"/>
                <w:color w:val="auto"/>
              </w:rPr>
            </w:pPr>
            <w:r>
              <w:rPr>
                <w:rFonts w:ascii="Calibri" w:cs="Calibri" w:eastAsia="Calibri" w:hAnsi="Calibri"/>
                <w:sz w:val="17"/>
                <w:szCs w:val="17"/>
                <w:color w:val="auto"/>
              </w:rPr>
              <w:t>no</w:t>
            </w:r>
          </w:p>
        </w:tc>
        <w:tc>
          <w:tcPr>
            <w:tcW w:w="820" w:type="dxa"/>
            <w:vAlign w:val="bottom"/>
          </w:tcPr>
          <w:p>
            <w:pPr>
              <w:jc w:val="center"/>
              <w:spacing w:after="0" w:line="205" w:lineRule="exact"/>
              <w:rPr>
                <w:sz w:val="20"/>
                <w:szCs w:val="20"/>
                <w:color w:val="auto"/>
              </w:rPr>
            </w:pPr>
            <w:r>
              <w:rPr>
                <w:rFonts w:ascii="Calibri" w:cs="Calibri" w:eastAsia="Calibri" w:hAnsi="Calibri"/>
                <w:sz w:val="17"/>
                <w:szCs w:val="17"/>
                <w:color w:val="auto"/>
              </w:rPr>
              <w:t>no</w:t>
            </w:r>
          </w:p>
        </w:tc>
        <w:tc>
          <w:tcPr>
            <w:tcW w:w="6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80" w:type="dxa"/>
            <w:vAlign w:val="bottom"/>
          </w:tcPr>
          <w:p>
            <w:pPr>
              <w:jc w:val="center"/>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600" w:type="dxa"/>
            <w:vAlign w:val="bottom"/>
            <w:shd w:val="clear" w:color="auto" w:fill="E5F1F8"/>
          </w:tcPr>
          <w:p>
            <w:pPr>
              <w:jc w:val="center"/>
              <w:spacing w:after="0" w:line="189" w:lineRule="exact"/>
              <w:rPr>
                <w:sz w:val="20"/>
                <w:szCs w:val="20"/>
                <w:color w:val="auto"/>
              </w:rPr>
            </w:pPr>
            <w:r>
              <w:rPr>
                <w:rFonts w:ascii="Calibri" w:cs="Calibri" w:eastAsia="Calibri" w:hAnsi="Calibri"/>
                <w:sz w:val="17"/>
                <w:szCs w:val="17"/>
                <w:color w:val="auto"/>
              </w:rPr>
              <w:t>310007</w:t>
            </w:r>
          </w:p>
        </w:tc>
        <w:tc>
          <w:tcPr>
            <w:tcW w:w="64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12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10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20" w:type="dxa"/>
            <w:vAlign w:val="bottom"/>
            <w:shd w:val="clear" w:color="auto" w:fill="E5F1F8"/>
          </w:tcPr>
          <w:p>
            <w:pPr>
              <w:spacing w:after="0"/>
              <w:rPr>
                <w:sz w:val="16"/>
                <w:szCs w:val="16"/>
                <w:color w:val="auto"/>
              </w:rPr>
            </w:pPr>
          </w:p>
        </w:tc>
        <w:tc>
          <w:tcPr>
            <w:tcW w:w="64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Bakers Quarry</w:t>
            </w:r>
          </w:p>
        </w:tc>
        <w:tc>
          <w:tcPr>
            <w:tcW w:w="6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1</w:t>
            </w:r>
          </w:p>
        </w:tc>
        <w:tc>
          <w:tcPr>
            <w:tcW w:w="6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1</w:t>
            </w:r>
          </w:p>
        </w:tc>
        <w:tc>
          <w:tcPr>
            <w:tcW w:w="66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2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0</w:t>
            </w:r>
          </w:p>
        </w:tc>
        <w:tc>
          <w:tcPr>
            <w:tcW w:w="1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b w:val="1"/>
                <w:bCs w:val="1"/>
                <w:color w:val="auto"/>
                <w:w w:val="92"/>
              </w:rPr>
              <w:t>$</w:t>
            </w:r>
          </w:p>
        </w:tc>
        <w:tc>
          <w:tcPr>
            <w:tcW w:w="70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442</w:t>
            </w:r>
          </w:p>
        </w:tc>
        <w:tc>
          <w:tcPr>
            <w:tcW w:w="10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60" w:type="dxa"/>
            <w:vAlign w:val="bottom"/>
            <w:tcBorders>
              <w:bottom w:val="single" w:sz="8" w:color="E5F1F8"/>
            </w:tcBorders>
            <w:shd w:val="clear" w:color="auto" w:fill="E5F1F8"/>
          </w:tcPr>
          <w:p>
            <w:pPr>
              <w:ind w:left="320"/>
              <w:spacing w:after="0" w:line="205" w:lineRule="exact"/>
              <w:rPr>
                <w:sz w:val="20"/>
                <w:szCs w:val="20"/>
                <w:color w:val="auto"/>
              </w:rPr>
            </w:pPr>
            <w:r>
              <w:rPr>
                <w:rFonts w:ascii="Calibri" w:cs="Calibri" w:eastAsia="Calibri" w:hAnsi="Calibri"/>
                <w:sz w:val="17"/>
                <w:szCs w:val="17"/>
                <w:color w:val="auto"/>
              </w:rPr>
              <w:t>no</w:t>
            </w:r>
          </w:p>
        </w:tc>
        <w:tc>
          <w:tcPr>
            <w:tcW w:w="82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no</w:t>
            </w:r>
          </w:p>
        </w:tc>
        <w:tc>
          <w:tcPr>
            <w:tcW w:w="6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8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1</w:t>
            </w:r>
          </w:p>
        </w:tc>
        <w:tc>
          <w:tcPr>
            <w:tcW w:w="8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1</w:t>
            </w:r>
          </w:p>
        </w:tc>
      </w:tr>
      <w:tr>
        <w:trPr>
          <w:trHeight w:val="189"/>
        </w:trPr>
        <w:tc>
          <w:tcPr>
            <w:tcW w:w="1720" w:type="dxa"/>
            <w:vAlign w:val="bottom"/>
          </w:tcPr>
          <w:p>
            <w:pPr>
              <w:spacing w:after="0"/>
              <w:rPr>
                <w:sz w:val="16"/>
                <w:szCs w:val="16"/>
                <w:color w:val="auto"/>
              </w:rPr>
            </w:pPr>
          </w:p>
        </w:tc>
        <w:tc>
          <w:tcPr>
            <w:tcW w:w="600" w:type="dxa"/>
            <w:vAlign w:val="bottom"/>
          </w:tcPr>
          <w:p>
            <w:pPr>
              <w:jc w:val="center"/>
              <w:spacing w:after="0" w:line="189" w:lineRule="exact"/>
              <w:rPr>
                <w:sz w:val="20"/>
                <w:szCs w:val="20"/>
                <w:color w:val="auto"/>
              </w:rPr>
            </w:pPr>
            <w:r>
              <w:rPr>
                <w:rFonts w:ascii="Calibri" w:cs="Calibri" w:eastAsia="Calibri" w:hAnsi="Calibri"/>
                <w:sz w:val="17"/>
                <w:szCs w:val="17"/>
                <w:color w:val="auto"/>
              </w:rPr>
              <w:t>090095</w:t>
            </w: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Ball Ground Quarry</w:t>
            </w:r>
          </w:p>
        </w:tc>
        <w:tc>
          <w:tcPr>
            <w:tcW w:w="6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5</w:t>
            </w:r>
          </w:p>
        </w:tc>
        <w:tc>
          <w:tcPr>
            <w:tcW w:w="6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6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2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Pr>
          <w:p>
            <w:pPr>
              <w:jc w:val="center"/>
              <w:spacing w:after="0" w:line="205" w:lineRule="exact"/>
              <w:rPr>
                <w:sz w:val="20"/>
                <w:szCs w:val="20"/>
                <w:color w:val="auto"/>
              </w:rPr>
            </w:pPr>
            <w:r>
              <w:rPr>
                <w:rFonts w:ascii="Calibri" w:cs="Calibri" w:eastAsia="Calibri" w:hAnsi="Calibri"/>
                <w:sz w:val="17"/>
                <w:szCs w:val="17"/>
                <w:color w:val="auto"/>
              </w:rPr>
              <w:t>0</w:t>
            </w:r>
          </w:p>
        </w:tc>
        <w:tc>
          <w:tcPr>
            <w:tcW w:w="120" w:type="dxa"/>
            <w:vAlign w:val="bottom"/>
          </w:tcPr>
          <w:p>
            <w:pPr>
              <w:ind w:left="20"/>
              <w:spacing w:after="0" w:line="205" w:lineRule="exact"/>
              <w:rPr>
                <w:sz w:val="20"/>
                <w:szCs w:val="20"/>
                <w:color w:val="auto"/>
              </w:rPr>
            </w:pPr>
            <w:r>
              <w:rPr>
                <w:rFonts w:ascii="Calibri" w:cs="Calibri" w:eastAsia="Calibri" w:hAnsi="Calibri"/>
                <w:sz w:val="17"/>
                <w:szCs w:val="17"/>
                <w:b w:val="1"/>
                <w:bCs w:val="1"/>
                <w:color w:val="auto"/>
                <w:w w:val="92"/>
              </w:rPr>
              <w:t>$</w:t>
            </w:r>
          </w:p>
        </w:tc>
        <w:tc>
          <w:tcPr>
            <w:tcW w:w="70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10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60" w:type="dxa"/>
            <w:vAlign w:val="bottom"/>
          </w:tcPr>
          <w:p>
            <w:pPr>
              <w:ind w:left="320"/>
              <w:spacing w:after="0" w:line="205" w:lineRule="exact"/>
              <w:rPr>
                <w:sz w:val="20"/>
                <w:szCs w:val="20"/>
                <w:color w:val="auto"/>
              </w:rPr>
            </w:pPr>
            <w:r>
              <w:rPr>
                <w:rFonts w:ascii="Calibri" w:cs="Calibri" w:eastAsia="Calibri" w:hAnsi="Calibri"/>
                <w:sz w:val="17"/>
                <w:szCs w:val="17"/>
                <w:color w:val="auto"/>
              </w:rPr>
              <w:t>no</w:t>
            </w:r>
          </w:p>
        </w:tc>
        <w:tc>
          <w:tcPr>
            <w:tcW w:w="820" w:type="dxa"/>
            <w:vAlign w:val="bottom"/>
          </w:tcPr>
          <w:p>
            <w:pPr>
              <w:jc w:val="center"/>
              <w:spacing w:after="0" w:line="205" w:lineRule="exact"/>
              <w:rPr>
                <w:sz w:val="20"/>
                <w:szCs w:val="20"/>
                <w:color w:val="auto"/>
              </w:rPr>
            </w:pPr>
            <w:r>
              <w:rPr>
                <w:rFonts w:ascii="Calibri" w:cs="Calibri" w:eastAsia="Calibri" w:hAnsi="Calibri"/>
                <w:sz w:val="17"/>
                <w:szCs w:val="17"/>
                <w:color w:val="auto"/>
              </w:rPr>
              <w:t>no</w:t>
            </w:r>
          </w:p>
        </w:tc>
        <w:tc>
          <w:tcPr>
            <w:tcW w:w="6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80" w:type="dxa"/>
            <w:vAlign w:val="bottom"/>
          </w:tcPr>
          <w:p>
            <w:pPr>
              <w:jc w:val="center"/>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600" w:type="dxa"/>
            <w:vAlign w:val="bottom"/>
            <w:shd w:val="clear" w:color="auto" w:fill="E5F1F8"/>
          </w:tcPr>
          <w:p>
            <w:pPr>
              <w:jc w:val="center"/>
              <w:spacing w:after="0" w:line="189" w:lineRule="exact"/>
              <w:rPr>
                <w:sz w:val="20"/>
                <w:szCs w:val="20"/>
                <w:color w:val="auto"/>
              </w:rPr>
            </w:pPr>
            <w:r>
              <w:rPr>
                <w:rFonts w:ascii="Calibri" w:cs="Calibri" w:eastAsia="Calibri" w:hAnsi="Calibri"/>
                <w:sz w:val="17"/>
                <w:szCs w:val="17"/>
                <w:color w:val="auto"/>
              </w:rPr>
              <w:t>310006</w:t>
            </w:r>
          </w:p>
        </w:tc>
        <w:tc>
          <w:tcPr>
            <w:tcW w:w="64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12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10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20" w:type="dxa"/>
            <w:vAlign w:val="bottom"/>
            <w:shd w:val="clear" w:color="auto" w:fill="E5F1F8"/>
          </w:tcPr>
          <w:p>
            <w:pPr>
              <w:spacing w:after="0"/>
              <w:rPr>
                <w:sz w:val="16"/>
                <w:szCs w:val="16"/>
                <w:color w:val="auto"/>
              </w:rPr>
            </w:pPr>
          </w:p>
        </w:tc>
        <w:tc>
          <w:tcPr>
            <w:tcW w:w="64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Belgrade Quarry</w:t>
            </w:r>
          </w:p>
        </w:tc>
        <w:tc>
          <w:tcPr>
            <w:tcW w:w="6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4</w:t>
            </w:r>
          </w:p>
        </w:tc>
        <w:tc>
          <w:tcPr>
            <w:tcW w:w="6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6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2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0</w:t>
            </w:r>
          </w:p>
        </w:tc>
        <w:tc>
          <w:tcPr>
            <w:tcW w:w="1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b w:val="1"/>
                <w:bCs w:val="1"/>
                <w:color w:val="auto"/>
                <w:w w:val="92"/>
              </w:rPr>
              <w:t>$</w:t>
            </w:r>
          </w:p>
        </w:tc>
        <w:tc>
          <w:tcPr>
            <w:tcW w:w="70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133</w:t>
            </w:r>
          </w:p>
        </w:tc>
        <w:tc>
          <w:tcPr>
            <w:tcW w:w="10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60" w:type="dxa"/>
            <w:vAlign w:val="bottom"/>
            <w:tcBorders>
              <w:bottom w:val="single" w:sz="8" w:color="E5F1F8"/>
            </w:tcBorders>
            <w:shd w:val="clear" w:color="auto" w:fill="E5F1F8"/>
          </w:tcPr>
          <w:p>
            <w:pPr>
              <w:ind w:left="320"/>
              <w:spacing w:after="0" w:line="205" w:lineRule="exact"/>
              <w:rPr>
                <w:sz w:val="20"/>
                <w:szCs w:val="20"/>
                <w:color w:val="auto"/>
              </w:rPr>
            </w:pPr>
            <w:r>
              <w:rPr>
                <w:rFonts w:ascii="Calibri" w:cs="Calibri" w:eastAsia="Calibri" w:hAnsi="Calibri"/>
                <w:sz w:val="17"/>
                <w:szCs w:val="17"/>
                <w:color w:val="auto"/>
              </w:rPr>
              <w:t>no</w:t>
            </w:r>
          </w:p>
        </w:tc>
        <w:tc>
          <w:tcPr>
            <w:tcW w:w="82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no</w:t>
            </w:r>
          </w:p>
        </w:tc>
        <w:tc>
          <w:tcPr>
            <w:tcW w:w="6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8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600" w:type="dxa"/>
            <w:vAlign w:val="bottom"/>
          </w:tcPr>
          <w:p>
            <w:pPr>
              <w:jc w:val="center"/>
              <w:spacing w:after="0" w:line="189" w:lineRule="exact"/>
              <w:rPr>
                <w:sz w:val="20"/>
                <w:szCs w:val="20"/>
                <w:color w:val="auto"/>
              </w:rPr>
            </w:pPr>
            <w:r>
              <w:rPr>
                <w:rFonts w:ascii="Calibri" w:cs="Calibri" w:eastAsia="Calibri" w:hAnsi="Calibri"/>
                <w:sz w:val="17"/>
                <w:szCs w:val="17"/>
                <w:color w:val="auto"/>
              </w:rPr>
              <w:t>310197</w:t>
            </w: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Benson Quarry</w:t>
            </w:r>
          </w:p>
        </w:tc>
        <w:tc>
          <w:tcPr>
            <w:tcW w:w="6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9</w:t>
            </w:r>
          </w:p>
        </w:tc>
        <w:tc>
          <w:tcPr>
            <w:tcW w:w="6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6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2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Pr>
          <w:p>
            <w:pPr>
              <w:jc w:val="center"/>
              <w:spacing w:after="0" w:line="205" w:lineRule="exact"/>
              <w:rPr>
                <w:sz w:val="20"/>
                <w:szCs w:val="20"/>
                <w:color w:val="auto"/>
              </w:rPr>
            </w:pPr>
            <w:r>
              <w:rPr>
                <w:rFonts w:ascii="Calibri" w:cs="Calibri" w:eastAsia="Calibri" w:hAnsi="Calibri"/>
                <w:sz w:val="17"/>
                <w:szCs w:val="17"/>
                <w:color w:val="auto"/>
              </w:rPr>
              <w:t>0</w:t>
            </w:r>
          </w:p>
        </w:tc>
        <w:tc>
          <w:tcPr>
            <w:tcW w:w="120" w:type="dxa"/>
            <w:vAlign w:val="bottom"/>
          </w:tcPr>
          <w:p>
            <w:pPr>
              <w:ind w:left="20"/>
              <w:spacing w:after="0" w:line="205" w:lineRule="exact"/>
              <w:rPr>
                <w:sz w:val="20"/>
                <w:szCs w:val="20"/>
                <w:color w:val="auto"/>
              </w:rPr>
            </w:pPr>
            <w:r>
              <w:rPr>
                <w:rFonts w:ascii="Calibri" w:cs="Calibri" w:eastAsia="Calibri" w:hAnsi="Calibri"/>
                <w:sz w:val="17"/>
                <w:szCs w:val="17"/>
                <w:b w:val="1"/>
                <w:bCs w:val="1"/>
                <w:color w:val="auto"/>
                <w:w w:val="92"/>
              </w:rPr>
              <w:t>$</w:t>
            </w:r>
          </w:p>
        </w:tc>
        <w:tc>
          <w:tcPr>
            <w:tcW w:w="70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348</w:t>
            </w:r>
          </w:p>
        </w:tc>
        <w:tc>
          <w:tcPr>
            <w:tcW w:w="10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60" w:type="dxa"/>
            <w:vAlign w:val="bottom"/>
          </w:tcPr>
          <w:p>
            <w:pPr>
              <w:ind w:left="320"/>
              <w:spacing w:after="0" w:line="205" w:lineRule="exact"/>
              <w:rPr>
                <w:sz w:val="20"/>
                <w:szCs w:val="20"/>
                <w:color w:val="auto"/>
              </w:rPr>
            </w:pPr>
            <w:r>
              <w:rPr>
                <w:rFonts w:ascii="Calibri" w:cs="Calibri" w:eastAsia="Calibri" w:hAnsi="Calibri"/>
                <w:sz w:val="17"/>
                <w:szCs w:val="17"/>
                <w:color w:val="auto"/>
              </w:rPr>
              <w:t>no</w:t>
            </w:r>
          </w:p>
        </w:tc>
        <w:tc>
          <w:tcPr>
            <w:tcW w:w="820" w:type="dxa"/>
            <w:vAlign w:val="bottom"/>
          </w:tcPr>
          <w:p>
            <w:pPr>
              <w:jc w:val="center"/>
              <w:spacing w:after="0" w:line="205" w:lineRule="exact"/>
              <w:rPr>
                <w:sz w:val="20"/>
                <w:szCs w:val="20"/>
                <w:color w:val="auto"/>
              </w:rPr>
            </w:pPr>
            <w:r>
              <w:rPr>
                <w:rFonts w:ascii="Calibri" w:cs="Calibri" w:eastAsia="Calibri" w:hAnsi="Calibri"/>
                <w:sz w:val="17"/>
                <w:szCs w:val="17"/>
                <w:color w:val="auto"/>
              </w:rPr>
              <w:t>no</w:t>
            </w:r>
          </w:p>
        </w:tc>
        <w:tc>
          <w:tcPr>
            <w:tcW w:w="6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80" w:type="dxa"/>
            <w:vAlign w:val="bottom"/>
          </w:tcPr>
          <w:p>
            <w:pPr>
              <w:jc w:val="center"/>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600" w:type="dxa"/>
            <w:vAlign w:val="bottom"/>
            <w:shd w:val="clear" w:color="auto" w:fill="E5F1F8"/>
          </w:tcPr>
          <w:p>
            <w:pPr>
              <w:jc w:val="center"/>
              <w:spacing w:after="0" w:line="189" w:lineRule="exact"/>
              <w:rPr>
                <w:sz w:val="20"/>
                <w:szCs w:val="20"/>
                <w:color w:val="auto"/>
              </w:rPr>
            </w:pPr>
            <w:r>
              <w:rPr>
                <w:rFonts w:ascii="Calibri" w:cs="Calibri" w:eastAsia="Calibri" w:hAnsi="Calibri"/>
                <w:sz w:val="17"/>
                <w:szCs w:val="17"/>
                <w:color w:val="auto"/>
              </w:rPr>
              <w:t>380007</w:t>
            </w:r>
          </w:p>
        </w:tc>
        <w:tc>
          <w:tcPr>
            <w:tcW w:w="64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12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10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20" w:type="dxa"/>
            <w:vAlign w:val="bottom"/>
            <w:shd w:val="clear" w:color="auto" w:fill="E5F1F8"/>
          </w:tcPr>
          <w:p>
            <w:pPr>
              <w:spacing w:after="0"/>
              <w:rPr>
                <w:sz w:val="16"/>
                <w:szCs w:val="16"/>
                <w:color w:val="auto"/>
              </w:rPr>
            </w:pPr>
          </w:p>
        </w:tc>
        <w:tc>
          <w:tcPr>
            <w:tcW w:w="64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Berkeley Quarry</w:t>
            </w:r>
          </w:p>
        </w:tc>
        <w:tc>
          <w:tcPr>
            <w:tcW w:w="6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2</w:t>
            </w:r>
          </w:p>
        </w:tc>
        <w:tc>
          <w:tcPr>
            <w:tcW w:w="6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6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2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0</w:t>
            </w:r>
          </w:p>
        </w:tc>
        <w:tc>
          <w:tcPr>
            <w:tcW w:w="1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b w:val="1"/>
                <w:bCs w:val="1"/>
                <w:color w:val="auto"/>
                <w:w w:val="92"/>
              </w:rPr>
              <w:t>$</w:t>
            </w:r>
          </w:p>
        </w:tc>
        <w:tc>
          <w:tcPr>
            <w:tcW w:w="70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10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60" w:type="dxa"/>
            <w:vAlign w:val="bottom"/>
            <w:tcBorders>
              <w:bottom w:val="single" w:sz="8" w:color="E5F1F8"/>
            </w:tcBorders>
            <w:shd w:val="clear" w:color="auto" w:fill="E5F1F8"/>
          </w:tcPr>
          <w:p>
            <w:pPr>
              <w:ind w:left="320"/>
              <w:spacing w:after="0" w:line="205" w:lineRule="exact"/>
              <w:rPr>
                <w:sz w:val="20"/>
                <w:szCs w:val="20"/>
                <w:color w:val="auto"/>
              </w:rPr>
            </w:pPr>
            <w:r>
              <w:rPr>
                <w:rFonts w:ascii="Calibri" w:cs="Calibri" w:eastAsia="Calibri" w:hAnsi="Calibri"/>
                <w:sz w:val="17"/>
                <w:szCs w:val="17"/>
                <w:color w:val="auto"/>
              </w:rPr>
              <w:t>no</w:t>
            </w:r>
          </w:p>
        </w:tc>
        <w:tc>
          <w:tcPr>
            <w:tcW w:w="82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no</w:t>
            </w:r>
          </w:p>
        </w:tc>
        <w:tc>
          <w:tcPr>
            <w:tcW w:w="6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8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1</w:t>
            </w:r>
          </w:p>
        </w:tc>
      </w:tr>
      <w:tr>
        <w:trPr>
          <w:trHeight w:val="189"/>
        </w:trPr>
        <w:tc>
          <w:tcPr>
            <w:tcW w:w="1720" w:type="dxa"/>
            <w:vAlign w:val="bottom"/>
          </w:tcPr>
          <w:p>
            <w:pPr>
              <w:spacing w:after="0"/>
              <w:rPr>
                <w:sz w:val="16"/>
                <w:szCs w:val="16"/>
                <w:color w:val="auto"/>
              </w:rPr>
            </w:pPr>
          </w:p>
        </w:tc>
        <w:tc>
          <w:tcPr>
            <w:tcW w:w="600" w:type="dxa"/>
            <w:vAlign w:val="bottom"/>
          </w:tcPr>
          <w:p>
            <w:pPr>
              <w:jc w:val="center"/>
              <w:spacing w:after="0" w:line="189" w:lineRule="exact"/>
              <w:rPr>
                <w:sz w:val="20"/>
                <w:szCs w:val="20"/>
                <w:color w:val="auto"/>
              </w:rPr>
            </w:pPr>
            <w:r>
              <w:rPr>
                <w:rFonts w:ascii="Calibri" w:cs="Calibri" w:eastAsia="Calibri" w:hAnsi="Calibri"/>
                <w:sz w:val="17"/>
                <w:szCs w:val="17"/>
                <w:color w:val="auto"/>
              </w:rPr>
              <w:t>310110</w:t>
            </w: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Bessemer City Quarry</w:t>
            </w:r>
          </w:p>
        </w:tc>
        <w:tc>
          <w:tcPr>
            <w:tcW w:w="6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5</w:t>
            </w:r>
          </w:p>
        </w:tc>
        <w:tc>
          <w:tcPr>
            <w:tcW w:w="6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6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2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Pr>
          <w:p>
            <w:pPr>
              <w:jc w:val="center"/>
              <w:spacing w:after="0" w:line="205" w:lineRule="exact"/>
              <w:rPr>
                <w:sz w:val="20"/>
                <w:szCs w:val="20"/>
                <w:color w:val="auto"/>
              </w:rPr>
            </w:pPr>
            <w:r>
              <w:rPr>
                <w:rFonts w:ascii="Calibri" w:cs="Calibri" w:eastAsia="Calibri" w:hAnsi="Calibri"/>
                <w:sz w:val="17"/>
                <w:szCs w:val="17"/>
                <w:color w:val="auto"/>
              </w:rPr>
              <w:t>0</w:t>
            </w:r>
          </w:p>
        </w:tc>
        <w:tc>
          <w:tcPr>
            <w:tcW w:w="120" w:type="dxa"/>
            <w:vAlign w:val="bottom"/>
          </w:tcPr>
          <w:p>
            <w:pPr>
              <w:ind w:left="20"/>
              <w:spacing w:after="0" w:line="205" w:lineRule="exact"/>
              <w:rPr>
                <w:sz w:val="20"/>
                <w:szCs w:val="20"/>
                <w:color w:val="auto"/>
              </w:rPr>
            </w:pPr>
            <w:r>
              <w:rPr>
                <w:rFonts w:ascii="Calibri" w:cs="Calibri" w:eastAsia="Calibri" w:hAnsi="Calibri"/>
                <w:sz w:val="17"/>
                <w:szCs w:val="17"/>
                <w:b w:val="1"/>
                <w:bCs w:val="1"/>
                <w:color w:val="auto"/>
                <w:w w:val="92"/>
              </w:rPr>
              <w:t>$</w:t>
            </w:r>
          </w:p>
        </w:tc>
        <w:tc>
          <w:tcPr>
            <w:tcW w:w="70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10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60" w:type="dxa"/>
            <w:vAlign w:val="bottom"/>
          </w:tcPr>
          <w:p>
            <w:pPr>
              <w:ind w:left="320"/>
              <w:spacing w:after="0" w:line="205" w:lineRule="exact"/>
              <w:rPr>
                <w:sz w:val="20"/>
                <w:szCs w:val="20"/>
                <w:color w:val="auto"/>
              </w:rPr>
            </w:pPr>
            <w:r>
              <w:rPr>
                <w:rFonts w:ascii="Calibri" w:cs="Calibri" w:eastAsia="Calibri" w:hAnsi="Calibri"/>
                <w:sz w:val="17"/>
                <w:szCs w:val="17"/>
                <w:color w:val="auto"/>
              </w:rPr>
              <w:t>no</w:t>
            </w:r>
          </w:p>
        </w:tc>
        <w:tc>
          <w:tcPr>
            <w:tcW w:w="820" w:type="dxa"/>
            <w:vAlign w:val="bottom"/>
          </w:tcPr>
          <w:p>
            <w:pPr>
              <w:jc w:val="center"/>
              <w:spacing w:after="0" w:line="205" w:lineRule="exact"/>
              <w:rPr>
                <w:sz w:val="20"/>
                <w:szCs w:val="20"/>
                <w:color w:val="auto"/>
              </w:rPr>
            </w:pPr>
            <w:r>
              <w:rPr>
                <w:rFonts w:ascii="Calibri" w:cs="Calibri" w:eastAsia="Calibri" w:hAnsi="Calibri"/>
                <w:sz w:val="17"/>
                <w:szCs w:val="17"/>
                <w:color w:val="auto"/>
              </w:rPr>
              <w:t>no</w:t>
            </w:r>
          </w:p>
        </w:tc>
        <w:tc>
          <w:tcPr>
            <w:tcW w:w="6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80" w:type="dxa"/>
            <w:vAlign w:val="bottom"/>
          </w:tcPr>
          <w:p>
            <w:pPr>
              <w:jc w:val="center"/>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600" w:type="dxa"/>
            <w:vAlign w:val="bottom"/>
            <w:shd w:val="clear" w:color="auto" w:fill="E5F1F8"/>
          </w:tcPr>
          <w:p>
            <w:pPr>
              <w:jc w:val="center"/>
              <w:spacing w:after="0" w:line="189" w:lineRule="exact"/>
              <w:rPr>
                <w:sz w:val="20"/>
                <w:szCs w:val="20"/>
                <w:color w:val="auto"/>
              </w:rPr>
            </w:pPr>
            <w:r>
              <w:rPr>
                <w:rFonts w:ascii="Calibri" w:cs="Calibri" w:eastAsia="Calibri" w:hAnsi="Calibri"/>
                <w:sz w:val="17"/>
                <w:szCs w:val="17"/>
                <w:color w:val="auto"/>
              </w:rPr>
              <w:t>310196</w:t>
            </w:r>
          </w:p>
        </w:tc>
        <w:tc>
          <w:tcPr>
            <w:tcW w:w="64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12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10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20" w:type="dxa"/>
            <w:vAlign w:val="bottom"/>
            <w:shd w:val="clear" w:color="auto" w:fill="E5F1F8"/>
          </w:tcPr>
          <w:p>
            <w:pPr>
              <w:spacing w:after="0"/>
              <w:rPr>
                <w:sz w:val="16"/>
                <w:szCs w:val="16"/>
                <w:color w:val="auto"/>
              </w:rPr>
            </w:pPr>
          </w:p>
        </w:tc>
        <w:tc>
          <w:tcPr>
            <w:tcW w:w="64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Bonds Quarry</w:t>
            </w:r>
          </w:p>
        </w:tc>
        <w:tc>
          <w:tcPr>
            <w:tcW w:w="6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3</w:t>
            </w:r>
          </w:p>
        </w:tc>
        <w:tc>
          <w:tcPr>
            <w:tcW w:w="6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6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2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0</w:t>
            </w:r>
          </w:p>
        </w:tc>
        <w:tc>
          <w:tcPr>
            <w:tcW w:w="1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b w:val="1"/>
                <w:bCs w:val="1"/>
                <w:color w:val="auto"/>
                <w:w w:val="92"/>
              </w:rPr>
              <w:t>$</w:t>
            </w:r>
          </w:p>
        </w:tc>
        <w:tc>
          <w:tcPr>
            <w:tcW w:w="70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10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60" w:type="dxa"/>
            <w:vAlign w:val="bottom"/>
            <w:tcBorders>
              <w:bottom w:val="single" w:sz="8" w:color="E5F1F8"/>
            </w:tcBorders>
            <w:shd w:val="clear" w:color="auto" w:fill="E5F1F8"/>
          </w:tcPr>
          <w:p>
            <w:pPr>
              <w:ind w:left="320"/>
              <w:spacing w:after="0" w:line="205" w:lineRule="exact"/>
              <w:rPr>
                <w:sz w:val="20"/>
                <w:szCs w:val="20"/>
                <w:color w:val="auto"/>
              </w:rPr>
            </w:pPr>
            <w:r>
              <w:rPr>
                <w:rFonts w:ascii="Calibri" w:cs="Calibri" w:eastAsia="Calibri" w:hAnsi="Calibri"/>
                <w:sz w:val="17"/>
                <w:szCs w:val="17"/>
                <w:color w:val="auto"/>
              </w:rPr>
              <w:t>no</w:t>
            </w:r>
          </w:p>
        </w:tc>
        <w:tc>
          <w:tcPr>
            <w:tcW w:w="82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no</w:t>
            </w:r>
          </w:p>
        </w:tc>
        <w:tc>
          <w:tcPr>
            <w:tcW w:w="6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8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600" w:type="dxa"/>
            <w:vAlign w:val="bottom"/>
          </w:tcPr>
          <w:p>
            <w:pPr>
              <w:jc w:val="center"/>
              <w:spacing w:after="0" w:line="189" w:lineRule="exact"/>
              <w:rPr>
                <w:sz w:val="20"/>
                <w:szCs w:val="20"/>
                <w:color w:val="auto"/>
              </w:rPr>
            </w:pPr>
            <w:r>
              <w:rPr>
                <w:rFonts w:ascii="Calibri" w:cs="Calibri" w:eastAsia="Calibri" w:hAnsi="Calibri"/>
                <w:sz w:val="17"/>
                <w:szCs w:val="17"/>
                <w:color w:val="auto"/>
              </w:rPr>
              <w:t>180002</w:t>
            </w: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Boonesboro Quarry</w:t>
            </w:r>
          </w:p>
        </w:tc>
        <w:tc>
          <w:tcPr>
            <w:tcW w:w="6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4</w:t>
            </w:r>
          </w:p>
        </w:tc>
        <w:tc>
          <w:tcPr>
            <w:tcW w:w="6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6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2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Pr>
          <w:p>
            <w:pPr>
              <w:jc w:val="center"/>
              <w:spacing w:after="0" w:line="205" w:lineRule="exact"/>
              <w:rPr>
                <w:sz w:val="20"/>
                <w:szCs w:val="20"/>
                <w:color w:val="auto"/>
              </w:rPr>
            </w:pPr>
            <w:r>
              <w:rPr>
                <w:rFonts w:ascii="Calibri" w:cs="Calibri" w:eastAsia="Calibri" w:hAnsi="Calibri"/>
                <w:sz w:val="17"/>
                <w:szCs w:val="17"/>
                <w:color w:val="auto"/>
              </w:rPr>
              <w:t>0</w:t>
            </w:r>
          </w:p>
        </w:tc>
        <w:tc>
          <w:tcPr>
            <w:tcW w:w="120" w:type="dxa"/>
            <w:vAlign w:val="bottom"/>
          </w:tcPr>
          <w:p>
            <w:pPr>
              <w:ind w:left="20"/>
              <w:spacing w:after="0" w:line="205" w:lineRule="exact"/>
              <w:rPr>
                <w:sz w:val="20"/>
                <w:szCs w:val="20"/>
                <w:color w:val="auto"/>
              </w:rPr>
            </w:pPr>
            <w:r>
              <w:rPr>
                <w:rFonts w:ascii="Calibri" w:cs="Calibri" w:eastAsia="Calibri" w:hAnsi="Calibri"/>
                <w:sz w:val="17"/>
                <w:szCs w:val="17"/>
                <w:b w:val="1"/>
                <w:bCs w:val="1"/>
                <w:color w:val="auto"/>
                <w:w w:val="92"/>
              </w:rPr>
              <w:t>$</w:t>
            </w:r>
          </w:p>
        </w:tc>
        <w:tc>
          <w:tcPr>
            <w:tcW w:w="70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10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60" w:type="dxa"/>
            <w:vAlign w:val="bottom"/>
          </w:tcPr>
          <w:p>
            <w:pPr>
              <w:ind w:left="320"/>
              <w:spacing w:after="0" w:line="205" w:lineRule="exact"/>
              <w:rPr>
                <w:sz w:val="20"/>
                <w:szCs w:val="20"/>
                <w:color w:val="auto"/>
              </w:rPr>
            </w:pPr>
            <w:r>
              <w:rPr>
                <w:rFonts w:ascii="Calibri" w:cs="Calibri" w:eastAsia="Calibri" w:hAnsi="Calibri"/>
                <w:sz w:val="17"/>
                <w:szCs w:val="17"/>
                <w:color w:val="auto"/>
              </w:rPr>
              <w:t>no</w:t>
            </w:r>
          </w:p>
        </w:tc>
        <w:tc>
          <w:tcPr>
            <w:tcW w:w="820" w:type="dxa"/>
            <w:vAlign w:val="bottom"/>
          </w:tcPr>
          <w:p>
            <w:pPr>
              <w:jc w:val="center"/>
              <w:spacing w:after="0" w:line="205" w:lineRule="exact"/>
              <w:rPr>
                <w:sz w:val="20"/>
                <w:szCs w:val="20"/>
                <w:color w:val="auto"/>
              </w:rPr>
            </w:pPr>
            <w:r>
              <w:rPr>
                <w:rFonts w:ascii="Calibri" w:cs="Calibri" w:eastAsia="Calibri" w:hAnsi="Calibri"/>
                <w:sz w:val="17"/>
                <w:szCs w:val="17"/>
                <w:color w:val="auto"/>
              </w:rPr>
              <w:t>no</w:t>
            </w:r>
          </w:p>
        </w:tc>
        <w:tc>
          <w:tcPr>
            <w:tcW w:w="6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80" w:type="dxa"/>
            <w:vAlign w:val="bottom"/>
          </w:tcPr>
          <w:p>
            <w:pPr>
              <w:jc w:val="center"/>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600" w:type="dxa"/>
            <w:vAlign w:val="bottom"/>
            <w:shd w:val="clear" w:color="auto" w:fill="E5F1F8"/>
          </w:tcPr>
          <w:p>
            <w:pPr>
              <w:jc w:val="center"/>
              <w:spacing w:after="0" w:line="189" w:lineRule="exact"/>
              <w:rPr>
                <w:sz w:val="20"/>
                <w:szCs w:val="20"/>
                <w:color w:val="auto"/>
              </w:rPr>
            </w:pPr>
            <w:r>
              <w:rPr>
                <w:rFonts w:ascii="Calibri" w:cs="Calibri" w:eastAsia="Calibri" w:hAnsi="Calibri"/>
                <w:sz w:val="17"/>
                <w:szCs w:val="17"/>
                <w:color w:val="auto"/>
              </w:rPr>
              <w:t>310004</w:t>
            </w:r>
          </w:p>
        </w:tc>
        <w:tc>
          <w:tcPr>
            <w:tcW w:w="64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12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10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20" w:type="dxa"/>
            <w:vAlign w:val="bottom"/>
            <w:shd w:val="clear" w:color="auto" w:fill="E5F1F8"/>
          </w:tcPr>
          <w:p>
            <w:pPr>
              <w:spacing w:after="0"/>
              <w:rPr>
                <w:sz w:val="16"/>
                <w:szCs w:val="16"/>
                <w:color w:val="auto"/>
              </w:rPr>
            </w:pPr>
          </w:p>
        </w:tc>
        <w:tc>
          <w:tcPr>
            <w:tcW w:w="64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Burlington Quarry</w:t>
            </w:r>
          </w:p>
        </w:tc>
        <w:tc>
          <w:tcPr>
            <w:tcW w:w="6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2</w:t>
            </w:r>
          </w:p>
        </w:tc>
        <w:tc>
          <w:tcPr>
            <w:tcW w:w="6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6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2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0</w:t>
            </w:r>
          </w:p>
        </w:tc>
        <w:tc>
          <w:tcPr>
            <w:tcW w:w="1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b w:val="1"/>
                <w:bCs w:val="1"/>
                <w:color w:val="auto"/>
                <w:w w:val="92"/>
              </w:rPr>
              <w:t>$</w:t>
            </w:r>
          </w:p>
        </w:tc>
        <w:tc>
          <w:tcPr>
            <w:tcW w:w="70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10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60" w:type="dxa"/>
            <w:vAlign w:val="bottom"/>
            <w:tcBorders>
              <w:bottom w:val="single" w:sz="8" w:color="E5F1F8"/>
            </w:tcBorders>
            <w:shd w:val="clear" w:color="auto" w:fill="E5F1F8"/>
          </w:tcPr>
          <w:p>
            <w:pPr>
              <w:ind w:left="320"/>
              <w:spacing w:after="0" w:line="205" w:lineRule="exact"/>
              <w:rPr>
                <w:sz w:val="20"/>
                <w:szCs w:val="20"/>
                <w:color w:val="auto"/>
              </w:rPr>
            </w:pPr>
            <w:r>
              <w:rPr>
                <w:rFonts w:ascii="Calibri" w:cs="Calibri" w:eastAsia="Calibri" w:hAnsi="Calibri"/>
                <w:sz w:val="17"/>
                <w:szCs w:val="17"/>
                <w:color w:val="auto"/>
              </w:rPr>
              <w:t>no</w:t>
            </w:r>
          </w:p>
        </w:tc>
        <w:tc>
          <w:tcPr>
            <w:tcW w:w="82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no</w:t>
            </w:r>
          </w:p>
        </w:tc>
        <w:tc>
          <w:tcPr>
            <w:tcW w:w="6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8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600" w:type="dxa"/>
            <w:vAlign w:val="bottom"/>
          </w:tcPr>
          <w:p>
            <w:pPr>
              <w:jc w:val="center"/>
              <w:spacing w:after="0" w:line="189" w:lineRule="exact"/>
              <w:rPr>
                <w:sz w:val="20"/>
                <w:szCs w:val="20"/>
                <w:color w:val="auto"/>
              </w:rPr>
            </w:pPr>
            <w:r>
              <w:rPr>
                <w:rFonts w:ascii="Calibri" w:cs="Calibri" w:eastAsia="Calibri" w:hAnsi="Calibri"/>
                <w:sz w:val="17"/>
                <w:szCs w:val="17"/>
                <w:color w:val="auto"/>
              </w:rPr>
              <w:t>310186</w:t>
            </w: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Caldwell Quarry</w:t>
            </w:r>
          </w:p>
        </w:tc>
        <w:tc>
          <w:tcPr>
            <w:tcW w:w="6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9</w:t>
            </w:r>
          </w:p>
        </w:tc>
        <w:tc>
          <w:tcPr>
            <w:tcW w:w="6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6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2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Pr>
          <w:p>
            <w:pPr>
              <w:jc w:val="center"/>
              <w:spacing w:after="0" w:line="205" w:lineRule="exact"/>
              <w:rPr>
                <w:sz w:val="20"/>
                <w:szCs w:val="20"/>
                <w:color w:val="auto"/>
              </w:rPr>
            </w:pPr>
            <w:r>
              <w:rPr>
                <w:rFonts w:ascii="Calibri" w:cs="Calibri" w:eastAsia="Calibri" w:hAnsi="Calibri"/>
                <w:sz w:val="17"/>
                <w:szCs w:val="17"/>
                <w:color w:val="auto"/>
              </w:rPr>
              <w:t>0</w:t>
            </w:r>
          </w:p>
        </w:tc>
        <w:tc>
          <w:tcPr>
            <w:tcW w:w="120" w:type="dxa"/>
            <w:vAlign w:val="bottom"/>
          </w:tcPr>
          <w:p>
            <w:pPr>
              <w:ind w:left="20"/>
              <w:spacing w:after="0" w:line="205" w:lineRule="exact"/>
              <w:rPr>
                <w:sz w:val="20"/>
                <w:szCs w:val="20"/>
                <w:color w:val="auto"/>
              </w:rPr>
            </w:pPr>
            <w:r>
              <w:rPr>
                <w:rFonts w:ascii="Calibri" w:cs="Calibri" w:eastAsia="Calibri" w:hAnsi="Calibri"/>
                <w:sz w:val="17"/>
                <w:szCs w:val="17"/>
                <w:b w:val="1"/>
                <w:bCs w:val="1"/>
                <w:color w:val="auto"/>
                <w:w w:val="92"/>
              </w:rPr>
              <w:t>$</w:t>
            </w:r>
          </w:p>
        </w:tc>
        <w:tc>
          <w:tcPr>
            <w:tcW w:w="70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10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60" w:type="dxa"/>
            <w:vAlign w:val="bottom"/>
          </w:tcPr>
          <w:p>
            <w:pPr>
              <w:ind w:left="320"/>
              <w:spacing w:after="0" w:line="205" w:lineRule="exact"/>
              <w:rPr>
                <w:sz w:val="20"/>
                <w:szCs w:val="20"/>
                <w:color w:val="auto"/>
              </w:rPr>
            </w:pPr>
            <w:r>
              <w:rPr>
                <w:rFonts w:ascii="Calibri" w:cs="Calibri" w:eastAsia="Calibri" w:hAnsi="Calibri"/>
                <w:sz w:val="17"/>
                <w:szCs w:val="17"/>
                <w:color w:val="auto"/>
              </w:rPr>
              <w:t>no</w:t>
            </w:r>
          </w:p>
        </w:tc>
        <w:tc>
          <w:tcPr>
            <w:tcW w:w="820" w:type="dxa"/>
            <w:vAlign w:val="bottom"/>
          </w:tcPr>
          <w:p>
            <w:pPr>
              <w:jc w:val="center"/>
              <w:spacing w:after="0" w:line="205" w:lineRule="exact"/>
              <w:rPr>
                <w:sz w:val="20"/>
                <w:szCs w:val="20"/>
                <w:color w:val="auto"/>
              </w:rPr>
            </w:pPr>
            <w:r>
              <w:rPr>
                <w:rFonts w:ascii="Calibri" w:cs="Calibri" w:eastAsia="Calibri" w:hAnsi="Calibri"/>
                <w:sz w:val="17"/>
                <w:szCs w:val="17"/>
                <w:color w:val="auto"/>
              </w:rPr>
              <w:t>no</w:t>
            </w:r>
          </w:p>
        </w:tc>
        <w:tc>
          <w:tcPr>
            <w:tcW w:w="6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80" w:type="dxa"/>
            <w:vAlign w:val="bottom"/>
          </w:tcPr>
          <w:p>
            <w:pPr>
              <w:jc w:val="center"/>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600" w:type="dxa"/>
            <w:vAlign w:val="bottom"/>
            <w:shd w:val="clear" w:color="auto" w:fill="E5F1F8"/>
          </w:tcPr>
          <w:p>
            <w:pPr>
              <w:jc w:val="center"/>
              <w:spacing w:after="0" w:line="189" w:lineRule="exact"/>
              <w:rPr>
                <w:sz w:val="20"/>
                <w:szCs w:val="20"/>
                <w:color w:val="auto"/>
              </w:rPr>
            </w:pPr>
            <w:r>
              <w:rPr>
                <w:rFonts w:ascii="Calibri" w:cs="Calibri" w:eastAsia="Calibri" w:hAnsi="Calibri"/>
                <w:sz w:val="17"/>
                <w:szCs w:val="17"/>
                <w:color w:val="auto"/>
              </w:rPr>
              <w:t>400339</w:t>
            </w:r>
          </w:p>
        </w:tc>
        <w:tc>
          <w:tcPr>
            <w:tcW w:w="64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12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10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20" w:type="dxa"/>
            <w:vAlign w:val="bottom"/>
            <w:shd w:val="clear" w:color="auto" w:fill="E5F1F8"/>
          </w:tcPr>
          <w:p>
            <w:pPr>
              <w:spacing w:after="0"/>
              <w:rPr>
                <w:sz w:val="16"/>
                <w:szCs w:val="16"/>
                <w:color w:val="auto"/>
              </w:rPr>
            </w:pPr>
          </w:p>
        </w:tc>
        <w:tc>
          <w:tcPr>
            <w:tcW w:w="64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Calhoun Quarry</w:t>
            </w:r>
          </w:p>
        </w:tc>
        <w:tc>
          <w:tcPr>
            <w:tcW w:w="6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5</w:t>
            </w:r>
          </w:p>
        </w:tc>
        <w:tc>
          <w:tcPr>
            <w:tcW w:w="6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6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2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0</w:t>
            </w:r>
          </w:p>
        </w:tc>
        <w:tc>
          <w:tcPr>
            <w:tcW w:w="1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b w:val="1"/>
                <w:bCs w:val="1"/>
                <w:color w:val="auto"/>
                <w:w w:val="92"/>
              </w:rPr>
              <w:t>$</w:t>
            </w:r>
          </w:p>
        </w:tc>
        <w:tc>
          <w:tcPr>
            <w:tcW w:w="70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10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60" w:type="dxa"/>
            <w:vAlign w:val="bottom"/>
            <w:tcBorders>
              <w:bottom w:val="single" w:sz="8" w:color="E5F1F8"/>
            </w:tcBorders>
            <w:shd w:val="clear" w:color="auto" w:fill="E5F1F8"/>
          </w:tcPr>
          <w:p>
            <w:pPr>
              <w:ind w:left="320"/>
              <w:spacing w:after="0" w:line="205" w:lineRule="exact"/>
              <w:rPr>
                <w:sz w:val="20"/>
                <w:szCs w:val="20"/>
                <w:color w:val="auto"/>
              </w:rPr>
            </w:pPr>
            <w:r>
              <w:rPr>
                <w:rFonts w:ascii="Calibri" w:cs="Calibri" w:eastAsia="Calibri" w:hAnsi="Calibri"/>
                <w:sz w:val="17"/>
                <w:szCs w:val="17"/>
                <w:color w:val="auto"/>
              </w:rPr>
              <w:t>no</w:t>
            </w:r>
          </w:p>
        </w:tc>
        <w:tc>
          <w:tcPr>
            <w:tcW w:w="82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no</w:t>
            </w:r>
          </w:p>
        </w:tc>
        <w:tc>
          <w:tcPr>
            <w:tcW w:w="6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8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600" w:type="dxa"/>
            <w:vAlign w:val="bottom"/>
          </w:tcPr>
          <w:p>
            <w:pPr>
              <w:jc w:val="center"/>
              <w:spacing w:after="0" w:line="189" w:lineRule="exact"/>
              <w:rPr>
                <w:sz w:val="20"/>
                <w:szCs w:val="20"/>
                <w:color w:val="auto"/>
              </w:rPr>
            </w:pPr>
            <w:r>
              <w:rPr>
                <w:rFonts w:ascii="Calibri" w:cs="Calibri" w:eastAsia="Calibri" w:hAnsi="Calibri"/>
                <w:sz w:val="17"/>
                <w:szCs w:val="17"/>
                <w:color w:val="auto"/>
              </w:rPr>
              <w:t>380071</w:t>
            </w: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Calhoun Sand</w:t>
            </w:r>
          </w:p>
        </w:tc>
        <w:tc>
          <w:tcPr>
            <w:tcW w:w="6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6</w:t>
            </w:r>
          </w:p>
        </w:tc>
        <w:tc>
          <w:tcPr>
            <w:tcW w:w="6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6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2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Pr>
          <w:p>
            <w:pPr>
              <w:jc w:val="center"/>
              <w:spacing w:after="0" w:line="205" w:lineRule="exact"/>
              <w:rPr>
                <w:sz w:val="20"/>
                <w:szCs w:val="20"/>
                <w:color w:val="auto"/>
              </w:rPr>
            </w:pPr>
            <w:r>
              <w:rPr>
                <w:rFonts w:ascii="Calibri" w:cs="Calibri" w:eastAsia="Calibri" w:hAnsi="Calibri"/>
                <w:sz w:val="17"/>
                <w:szCs w:val="17"/>
                <w:color w:val="auto"/>
              </w:rPr>
              <w:t>0</w:t>
            </w:r>
          </w:p>
        </w:tc>
        <w:tc>
          <w:tcPr>
            <w:tcW w:w="120" w:type="dxa"/>
            <w:vAlign w:val="bottom"/>
          </w:tcPr>
          <w:p>
            <w:pPr>
              <w:ind w:left="20"/>
              <w:spacing w:after="0" w:line="205" w:lineRule="exact"/>
              <w:rPr>
                <w:sz w:val="20"/>
                <w:szCs w:val="20"/>
                <w:color w:val="auto"/>
              </w:rPr>
            </w:pPr>
            <w:r>
              <w:rPr>
                <w:rFonts w:ascii="Calibri" w:cs="Calibri" w:eastAsia="Calibri" w:hAnsi="Calibri"/>
                <w:sz w:val="17"/>
                <w:szCs w:val="17"/>
                <w:b w:val="1"/>
                <w:bCs w:val="1"/>
                <w:color w:val="auto"/>
                <w:w w:val="92"/>
              </w:rPr>
              <w:t>$</w:t>
            </w:r>
          </w:p>
        </w:tc>
        <w:tc>
          <w:tcPr>
            <w:tcW w:w="70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10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60" w:type="dxa"/>
            <w:vAlign w:val="bottom"/>
          </w:tcPr>
          <w:p>
            <w:pPr>
              <w:ind w:left="320"/>
              <w:spacing w:after="0" w:line="205" w:lineRule="exact"/>
              <w:rPr>
                <w:sz w:val="20"/>
                <w:szCs w:val="20"/>
                <w:color w:val="auto"/>
              </w:rPr>
            </w:pPr>
            <w:r>
              <w:rPr>
                <w:rFonts w:ascii="Calibri" w:cs="Calibri" w:eastAsia="Calibri" w:hAnsi="Calibri"/>
                <w:sz w:val="17"/>
                <w:szCs w:val="17"/>
                <w:color w:val="auto"/>
              </w:rPr>
              <w:t>no</w:t>
            </w:r>
          </w:p>
        </w:tc>
        <w:tc>
          <w:tcPr>
            <w:tcW w:w="820" w:type="dxa"/>
            <w:vAlign w:val="bottom"/>
          </w:tcPr>
          <w:p>
            <w:pPr>
              <w:jc w:val="center"/>
              <w:spacing w:after="0" w:line="205" w:lineRule="exact"/>
              <w:rPr>
                <w:sz w:val="20"/>
                <w:szCs w:val="20"/>
                <w:color w:val="auto"/>
              </w:rPr>
            </w:pPr>
            <w:r>
              <w:rPr>
                <w:rFonts w:ascii="Calibri" w:cs="Calibri" w:eastAsia="Calibri" w:hAnsi="Calibri"/>
                <w:sz w:val="17"/>
                <w:szCs w:val="17"/>
                <w:color w:val="auto"/>
              </w:rPr>
              <w:t>no</w:t>
            </w:r>
          </w:p>
        </w:tc>
        <w:tc>
          <w:tcPr>
            <w:tcW w:w="6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80" w:type="dxa"/>
            <w:vAlign w:val="bottom"/>
          </w:tcPr>
          <w:p>
            <w:pPr>
              <w:jc w:val="center"/>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1</w:t>
            </w:r>
          </w:p>
        </w:tc>
      </w:tr>
      <w:tr>
        <w:trPr>
          <w:trHeight w:val="39"/>
        </w:trPr>
        <w:tc>
          <w:tcPr>
            <w:tcW w:w="1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600" w:type="dxa"/>
            <w:vAlign w:val="bottom"/>
            <w:shd w:val="clear" w:color="auto" w:fill="E5F1F8"/>
          </w:tcPr>
          <w:p>
            <w:pPr>
              <w:jc w:val="center"/>
              <w:spacing w:after="0" w:line="189" w:lineRule="exact"/>
              <w:rPr>
                <w:sz w:val="20"/>
                <w:szCs w:val="20"/>
                <w:color w:val="auto"/>
              </w:rPr>
            </w:pPr>
            <w:r>
              <w:rPr>
                <w:rFonts w:ascii="Calibri" w:cs="Calibri" w:eastAsia="Calibri" w:hAnsi="Calibri"/>
                <w:sz w:val="17"/>
                <w:szCs w:val="17"/>
                <w:color w:val="auto"/>
              </w:rPr>
              <w:t>310006</w:t>
            </w:r>
          </w:p>
        </w:tc>
        <w:tc>
          <w:tcPr>
            <w:tcW w:w="64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12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10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20" w:type="dxa"/>
            <w:vAlign w:val="bottom"/>
            <w:shd w:val="clear" w:color="auto" w:fill="E5F1F8"/>
          </w:tcPr>
          <w:p>
            <w:pPr>
              <w:spacing w:after="0"/>
              <w:rPr>
                <w:sz w:val="16"/>
                <w:szCs w:val="16"/>
                <w:color w:val="auto"/>
              </w:rPr>
            </w:pPr>
          </w:p>
        </w:tc>
        <w:tc>
          <w:tcPr>
            <w:tcW w:w="64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Castle Hayne Quarry</w:t>
            </w:r>
          </w:p>
        </w:tc>
        <w:tc>
          <w:tcPr>
            <w:tcW w:w="6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3</w:t>
            </w:r>
          </w:p>
        </w:tc>
        <w:tc>
          <w:tcPr>
            <w:tcW w:w="6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6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2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0</w:t>
            </w:r>
          </w:p>
        </w:tc>
        <w:tc>
          <w:tcPr>
            <w:tcW w:w="1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b w:val="1"/>
                <w:bCs w:val="1"/>
                <w:color w:val="auto"/>
                <w:w w:val="92"/>
              </w:rPr>
              <w:t>$</w:t>
            </w:r>
          </w:p>
        </w:tc>
        <w:tc>
          <w:tcPr>
            <w:tcW w:w="70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133</w:t>
            </w:r>
          </w:p>
        </w:tc>
        <w:tc>
          <w:tcPr>
            <w:tcW w:w="10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60" w:type="dxa"/>
            <w:vAlign w:val="bottom"/>
            <w:tcBorders>
              <w:bottom w:val="single" w:sz="8" w:color="E5F1F8"/>
            </w:tcBorders>
            <w:shd w:val="clear" w:color="auto" w:fill="E5F1F8"/>
          </w:tcPr>
          <w:p>
            <w:pPr>
              <w:ind w:left="320"/>
              <w:spacing w:after="0" w:line="205" w:lineRule="exact"/>
              <w:rPr>
                <w:sz w:val="20"/>
                <w:szCs w:val="20"/>
                <w:color w:val="auto"/>
              </w:rPr>
            </w:pPr>
            <w:r>
              <w:rPr>
                <w:rFonts w:ascii="Calibri" w:cs="Calibri" w:eastAsia="Calibri" w:hAnsi="Calibri"/>
                <w:sz w:val="17"/>
                <w:szCs w:val="17"/>
                <w:color w:val="auto"/>
              </w:rPr>
              <w:t>no</w:t>
            </w:r>
          </w:p>
        </w:tc>
        <w:tc>
          <w:tcPr>
            <w:tcW w:w="82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no</w:t>
            </w:r>
          </w:p>
        </w:tc>
        <w:tc>
          <w:tcPr>
            <w:tcW w:w="6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8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600" w:type="dxa"/>
            <w:vAlign w:val="bottom"/>
          </w:tcPr>
          <w:p>
            <w:pPr>
              <w:jc w:val="center"/>
              <w:spacing w:after="0" w:line="189" w:lineRule="exact"/>
              <w:rPr>
                <w:sz w:val="20"/>
                <w:szCs w:val="20"/>
                <w:color w:val="auto"/>
              </w:rPr>
            </w:pPr>
            <w:r>
              <w:rPr>
                <w:rFonts w:ascii="Calibri" w:cs="Calibri" w:eastAsia="Calibri" w:hAnsi="Calibri"/>
                <w:sz w:val="17"/>
                <w:szCs w:val="17"/>
                <w:color w:val="auto"/>
              </w:rPr>
              <w:t>380001</w:t>
            </w: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Cayce</w:t>
            </w:r>
          </w:p>
        </w:tc>
        <w:tc>
          <w:tcPr>
            <w:tcW w:w="6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6</w:t>
            </w:r>
          </w:p>
        </w:tc>
        <w:tc>
          <w:tcPr>
            <w:tcW w:w="6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6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2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Pr>
          <w:p>
            <w:pPr>
              <w:jc w:val="center"/>
              <w:spacing w:after="0" w:line="205" w:lineRule="exact"/>
              <w:rPr>
                <w:sz w:val="20"/>
                <w:szCs w:val="20"/>
                <w:color w:val="auto"/>
              </w:rPr>
            </w:pPr>
            <w:r>
              <w:rPr>
                <w:rFonts w:ascii="Calibri" w:cs="Calibri" w:eastAsia="Calibri" w:hAnsi="Calibri"/>
                <w:sz w:val="17"/>
                <w:szCs w:val="17"/>
                <w:color w:val="auto"/>
              </w:rPr>
              <w:t>0</w:t>
            </w:r>
          </w:p>
        </w:tc>
        <w:tc>
          <w:tcPr>
            <w:tcW w:w="120" w:type="dxa"/>
            <w:vAlign w:val="bottom"/>
          </w:tcPr>
          <w:p>
            <w:pPr>
              <w:ind w:left="20"/>
              <w:spacing w:after="0" w:line="205" w:lineRule="exact"/>
              <w:rPr>
                <w:sz w:val="20"/>
                <w:szCs w:val="20"/>
                <w:color w:val="auto"/>
              </w:rPr>
            </w:pPr>
            <w:r>
              <w:rPr>
                <w:rFonts w:ascii="Calibri" w:cs="Calibri" w:eastAsia="Calibri" w:hAnsi="Calibri"/>
                <w:sz w:val="17"/>
                <w:szCs w:val="17"/>
                <w:b w:val="1"/>
                <w:bCs w:val="1"/>
                <w:color w:val="auto"/>
                <w:w w:val="92"/>
              </w:rPr>
              <w:t>$</w:t>
            </w:r>
          </w:p>
        </w:tc>
        <w:tc>
          <w:tcPr>
            <w:tcW w:w="70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696</w:t>
            </w:r>
          </w:p>
        </w:tc>
        <w:tc>
          <w:tcPr>
            <w:tcW w:w="10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60" w:type="dxa"/>
            <w:vAlign w:val="bottom"/>
          </w:tcPr>
          <w:p>
            <w:pPr>
              <w:ind w:left="320"/>
              <w:spacing w:after="0" w:line="205" w:lineRule="exact"/>
              <w:rPr>
                <w:sz w:val="20"/>
                <w:szCs w:val="20"/>
                <w:color w:val="auto"/>
              </w:rPr>
            </w:pPr>
            <w:r>
              <w:rPr>
                <w:rFonts w:ascii="Calibri" w:cs="Calibri" w:eastAsia="Calibri" w:hAnsi="Calibri"/>
                <w:sz w:val="17"/>
                <w:szCs w:val="17"/>
                <w:color w:val="auto"/>
              </w:rPr>
              <w:t>no</w:t>
            </w:r>
          </w:p>
        </w:tc>
        <w:tc>
          <w:tcPr>
            <w:tcW w:w="820" w:type="dxa"/>
            <w:vAlign w:val="bottom"/>
          </w:tcPr>
          <w:p>
            <w:pPr>
              <w:jc w:val="center"/>
              <w:spacing w:after="0" w:line="205" w:lineRule="exact"/>
              <w:rPr>
                <w:sz w:val="20"/>
                <w:szCs w:val="20"/>
                <w:color w:val="auto"/>
              </w:rPr>
            </w:pPr>
            <w:r>
              <w:rPr>
                <w:rFonts w:ascii="Calibri" w:cs="Calibri" w:eastAsia="Calibri" w:hAnsi="Calibri"/>
                <w:sz w:val="17"/>
                <w:szCs w:val="17"/>
                <w:color w:val="auto"/>
              </w:rPr>
              <w:t>no</w:t>
            </w:r>
          </w:p>
        </w:tc>
        <w:tc>
          <w:tcPr>
            <w:tcW w:w="6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80" w:type="dxa"/>
            <w:vAlign w:val="bottom"/>
          </w:tcPr>
          <w:p>
            <w:pPr>
              <w:jc w:val="center"/>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600" w:type="dxa"/>
            <w:vAlign w:val="bottom"/>
            <w:shd w:val="clear" w:color="auto" w:fill="E5F1F8"/>
          </w:tcPr>
          <w:p>
            <w:pPr>
              <w:jc w:val="center"/>
              <w:spacing w:after="0" w:line="189" w:lineRule="exact"/>
              <w:rPr>
                <w:sz w:val="20"/>
                <w:szCs w:val="20"/>
                <w:color w:val="auto"/>
              </w:rPr>
            </w:pPr>
            <w:r>
              <w:rPr>
                <w:rFonts w:ascii="Calibri" w:cs="Calibri" w:eastAsia="Calibri" w:hAnsi="Calibri"/>
                <w:sz w:val="17"/>
                <w:szCs w:val="17"/>
                <w:color w:val="auto"/>
              </w:rPr>
              <w:t>310005</w:t>
            </w:r>
          </w:p>
        </w:tc>
        <w:tc>
          <w:tcPr>
            <w:tcW w:w="64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12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10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20" w:type="dxa"/>
            <w:vAlign w:val="bottom"/>
            <w:shd w:val="clear" w:color="auto" w:fill="E5F1F8"/>
          </w:tcPr>
          <w:p>
            <w:pPr>
              <w:spacing w:after="0"/>
              <w:rPr>
                <w:sz w:val="16"/>
                <w:szCs w:val="16"/>
                <w:color w:val="auto"/>
              </w:rPr>
            </w:pPr>
          </w:p>
        </w:tc>
        <w:tc>
          <w:tcPr>
            <w:tcW w:w="64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Central Rock Quarry</w:t>
            </w:r>
          </w:p>
        </w:tc>
        <w:tc>
          <w:tcPr>
            <w:tcW w:w="6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6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2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0</w:t>
            </w:r>
          </w:p>
        </w:tc>
        <w:tc>
          <w:tcPr>
            <w:tcW w:w="1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b w:val="1"/>
                <w:bCs w:val="1"/>
                <w:color w:val="auto"/>
                <w:w w:val="92"/>
              </w:rPr>
              <w:t>$</w:t>
            </w:r>
          </w:p>
        </w:tc>
        <w:tc>
          <w:tcPr>
            <w:tcW w:w="70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183</w:t>
            </w:r>
          </w:p>
        </w:tc>
        <w:tc>
          <w:tcPr>
            <w:tcW w:w="10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60" w:type="dxa"/>
            <w:vAlign w:val="bottom"/>
            <w:tcBorders>
              <w:bottom w:val="single" w:sz="8" w:color="E5F1F8"/>
            </w:tcBorders>
            <w:shd w:val="clear" w:color="auto" w:fill="E5F1F8"/>
          </w:tcPr>
          <w:p>
            <w:pPr>
              <w:ind w:left="320"/>
              <w:spacing w:after="0" w:line="205" w:lineRule="exact"/>
              <w:rPr>
                <w:sz w:val="20"/>
                <w:szCs w:val="20"/>
                <w:color w:val="auto"/>
              </w:rPr>
            </w:pPr>
            <w:r>
              <w:rPr>
                <w:rFonts w:ascii="Calibri" w:cs="Calibri" w:eastAsia="Calibri" w:hAnsi="Calibri"/>
                <w:sz w:val="17"/>
                <w:szCs w:val="17"/>
                <w:color w:val="auto"/>
              </w:rPr>
              <w:t>no</w:t>
            </w:r>
          </w:p>
        </w:tc>
        <w:tc>
          <w:tcPr>
            <w:tcW w:w="82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no</w:t>
            </w:r>
          </w:p>
        </w:tc>
        <w:tc>
          <w:tcPr>
            <w:tcW w:w="6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8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600" w:type="dxa"/>
            <w:vAlign w:val="bottom"/>
          </w:tcPr>
          <w:p>
            <w:pPr>
              <w:jc w:val="center"/>
              <w:spacing w:after="0" w:line="189" w:lineRule="exact"/>
              <w:rPr>
                <w:sz w:val="20"/>
                <w:szCs w:val="20"/>
                <w:color w:val="auto"/>
              </w:rPr>
            </w:pPr>
            <w:r>
              <w:rPr>
                <w:rFonts w:ascii="Calibri" w:cs="Calibri" w:eastAsia="Calibri" w:hAnsi="Calibri"/>
                <w:sz w:val="17"/>
                <w:szCs w:val="17"/>
                <w:color w:val="auto"/>
              </w:rPr>
              <w:t>310005</w:t>
            </w: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Charlote Quarry</w:t>
            </w:r>
          </w:p>
        </w:tc>
        <w:tc>
          <w:tcPr>
            <w:tcW w:w="6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7</w:t>
            </w:r>
          </w:p>
        </w:tc>
        <w:tc>
          <w:tcPr>
            <w:tcW w:w="6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6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2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Pr>
          <w:p>
            <w:pPr>
              <w:jc w:val="center"/>
              <w:spacing w:after="0" w:line="205" w:lineRule="exact"/>
              <w:rPr>
                <w:sz w:val="20"/>
                <w:szCs w:val="20"/>
                <w:color w:val="auto"/>
              </w:rPr>
            </w:pPr>
            <w:r>
              <w:rPr>
                <w:rFonts w:ascii="Calibri" w:cs="Calibri" w:eastAsia="Calibri" w:hAnsi="Calibri"/>
                <w:sz w:val="17"/>
                <w:szCs w:val="17"/>
                <w:color w:val="auto"/>
              </w:rPr>
              <w:t>0</w:t>
            </w:r>
          </w:p>
        </w:tc>
        <w:tc>
          <w:tcPr>
            <w:tcW w:w="120" w:type="dxa"/>
            <w:vAlign w:val="bottom"/>
          </w:tcPr>
          <w:p>
            <w:pPr>
              <w:ind w:left="20"/>
              <w:spacing w:after="0" w:line="205" w:lineRule="exact"/>
              <w:rPr>
                <w:sz w:val="20"/>
                <w:szCs w:val="20"/>
                <w:color w:val="auto"/>
              </w:rPr>
            </w:pPr>
            <w:r>
              <w:rPr>
                <w:rFonts w:ascii="Calibri" w:cs="Calibri" w:eastAsia="Calibri" w:hAnsi="Calibri"/>
                <w:sz w:val="17"/>
                <w:szCs w:val="17"/>
                <w:b w:val="1"/>
                <w:bCs w:val="1"/>
                <w:color w:val="auto"/>
                <w:w w:val="92"/>
              </w:rPr>
              <w:t>$</w:t>
            </w:r>
          </w:p>
        </w:tc>
        <w:tc>
          <w:tcPr>
            <w:tcW w:w="70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348</w:t>
            </w:r>
          </w:p>
        </w:tc>
        <w:tc>
          <w:tcPr>
            <w:tcW w:w="10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60" w:type="dxa"/>
            <w:vAlign w:val="bottom"/>
          </w:tcPr>
          <w:p>
            <w:pPr>
              <w:ind w:left="320"/>
              <w:spacing w:after="0" w:line="205" w:lineRule="exact"/>
              <w:rPr>
                <w:sz w:val="20"/>
                <w:szCs w:val="20"/>
                <w:color w:val="auto"/>
              </w:rPr>
            </w:pPr>
            <w:r>
              <w:rPr>
                <w:rFonts w:ascii="Calibri" w:cs="Calibri" w:eastAsia="Calibri" w:hAnsi="Calibri"/>
                <w:sz w:val="17"/>
                <w:szCs w:val="17"/>
                <w:color w:val="auto"/>
              </w:rPr>
              <w:t>no</w:t>
            </w:r>
          </w:p>
        </w:tc>
        <w:tc>
          <w:tcPr>
            <w:tcW w:w="820" w:type="dxa"/>
            <w:vAlign w:val="bottom"/>
          </w:tcPr>
          <w:p>
            <w:pPr>
              <w:jc w:val="center"/>
              <w:spacing w:after="0" w:line="205" w:lineRule="exact"/>
              <w:rPr>
                <w:sz w:val="20"/>
                <w:szCs w:val="20"/>
                <w:color w:val="auto"/>
              </w:rPr>
            </w:pPr>
            <w:r>
              <w:rPr>
                <w:rFonts w:ascii="Calibri" w:cs="Calibri" w:eastAsia="Calibri" w:hAnsi="Calibri"/>
                <w:sz w:val="17"/>
                <w:szCs w:val="17"/>
                <w:color w:val="auto"/>
              </w:rPr>
              <w:t>no</w:t>
            </w:r>
          </w:p>
        </w:tc>
        <w:tc>
          <w:tcPr>
            <w:tcW w:w="6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80" w:type="dxa"/>
            <w:vAlign w:val="bottom"/>
          </w:tcPr>
          <w:p>
            <w:pPr>
              <w:jc w:val="center"/>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600" w:type="dxa"/>
            <w:vAlign w:val="bottom"/>
            <w:shd w:val="clear" w:color="auto" w:fill="E5F1F8"/>
          </w:tcPr>
          <w:p>
            <w:pPr>
              <w:jc w:val="center"/>
              <w:spacing w:after="0" w:line="189" w:lineRule="exact"/>
              <w:rPr>
                <w:sz w:val="20"/>
                <w:szCs w:val="20"/>
                <w:color w:val="auto"/>
              </w:rPr>
            </w:pPr>
            <w:r>
              <w:rPr>
                <w:rFonts w:ascii="Calibri" w:cs="Calibri" w:eastAsia="Calibri" w:hAnsi="Calibri"/>
                <w:sz w:val="17"/>
                <w:szCs w:val="17"/>
                <w:color w:val="auto"/>
              </w:rPr>
              <w:t>400315</w:t>
            </w:r>
          </w:p>
        </w:tc>
        <w:tc>
          <w:tcPr>
            <w:tcW w:w="64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12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10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20" w:type="dxa"/>
            <w:vAlign w:val="bottom"/>
            <w:shd w:val="clear" w:color="auto" w:fill="E5F1F8"/>
          </w:tcPr>
          <w:p>
            <w:pPr>
              <w:spacing w:after="0"/>
              <w:rPr>
                <w:sz w:val="16"/>
                <w:szCs w:val="16"/>
                <w:color w:val="auto"/>
              </w:rPr>
            </w:pPr>
          </w:p>
        </w:tc>
        <w:tc>
          <w:tcPr>
            <w:tcW w:w="64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Chatanooga Quarry</w:t>
            </w:r>
          </w:p>
        </w:tc>
        <w:tc>
          <w:tcPr>
            <w:tcW w:w="6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9</w:t>
            </w:r>
          </w:p>
        </w:tc>
        <w:tc>
          <w:tcPr>
            <w:tcW w:w="6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6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2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0</w:t>
            </w:r>
          </w:p>
        </w:tc>
        <w:tc>
          <w:tcPr>
            <w:tcW w:w="1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b w:val="1"/>
                <w:bCs w:val="1"/>
                <w:color w:val="auto"/>
                <w:w w:val="92"/>
              </w:rPr>
              <w:t>$</w:t>
            </w:r>
          </w:p>
        </w:tc>
        <w:tc>
          <w:tcPr>
            <w:tcW w:w="70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10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60" w:type="dxa"/>
            <w:vAlign w:val="bottom"/>
            <w:tcBorders>
              <w:bottom w:val="single" w:sz="8" w:color="E5F1F8"/>
            </w:tcBorders>
            <w:shd w:val="clear" w:color="auto" w:fill="E5F1F8"/>
          </w:tcPr>
          <w:p>
            <w:pPr>
              <w:ind w:left="320"/>
              <w:spacing w:after="0" w:line="205" w:lineRule="exact"/>
              <w:rPr>
                <w:sz w:val="20"/>
                <w:szCs w:val="20"/>
                <w:color w:val="auto"/>
              </w:rPr>
            </w:pPr>
            <w:r>
              <w:rPr>
                <w:rFonts w:ascii="Calibri" w:cs="Calibri" w:eastAsia="Calibri" w:hAnsi="Calibri"/>
                <w:sz w:val="17"/>
                <w:szCs w:val="17"/>
                <w:color w:val="auto"/>
              </w:rPr>
              <w:t>no</w:t>
            </w:r>
          </w:p>
        </w:tc>
        <w:tc>
          <w:tcPr>
            <w:tcW w:w="82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no</w:t>
            </w:r>
          </w:p>
        </w:tc>
        <w:tc>
          <w:tcPr>
            <w:tcW w:w="6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8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600" w:type="dxa"/>
            <w:vAlign w:val="bottom"/>
          </w:tcPr>
          <w:p>
            <w:pPr>
              <w:jc w:val="center"/>
              <w:spacing w:after="0" w:line="189" w:lineRule="exact"/>
              <w:rPr>
                <w:sz w:val="20"/>
                <w:szCs w:val="20"/>
                <w:color w:val="auto"/>
              </w:rPr>
            </w:pPr>
            <w:r>
              <w:rPr>
                <w:rFonts w:ascii="Calibri" w:cs="Calibri" w:eastAsia="Calibri" w:hAnsi="Calibri"/>
                <w:sz w:val="17"/>
                <w:szCs w:val="17"/>
                <w:color w:val="auto"/>
              </w:rPr>
              <w:t>180001</w:t>
            </w: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Churchville Quarry</w:t>
            </w:r>
          </w:p>
        </w:tc>
        <w:tc>
          <w:tcPr>
            <w:tcW w:w="6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2</w:t>
            </w:r>
          </w:p>
        </w:tc>
        <w:tc>
          <w:tcPr>
            <w:tcW w:w="6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6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2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Pr>
          <w:p>
            <w:pPr>
              <w:jc w:val="center"/>
              <w:spacing w:after="0" w:line="205" w:lineRule="exact"/>
              <w:rPr>
                <w:sz w:val="20"/>
                <w:szCs w:val="20"/>
                <w:color w:val="auto"/>
              </w:rPr>
            </w:pPr>
            <w:r>
              <w:rPr>
                <w:rFonts w:ascii="Calibri" w:cs="Calibri" w:eastAsia="Calibri" w:hAnsi="Calibri"/>
                <w:sz w:val="17"/>
                <w:szCs w:val="17"/>
                <w:color w:val="auto"/>
              </w:rPr>
              <w:t>0</w:t>
            </w:r>
          </w:p>
        </w:tc>
        <w:tc>
          <w:tcPr>
            <w:tcW w:w="120" w:type="dxa"/>
            <w:vAlign w:val="bottom"/>
          </w:tcPr>
          <w:p>
            <w:pPr>
              <w:ind w:left="20"/>
              <w:spacing w:after="0" w:line="205" w:lineRule="exact"/>
              <w:rPr>
                <w:sz w:val="20"/>
                <w:szCs w:val="20"/>
                <w:color w:val="auto"/>
              </w:rPr>
            </w:pPr>
            <w:r>
              <w:rPr>
                <w:rFonts w:ascii="Calibri" w:cs="Calibri" w:eastAsia="Calibri" w:hAnsi="Calibri"/>
                <w:sz w:val="17"/>
                <w:szCs w:val="17"/>
                <w:b w:val="1"/>
                <w:bCs w:val="1"/>
                <w:color w:val="auto"/>
                <w:w w:val="92"/>
              </w:rPr>
              <w:t>$</w:t>
            </w:r>
          </w:p>
        </w:tc>
        <w:tc>
          <w:tcPr>
            <w:tcW w:w="70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133</w:t>
            </w:r>
          </w:p>
        </w:tc>
        <w:tc>
          <w:tcPr>
            <w:tcW w:w="10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60" w:type="dxa"/>
            <w:vAlign w:val="bottom"/>
          </w:tcPr>
          <w:p>
            <w:pPr>
              <w:ind w:left="320"/>
              <w:spacing w:after="0" w:line="205" w:lineRule="exact"/>
              <w:rPr>
                <w:sz w:val="20"/>
                <w:szCs w:val="20"/>
                <w:color w:val="auto"/>
              </w:rPr>
            </w:pPr>
            <w:r>
              <w:rPr>
                <w:rFonts w:ascii="Calibri" w:cs="Calibri" w:eastAsia="Calibri" w:hAnsi="Calibri"/>
                <w:sz w:val="17"/>
                <w:szCs w:val="17"/>
                <w:color w:val="auto"/>
              </w:rPr>
              <w:t>no</w:t>
            </w:r>
          </w:p>
        </w:tc>
        <w:tc>
          <w:tcPr>
            <w:tcW w:w="820" w:type="dxa"/>
            <w:vAlign w:val="bottom"/>
          </w:tcPr>
          <w:p>
            <w:pPr>
              <w:jc w:val="center"/>
              <w:spacing w:after="0" w:line="205" w:lineRule="exact"/>
              <w:rPr>
                <w:sz w:val="20"/>
                <w:szCs w:val="20"/>
                <w:color w:val="auto"/>
              </w:rPr>
            </w:pPr>
            <w:r>
              <w:rPr>
                <w:rFonts w:ascii="Calibri" w:cs="Calibri" w:eastAsia="Calibri" w:hAnsi="Calibri"/>
                <w:sz w:val="17"/>
                <w:szCs w:val="17"/>
                <w:color w:val="auto"/>
              </w:rPr>
              <w:t>no</w:t>
            </w:r>
          </w:p>
        </w:tc>
        <w:tc>
          <w:tcPr>
            <w:tcW w:w="6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80" w:type="dxa"/>
            <w:vAlign w:val="bottom"/>
          </w:tcPr>
          <w:p>
            <w:pPr>
              <w:jc w:val="center"/>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600" w:type="dxa"/>
            <w:vAlign w:val="bottom"/>
            <w:shd w:val="clear" w:color="auto" w:fill="E5F1F8"/>
          </w:tcPr>
          <w:p>
            <w:pPr>
              <w:jc w:val="center"/>
              <w:spacing w:after="0" w:line="189" w:lineRule="exact"/>
              <w:rPr>
                <w:sz w:val="20"/>
                <w:szCs w:val="20"/>
                <w:color w:val="auto"/>
              </w:rPr>
            </w:pPr>
            <w:r>
              <w:rPr>
                <w:rFonts w:ascii="Calibri" w:cs="Calibri" w:eastAsia="Calibri" w:hAnsi="Calibri"/>
                <w:sz w:val="17"/>
                <w:szCs w:val="17"/>
                <w:color w:val="auto"/>
              </w:rPr>
              <w:t>310200</w:t>
            </w:r>
          </w:p>
        </w:tc>
        <w:tc>
          <w:tcPr>
            <w:tcW w:w="64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12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10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20" w:type="dxa"/>
            <w:vAlign w:val="bottom"/>
            <w:shd w:val="clear" w:color="auto" w:fill="E5F1F8"/>
          </w:tcPr>
          <w:p>
            <w:pPr>
              <w:spacing w:after="0"/>
              <w:rPr>
                <w:sz w:val="16"/>
                <w:szCs w:val="16"/>
                <w:color w:val="auto"/>
              </w:rPr>
            </w:pPr>
          </w:p>
        </w:tc>
        <w:tc>
          <w:tcPr>
            <w:tcW w:w="64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Clarks Quarry</w:t>
            </w:r>
          </w:p>
        </w:tc>
        <w:tc>
          <w:tcPr>
            <w:tcW w:w="6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9</w:t>
            </w:r>
          </w:p>
        </w:tc>
        <w:tc>
          <w:tcPr>
            <w:tcW w:w="6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6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2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0</w:t>
            </w:r>
          </w:p>
        </w:tc>
        <w:tc>
          <w:tcPr>
            <w:tcW w:w="1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b w:val="1"/>
                <w:bCs w:val="1"/>
                <w:color w:val="auto"/>
                <w:w w:val="92"/>
              </w:rPr>
              <w:t>$</w:t>
            </w:r>
          </w:p>
        </w:tc>
        <w:tc>
          <w:tcPr>
            <w:tcW w:w="70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133</w:t>
            </w:r>
          </w:p>
        </w:tc>
        <w:tc>
          <w:tcPr>
            <w:tcW w:w="10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60" w:type="dxa"/>
            <w:vAlign w:val="bottom"/>
            <w:tcBorders>
              <w:bottom w:val="single" w:sz="8" w:color="E5F1F8"/>
            </w:tcBorders>
            <w:shd w:val="clear" w:color="auto" w:fill="E5F1F8"/>
          </w:tcPr>
          <w:p>
            <w:pPr>
              <w:ind w:left="320"/>
              <w:spacing w:after="0" w:line="205" w:lineRule="exact"/>
              <w:rPr>
                <w:sz w:val="20"/>
                <w:szCs w:val="20"/>
                <w:color w:val="auto"/>
              </w:rPr>
            </w:pPr>
            <w:r>
              <w:rPr>
                <w:rFonts w:ascii="Calibri" w:cs="Calibri" w:eastAsia="Calibri" w:hAnsi="Calibri"/>
                <w:sz w:val="17"/>
                <w:szCs w:val="17"/>
                <w:color w:val="auto"/>
              </w:rPr>
              <w:t>no</w:t>
            </w:r>
          </w:p>
        </w:tc>
        <w:tc>
          <w:tcPr>
            <w:tcW w:w="82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no</w:t>
            </w:r>
          </w:p>
        </w:tc>
        <w:tc>
          <w:tcPr>
            <w:tcW w:w="6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8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600" w:type="dxa"/>
            <w:vAlign w:val="bottom"/>
          </w:tcPr>
          <w:p>
            <w:pPr>
              <w:jc w:val="center"/>
              <w:spacing w:after="0" w:line="189" w:lineRule="exact"/>
              <w:rPr>
                <w:sz w:val="20"/>
                <w:szCs w:val="20"/>
                <w:color w:val="auto"/>
              </w:rPr>
            </w:pPr>
            <w:r>
              <w:rPr>
                <w:rFonts w:ascii="Calibri" w:cs="Calibri" w:eastAsia="Calibri" w:hAnsi="Calibri"/>
                <w:sz w:val="17"/>
                <w:szCs w:val="17"/>
                <w:color w:val="auto"/>
              </w:rPr>
              <w:t>310223</w:t>
            </w: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Cumberland Quarry</w:t>
            </w:r>
          </w:p>
        </w:tc>
        <w:tc>
          <w:tcPr>
            <w:tcW w:w="6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7</w:t>
            </w:r>
          </w:p>
        </w:tc>
        <w:tc>
          <w:tcPr>
            <w:tcW w:w="6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6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2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Pr>
          <w:p>
            <w:pPr>
              <w:jc w:val="center"/>
              <w:spacing w:after="0" w:line="205" w:lineRule="exact"/>
              <w:rPr>
                <w:sz w:val="20"/>
                <w:szCs w:val="20"/>
                <w:color w:val="auto"/>
              </w:rPr>
            </w:pPr>
            <w:r>
              <w:rPr>
                <w:rFonts w:ascii="Calibri" w:cs="Calibri" w:eastAsia="Calibri" w:hAnsi="Calibri"/>
                <w:sz w:val="17"/>
                <w:szCs w:val="17"/>
                <w:color w:val="auto"/>
              </w:rPr>
              <w:t>0</w:t>
            </w:r>
          </w:p>
        </w:tc>
        <w:tc>
          <w:tcPr>
            <w:tcW w:w="120" w:type="dxa"/>
            <w:vAlign w:val="bottom"/>
          </w:tcPr>
          <w:p>
            <w:pPr>
              <w:ind w:left="20"/>
              <w:spacing w:after="0" w:line="205" w:lineRule="exact"/>
              <w:rPr>
                <w:sz w:val="20"/>
                <w:szCs w:val="20"/>
                <w:color w:val="auto"/>
              </w:rPr>
            </w:pPr>
            <w:r>
              <w:rPr>
                <w:rFonts w:ascii="Calibri" w:cs="Calibri" w:eastAsia="Calibri" w:hAnsi="Calibri"/>
                <w:sz w:val="17"/>
                <w:szCs w:val="17"/>
                <w:b w:val="1"/>
                <w:bCs w:val="1"/>
                <w:color w:val="auto"/>
                <w:w w:val="92"/>
              </w:rPr>
              <w:t>$</w:t>
            </w:r>
          </w:p>
        </w:tc>
        <w:tc>
          <w:tcPr>
            <w:tcW w:w="70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10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60" w:type="dxa"/>
            <w:vAlign w:val="bottom"/>
          </w:tcPr>
          <w:p>
            <w:pPr>
              <w:ind w:left="320"/>
              <w:spacing w:after="0" w:line="205" w:lineRule="exact"/>
              <w:rPr>
                <w:sz w:val="20"/>
                <w:szCs w:val="20"/>
                <w:color w:val="auto"/>
              </w:rPr>
            </w:pPr>
            <w:r>
              <w:rPr>
                <w:rFonts w:ascii="Calibri" w:cs="Calibri" w:eastAsia="Calibri" w:hAnsi="Calibri"/>
                <w:sz w:val="17"/>
                <w:szCs w:val="17"/>
                <w:color w:val="auto"/>
              </w:rPr>
              <w:t>no</w:t>
            </w:r>
          </w:p>
        </w:tc>
        <w:tc>
          <w:tcPr>
            <w:tcW w:w="820" w:type="dxa"/>
            <w:vAlign w:val="bottom"/>
          </w:tcPr>
          <w:p>
            <w:pPr>
              <w:jc w:val="center"/>
              <w:spacing w:after="0" w:line="205" w:lineRule="exact"/>
              <w:rPr>
                <w:sz w:val="20"/>
                <w:szCs w:val="20"/>
                <w:color w:val="auto"/>
              </w:rPr>
            </w:pPr>
            <w:r>
              <w:rPr>
                <w:rFonts w:ascii="Calibri" w:cs="Calibri" w:eastAsia="Calibri" w:hAnsi="Calibri"/>
                <w:sz w:val="17"/>
                <w:szCs w:val="17"/>
                <w:color w:val="auto"/>
              </w:rPr>
              <w:t>no</w:t>
            </w:r>
          </w:p>
        </w:tc>
        <w:tc>
          <w:tcPr>
            <w:tcW w:w="6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80" w:type="dxa"/>
            <w:vAlign w:val="bottom"/>
          </w:tcPr>
          <w:p>
            <w:pPr>
              <w:jc w:val="center"/>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600" w:type="dxa"/>
            <w:vAlign w:val="bottom"/>
            <w:shd w:val="clear" w:color="auto" w:fill="E5F1F8"/>
          </w:tcPr>
          <w:p>
            <w:pPr>
              <w:jc w:val="center"/>
              <w:spacing w:after="0" w:line="189" w:lineRule="exact"/>
              <w:rPr>
                <w:sz w:val="20"/>
                <w:szCs w:val="20"/>
                <w:color w:val="auto"/>
              </w:rPr>
            </w:pPr>
            <w:r>
              <w:rPr>
                <w:rFonts w:ascii="Calibri" w:cs="Calibri" w:eastAsia="Calibri" w:hAnsi="Calibri"/>
                <w:sz w:val="17"/>
                <w:szCs w:val="17"/>
                <w:color w:val="auto"/>
              </w:rPr>
              <w:t>090046</w:t>
            </w:r>
          </w:p>
        </w:tc>
        <w:tc>
          <w:tcPr>
            <w:tcW w:w="64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12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10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20" w:type="dxa"/>
            <w:vAlign w:val="bottom"/>
            <w:shd w:val="clear" w:color="auto" w:fill="E5F1F8"/>
          </w:tcPr>
          <w:p>
            <w:pPr>
              <w:spacing w:after="0"/>
              <w:rPr>
                <w:sz w:val="16"/>
                <w:szCs w:val="16"/>
                <w:color w:val="auto"/>
              </w:rPr>
            </w:pPr>
          </w:p>
        </w:tc>
        <w:tc>
          <w:tcPr>
            <w:tcW w:w="64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Cumming Quarry</w:t>
            </w:r>
          </w:p>
        </w:tc>
        <w:tc>
          <w:tcPr>
            <w:tcW w:w="6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6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2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0</w:t>
            </w:r>
          </w:p>
        </w:tc>
        <w:tc>
          <w:tcPr>
            <w:tcW w:w="1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b w:val="1"/>
                <w:bCs w:val="1"/>
                <w:color w:val="auto"/>
                <w:w w:val="92"/>
              </w:rPr>
              <w:t>$</w:t>
            </w:r>
          </w:p>
        </w:tc>
        <w:tc>
          <w:tcPr>
            <w:tcW w:w="70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614</w:t>
            </w:r>
          </w:p>
        </w:tc>
        <w:tc>
          <w:tcPr>
            <w:tcW w:w="10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60" w:type="dxa"/>
            <w:vAlign w:val="bottom"/>
            <w:tcBorders>
              <w:bottom w:val="single" w:sz="8" w:color="E5F1F8"/>
            </w:tcBorders>
            <w:shd w:val="clear" w:color="auto" w:fill="E5F1F8"/>
          </w:tcPr>
          <w:p>
            <w:pPr>
              <w:ind w:left="320"/>
              <w:spacing w:after="0" w:line="205" w:lineRule="exact"/>
              <w:rPr>
                <w:sz w:val="20"/>
                <w:szCs w:val="20"/>
                <w:color w:val="auto"/>
              </w:rPr>
            </w:pPr>
            <w:r>
              <w:rPr>
                <w:rFonts w:ascii="Calibri" w:cs="Calibri" w:eastAsia="Calibri" w:hAnsi="Calibri"/>
                <w:sz w:val="17"/>
                <w:szCs w:val="17"/>
                <w:color w:val="auto"/>
              </w:rPr>
              <w:t>no</w:t>
            </w:r>
          </w:p>
        </w:tc>
        <w:tc>
          <w:tcPr>
            <w:tcW w:w="82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no</w:t>
            </w:r>
          </w:p>
        </w:tc>
        <w:tc>
          <w:tcPr>
            <w:tcW w:w="6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8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600" w:type="dxa"/>
            <w:vAlign w:val="bottom"/>
          </w:tcPr>
          <w:p>
            <w:pPr>
              <w:jc w:val="center"/>
              <w:spacing w:after="0" w:line="189" w:lineRule="exact"/>
              <w:rPr>
                <w:sz w:val="20"/>
                <w:szCs w:val="20"/>
                <w:color w:val="auto"/>
              </w:rPr>
            </w:pPr>
            <w:r>
              <w:rPr>
                <w:rFonts w:ascii="Calibri" w:cs="Calibri" w:eastAsia="Calibri" w:hAnsi="Calibri"/>
                <w:sz w:val="17"/>
                <w:szCs w:val="17"/>
                <w:color w:val="auto"/>
              </w:rPr>
              <w:t>310197</w:t>
            </w: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Denver Quarry</w:t>
            </w:r>
          </w:p>
        </w:tc>
        <w:tc>
          <w:tcPr>
            <w:tcW w:w="6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1</w:t>
            </w:r>
          </w:p>
        </w:tc>
        <w:tc>
          <w:tcPr>
            <w:tcW w:w="6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6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2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Pr>
          <w:p>
            <w:pPr>
              <w:jc w:val="center"/>
              <w:spacing w:after="0" w:line="205" w:lineRule="exact"/>
              <w:rPr>
                <w:sz w:val="20"/>
                <w:szCs w:val="20"/>
                <w:color w:val="auto"/>
              </w:rPr>
            </w:pPr>
            <w:r>
              <w:rPr>
                <w:rFonts w:ascii="Calibri" w:cs="Calibri" w:eastAsia="Calibri" w:hAnsi="Calibri"/>
                <w:sz w:val="17"/>
                <w:szCs w:val="17"/>
                <w:color w:val="auto"/>
              </w:rPr>
              <w:t>0</w:t>
            </w:r>
          </w:p>
        </w:tc>
        <w:tc>
          <w:tcPr>
            <w:tcW w:w="120" w:type="dxa"/>
            <w:vAlign w:val="bottom"/>
          </w:tcPr>
          <w:p>
            <w:pPr>
              <w:ind w:left="20"/>
              <w:spacing w:after="0" w:line="205" w:lineRule="exact"/>
              <w:rPr>
                <w:sz w:val="20"/>
                <w:szCs w:val="20"/>
                <w:color w:val="auto"/>
              </w:rPr>
            </w:pPr>
            <w:r>
              <w:rPr>
                <w:rFonts w:ascii="Calibri" w:cs="Calibri" w:eastAsia="Calibri" w:hAnsi="Calibri"/>
                <w:sz w:val="17"/>
                <w:szCs w:val="17"/>
                <w:b w:val="1"/>
                <w:bCs w:val="1"/>
                <w:color w:val="auto"/>
                <w:w w:val="92"/>
              </w:rPr>
              <w:t>$</w:t>
            </w:r>
          </w:p>
        </w:tc>
        <w:tc>
          <w:tcPr>
            <w:tcW w:w="70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266</w:t>
            </w:r>
          </w:p>
        </w:tc>
        <w:tc>
          <w:tcPr>
            <w:tcW w:w="10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60" w:type="dxa"/>
            <w:vAlign w:val="bottom"/>
          </w:tcPr>
          <w:p>
            <w:pPr>
              <w:ind w:left="320"/>
              <w:spacing w:after="0" w:line="205" w:lineRule="exact"/>
              <w:rPr>
                <w:sz w:val="20"/>
                <w:szCs w:val="20"/>
                <w:color w:val="auto"/>
              </w:rPr>
            </w:pPr>
            <w:r>
              <w:rPr>
                <w:rFonts w:ascii="Calibri" w:cs="Calibri" w:eastAsia="Calibri" w:hAnsi="Calibri"/>
                <w:sz w:val="17"/>
                <w:szCs w:val="17"/>
                <w:color w:val="auto"/>
              </w:rPr>
              <w:t>no</w:t>
            </w:r>
          </w:p>
        </w:tc>
        <w:tc>
          <w:tcPr>
            <w:tcW w:w="820" w:type="dxa"/>
            <w:vAlign w:val="bottom"/>
          </w:tcPr>
          <w:p>
            <w:pPr>
              <w:jc w:val="center"/>
              <w:spacing w:after="0" w:line="205" w:lineRule="exact"/>
              <w:rPr>
                <w:sz w:val="20"/>
                <w:szCs w:val="20"/>
                <w:color w:val="auto"/>
              </w:rPr>
            </w:pPr>
            <w:r>
              <w:rPr>
                <w:rFonts w:ascii="Calibri" w:cs="Calibri" w:eastAsia="Calibri" w:hAnsi="Calibri"/>
                <w:sz w:val="17"/>
                <w:szCs w:val="17"/>
                <w:color w:val="auto"/>
              </w:rPr>
              <w:t>no</w:t>
            </w:r>
          </w:p>
        </w:tc>
        <w:tc>
          <w:tcPr>
            <w:tcW w:w="6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80" w:type="dxa"/>
            <w:vAlign w:val="bottom"/>
          </w:tcPr>
          <w:p>
            <w:pPr>
              <w:jc w:val="center"/>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600" w:type="dxa"/>
            <w:vAlign w:val="bottom"/>
            <w:shd w:val="clear" w:color="auto" w:fill="E5F1F8"/>
          </w:tcPr>
          <w:p>
            <w:pPr>
              <w:jc w:val="center"/>
              <w:spacing w:after="0" w:line="189" w:lineRule="exact"/>
              <w:rPr>
                <w:sz w:val="20"/>
                <w:szCs w:val="20"/>
                <w:color w:val="auto"/>
              </w:rPr>
            </w:pPr>
            <w:r>
              <w:rPr>
                <w:rFonts w:ascii="Calibri" w:cs="Calibri" w:eastAsia="Calibri" w:hAnsi="Calibri"/>
                <w:sz w:val="17"/>
                <w:szCs w:val="17"/>
                <w:color w:val="auto"/>
              </w:rPr>
              <w:t>440004</w:t>
            </w:r>
          </w:p>
        </w:tc>
        <w:tc>
          <w:tcPr>
            <w:tcW w:w="64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12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10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20" w:type="dxa"/>
            <w:vAlign w:val="bottom"/>
            <w:shd w:val="clear" w:color="auto" w:fill="E5F1F8"/>
          </w:tcPr>
          <w:p>
            <w:pPr>
              <w:spacing w:after="0"/>
              <w:rPr>
                <w:sz w:val="16"/>
                <w:szCs w:val="16"/>
                <w:color w:val="auto"/>
              </w:rPr>
            </w:pPr>
          </w:p>
        </w:tc>
        <w:tc>
          <w:tcPr>
            <w:tcW w:w="64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Doswell Quarry VA</w:t>
            </w:r>
          </w:p>
        </w:tc>
        <w:tc>
          <w:tcPr>
            <w:tcW w:w="6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5</w:t>
            </w:r>
          </w:p>
        </w:tc>
        <w:tc>
          <w:tcPr>
            <w:tcW w:w="6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6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2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0</w:t>
            </w:r>
          </w:p>
        </w:tc>
        <w:tc>
          <w:tcPr>
            <w:tcW w:w="1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b w:val="1"/>
                <w:bCs w:val="1"/>
                <w:color w:val="auto"/>
                <w:w w:val="92"/>
              </w:rPr>
              <w:t>$</w:t>
            </w:r>
          </w:p>
        </w:tc>
        <w:tc>
          <w:tcPr>
            <w:tcW w:w="70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133</w:t>
            </w:r>
          </w:p>
        </w:tc>
        <w:tc>
          <w:tcPr>
            <w:tcW w:w="10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60" w:type="dxa"/>
            <w:vAlign w:val="bottom"/>
            <w:tcBorders>
              <w:bottom w:val="single" w:sz="8" w:color="E5F1F8"/>
            </w:tcBorders>
            <w:shd w:val="clear" w:color="auto" w:fill="E5F1F8"/>
          </w:tcPr>
          <w:p>
            <w:pPr>
              <w:ind w:left="320"/>
              <w:spacing w:after="0" w:line="205" w:lineRule="exact"/>
              <w:rPr>
                <w:sz w:val="20"/>
                <w:szCs w:val="20"/>
                <w:color w:val="auto"/>
              </w:rPr>
            </w:pPr>
            <w:r>
              <w:rPr>
                <w:rFonts w:ascii="Calibri" w:cs="Calibri" w:eastAsia="Calibri" w:hAnsi="Calibri"/>
                <w:sz w:val="17"/>
                <w:szCs w:val="17"/>
                <w:color w:val="auto"/>
              </w:rPr>
              <w:t>no</w:t>
            </w:r>
          </w:p>
        </w:tc>
        <w:tc>
          <w:tcPr>
            <w:tcW w:w="82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no</w:t>
            </w:r>
          </w:p>
        </w:tc>
        <w:tc>
          <w:tcPr>
            <w:tcW w:w="6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8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600" w:type="dxa"/>
            <w:vAlign w:val="bottom"/>
          </w:tcPr>
          <w:p>
            <w:pPr>
              <w:jc w:val="center"/>
              <w:spacing w:after="0" w:line="189" w:lineRule="exact"/>
              <w:rPr>
                <w:sz w:val="20"/>
                <w:szCs w:val="20"/>
                <w:color w:val="auto"/>
              </w:rPr>
            </w:pPr>
            <w:r>
              <w:rPr>
                <w:rFonts w:ascii="Calibri" w:cs="Calibri" w:eastAsia="Calibri" w:hAnsi="Calibri"/>
                <w:sz w:val="17"/>
                <w:szCs w:val="17"/>
                <w:color w:val="auto"/>
              </w:rPr>
              <w:t>090002</w:t>
            </w: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Douglasville Quarry</w:t>
            </w:r>
          </w:p>
        </w:tc>
        <w:tc>
          <w:tcPr>
            <w:tcW w:w="6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4</w:t>
            </w:r>
          </w:p>
        </w:tc>
        <w:tc>
          <w:tcPr>
            <w:tcW w:w="6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6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2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Pr>
          <w:p>
            <w:pPr>
              <w:jc w:val="center"/>
              <w:spacing w:after="0" w:line="205" w:lineRule="exact"/>
              <w:rPr>
                <w:sz w:val="20"/>
                <w:szCs w:val="20"/>
                <w:color w:val="auto"/>
              </w:rPr>
            </w:pPr>
            <w:r>
              <w:rPr>
                <w:rFonts w:ascii="Calibri" w:cs="Calibri" w:eastAsia="Calibri" w:hAnsi="Calibri"/>
                <w:sz w:val="17"/>
                <w:szCs w:val="17"/>
                <w:color w:val="auto"/>
              </w:rPr>
              <w:t>0</w:t>
            </w:r>
          </w:p>
        </w:tc>
        <w:tc>
          <w:tcPr>
            <w:tcW w:w="120" w:type="dxa"/>
            <w:vAlign w:val="bottom"/>
          </w:tcPr>
          <w:p>
            <w:pPr>
              <w:ind w:left="20"/>
              <w:spacing w:after="0" w:line="205" w:lineRule="exact"/>
              <w:rPr>
                <w:sz w:val="20"/>
                <w:szCs w:val="20"/>
                <w:color w:val="auto"/>
              </w:rPr>
            </w:pPr>
            <w:r>
              <w:rPr>
                <w:rFonts w:ascii="Calibri" w:cs="Calibri" w:eastAsia="Calibri" w:hAnsi="Calibri"/>
                <w:sz w:val="17"/>
                <w:szCs w:val="17"/>
                <w:b w:val="1"/>
                <w:bCs w:val="1"/>
                <w:color w:val="auto"/>
                <w:w w:val="92"/>
              </w:rPr>
              <w:t>$</w:t>
            </w:r>
          </w:p>
        </w:tc>
        <w:tc>
          <w:tcPr>
            <w:tcW w:w="70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266</w:t>
            </w:r>
          </w:p>
        </w:tc>
        <w:tc>
          <w:tcPr>
            <w:tcW w:w="10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760" w:type="dxa"/>
            <w:vAlign w:val="bottom"/>
          </w:tcPr>
          <w:p>
            <w:pPr>
              <w:ind w:left="320"/>
              <w:spacing w:after="0" w:line="205" w:lineRule="exact"/>
              <w:rPr>
                <w:sz w:val="20"/>
                <w:szCs w:val="20"/>
                <w:color w:val="auto"/>
              </w:rPr>
            </w:pPr>
            <w:r>
              <w:rPr>
                <w:rFonts w:ascii="Calibri" w:cs="Calibri" w:eastAsia="Calibri" w:hAnsi="Calibri"/>
                <w:sz w:val="17"/>
                <w:szCs w:val="17"/>
                <w:color w:val="auto"/>
              </w:rPr>
              <w:t>no</w:t>
            </w:r>
          </w:p>
        </w:tc>
        <w:tc>
          <w:tcPr>
            <w:tcW w:w="820" w:type="dxa"/>
            <w:vAlign w:val="bottom"/>
          </w:tcPr>
          <w:p>
            <w:pPr>
              <w:jc w:val="center"/>
              <w:spacing w:after="0" w:line="205" w:lineRule="exact"/>
              <w:rPr>
                <w:sz w:val="20"/>
                <w:szCs w:val="20"/>
                <w:color w:val="auto"/>
              </w:rPr>
            </w:pPr>
            <w:r>
              <w:rPr>
                <w:rFonts w:ascii="Calibri" w:cs="Calibri" w:eastAsia="Calibri" w:hAnsi="Calibri"/>
                <w:sz w:val="17"/>
                <w:szCs w:val="17"/>
                <w:color w:val="auto"/>
              </w:rPr>
              <w:t>no</w:t>
            </w:r>
          </w:p>
        </w:tc>
        <w:tc>
          <w:tcPr>
            <w:tcW w:w="6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680" w:type="dxa"/>
            <w:vAlign w:val="bottom"/>
          </w:tcPr>
          <w:p>
            <w:pPr>
              <w:jc w:val="center"/>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r>
      <w:tr>
        <w:trPr>
          <w:trHeight w:val="154"/>
        </w:trPr>
        <w:tc>
          <w:tcPr>
            <w:tcW w:w="17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64" w:orient="portrait"/>
          <w:cols w:equalWidth="0" w:num="1">
            <w:col w:w="11240"/>
          </w:cols>
          <w:pgMar w:left="320" w:top="112" w:right="339" w:bottom="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20"/>
        </w:trPr>
        <w:tc>
          <w:tcPr>
            <w:tcW w:w="1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center"/>
              <w:ind w:left="74"/>
              <w:spacing w:after="0"/>
              <w:rPr>
                <w:sz w:val="20"/>
                <w:szCs w:val="20"/>
                <w:color w:val="auto"/>
              </w:rPr>
            </w:pPr>
            <w:r>
              <w:rPr>
                <w:rFonts w:ascii="Calibri" w:cs="Calibri" w:eastAsia="Calibri" w:hAnsi="Calibri"/>
                <w:sz w:val="18"/>
                <w:szCs w:val="18"/>
                <w:color w:val="auto"/>
                <w:w w:val="97"/>
              </w:rPr>
              <w:t>Appendix 1</w:t>
            </w:r>
          </w:p>
        </w:tc>
      </w:tr>
      <w:tr>
        <w:trPr>
          <w:trHeight w:val="23"/>
        </w:trPr>
        <w:tc>
          <w:tcPr>
            <w:tcW w:w="1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89"/>
        </w:trPr>
        <w:tc>
          <w:tcPr>
            <w:tcW w:w="1720" w:type="dxa"/>
            <w:vAlign w:val="bottom"/>
            <w:shd w:val="clear" w:color="auto" w:fill="E5F1F8"/>
          </w:tcPr>
          <w:p>
            <w:pPr>
              <w:spacing w:after="0"/>
              <w:rPr>
                <w:sz w:val="16"/>
                <w:szCs w:val="16"/>
                <w:color w:val="auto"/>
              </w:rPr>
            </w:pPr>
          </w:p>
        </w:tc>
        <w:tc>
          <w:tcPr>
            <w:tcW w:w="760" w:type="dxa"/>
            <w:vAlign w:val="bottom"/>
            <w:shd w:val="clear" w:color="auto" w:fill="E5F1F8"/>
          </w:tcPr>
          <w:p>
            <w:pPr>
              <w:jc w:val="center"/>
              <w:ind w:right="55"/>
              <w:spacing w:after="0" w:line="189" w:lineRule="exact"/>
              <w:rPr>
                <w:sz w:val="20"/>
                <w:szCs w:val="20"/>
                <w:color w:val="auto"/>
              </w:rPr>
            </w:pPr>
            <w:r>
              <w:rPr>
                <w:rFonts w:ascii="Calibri" w:cs="Calibri" w:eastAsia="Calibri" w:hAnsi="Calibri"/>
                <w:sz w:val="17"/>
                <w:szCs w:val="17"/>
                <w:color w:val="auto"/>
              </w:rPr>
              <w:t>310202</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320" w:type="dxa"/>
            <w:vAlign w:val="bottom"/>
            <w:shd w:val="clear" w:color="auto" w:fill="E5F1F8"/>
          </w:tcPr>
          <w:p>
            <w:pPr>
              <w:spacing w:after="0"/>
              <w:rPr>
                <w:sz w:val="16"/>
                <w:szCs w:val="16"/>
                <w:color w:val="auto"/>
              </w:rPr>
            </w:pPr>
          </w:p>
        </w:tc>
        <w:tc>
          <w:tcPr>
            <w:tcW w:w="8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East Alamance Quarry</w:t>
            </w:r>
          </w:p>
        </w:tc>
        <w:tc>
          <w:tcPr>
            <w:tcW w:w="7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1</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Borders>
              <w:bottom w:val="single" w:sz="8" w:color="E5F1F8"/>
            </w:tcBorders>
            <w:shd w:val="clear" w:color="auto" w:fill="E5F1F8"/>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760" w:type="dxa"/>
            <w:vAlign w:val="bottom"/>
          </w:tcPr>
          <w:p>
            <w:pPr>
              <w:jc w:val="center"/>
              <w:ind w:right="55"/>
              <w:spacing w:after="0" w:line="189" w:lineRule="exact"/>
              <w:rPr>
                <w:sz w:val="20"/>
                <w:szCs w:val="20"/>
                <w:color w:val="auto"/>
              </w:rPr>
            </w:pPr>
            <w:r>
              <w:rPr>
                <w:rFonts w:ascii="Calibri" w:cs="Calibri" w:eastAsia="Calibri" w:hAnsi="Calibri"/>
                <w:sz w:val="17"/>
                <w:szCs w:val="17"/>
                <w:color w:val="auto"/>
              </w:rPr>
              <w:t>380073</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Edgefeld Quarry</w:t>
            </w:r>
          </w:p>
        </w:tc>
        <w:tc>
          <w:tcPr>
            <w:tcW w:w="7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8</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632</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760" w:type="dxa"/>
            <w:vAlign w:val="bottom"/>
            <w:shd w:val="clear" w:color="auto" w:fill="E5F1F8"/>
          </w:tcPr>
          <w:p>
            <w:pPr>
              <w:jc w:val="center"/>
              <w:ind w:right="55"/>
              <w:spacing w:after="0" w:line="189" w:lineRule="exact"/>
              <w:rPr>
                <w:sz w:val="20"/>
                <w:szCs w:val="20"/>
                <w:color w:val="auto"/>
              </w:rPr>
            </w:pPr>
            <w:r>
              <w:rPr>
                <w:rFonts w:ascii="Calibri" w:cs="Calibri" w:eastAsia="Calibri" w:hAnsi="Calibri"/>
                <w:sz w:val="17"/>
                <w:szCs w:val="17"/>
                <w:color w:val="auto"/>
              </w:rPr>
              <w:t>380066</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320" w:type="dxa"/>
            <w:vAlign w:val="bottom"/>
            <w:shd w:val="clear" w:color="auto" w:fill="E5F1F8"/>
          </w:tcPr>
          <w:p>
            <w:pPr>
              <w:spacing w:after="0"/>
              <w:rPr>
                <w:sz w:val="16"/>
                <w:szCs w:val="16"/>
                <w:color w:val="auto"/>
              </w:rPr>
            </w:pPr>
          </w:p>
        </w:tc>
        <w:tc>
          <w:tcPr>
            <w:tcW w:w="8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Edmund Sand</w:t>
            </w:r>
          </w:p>
        </w:tc>
        <w:tc>
          <w:tcPr>
            <w:tcW w:w="7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2</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Borders>
              <w:bottom w:val="single" w:sz="8" w:color="E5F1F8"/>
            </w:tcBorders>
            <w:shd w:val="clear" w:color="auto" w:fill="E5F1F8"/>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760" w:type="dxa"/>
            <w:vAlign w:val="bottom"/>
          </w:tcPr>
          <w:p>
            <w:pPr>
              <w:jc w:val="center"/>
              <w:ind w:right="55"/>
              <w:spacing w:after="0" w:line="189" w:lineRule="exact"/>
              <w:rPr>
                <w:sz w:val="20"/>
                <w:szCs w:val="20"/>
                <w:color w:val="auto"/>
              </w:rPr>
            </w:pPr>
            <w:r>
              <w:rPr>
                <w:rFonts w:ascii="Calibri" w:cs="Calibri" w:eastAsia="Calibri" w:hAnsi="Calibri"/>
                <w:sz w:val="17"/>
                <w:szCs w:val="17"/>
                <w:color w:val="auto"/>
              </w:rPr>
              <w:t>310006</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Fountain Quarry</w:t>
            </w:r>
          </w:p>
        </w:tc>
        <w:tc>
          <w:tcPr>
            <w:tcW w:w="7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5</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760" w:type="dxa"/>
            <w:vAlign w:val="bottom"/>
            <w:shd w:val="clear" w:color="auto" w:fill="E5F1F8"/>
          </w:tcPr>
          <w:p>
            <w:pPr>
              <w:jc w:val="center"/>
              <w:ind w:right="55"/>
              <w:spacing w:after="0" w:line="189" w:lineRule="exact"/>
              <w:rPr>
                <w:sz w:val="20"/>
                <w:szCs w:val="20"/>
                <w:color w:val="auto"/>
              </w:rPr>
            </w:pPr>
            <w:r>
              <w:rPr>
                <w:rFonts w:ascii="Calibri" w:cs="Calibri" w:eastAsia="Calibri" w:hAnsi="Calibri"/>
                <w:sz w:val="17"/>
                <w:szCs w:val="17"/>
                <w:color w:val="auto"/>
              </w:rPr>
              <w:t>310213</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320" w:type="dxa"/>
            <w:vAlign w:val="bottom"/>
            <w:shd w:val="clear" w:color="auto" w:fill="E5F1F8"/>
          </w:tcPr>
          <w:p>
            <w:pPr>
              <w:spacing w:after="0"/>
              <w:rPr>
                <w:sz w:val="16"/>
                <w:szCs w:val="16"/>
                <w:color w:val="auto"/>
              </w:rPr>
            </w:pPr>
          </w:p>
        </w:tc>
        <w:tc>
          <w:tcPr>
            <w:tcW w:w="8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Franklin Quarry</w:t>
            </w:r>
          </w:p>
        </w:tc>
        <w:tc>
          <w:tcPr>
            <w:tcW w:w="7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0</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Borders>
              <w:bottom w:val="single" w:sz="8" w:color="E5F1F8"/>
            </w:tcBorders>
            <w:shd w:val="clear" w:color="auto" w:fill="E5F1F8"/>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760" w:type="dxa"/>
            <w:vAlign w:val="bottom"/>
          </w:tcPr>
          <w:p>
            <w:pPr>
              <w:jc w:val="center"/>
              <w:ind w:right="55"/>
              <w:spacing w:after="0" w:line="189" w:lineRule="exact"/>
              <w:rPr>
                <w:sz w:val="20"/>
                <w:szCs w:val="20"/>
                <w:color w:val="auto"/>
              </w:rPr>
            </w:pPr>
            <w:r>
              <w:rPr>
                <w:rFonts w:ascii="Calibri" w:cs="Calibri" w:eastAsia="Calibri" w:hAnsi="Calibri"/>
                <w:sz w:val="17"/>
                <w:szCs w:val="17"/>
                <w:color w:val="auto"/>
              </w:rPr>
              <w:t>180001</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Frederick Quarry</w:t>
            </w:r>
          </w:p>
        </w:tc>
        <w:tc>
          <w:tcPr>
            <w:tcW w:w="7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3</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399</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760" w:type="dxa"/>
            <w:vAlign w:val="bottom"/>
            <w:shd w:val="clear" w:color="auto" w:fill="E5F1F8"/>
          </w:tcPr>
          <w:p>
            <w:pPr>
              <w:jc w:val="center"/>
              <w:ind w:right="55"/>
              <w:spacing w:after="0" w:line="189" w:lineRule="exact"/>
              <w:rPr>
                <w:sz w:val="20"/>
                <w:szCs w:val="20"/>
                <w:color w:val="auto"/>
              </w:rPr>
            </w:pPr>
            <w:r>
              <w:rPr>
                <w:rFonts w:ascii="Calibri" w:cs="Calibri" w:eastAsia="Calibri" w:hAnsi="Calibri"/>
                <w:sz w:val="17"/>
                <w:szCs w:val="17"/>
                <w:color w:val="auto"/>
              </w:rPr>
              <w:t>310205</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320" w:type="dxa"/>
            <w:vAlign w:val="bottom"/>
            <w:shd w:val="clear" w:color="auto" w:fill="E5F1F8"/>
          </w:tcPr>
          <w:p>
            <w:pPr>
              <w:spacing w:after="0"/>
              <w:rPr>
                <w:sz w:val="16"/>
                <w:szCs w:val="16"/>
                <w:color w:val="auto"/>
              </w:rPr>
            </w:pPr>
          </w:p>
        </w:tc>
        <w:tc>
          <w:tcPr>
            <w:tcW w:w="8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Fuquay Quarry</w:t>
            </w:r>
          </w:p>
        </w:tc>
        <w:tc>
          <w:tcPr>
            <w:tcW w:w="7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5</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Borders>
              <w:bottom w:val="single" w:sz="8" w:color="E5F1F8"/>
            </w:tcBorders>
            <w:shd w:val="clear" w:color="auto" w:fill="E5F1F8"/>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760" w:type="dxa"/>
            <w:vAlign w:val="bottom"/>
          </w:tcPr>
          <w:p>
            <w:pPr>
              <w:jc w:val="center"/>
              <w:ind w:right="55"/>
              <w:spacing w:after="0" w:line="189" w:lineRule="exact"/>
              <w:rPr>
                <w:sz w:val="20"/>
                <w:szCs w:val="20"/>
                <w:color w:val="auto"/>
              </w:rPr>
            </w:pPr>
            <w:r>
              <w:rPr>
                <w:rFonts w:ascii="Calibri" w:cs="Calibri" w:eastAsia="Calibri" w:hAnsi="Calibri"/>
                <w:sz w:val="17"/>
                <w:szCs w:val="17"/>
                <w:color w:val="auto"/>
              </w:rPr>
              <w:t>310007</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Garner Quarry</w:t>
            </w:r>
          </w:p>
        </w:tc>
        <w:tc>
          <w:tcPr>
            <w:tcW w:w="7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2</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348</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760" w:type="dxa"/>
            <w:vAlign w:val="bottom"/>
            <w:shd w:val="clear" w:color="auto" w:fill="E5F1F8"/>
          </w:tcPr>
          <w:p>
            <w:pPr>
              <w:jc w:val="center"/>
              <w:ind w:right="55"/>
              <w:spacing w:after="0" w:line="189" w:lineRule="exact"/>
              <w:rPr>
                <w:sz w:val="20"/>
                <w:szCs w:val="20"/>
                <w:color w:val="auto"/>
              </w:rPr>
            </w:pPr>
            <w:r>
              <w:rPr>
                <w:rFonts w:ascii="Calibri" w:cs="Calibri" w:eastAsia="Calibri" w:hAnsi="Calibri"/>
                <w:sz w:val="17"/>
                <w:szCs w:val="17"/>
                <w:color w:val="auto"/>
              </w:rPr>
              <w:t>380052</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320" w:type="dxa"/>
            <w:vAlign w:val="bottom"/>
            <w:shd w:val="clear" w:color="auto" w:fill="E5F1F8"/>
          </w:tcPr>
          <w:p>
            <w:pPr>
              <w:spacing w:after="0"/>
              <w:rPr>
                <w:sz w:val="16"/>
                <w:szCs w:val="16"/>
                <w:color w:val="auto"/>
              </w:rPr>
            </w:pPr>
          </w:p>
        </w:tc>
        <w:tc>
          <w:tcPr>
            <w:tcW w:w="8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Georgetown II Quarry</w:t>
            </w:r>
          </w:p>
        </w:tc>
        <w:tc>
          <w:tcPr>
            <w:tcW w:w="7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5</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Borders>
              <w:bottom w:val="single" w:sz="8" w:color="E5F1F8"/>
            </w:tcBorders>
            <w:shd w:val="clear" w:color="auto" w:fill="E5F1F8"/>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ind w:left="20"/>
              <w:spacing w:after="0" w:line="189" w:lineRule="exact"/>
              <w:rPr>
                <w:sz w:val="20"/>
                <w:szCs w:val="20"/>
                <w:color w:val="auto"/>
              </w:rPr>
            </w:pPr>
            <w:r>
              <w:rPr>
                <w:rFonts w:ascii="Calibri" w:cs="Calibri" w:eastAsia="Calibri" w:hAnsi="Calibri"/>
                <w:sz w:val="17"/>
                <w:szCs w:val="17"/>
                <w:color w:val="auto"/>
              </w:rPr>
              <w:t>Greensboro Portable</w:t>
            </w:r>
          </w:p>
        </w:tc>
        <w:tc>
          <w:tcPr>
            <w:tcW w:w="760" w:type="dxa"/>
            <w:vAlign w:val="bottom"/>
          </w:tcPr>
          <w:p>
            <w:pPr>
              <w:jc w:val="center"/>
              <w:ind w:right="55"/>
              <w:spacing w:after="0" w:line="189" w:lineRule="exact"/>
              <w:rPr>
                <w:sz w:val="20"/>
                <w:szCs w:val="20"/>
                <w:color w:val="auto"/>
              </w:rPr>
            </w:pPr>
            <w:r>
              <w:rPr>
                <w:rFonts w:ascii="Calibri" w:cs="Calibri" w:eastAsia="Calibri" w:hAnsi="Calibri"/>
                <w:sz w:val="17"/>
                <w:szCs w:val="17"/>
                <w:color w:val="auto"/>
              </w:rPr>
              <w:t>310233</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Plt</w:t>
            </w:r>
          </w:p>
        </w:tc>
        <w:tc>
          <w:tcPr>
            <w:tcW w:w="7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6</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20" w:type="dxa"/>
            <w:vAlign w:val="bottom"/>
            <w:shd w:val="clear" w:color="auto" w:fill="E5F1F8"/>
          </w:tcPr>
          <w:p>
            <w:pPr>
              <w:ind w:left="20"/>
              <w:spacing w:after="0" w:line="189" w:lineRule="exact"/>
              <w:rPr>
                <w:sz w:val="20"/>
                <w:szCs w:val="20"/>
                <w:color w:val="auto"/>
              </w:rPr>
            </w:pPr>
            <w:r>
              <w:rPr>
                <w:rFonts w:ascii="Calibri" w:cs="Calibri" w:eastAsia="Calibri" w:hAnsi="Calibri"/>
                <w:sz w:val="17"/>
                <w:szCs w:val="17"/>
                <w:color w:val="auto"/>
              </w:rPr>
              <w:t>Greensboro Portable</w:t>
            </w:r>
          </w:p>
        </w:tc>
        <w:tc>
          <w:tcPr>
            <w:tcW w:w="760" w:type="dxa"/>
            <w:vAlign w:val="bottom"/>
            <w:shd w:val="clear" w:color="auto" w:fill="E5F1F8"/>
          </w:tcPr>
          <w:p>
            <w:pPr>
              <w:jc w:val="center"/>
              <w:ind w:right="55"/>
              <w:spacing w:after="0" w:line="189" w:lineRule="exact"/>
              <w:rPr>
                <w:sz w:val="20"/>
                <w:szCs w:val="20"/>
                <w:color w:val="auto"/>
              </w:rPr>
            </w:pPr>
            <w:r>
              <w:rPr>
                <w:rFonts w:ascii="Calibri" w:cs="Calibri" w:eastAsia="Calibri" w:hAnsi="Calibri"/>
                <w:sz w:val="17"/>
                <w:szCs w:val="17"/>
                <w:color w:val="auto"/>
              </w:rPr>
              <w:t>310233</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320" w:type="dxa"/>
            <w:vAlign w:val="bottom"/>
            <w:shd w:val="clear" w:color="auto" w:fill="E5F1F8"/>
          </w:tcPr>
          <w:p>
            <w:pPr>
              <w:spacing w:after="0"/>
              <w:rPr>
                <w:sz w:val="16"/>
                <w:szCs w:val="16"/>
                <w:color w:val="auto"/>
              </w:rPr>
            </w:pPr>
          </w:p>
        </w:tc>
        <w:tc>
          <w:tcPr>
            <w:tcW w:w="8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Plt II</w:t>
            </w:r>
          </w:p>
        </w:tc>
        <w:tc>
          <w:tcPr>
            <w:tcW w:w="7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5</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Borders>
              <w:bottom w:val="single" w:sz="8" w:color="E5F1F8"/>
            </w:tcBorders>
            <w:shd w:val="clear" w:color="auto" w:fill="E5F1F8"/>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760" w:type="dxa"/>
            <w:vAlign w:val="bottom"/>
          </w:tcPr>
          <w:p>
            <w:pPr>
              <w:jc w:val="center"/>
              <w:ind w:right="55"/>
              <w:spacing w:after="0" w:line="189" w:lineRule="exact"/>
              <w:rPr>
                <w:sz w:val="20"/>
                <w:szCs w:val="20"/>
                <w:color w:val="auto"/>
              </w:rPr>
            </w:pPr>
            <w:r>
              <w:rPr>
                <w:rFonts w:ascii="Calibri" w:cs="Calibri" w:eastAsia="Calibri" w:hAnsi="Calibri"/>
                <w:sz w:val="17"/>
                <w:szCs w:val="17"/>
                <w:color w:val="auto"/>
              </w:rPr>
              <w:t>310004</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Hickory Quarry</w:t>
            </w:r>
          </w:p>
        </w:tc>
        <w:tc>
          <w:tcPr>
            <w:tcW w:w="7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3</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331</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760" w:type="dxa"/>
            <w:vAlign w:val="bottom"/>
            <w:shd w:val="clear" w:color="auto" w:fill="E5F1F8"/>
          </w:tcPr>
          <w:p>
            <w:pPr>
              <w:jc w:val="center"/>
              <w:ind w:right="55"/>
              <w:spacing w:after="0" w:line="189" w:lineRule="exact"/>
              <w:rPr>
                <w:sz w:val="20"/>
                <w:szCs w:val="20"/>
                <w:color w:val="auto"/>
              </w:rPr>
            </w:pPr>
            <w:r>
              <w:rPr>
                <w:rFonts w:ascii="Calibri" w:cs="Calibri" w:eastAsia="Calibri" w:hAnsi="Calibri"/>
                <w:sz w:val="17"/>
                <w:szCs w:val="17"/>
                <w:color w:val="auto"/>
              </w:rPr>
              <w:t>090095</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320" w:type="dxa"/>
            <w:vAlign w:val="bottom"/>
            <w:shd w:val="clear" w:color="auto" w:fill="E5F1F8"/>
          </w:tcPr>
          <w:p>
            <w:pPr>
              <w:spacing w:after="0"/>
              <w:rPr>
                <w:sz w:val="16"/>
                <w:szCs w:val="16"/>
                <w:color w:val="auto"/>
              </w:rPr>
            </w:pPr>
          </w:p>
        </w:tc>
        <w:tc>
          <w:tcPr>
            <w:tcW w:w="8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Homer Quarry</w:t>
            </w:r>
          </w:p>
        </w:tc>
        <w:tc>
          <w:tcPr>
            <w:tcW w:w="7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8</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Borders>
              <w:bottom w:val="single" w:sz="8" w:color="E5F1F8"/>
            </w:tcBorders>
            <w:shd w:val="clear" w:color="auto" w:fill="E5F1F8"/>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399</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760" w:type="dxa"/>
            <w:vAlign w:val="bottom"/>
          </w:tcPr>
          <w:p>
            <w:pPr>
              <w:jc w:val="center"/>
              <w:ind w:right="55"/>
              <w:spacing w:after="0" w:line="189" w:lineRule="exact"/>
              <w:rPr>
                <w:sz w:val="20"/>
                <w:szCs w:val="20"/>
                <w:color w:val="auto"/>
              </w:rPr>
            </w:pPr>
            <w:r>
              <w:rPr>
                <w:rFonts w:ascii="Calibri" w:cs="Calibri" w:eastAsia="Calibri" w:hAnsi="Calibri"/>
                <w:sz w:val="17"/>
                <w:szCs w:val="17"/>
                <w:color w:val="auto"/>
              </w:rPr>
              <w:t>310005</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Jamestown Quarry</w:t>
            </w:r>
          </w:p>
        </w:tc>
        <w:tc>
          <w:tcPr>
            <w:tcW w:w="7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1</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316</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760" w:type="dxa"/>
            <w:vAlign w:val="bottom"/>
            <w:shd w:val="clear" w:color="auto" w:fill="E5F1F8"/>
          </w:tcPr>
          <w:p>
            <w:pPr>
              <w:jc w:val="center"/>
              <w:ind w:right="55"/>
              <w:spacing w:after="0" w:line="189" w:lineRule="exact"/>
              <w:rPr>
                <w:sz w:val="20"/>
                <w:szCs w:val="20"/>
                <w:color w:val="auto"/>
              </w:rPr>
            </w:pPr>
            <w:r>
              <w:rPr>
                <w:rFonts w:ascii="Calibri" w:cs="Calibri" w:eastAsia="Calibri" w:hAnsi="Calibri"/>
                <w:sz w:val="17"/>
                <w:szCs w:val="17"/>
                <w:color w:val="auto"/>
              </w:rPr>
              <w:t>090110</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320" w:type="dxa"/>
            <w:vAlign w:val="bottom"/>
            <w:shd w:val="clear" w:color="auto" w:fill="E5F1F8"/>
          </w:tcPr>
          <w:p>
            <w:pPr>
              <w:spacing w:after="0"/>
              <w:rPr>
                <w:sz w:val="16"/>
                <w:szCs w:val="16"/>
                <w:color w:val="auto"/>
              </w:rPr>
            </w:pPr>
          </w:p>
        </w:tc>
        <w:tc>
          <w:tcPr>
            <w:tcW w:w="8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Jeferson Quarry</w:t>
            </w:r>
          </w:p>
        </w:tc>
        <w:tc>
          <w:tcPr>
            <w:tcW w:w="7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6</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Borders>
              <w:bottom w:val="single" w:sz="8" w:color="E5F1F8"/>
            </w:tcBorders>
            <w:shd w:val="clear" w:color="auto" w:fill="E5F1F8"/>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760" w:type="dxa"/>
            <w:vAlign w:val="bottom"/>
          </w:tcPr>
          <w:p>
            <w:pPr>
              <w:jc w:val="center"/>
              <w:ind w:right="55"/>
              <w:spacing w:after="0" w:line="189" w:lineRule="exact"/>
              <w:rPr>
                <w:sz w:val="20"/>
                <w:szCs w:val="20"/>
                <w:color w:val="auto"/>
              </w:rPr>
            </w:pPr>
            <w:r>
              <w:rPr>
                <w:rFonts w:ascii="Calibri" w:cs="Calibri" w:eastAsia="Calibri" w:hAnsi="Calibri"/>
                <w:sz w:val="17"/>
                <w:szCs w:val="17"/>
                <w:color w:val="auto"/>
              </w:rPr>
              <w:t>090102</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Juncton City Quarry</w:t>
            </w:r>
          </w:p>
        </w:tc>
        <w:tc>
          <w:tcPr>
            <w:tcW w:w="7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9</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760" w:type="dxa"/>
            <w:vAlign w:val="bottom"/>
            <w:shd w:val="clear" w:color="auto" w:fill="E5F1F8"/>
          </w:tcPr>
          <w:p>
            <w:pPr>
              <w:jc w:val="center"/>
              <w:ind w:right="55"/>
              <w:spacing w:after="0" w:line="189" w:lineRule="exact"/>
              <w:rPr>
                <w:sz w:val="20"/>
                <w:szCs w:val="20"/>
                <w:color w:val="auto"/>
              </w:rPr>
            </w:pPr>
            <w:r>
              <w:rPr>
                <w:rFonts w:ascii="Calibri" w:cs="Calibri" w:eastAsia="Calibri" w:hAnsi="Calibri"/>
                <w:sz w:val="17"/>
                <w:szCs w:val="17"/>
                <w:color w:val="auto"/>
              </w:rPr>
              <w:t>310007</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320" w:type="dxa"/>
            <w:vAlign w:val="bottom"/>
            <w:shd w:val="clear" w:color="auto" w:fill="E5F1F8"/>
          </w:tcPr>
          <w:p>
            <w:pPr>
              <w:spacing w:after="0"/>
              <w:rPr>
                <w:sz w:val="16"/>
                <w:szCs w:val="16"/>
                <w:color w:val="auto"/>
              </w:rPr>
            </w:pPr>
          </w:p>
        </w:tc>
        <w:tc>
          <w:tcPr>
            <w:tcW w:w="8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Kannapolis Quarry</w:t>
            </w:r>
          </w:p>
        </w:tc>
        <w:tc>
          <w:tcPr>
            <w:tcW w:w="7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0</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Borders>
              <w:bottom w:val="single" w:sz="8" w:color="E5F1F8"/>
            </w:tcBorders>
            <w:shd w:val="clear" w:color="auto" w:fill="E5F1F8"/>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760" w:type="dxa"/>
            <w:vAlign w:val="bottom"/>
          </w:tcPr>
          <w:p>
            <w:pPr>
              <w:jc w:val="center"/>
              <w:ind w:right="55"/>
              <w:spacing w:after="0" w:line="189" w:lineRule="exact"/>
              <w:rPr>
                <w:sz w:val="20"/>
                <w:szCs w:val="20"/>
                <w:color w:val="auto"/>
              </w:rPr>
            </w:pPr>
            <w:r>
              <w:rPr>
                <w:rFonts w:ascii="Calibri" w:cs="Calibri" w:eastAsia="Calibri" w:hAnsi="Calibri"/>
                <w:sz w:val="17"/>
                <w:szCs w:val="17"/>
                <w:color w:val="auto"/>
              </w:rPr>
              <w:t>180074</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Kent Sand &amp; Gravel</w:t>
            </w:r>
          </w:p>
        </w:tc>
        <w:tc>
          <w:tcPr>
            <w:tcW w:w="7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5</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133</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760" w:type="dxa"/>
            <w:vAlign w:val="bottom"/>
            <w:shd w:val="clear" w:color="auto" w:fill="E5F1F8"/>
          </w:tcPr>
          <w:p>
            <w:pPr>
              <w:jc w:val="center"/>
              <w:ind w:right="55"/>
              <w:spacing w:after="0" w:line="189" w:lineRule="exact"/>
              <w:rPr>
                <w:sz w:val="20"/>
                <w:szCs w:val="20"/>
                <w:color w:val="auto"/>
              </w:rPr>
            </w:pPr>
            <w:r>
              <w:rPr>
                <w:rFonts w:ascii="Calibri" w:cs="Calibri" w:eastAsia="Calibri" w:hAnsi="Calibri"/>
                <w:sz w:val="17"/>
                <w:szCs w:val="17"/>
                <w:color w:val="auto"/>
              </w:rPr>
              <w:t>310004</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320" w:type="dxa"/>
            <w:vAlign w:val="bottom"/>
            <w:shd w:val="clear" w:color="auto" w:fill="E5F1F8"/>
          </w:tcPr>
          <w:p>
            <w:pPr>
              <w:spacing w:after="0"/>
              <w:rPr>
                <w:sz w:val="16"/>
                <w:szCs w:val="16"/>
                <w:color w:val="auto"/>
              </w:rPr>
            </w:pPr>
          </w:p>
        </w:tc>
        <w:tc>
          <w:tcPr>
            <w:tcW w:w="8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Kings Mountain Quarry</w:t>
            </w:r>
          </w:p>
        </w:tc>
        <w:tc>
          <w:tcPr>
            <w:tcW w:w="7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7</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Borders>
              <w:bottom w:val="single" w:sz="8" w:color="E5F1F8"/>
            </w:tcBorders>
            <w:shd w:val="clear" w:color="auto" w:fill="E5F1F8"/>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133</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760" w:type="dxa"/>
            <w:vAlign w:val="bottom"/>
          </w:tcPr>
          <w:p>
            <w:pPr>
              <w:jc w:val="center"/>
              <w:ind w:right="55"/>
              <w:spacing w:after="0" w:line="189" w:lineRule="exact"/>
              <w:rPr>
                <w:sz w:val="20"/>
                <w:szCs w:val="20"/>
                <w:color w:val="auto"/>
              </w:rPr>
            </w:pPr>
            <w:r>
              <w:rPr>
                <w:rFonts w:ascii="Calibri" w:cs="Calibri" w:eastAsia="Calibri" w:hAnsi="Calibri"/>
                <w:sz w:val="17"/>
                <w:szCs w:val="17"/>
                <w:color w:val="auto"/>
              </w:rPr>
              <w:t>310110</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Lemon Springs Quarry</w:t>
            </w:r>
          </w:p>
        </w:tc>
        <w:tc>
          <w:tcPr>
            <w:tcW w:w="7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4</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133</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760" w:type="dxa"/>
            <w:vAlign w:val="bottom"/>
            <w:shd w:val="clear" w:color="auto" w:fill="E5F1F8"/>
          </w:tcPr>
          <w:p>
            <w:pPr>
              <w:jc w:val="center"/>
              <w:ind w:right="55"/>
              <w:spacing w:after="0" w:line="189" w:lineRule="exact"/>
              <w:rPr>
                <w:sz w:val="20"/>
                <w:szCs w:val="20"/>
                <w:color w:val="auto"/>
              </w:rPr>
            </w:pPr>
            <w:r>
              <w:rPr>
                <w:rFonts w:ascii="Calibri" w:cs="Calibri" w:eastAsia="Calibri" w:hAnsi="Calibri"/>
                <w:sz w:val="17"/>
                <w:szCs w:val="17"/>
                <w:color w:val="auto"/>
              </w:rPr>
              <w:t>090002</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320" w:type="dxa"/>
            <w:vAlign w:val="bottom"/>
            <w:shd w:val="clear" w:color="auto" w:fill="E5F1F8"/>
          </w:tcPr>
          <w:p>
            <w:pPr>
              <w:spacing w:after="0"/>
              <w:rPr>
                <w:sz w:val="16"/>
                <w:szCs w:val="16"/>
                <w:color w:val="auto"/>
              </w:rPr>
            </w:pPr>
          </w:p>
        </w:tc>
        <w:tc>
          <w:tcPr>
            <w:tcW w:w="8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Lithonia Quarry</w:t>
            </w:r>
          </w:p>
        </w:tc>
        <w:tc>
          <w:tcPr>
            <w:tcW w:w="7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3</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Borders>
              <w:bottom w:val="single" w:sz="8" w:color="E5F1F8"/>
            </w:tcBorders>
            <w:shd w:val="clear" w:color="auto" w:fill="E5F1F8"/>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464</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760" w:type="dxa"/>
            <w:vAlign w:val="bottom"/>
          </w:tcPr>
          <w:p>
            <w:pPr>
              <w:jc w:val="center"/>
              <w:ind w:right="55"/>
              <w:spacing w:after="0" w:line="189" w:lineRule="exact"/>
              <w:rPr>
                <w:sz w:val="20"/>
                <w:szCs w:val="20"/>
                <w:color w:val="auto"/>
              </w:rPr>
            </w:pPr>
            <w:r>
              <w:rPr>
                <w:rFonts w:ascii="Calibri" w:cs="Calibri" w:eastAsia="Calibri" w:hAnsi="Calibri"/>
                <w:sz w:val="17"/>
                <w:szCs w:val="17"/>
                <w:color w:val="auto"/>
              </w:rPr>
              <w:t>380072</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Loamy Sand Gravel</w:t>
            </w:r>
          </w:p>
        </w:tc>
        <w:tc>
          <w:tcPr>
            <w:tcW w:w="7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1</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760" w:type="dxa"/>
            <w:vAlign w:val="bottom"/>
            <w:shd w:val="clear" w:color="auto" w:fill="E5F1F8"/>
          </w:tcPr>
          <w:p>
            <w:pPr>
              <w:jc w:val="center"/>
              <w:ind w:right="55"/>
              <w:spacing w:after="0" w:line="189" w:lineRule="exact"/>
              <w:rPr>
                <w:sz w:val="20"/>
                <w:szCs w:val="20"/>
                <w:color w:val="auto"/>
              </w:rPr>
            </w:pPr>
            <w:r>
              <w:rPr>
                <w:rFonts w:ascii="Calibri" w:cs="Calibri" w:eastAsia="Calibri" w:hAnsi="Calibri"/>
                <w:sz w:val="17"/>
                <w:szCs w:val="17"/>
                <w:color w:val="auto"/>
              </w:rPr>
              <w:t>310212</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320" w:type="dxa"/>
            <w:vAlign w:val="bottom"/>
            <w:shd w:val="clear" w:color="auto" w:fill="E5F1F8"/>
          </w:tcPr>
          <w:p>
            <w:pPr>
              <w:spacing w:after="0"/>
              <w:rPr>
                <w:sz w:val="16"/>
                <w:szCs w:val="16"/>
                <w:color w:val="auto"/>
              </w:rPr>
            </w:pPr>
          </w:p>
        </w:tc>
        <w:tc>
          <w:tcPr>
            <w:tcW w:w="8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Maiden Quarry</w:t>
            </w:r>
          </w:p>
        </w:tc>
        <w:tc>
          <w:tcPr>
            <w:tcW w:w="7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5</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Borders>
              <w:bottom w:val="single" w:sz="8" w:color="E5F1F8"/>
            </w:tcBorders>
            <w:shd w:val="clear" w:color="auto" w:fill="E5F1F8"/>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760" w:type="dxa"/>
            <w:vAlign w:val="bottom"/>
          </w:tcPr>
          <w:p>
            <w:pPr>
              <w:jc w:val="center"/>
              <w:ind w:right="55"/>
              <w:spacing w:after="0" w:line="189" w:lineRule="exact"/>
              <w:rPr>
                <w:sz w:val="20"/>
                <w:szCs w:val="20"/>
                <w:color w:val="auto"/>
              </w:rPr>
            </w:pPr>
            <w:r>
              <w:rPr>
                <w:rFonts w:ascii="Calibri" w:cs="Calibri" w:eastAsia="Calibri" w:hAnsi="Calibri"/>
                <w:sz w:val="17"/>
                <w:szCs w:val="17"/>
                <w:color w:val="auto"/>
              </w:rPr>
              <w:t>310200</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Mallard Creek Quarry</w:t>
            </w:r>
          </w:p>
        </w:tc>
        <w:tc>
          <w:tcPr>
            <w:tcW w:w="7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6</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1</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723</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760" w:type="dxa"/>
            <w:vAlign w:val="bottom"/>
            <w:shd w:val="clear" w:color="auto" w:fill="E5F1F8"/>
          </w:tcPr>
          <w:p>
            <w:pPr>
              <w:jc w:val="center"/>
              <w:ind w:right="55"/>
              <w:spacing w:after="0" w:line="189" w:lineRule="exact"/>
              <w:rPr>
                <w:sz w:val="20"/>
                <w:szCs w:val="20"/>
                <w:color w:val="auto"/>
              </w:rPr>
            </w:pPr>
            <w:r>
              <w:rPr>
                <w:rFonts w:ascii="Calibri" w:cs="Calibri" w:eastAsia="Calibri" w:hAnsi="Calibri"/>
                <w:sz w:val="17"/>
                <w:szCs w:val="17"/>
                <w:color w:val="auto"/>
              </w:rPr>
              <w:t>310208</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320" w:type="dxa"/>
            <w:vAlign w:val="bottom"/>
            <w:shd w:val="clear" w:color="auto" w:fill="E5F1F8"/>
          </w:tcPr>
          <w:p>
            <w:pPr>
              <w:spacing w:after="0"/>
              <w:rPr>
                <w:sz w:val="16"/>
                <w:szCs w:val="16"/>
                <w:color w:val="auto"/>
              </w:rPr>
            </w:pPr>
          </w:p>
        </w:tc>
        <w:tc>
          <w:tcPr>
            <w:tcW w:w="8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Mathews Quarry</w:t>
            </w:r>
          </w:p>
        </w:tc>
        <w:tc>
          <w:tcPr>
            <w:tcW w:w="7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4</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4</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Borders>
              <w:bottom w:val="single" w:sz="8" w:color="E5F1F8"/>
            </w:tcBorders>
            <w:shd w:val="clear" w:color="auto" w:fill="E5F1F8"/>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3,632</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760" w:type="dxa"/>
            <w:vAlign w:val="bottom"/>
          </w:tcPr>
          <w:p>
            <w:pPr>
              <w:jc w:val="center"/>
              <w:ind w:right="55"/>
              <w:spacing w:after="0" w:line="189" w:lineRule="exact"/>
              <w:rPr>
                <w:sz w:val="20"/>
                <w:szCs w:val="20"/>
                <w:color w:val="auto"/>
              </w:rPr>
            </w:pPr>
            <w:r>
              <w:rPr>
                <w:rFonts w:ascii="Calibri" w:cs="Calibri" w:eastAsia="Calibri" w:hAnsi="Calibri"/>
                <w:sz w:val="17"/>
                <w:szCs w:val="17"/>
                <w:color w:val="auto"/>
              </w:rPr>
              <w:t>010063</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Maylene Quarry</w:t>
            </w:r>
          </w:p>
        </w:tc>
        <w:tc>
          <w:tcPr>
            <w:tcW w:w="7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4</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266</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760" w:type="dxa"/>
            <w:vAlign w:val="bottom"/>
            <w:shd w:val="clear" w:color="auto" w:fill="E5F1F8"/>
          </w:tcPr>
          <w:p>
            <w:pPr>
              <w:jc w:val="center"/>
              <w:ind w:right="55"/>
              <w:spacing w:after="0" w:line="189" w:lineRule="exact"/>
              <w:rPr>
                <w:sz w:val="20"/>
                <w:szCs w:val="20"/>
                <w:color w:val="auto"/>
              </w:rPr>
            </w:pPr>
            <w:r>
              <w:rPr>
                <w:rFonts w:ascii="Calibri" w:cs="Calibri" w:eastAsia="Calibri" w:hAnsi="Calibri"/>
                <w:sz w:val="17"/>
                <w:szCs w:val="17"/>
                <w:color w:val="auto"/>
              </w:rPr>
              <w:t>180003</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320" w:type="dxa"/>
            <w:vAlign w:val="bottom"/>
            <w:shd w:val="clear" w:color="auto" w:fill="E5F1F8"/>
          </w:tcPr>
          <w:p>
            <w:pPr>
              <w:spacing w:after="0"/>
              <w:rPr>
                <w:sz w:val="16"/>
                <w:szCs w:val="16"/>
                <w:color w:val="auto"/>
              </w:rPr>
            </w:pPr>
          </w:p>
        </w:tc>
        <w:tc>
          <w:tcPr>
            <w:tcW w:w="8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Medford Quarry</w:t>
            </w:r>
          </w:p>
        </w:tc>
        <w:tc>
          <w:tcPr>
            <w:tcW w:w="7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5</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Borders>
              <w:bottom w:val="single" w:sz="8" w:color="E5F1F8"/>
            </w:tcBorders>
            <w:shd w:val="clear" w:color="auto" w:fill="E5F1F8"/>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760" w:type="dxa"/>
            <w:vAlign w:val="bottom"/>
          </w:tcPr>
          <w:p>
            <w:pPr>
              <w:jc w:val="center"/>
              <w:ind w:right="55"/>
              <w:spacing w:after="0" w:line="189" w:lineRule="exact"/>
              <w:rPr>
                <w:sz w:val="20"/>
                <w:szCs w:val="20"/>
                <w:color w:val="auto"/>
              </w:rPr>
            </w:pPr>
            <w:r>
              <w:rPr>
                <w:rFonts w:ascii="Calibri" w:cs="Calibri" w:eastAsia="Calibri" w:hAnsi="Calibri"/>
                <w:sz w:val="17"/>
                <w:szCs w:val="17"/>
                <w:color w:val="auto"/>
              </w:rPr>
              <w:t>440376</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Midlothian Quarry</w:t>
            </w:r>
          </w:p>
        </w:tc>
        <w:tc>
          <w:tcPr>
            <w:tcW w:w="7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7</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1</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841</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1</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1</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20" w:type="dxa"/>
            <w:vAlign w:val="bottom"/>
            <w:shd w:val="clear" w:color="auto" w:fill="E5F1F8"/>
          </w:tcPr>
          <w:p>
            <w:pPr>
              <w:ind w:left="20"/>
              <w:spacing w:after="0" w:line="189" w:lineRule="exact"/>
              <w:rPr>
                <w:sz w:val="20"/>
                <w:szCs w:val="20"/>
                <w:color w:val="auto"/>
              </w:rPr>
            </w:pPr>
            <w:r>
              <w:rPr>
                <w:rFonts w:ascii="Calibri" w:cs="Calibri" w:eastAsia="Calibri" w:hAnsi="Calibri"/>
                <w:sz w:val="17"/>
                <w:szCs w:val="17"/>
                <w:color w:val="auto"/>
              </w:rPr>
              <w:t>Misc Greensboro</w:t>
            </w:r>
          </w:p>
        </w:tc>
        <w:tc>
          <w:tcPr>
            <w:tcW w:w="760" w:type="dxa"/>
            <w:vAlign w:val="bottom"/>
            <w:shd w:val="clear" w:color="auto" w:fill="E5F1F8"/>
          </w:tcPr>
          <w:p>
            <w:pPr>
              <w:spacing w:after="0"/>
              <w:rPr>
                <w:sz w:val="16"/>
                <w:szCs w:val="16"/>
                <w:color w:val="auto"/>
              </w:rPr>
            </w:pP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320" w:type="dxa"/>
            <w:vAlign w:val="bottom"/>
            <w:shd w:val="clear" w:color="auto" w:fill="E5F1F8"/>
          </w:tcPr>
          <w:p>
            <w:pPr>
              <w:spacing w:after="0"/>
              <w:rPr>
                <w:sz w:val="16"/>
                <w:szCs w:val="16"/>
                <w:color w:val="auto"/>
              </w:rPr>
            </w:pPr>
          </w:p>
        </w:tc>
        <w:tc>
          <w:tcPr>
            <w:tcW w:w="8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District</w:t>
            </w:r>
          </w:p>
        </w:tc>
        <w:tc>
          <w:tcPr>
            <w:tcW w:w="7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rPr>
              <w:t>B8611</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Borders>
              <w:bottom w:val="single" w:sz="8" w:color="E5F1F8"/>
            </w:tcBorders>
            <w:shd w:val="clear" w:color="auto" w:fill="E5F1F8"/>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760" w:type="dxa"/>
            <w:vAlign w:val="bottom"/>
          </w:tcPr>
          <w:p>
            <w:pPr>
              <w:jc w:val="center"/>
              <w:ind w:right="55"/>
              <w:spacing w:after="0" w:line="189" w:lineRule="exact"/>
              <w:rPr>
                <w:sz w:val="20"/>
                <w:szCs w:val="20"/>
                <w:color w:val="auto"/>
              </w:rPr>
            </w:pPr>
            <w:r>
              <w:rPr>
                <w:rFonts w:ascii="Calibri" w:cs="Calibri" w:eastAsia="Calibri" w:hAnsi="Calibri"/>
                <w:sz w:val="17"/>
                <w:szCs w:val="17"/>
                <w:color w:val="auto"/>
              </w:rPr>
              <w:t>090112</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Morgan County</w:t>
            </w:r>
          </w:p>
        </w:tc>
        <w:tc>
          <w:tcPr>
            <w:tcW w:w="7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6</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2</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1,072</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760" w:type="dxa"/>
            <w:vAlign w:val="bottom"/>
            <w:shd w:val="clear" w:color="auto" w:fill="E5F1F8"/>
          </w:tcPr>
          <w:p>
            <w:pPr>
              <w:jc w:val="center"/>
              <w:ind w:right="55"/>
              <w:spacing w:after="0" w:line="189" w:lineRule="exact"/>
              <w:rPr>
                <w:sz w:val="20"/>
                <w:szCs w:val="20"/>
                <w:color w:val="auto"/>
              </w:rPr>
            </w:pPr>
            <w:r>
              <w:rPr>
                <w:rFonts w:ascii="Calibri" w:cs="Calibri" w:eastAsia="Calibri" w:hAnsi="Calibri"/>
                <w:sz w:val="17"/>
                <w:szCs w:val="17"/>
                <w:color w:val="auto"/>
              </w:rPr>
              <w:t>090089</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320" w:type="dxa"/>
            <w:vAlign w:val="bottom"/>
            <w:shd w:val="clear" w:color="auto" w:fill="E5F1F8"/>
          </w:tcPr>
          <w:p>
            <w:pPr>
              <w:spacing w:after="0"/>
              <w:rPr>
                <w:sz w:val="16"/>
                <w:szCs w:val="16"/>
                <w:color w:val="auto"/>
              </w:rPr>
            </w:pPr>
          </w:p>
        </w:tc>
        <w:tc>
          <w:tcPr>
            <w:tcW w:w="8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Newton Quarry</w:t>
            </w:r>
          </w:p>
        </w:tc>
        <w:tc>
          <w:tcPr>
            <w:tcW w:w="7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9</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Borders>
              <w:bottom w:val="single" w:sz="8" w:color="E5F1F8"/>
            </w:tcBorders>
            <w:shd w:val="clear" w:color="auto" w:fill="E5F1F8"/>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701</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760" w:type="dxa"/>
            <w:vAlign w:val="bottom"/>
          </w:tcPr>
          <w:p>
            <w:pPr>
              <w:jc w:val="center"/>
              <w:ind w:right="55"/>
              <w:spacing w:after="0" w:line="189" w:lineRule="exact"/>
              <w:rPr>
                <w:sz w:val="20"/>
                <w:szCs w:val="20"/>
                <w:color w:val="auto"/>
              </w:rPr>
            </w:pPr>
            <w:r>
              <w:rPr>
                <w:rFonts w:ascii="Calibri" w:cs="Calibri" w:eastAsia="Calibri" w:hAnsi="Calibri"/>
                <w:sz w:val="17"/>
                <w:szCs w:val="17"/>
                <w:color w:val="auto"/>
              </w:rPr>
              <w:t>380014</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North Columbia</w:t>
            </w:r>
          </w:p>
        </w:tc>
        <w:tc>
          <w:tcPr>
            <w:tcW w:w="7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6</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399</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2</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1</w:t>
            </w:r>
          </w:p>
        </w:tc>
      </w:tr>
      <w:tr>
        <w:trPr>
          <w:trHeight w:val="39"/>
        </w:trPr>
        <w:tc>
          <w:tcPr>
            <w:tcW w:w="1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760" w:type="dxa"/>
            <w:vAlign w:val="bottom"/>
            <w:shd w:val="clear" w:color="auto" w:fill="E5F1F8"/>
          </w:tcPr>
          <w:p>
            <w:pPr>
              <w:jc w:val="center"/>
              <w:ind w:right="55"/>
              <w:spacing w:after="0" w:line="189" w:lineRule="exact"/>
              <w:rPr>
                <w:sz w:val="20"/>
                <w:szCs w:val="20"/>
                <w:color w:val="auto"/>
              </w:rPr>
            </w:pPr>
            <w:r>
              <w:rPr>
                <w:rFonts w:ascii="Calibri" w:cs="Calibri" w:eastAsia="Calibri" w:hAnsi="Calibri"/>
                <w:sz w:val="17"/>
                <w:szCs w:val="17"/>
                <w:color w:val="auto"/>
              </w:rPr>
              <w:t>180041</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320" w:type="dxa"/>
            <w:vAlign w:val="bottom"/>
            <w:shd w:val="clear" w:color="auto" w:fill="E5F1F8"/>
          </w:tcPr>
          <w:p>
            <w:pPr>
              <w:spacing w:after="0"/>
              <w:rPr>
                <w:sz w:val="16"/>
                <w:szCs w:val="16"/>
                <w:color w:val="auto"/>
              </w:rPr>
            </w:pPr>
          </w:p>
        </w:tc>
        <w:tc>
          <w:tcPr>
            <w:tcW w:w="8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North East Quarry</w:t>
            </w:r>
          </w:p>
        </w:tc>
        <w:tc>
          <w:tcPr>
            <w:tcW w:w="7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7</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Borders>
              <w:bottom w:val="single" w:sz="8" w:color="E5F1F8"/>
            </w:tcBorders>
            <w:shd w:val="clear" w:color="auto" w:fill="E5F1F8"/>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133</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760" w:type="dxa"/>
            <w:vAlign w:val="bottom"/>
          </w:tcPr>
          <w:p>
            <w:pPr>
              <w:jc w:val="center"/>
              <w:ind w:right="55"/>
              <w:spacing w:after="0" w:line="189" w:lineRule="exact"/>
              <w:rPr>
                <w:sz w:val="20"/>
                <w:szCs w:val="20"/>
                <w:color w:val="auto"/>
              </w:rPr>
            </w:pPr>
            <w:r>
              <w:rPr>
                <w:rFonts w:ascii="Calibri" w:cs="Calibri" w:eastAsia="Calibri" w:hAnsi="Calibri"/>
                <w:sz w:val="17"/>
                <w:szCs w:val="17"/>
                <w:color w:val="auto"/>
              </w:rPr>
              <w:t>380070</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Old Charleston Sand</w:t>
            </w:r>
          </w:p>
        </w:tc>
        <w:tc>
          <w:tcPr>
            <w:tcW w:w="7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2</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389</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760" w:type="dxa"/>
            <w:vAlign w:val="bottom"/>
            <w:shd w:val="clear" w:color="auto" w:fill="E5F1F8"/>
          </w:tcPr>
          <w:p>
            <w:pPr>
              <w:jc w:val="center"/>
              <w:ind w:right="55"/>
              <w:spacing w:after="0" w:line="189" w:lineRule="exact"/>
              <w:rPr>
                <w:sz w:val="20"/>
                <w:szCs w:val="20"/>
                <w:color w:val="auto"/>
              </w:rPr>
            </w:pPr>
            <w:r>
              <w:rPr>
                <w:rFonts w:ascii="Calibri" w:cs="Calibri" w:eastAsia="Calibri" w:hAnsi="Calibri"/>
                <w:sz w:val="17"/>
                <w:szCs w:val="17"/>
                <w:color w:val="auto"/>
              </w:rPr>
              <w:t>010307</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320" w:type="dxa"/>
            <w:vAlign w:val="bottom"/>
            <w:shd w:val="clear" w:color="auto" w:fill="E5F1F8"/>
          </w:tcPr>
          <w:p>
            <w:pPr>
              <w:spacing w:after="0"/>
              <w:rPr>
                <w:sz w:val="16"/>
                <w:szCs w:val="16"/>
                <w:color w:val="auto"/>
              </w:rPr>
            </w:pPr>
          </w:p>
        </w:tc>
        <w:tc>
          <w:tcPr>
            <w:tcW w:w="8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O'Neal Plant  Co 19</w:t>
            </w:r>
          </w:p>
        </w:tc>
        <w:tc>
          <w:tcPr>
            <w:tcW w:w="7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6</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Borders>
              <w:bottom w:val="single" w:sz="8" w:color="E5F1F8"/>
            </w:tcBorders>
            <w:shd w:val="clear" w:color="auto" w:fill="E5F1F8"/>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133</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760" w:type="dxa"/>
            <w:vAlign w:val="bottom"/>
          </w:tcPr>
          <w:p>
            <w:pPr>
              <w:jc w:val="center"/>
              <w:ind w:right="55"/>
              <w:spacing w:after="0" w:line="189" w:lineRule="exact"/>
              <w:rPr>
                <w:sz w:val="20"/>
                <w:szCs w:val="20"/>
                <w:color w:val="auto"/>
              </w:rPr>
            </w:pPr>
            <w:r>
              <w:rPr>
                <w:rFonts w:ascii="Calibri" w:cs="Calibri" w:eastAsia="Calibri" w:hAnsi="Calibri"/>
                <w:sz w:val="17"/>
                <w:szCs w:val="17"/>
                <w:color w:val="auto"/>
              </w:rPr>
              <w:t>310212</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Onslow Quarry</w:t>
            </w:r>
          </w:p>
        </w:tc>
        <w:tc>
          <w:tcPr>
            <w:tcW w:w="7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0</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760" w:type="dxa"/>
            <w:vAlign w:val="bottom"/>
            <w:shd w:val="clear" w:color="auto" w:fill="E5F1F8"/>
          </w:tcPr>
          <w:p>
            <w:pPr>
              <w:jc w:val="center"/>
              <w:ind w:right="55"/>
              <w:spacing w:after="0" w:line="189" w:lineRule="exact"/>
              <w:rPr>
                <w:sz w:val="20"/>
                <w:szCs w:val="20"/>
                <w:color w:val="auto"/>
              </w:rPr>
            </w:pPr>
            <w:r>
              <w:rPr>
                <w:rFonts w:ascii="Calibri" w:cs="Calibri" w:eastAsia="Calibri" w:hAnsi="Calibri"/>
                <w:sz w:val="17"/>
                <w:szCs w:val="17"/>
                <w:color w:val="auto"/>
              </w:rPr>
              <w:t>090110</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320" w:type="dxa"/>
            <w:vAlign w:val="bottom"/>
            <w:shd w:val="clear" w:color="auto" w:fill="E5F1F8"/>
          </w:tcPr>
          <w:p>
            <w:pPr>
              <w:spacing w:after="0"/>
              <w:rPr>
                <w:sz w:val="16"/>
                <w:szCs w:val="16"/>
                <w:color w:val="auto"/>
              </w:rPr>
            </w:pPr>
          </w:p>
        </w:tc>
        <w:tc>
          <w:tcPr>
            <w:tcW w:w="8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Paulding Quarry</w:t>
            </w:r>
          </w:p>
        </w:tc>
        <w:tc>
          <w:tcPr>
            <w:tcW w:w="7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7</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Borders>
              <w:bottom w:val="single" w:sz="8" w:color="E5F1F8"/>
            </w:tcBorders>
            <w:shd w:val="clear" w:color="auto" w:fill="E5F1F8"/>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Perry Quarry</w:t>
            </w:r>
          </w:p>
        </w:tc>
        <w:tc>
          <w:tcPr>
            <w:tcW w:w="760" w:type="dxa"/>
            <w:vAlign w:val="bottom"/>
          </w:tcPr>
          <w:p>
            <w:pPr>
              <w:jc w:val="center"/>
              <w:ind w:right="55"/>
              <w:spacing w:after="0" w:line="205" w:lineRule="exact"/>
              <w:rPr>
                <w:sz w:val="20"/>
                <w:szCs w:val="20"/>
                <w:color w:val="auto"/>
              </w:rPr>
            </w:pPr>
            <w:r>
              <w:rPr>
                <w:rFonts w:ascii="Calibri" w:cs="Calibri" w:eastAsia="Calibri" w:hAnsi="Calibri"/>
                <w:sz w:val="17"/>
                <w:szCs w:val="17"/>
                <w:color w:val="auto"/>
              </w:rPr>
              <w:t>080108</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bl>
    <w:p>
      <w:pPr>
        <w:sectPr>
          <w:pgSz w:w="11900" w:h="16838" w:orient="portrait"/>
          <w:cols w:equalWidth="0" w:num="1">
            <w:col w:w="11240"/>
          </w:cols>
          <w:pgMar w:left="320" w:top="112" w:right="339" w:bottom="0" w:gutter="0" w:footer="0" w:header="0"/>
        </w:sectPr>
      </w:pPr>
    </w:p>
    <w:bookmarkStart w:id="143" w:name="page144"/>
    <w:bookmarkEnd w:id="143"/>
    <w:p>
      <w:pPr>
        <w:ind w:left="2000"/>
        <w:spacing w:after="0"/>
        <w:rPr>
          <w:sz w:val="20"/>
          <w:szCs w:val="20"/>
          <w:color w:val="auto"/>
        </w:rPr>
      </w:pPr>
      <w:r>
        <w:rPr>
          <w:rFonts w:ascii="Calibri" w:cs="Calibri" w:eastAsia="Calibri" w:hAnsi="Calibri"/>
          <w:sz w:val="17"/>
          <w:szCs w:val="17"/>
          <w:color w:val="auto"/>
        </w:rPr>
        <w:t>3</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740" w:type="dxa"/>
            <w:vAlign w:val="bottom"/>
            <w:shd w:val="clear" w:color="auto" w:fill="E5F1F8"/>
          </w:tcPr>
          <w:p>
            <w:pPr>
              <w:spacing w:after="0"/>
              <w:rPr>
                <w:sz w:val="18"/>
                <w:szCs w:val="18"/>
                <w:color w:val="auto"/>
              </w:rPr>
            </w:pPr>
          </w:p>
        </w:tc>
        <w:tc>
          <w:tcPr>
            <w:tcW w:w="740" w:type="dxa"/>
            <w:vAlign w:val="bottom"/>
            <w:shd w:val="clear" w:color="auto" w:fill="E5F1F8"/>
          </w:tcPr>
          <w:p>
            <w:pPr>
              <w:jc w:val="center"/>
              <w:ind w:right="75"/>
              <w:spacing w:after="0"/>
              <w:rPr>
                <w:sz w:val="20"/>
                <w:szCs w:val="20"/>
                <w:color w:val="auto"/>
              </w:rPr>
            </w:pPr>
            <w:r>
              <w:rPr>
                <w:rFonts w:ascii="Calibri" w:cs="Calibri" w:eastAsia="Calibri" w:hAnsi="Calibri"/>
                <w:sz w:val="17"/>
                <w:szCs w:val="17"/>
                <w:color w:val="auto"/>
              </w:rPr>
              <w:t>180002</w:t>
            </w:r>
          </w:p>
        </w:tc>
        <w:tc>
          <w:tcPr>
            <w:tcW w:w="52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700" w:type="dxa"/>
            <w:vAlign w:val="bottom"/>
            <w:shd w:val="clear" w:color="auto" w:fill="E5F1F8"/>
          </w:tcPr>
          <w:p>
            <w:pPr>
              <w:spacing w:after="0"/>
              <w:rPr>
                <w:sz w:val="18"/>
                <w:szCs w:val="18"/>
                <w:color w:val="auto"/>
              </w:rPr>
            </w:pPr>
          </w:p>
        </w:tc>
        <w:tc>
          <w:tcPr>
            <w:tcW w:w="720" w:type="dxa"/>
            <w:vAlign w:val="bottom"/>
            <w:shd w:val="clear" w:color="auto" w:fill="E5F1F8"/>
          </w:tcPr>
          <w:p>
            <w:pPr>
              <w:spacing w:after="0"/>
              <w:rPr>
                <w:sz w:val="18"/>
                <w:szCs w:val="18"/>
                <w:color w:val="auto"/>
              </w:rPr>
            </w:pPr>
          </w:p>
        </w:tc>
        <w:tc>
          <w:tcPr>
            <w:tcW w:w="500" w:type="dxa"/>
            <w:vAlign w:val="bottom"/>
            <w:shd w:val="clear" w:color="auto" w:fill="E5F1F8"/>
          </w:tcPr>
          <w:p>
            <w:pPr>
              <w:spacing w:after="0"/>
              <w:rPr>
                <w:sz w:val="18"/>
                <w:szCs w:val="18"/>
                <w:color w:val="auto"/>
              </w:rPr>
            </w:pPr>
          </w:p>
        </w:tc>
        <w:tc>
          <w:tcPr>
            <w:tcW w:w="400" w:type="dxa"/>
            <w:vAlign w:val="bottom"/>
            <w:shd w:val="clear" w:color="auto" w:fill="E5F1F8"/>
          </w:tcPr>
          <w:p>
            <w:pPr>
              <w:spacing w:after="0"/>
              <w:rPr>
                <w:sz w:val="18"/>
                <w:szCs w:val="18"/>
                <w:color w:val="auto"/>
              </w:rPr>
            </w:pPr>
          </w:p>
        </w:tc>
        <w:tc>
          <w:tcPr>
            <w:tcW w:w="720" w:type="dxa"/>
            <w:vAlign w:val="bottom"/>
            <w:shd w:val="clear" w:color="auto" w:fill="E5F1F8"/>
          </w:tcPr>
          <w:p>
            <w:pPr>
              <w:spacing w:after="0"/>
              <w:rPr>
                <w:sz w:val="18"/>
                <w:szCs w:val="18"/>
                <w:color w:val="auto"/>
              </w:rPr>
            </w:pPr>
          </w:p>
        </w:tc>
        <w:tc>
          <w:tcPr>
            <w:tcW w:w="760" w:type="dxa"/>
            <w:vAlign w:val="bottom"/>
            <w:shd w:val="clear" w:color="auto" w:fill="E5F1F8"/>
          </w:tcPr>
          <w:p>
            <w:pPr>
              <w:spacing w:after="0"/>
              <w:rPr>
                <w:sz w:val="18"/>
                <w:szCs w:val="18"/>
                <w:color w:val="auto"/>
              </w:rPr>
            </w:pPr>
          </w:p>
        </w:tc>
        <w:tc>
          <w:tcPr>
            <w:tcW w:w="840" w:type="dxa"/>
            <w:vAlign w:val="bottom"/>
            <w:shd w:val="clear" w:color="auto" w:fill="E5F1F8"/>
          </w:tcPr>
          <w:p>
            <w:pPr>
              <w:spacing w:after="0"/>
              <w:rPr>
                <w:sz w:val="18"/>
                <w:szCs w:val="18"/>
                <w:color w:val="auto"/>
              </w:rPr>
            </w:pPr>
          </w:p>
        </w:tc>
        <w:tc>
          <w:tcPr>
            <w:tcW w:w="76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7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Pinesburg Quarry</w:t>
            </w:r>
          </w:p>
        </w:tc>
        <w:tc>
          <w:tcPr>
            <w:tcW w:w="740" w:type="dxa"/>
            <w:vAlign w:val="bottom"/>
            <w:tcBorders>
              <w:bottom w:val="single" w:sz="8" w:color="E5F1F8"/>
            </w:tcBorders>
            <w:shd w:val="clear" w:color="auto" w:fill="E5F1F8"/>
          </w:tcPr>
          <w:p>
            <w:pPr>
              <w:jc w:val="center"/>
              <w:ind w:right="55"/>
              <w:spacing w:after="0" w:line="205" w:lineRule="exact"/>
              <w:rPr>
                <w:sz w:val="20"/>
                <w:szCs w:val="20"/>
                <w:color w:val="auto"/>
              </w:rPr>
            </w:pPr>
            <w:r>
              <w:rPr>
                <w:rFonts w:ascii="Calibri" w:cs="Calibri" w:eastAsia="Calibri" w:hAnsi="Calibri"/>
                <w:sz w:val="17"/>
                <w:szCs w:val="17"/>
                <w:color w:val="auto"/>
                <w:w w:val="92"/>
              </w:rPr>
              <w:t>1</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400" w:type="dxa"/>
            <w:vAlign w:val="bottom"/>
            <w:tcBorders>
              <w:bottom w:val="single" w:sz="8" w:color="E5F1F8"/>
            </w:tcBorders>
            <w:shd w:val="clear" w:color="auto" w:fill="E5F1F8"/>
          </w:tcPr>
          <w:p>
            <w:pPr>
              <w:jc w:val="right"/>
              <w:ind w:right="95"/>
              <w:spacing w:after="0" w:line="205" w:lineRule="exact"/>
              <w:rPr>
                <w:sz w:val="20"/>
                <w:szCs w:val="20"/>
                <w:color w:val="auto"/>
              </w:rPr>
            </w:pPr>
            <w:r>
              <w:rPr>
                <w:rFonts w:ascii="Calibri" w:cs="Calibri" w:eastAsia="Calibri" w:hAnsi="Calibri"/>
                <w:sz w:val="17"/>
                <w:szCs w:val="17"/>
                <w:b w:val="1"/>
                <w:bCs w:val="1"/>
                <w:color w:val="auto"/>
              </w:rPr>
              <w:t>$</w:t>
            </w:r>
          </w:p>
        </w:tc>
        <w:tc>
          <w:tcPr>
            <w:tcW w:w="7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80" w:type="dxa"/>
            <w:vAlign w:val="bottom"/>
            <w:tcBorders>
              <w:bottom w:val="single" w:sz="8" w:color="E5F1F8"/>
            </w:tcBorders>
            <w:shd w:val="clear" w:color="auto" w:fill="E5F1F8"/>
          </w:tcPr>
          <w:p>
            <w:pPr>
              <w:jc w:val="right"/>
              <w:ind w:right="275"/>
              <w:spacing w:after="0" w:line="205" w:lineRule="exact"/>
              <w:rPr>
                <w:sz w:val="20"/>
                <w:szCs w:val="20"/>
                <w:color w:val="auto"/>
              </w:rPr>
            </w:pPr>
            <w:r>
              <w:rPr>
                <w:rFonts w:ascii="Calibri" w:cs="Calibri" w:eastAsia="Calibri" w:hAnsi="Calibri"/>
                <w:sz w:val="17"/>
                <w:szCs w:val="17"/>
                <w:color w:val="auto"/>
              </w:rPr>
              <w:t>0</w:t>
            </w:r>
          </w:p>
        </w:tc>
      </w:tr>
      <w:tr>
        <w:trPr>
          <w:trHeight w:val="189"/>
        </w:trPr>
        <w:tc>
          <w:tcPr>
            <w:tcW w:w="1740" w:type="dxa"/>
            <w:vAlign w:val="bottom"/>
          </w:tcPr>
          <w:p>
            <w:pPr>
              <w:spacing w:after="0"/>
              <w:rPr>
                <w:sz w:val="16"/>
                <w:szCs w:val="16"/>
                <w:color w:val="auto"/>
              </w:rPr>
            </w:pPr>
          </w:p>
        </w:tc>
        <w:tc>
          <w:tcPr>
            <w:tcW w:w="740" w:type="dxa"/>
            <w:vAlign w:val="bottom"/>
          </w:tcPr>
          <w:p>
            <w:pPr>
              <w:jc w:val="center"/>
              <w:ind w:right="75"/>
              <w:spacing w:after="0" w:line="189" w:lineRule="exact"/>
              <w:rPr>
                <w:sz w:val="20"/>
                <w:szCs w:val="20"/>
                <w:color w:val="auto"/>
              </w:rPr>
            </w:pPr>
            <w:r>
              <w:rPr>
                <w:rFonts w:ascii="Calibri" w:cs="Calibri" w:eastAsia="Calibri" w:hAnsi="Calibri"/>
                <w:sz w:val="17"/>
                <w:szCs w:val="17"/>
                <w:color w:val="auto"/>
              </w:rPr>
              <w:t>310005</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Pomona Quarry</w:t>
            </w:r>
          </w:p>
        </w:tc>
        <w:tc>
          <w:tcPr>
            <w:tcW w:w="740" w:type="dxa"/>
            <w:vAlign w:val="bottom"/>
          </w:tcPr>
          <w:p>
            <w:pPr>
              <w:jc w:val="center"/>
              <w:ind w:right="55"/>
              <w:spacing w:after="0" w:line="205" w:lineRule="exact"/>
              <w:rPr>
                <w:sz w:val="20"/>
                <w:szCs w:val="20"/>
                <w:color w:val="auto"/>
              </w:rPr>
            </w:pPr>
            <w:r>
              <w:rPr>
                <w:rFonts w:ascii="Calibri" w:cs="Calibri" w:eastAsia="Calibri" w:hAnsi="Calibri"/>
                <w:sz w:val="17"/>
                <w:szCs w:val="17"/>
                <w:color w:val="auto"/>
                <w:w w:val="92"/>
              </w:rPr>
              <w:t>2</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400" w:type="dxa"/>
            <w:vAlign w:val="bottom"/>
          </w:tcPr>
          <w:p>
            <w:pPr>
              <w:jc w:val="right"/>
              <w:ind w:right="95"/>
              <w:spacing w:after="0" w:line="205" w:lineRule="exact"/>
              <w:rPr>
                <w:sz w:val="20"/>
                <w:szCs w:val="20"/>
                <w:color w:val="auto"/>
              </w:rPr>
            </w:pPr>
            <w:r>
              <w:rPr>
                <w:rFonts w:ascii="Calibri" w:cs="Calibri" w:eastAsia="Calibri" w:hAnsi="Calibri"/>
                <w:sz w:val="17"/>
                <w:szCs w:val="17"/>
                <w:b w:val="1"/>
                <w:bCs w:val="1"/>
                <w:color w:val="auto"/>
              </w:rPr>
              <w:t>$</w:t>
            </w:r>
          </w:p>
        </w:tc>
        <w:tc>
          <w:tcPr>
            <w:tcW w:w="72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183</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80" w:type="dxa"/>
            <w:vAlign w:val="bottom"/>
          </w:tcPr>
          <w:p>
            <w:pPr>
              <w:jc w:val="right"/>
              <w:ind w:right="275"/>
              <w:spacing w:after="0" w:line="205" w:lineRule="exact"/>
              <w:rPr>
                <w:sz w:val="20"/>
                <w:szCs w:val="20"/>
                <w:color w:val="auto"/>
              </w:rPr>
            </w:pPr>
            <w:r>
              <w:rPr>
                <w:rFonts w:ascii="Calibri" w:cs="Calibri" w:eastAsia="Calibri" w:hAnsi="Calibri"/>
                <w:sz w:val="17"/>
                <w:szCs w:val="17"/>
                <w:color w:val="auto"/>
              </w:rPr>
              <w:t>0</w:t>
            </w:r>
          </w:p>
        </w:tc>
      </w:tr>
      <w:tr>
        <w:trPr>
          <w:trHeight w:val="39"/>
        </w:trPr>
        <w:tc>
          <w:tcPr>
            <w:tcW w:w="1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89"/>
        </w:trPr>
        <w:tc>
          <w:tcPr>
            <w:tcW w:w="1740" w:type="dxa"/>
            <w:vAlign w:val="bottom"/>
            <w:shd w:val="clear" w:color="auto" w:fill="E5F1F8"/>
          </w:tcPr>
          <w:p>
            <w:pPr>
              <w:spacing w:after="0"/>
              <w:rPr>
                <w:sz w:val="16"/>
                <w:szCs w:val="16"/>
                <w:color w:val="auto"/>
              </w:rPr>
            </w:pPr>
          </w:p>
        </w:tc>
        <w:tc>
          <w:tcPr>
            <w:tcW w:w="740" w:type="dxa"/>
            <w:vAlign w:val="bottom"/>
            <w:shd w:val="clear" w:color="auto" w:fill="E5F1F8"/>
          </w:tcPr>
          <w:p>
            <w:pPr>
              <w:jc w:val="center"/>
              <w:ind w:right="75"/>
              <w:spacing w:after="0" w:line="189" w:lineRule="exact"/>
              <w:rPr>
                <w:sz w:val="20"/>
                <w:szCs w:val="20"/>
                <w:color w:val="auto"/>
              </w:rPr>
            </w:pPr>
            <w:r>
              <w:rPr>
                <w:rFonts w:ascii="Calibri" w:cs="Calibri" w:eastAsia="Calibri" w:hAnsi="Calibri"/>
                <w:sz w:val="17"/>
                <w:szCs w:val="17"/>
                <w:color w:val="auto"/>
              </w:rPr>
              <w:t>310194</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4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78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Raleigh Durham Quarry</w:t>
            </w:r>
          </w:p>
        </w:tc>
        <w:tc>
          <w:tcPr>
            <w:tcW w:w="740" w:type="dxa"/>
            <w:vAlign w:val="bottom"/>
            <w:tcBorders>
              <w:bottom w:val="single" w:sz="8" w:color="E5F1F8"/>
            </w:tcBorders>
            <w:shd w:val="clear" w:color="auto" w:fill="E5F1F8"/>
          </w:tcPr>
          <w:p>
            <w:pPr>
              <w:jc w:val="center"/>
              <w:ind w:right="55"/>
              <w:spacing w:after="0" w:line="205" w:lineRule="exact"/>
              <w:rPr>
                <w:sz w:val="20"/>
                <w:szCs w:val="20"/>
                <w:color w:val="auto"/>
              </w:rPr>
            </w:pPr>
            <w:r>
              <w:rPr>
                <w:rFonts w:ascii="Calibri" w:cs="Calibri" w:eastAsia="Calibri" w:hAnsi="Calibri"/>
                <w:sz w:val="17"/>
                <w:szCs w:val="17"/>
                <w:color w:val="auto"/>
                <w:w w:val="92"/>
              </w:rPr>
              <w:t>1</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400" w:type="dxa"/>
            <w:vAlign w:val="bottom"/>
            <w:tcBorders>
              <w:bottom w:val="single" w:sz="8" w:color="E5F1F8"/>
            </w:tcBorders>
            <w:shd w:val="clear" w:color="auto" w:fill="E5F1F8"/>
          </w:tcPr>
          <w:p>
            <w:pPr>
              <w:jc w:val="right"/>
              <w:ind w:right="95"/>
              <w:spacing w:after="0" w:line="205" w:lineRule="exact"/>
              <w:rPr>
                <w:sz w:val="20"/>
                <w:szCs w:val="20"/>
                <w:color w:val="auto"/>
              </w:rPr>
            </w:pPr>
            <w:r>
              <w:rPr>
                <w:rFonts w:ascii="Calibri" w:cs="Calibri" w:eastAsia="Calibri" w:hAnsi="Calibri"/>
                <w:sz w:val="17"/>
                <w:szCs w:val="17"/>
                <w:b w:val="1"/>
                <w:bCs w:val="1"/>
                <w:color w:val="auto"/>
              </w:rPr>
              <w:t>$</w:t>
            </w:r>
          </w:p>
        </w:tc>
        <w:tc>
          <w:tcPr>
            <w:tcW w:w="7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532</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80" w:type="dxa"/>
            <w:vAlign w:val="bottom"/>
            <w:tcBorders>
              <w:bottom w:val="single" w:sz="8" w:color="E5F1F8"/>
            </w:tcBorders>
            <w:shd w:val="clear" w:color="auto" w:fill="E5F1F8"/>
          </w:tcPr>
          <w:p>
            <w:pPr>
              <w:jc w:val="right"/>
              <w:ind w:right="275"/>
              <w:spacing w:after="0" w:line="205" w:lineRule="exact"/>
              <w:rPr>
                <w:sz w:val="20"/>
                <w:szCs w:val="20"/>
                <w:color w:val="auto"/>
              </w:rPr>
            </w:pPr>
            <w:r>
              <w:rPr>
                <w:rFonts w:ascii="Calibri" w:cs="Calibri" w:eastAsia="Calibri" w:hAnsi="Calibri"/>
                <w:sz w:val="17"/>
                <w:szCs w:val="17"/>
                <w:color w:val="auto"/>
              </w:rPr>
              <w:t>0</w:t>
            </w:r>
          </w:p>
        </w:tc>
      </w:tr>
      <w:tr>
        <w:trPr>
          <w:trHeight w:val="115"/>
        </w:trPr>
        <w:tc>
          <w:tcPr>
            <w:tcW w:w="17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2" w:right="339" w:bottom="1440" w:gutter="0" w:footer="0" w:header="0"/>
        </w:sectPr>
      </w:pPr>
    </w:p>
    <w:bookmarkStart w:id="144" w:name="page145"/>
    <w:bookmarkEnd w:id="14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center"/>
              <w:ind w:left="74"/>
              <w:spacing w:after="0"/>
              <w:rPr>
                <w:sz w:val="20"/>
                <w:szCs w:val="20"/>
                <w:color w:val="auto"/>
              </w:rPr>
            </w:pPr>
            <w:r>
              <w:rPr>
                <w:rFonts w:ascii="Calibri" w:cs="Calibri" w:eastAsia="Calibri" w:hAnsi="Calibri"/>
                <w:sz w:val="18"/>
                <w:szCs w:val="18"/>
                <w:color w:val="auto"/>
                <w:w w:val="97"/>
              </w:rPr>
              <w:t>Appendix 1</w:t>
            </w:r>
          </w:p>
        </w:tc>
      </w:tr>
      <w:tr>
        <w:trPr>
          <w:trHeight w:val="212"/>
        </w:trPr>
        <w:tc>
          <w:tcPr>
            <w:tcW w:w="1740" w:type="dxa"/>
            <w:vAlign w:val="bottom"/>
          </w:tcPr>
          <w:p>
            <w:pPr>
              <w:spacing w:after="0"/>
              <w:rPr>
                <w:sz w:val="18"/>
                <w:szCs w:val="18"/>
                <w:color w:val="auto"/>
              </w:rPr>
            </w:pPr>
          </w:p>
        </w:tc>
        <w:tc>
          <w:tcPr>
            <w:tcW w:w="740" w:type="dxa"/>
            <w:vAlign w:val="bottom"/>
          </w:tcPr>
          <w:p>
            <w:pPr>
              <w:jc w:val="center"/>
              <w:ind w:right="75"/>
              <w:spacing w:after="0"/>
              <w:rPr>
                <w:sz w:val="20"/>
                <w:szCs w:val="20"/>
                <w:color w:val="auto"/>
              </w:rPr>
            </w:pPr>
            <w:r>
              <w:rPr>
                <w:rFonts w:ascii="Calibri" w:cs="Calibri" w:eastAsia="Calibri" w:hAnsi="Calibri"/>
                <w:sz w:val="17"/>
                <w:szCs w:val="17"/>
                <w:color w:val="auto"/>
              </w:rPr>
              <w:t>440007</w:t>
            </w: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Red Hill Quarry</w:t>
            </w:r>
          </w:p>
        </w:tc>
        <w:tc>
          <w:tcPr>
            <w:tcW w:w="740" w:type="dxa"/>
            <w:vAlign w:val="bottom"/>
          </w:tcPr>
          <w:p>
            <w:pPr>
              <w:jc w:val="center"/>
              <w:ind w:right="55"/>
              <w:spacing w:after="0" w:line="205" w:lineRule="exact"/>
              <w:rPr>
                <w:sz w:val="20"/>
                <w:szCs w:val="20"/>
                <w:color w:val="auto"/>
              </w:rPr>
            </w:pPr>
            <w:r>
              <w:rPr>
                <w:rFonts w:ascii="Calibri" w:cs="Calibri" w:eastAsia="Calibri" w:hAnsi="Calibri"/>
                <w:sz w:val="17"/>
                <w:szCs w:val="17"/>
                <w:color w:val="auto"/>
                <w:w w:val="92"/>
              </w:rPr>
              <w:t>2</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133</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40" w:type="dxa"/>
            <w:vAlign w:val="bottom"/>
            <w:shd w:val="clear" w:color="auto" w:fill="E5F1F8"/>
          </w:tcPr>
          <w:p>
            <w:pPr>
              <w:spacing w:after="0"/>
              <w:rPr>
                <w:sz w:val="16"/>
                <w:szCs w:val="16"/>
                <w:color w:val="auto"/>
              </w:rPr>
            </w:pPr>
          </w:p>
        </w:tc>
        <w:tc>
          <w:tcPr>
            <w:tcW w:w="740" w:type="dxa"/>
            <w:vAlign w:val="bottom"/>
            <w:shd w:val="clear" w:color="auto" w:fill="E5F1F8"/>
          </w:tcPr>
          <w:p>
            <w:pPr>
              <w:jc w:val="center"/>
              <w:ind w:right="75"/>
              <w:spacing w:after="0" w:line="189" w:lineRule="exact"/>
              <w:rPr>
                <w:sz w:val="20"/>
                <w:szCs w:val="20"/>
                <w:color w:val="auto"/>
              </w:rPr>
            </w:pPr>
            <w:r>
              <w:rPr>
                <w:rFonts w:ascii="Calibri" w:cs="Calibri" w:eastAsia="Calibri" w:hAnsi="Calibri"/>
                <w:sz w:val="17"/>
                <w:szCs w:val="17"/>
                <w:color w:val="auto"/>
              </w:rPr>
              <w:t>090006</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Red Oak Quarry</w:t>
            </w:r>
          </w:p>
        </w:tc>
        <w:tc>
          <w:tcPr>
            <w:tcW w:w="740" w:type="dxa"/>
            <w:vAlign w:val="bottom"/>
            <w:tcBorders>
              <w:bottom w:val="single" w:sz="8" w:color="E5F1F8"/>
            </w:tcBorders>
            <w:shd w:val="clear" w:color="auto" w:fill="E5F1F8"/>
          </w:tcPr>
          <w:p>
            <w:pPr>
              <w:jc w:val="center"/>
              <w:ind w:right="55"/>
              <w:spacing w:after="0" w:line="205" w:lineRule="exact"/>
              <w:rPr>
                <w:sz w:val="20"/>
                <w:szCs w:val="20"/>
                <w:color w:val="auto"/>
              </w:rPr>
            </w:pPr>
            <w:r>
              <w:rPr>
                <w:rFonts w:ascii="Calibri" w:cs="Calibri" w:eastAsia="Calibri" w:hAnsi="Calibri"/>
                <w:sz w:val="17"/>
                <w:szCs w:val="17"/>
                <w:color w:val="auto"/>
                <w:w w:val="92"/>
              </w:rPr>
              <w:t>9</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1</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1,091</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40" w:type="dxa"/>
            <w:vAlign w:val="bottom"/>
          </w:tcPr>
          <w:p>
            <w:pPr>
              <w:spacing w:after="0"/>
              <w:rPr>
                <w:sz w:val="16"/>
                <w:szCs w:val="16"/>
                <w:color w:val="auto"/>
              </w:rPr>
            </w:pPr>
          </w:p>
        </w:tc>
        <w:tc>
          <w:tcPr>
            <w:tcW w:w="740" w:type="dxa"/>
            <w:vAlign w:val="bottom"/>
          </w:tcPr>
          <w:p>
            <w:pPr>
              <w:jc w:val="center"/>
              <w:ind w:right="75"/>
              <w:spacing w:after="0" w:line="189" w:lineRule="exact"/>
              <w:rPr>
                <w:sz w:val="20"/>
                <w:szCs w:val="20"/>
                <w:color w:val="auto"/>
              </w:rPr>
            </w:pPr>
            <w:r>
              <w:rPr>
                <w:rFonts w:ascii="Calibri" w:cs="Calibri" w:eastAsia="Calibri" w:hAnsi="Calibri"/>
                <w:sz w:val="17"/>
                <w:szCs w:val="17"/>
                <w:color w:val="auto"/>
              </w:rPr>
              <w:t>310006</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Reidsville Quarry</w:t>
            </w:r>
          </w:p>
        </w:tc>
        <w:tc>
          <w:tcPr>
            <w:tcW w:w="740" w:type="dxa"/>
            <w:vAlign w:val="bottom"/>
          </w:tcPr>
          <w:p>
            <w:pPr>
              <w:jc w:val="center"/>
              <w:ind w:right="55"/>
              <w:spacing w:after="0" w:line="205" w:lineRule="exact"/>
              <w:rPr>
                <w:sz w:val="20"/>
                <w:szCs w:val="20"/>
                <w:color w:val="auto"/>
              </w:rPr>
            </w:pPr>
            <w:r>
              <w:rPr>
                <w:rFonts w:ascii="Calibri" w:cs="Calibri" w:eastAsia="Calibri" w:hAnsi="Calibri"/>
                <w:sz w:val="17"/>
                <w:szCs w:val="17"/>
                <w:color w:val="auto"/>
                <w:w w:val="92"/>
              </w:rPr>
              <w:t>8</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40" w:type="dxa"/>
            <w:vAlign w:val="bottom"/>
            <w:shd w:val="clear" w:color="auto" w:fill="E5F1F8"/>
          </w:tcPr>
          <w:p>
            <w:pPr>
              <w:spacing w:after="0"/>
              <w:rPr>
                <w:sz w:val="16"/>
                <w:szCs w:val="16"/>
                <w:color w:val="auto"/>
              </w:rPr>
            </w:pPr>
          </w:p>
        </w:tc>
        <w:tc>
          <w:tcPr>
            <w:tcW w:w="740" w:type="dxa"/>
            <w:vAlign w:val="bottom"/>
            <w:shd w:val="clear" w:color="auto" w:fill="E5F1F8"/>
          </w:tcPr>
          <w:p>
            <w:pPr>
              <w:jc w:val="center"/>
              <w:ind w:right="75"/>
              <w:spacing w:after="0" w:line="189" w:lineRule="exact"/>
              <w:rPr>
                <w:sz w:val="20"/>
                <w:szCs w:val="20"/>
                <w:color w:val="auto"/>
              </w:rPr>
            </w:pPr>
            <w:r>
              <w:rPr>
                <w:rFonts w:ascii="Calibri" w:cs="Calibri" w:eastAsia="Calibri" w:hAnsi="Calibri"/>
                <w:sz w:val="17"/>
                <w:szCs w:val="17"/>
                <w:color w:val="auto"/>
              </w:rPr>
              <w:t>380002</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Rock Hill Quarry</w:t>
            </w:r>
          </w:p>
        </w:tc>
        <w:tc>
          <w:tcPr>
            <w:tcW w:w="740" w:type="dxa"/>
            <w:vAlign w:val="bottom"/>
            <w:tcBorders>
              <w:bottom w:val="single" w:sz="8" w:color="E5F1F8"/>
            </w:tcBorders>
            <w:shd w:val="clear" w:color="auto" w:fill="E5F1F8"/>
          </w:tcPr>
          <w:p>
            <w:pPr>
              <w:jc w:val="center"/>
              <w:ind w:right="55"/>
              <w:spacing w:after="0" w:line="205" w:lineRule="exact"/>
              <w:rPr>
                <w:sz w:val="20"/>
                <w:szCs w:val="20"/>
                <w:color w:val="auto"/>
              </w:rPr>
            </w:pPr>
            <w:r>
              <w:rPr>
                <w:rFonts w:ascii="Calibri" w:cs="Calibri" w:eastAsia="Calibri" w:hAnsi="Calibri"/>
                <w:sz w:val="17"/>
                <w:szCs w:val="17"/>
                <w:color w:val="auto"/>
                <w:w w:val="92"/>
              </w:rPr>
              <w:t>6</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133</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40" w:type="dxa"/>
            <w:vAlign w:val="bottom"/>
          </w:tcPr>
          <w:p>
            <w:pPr>
              <w:spacing w:after="0"/>
              <w:rPr>
                <w:sz w:val="16"/>
                <w:szCs w:val="16"/>
                <w:color w:val="auto"/>
              </w:rPr>
            </w:pPr>
          </w:p>
        </w:tc>
        <w:tc>
          <w:tcPr>
            <w:tcW w:w="740" w:type="dxa"/>
            <w:vAlign w:val="bottom"/>
          </w:tcPr>
          <w:p>
            <w:pPr>
              <w:jc w:val="center"/>
              <w:ind w:right="75"/>
              <w:spacing w:after="0" w:line="189" w:lineRule="exact"/>
              <w:rPr>
                <w:sz w:val="20"/>
                <w:szCs w:val="20"/>
                <w:color w:val="auto"/>
              </w:rPr>
            </w:pPr>
            <w:r>
              <w:rPr>
                <w:rFonts w:ascii="Calibri" w:cs="Calibri" w:eastAsia="Calibri" w:hAnsi="Calibri"/>
                <w:sz w:val="17"/>
                <w:szCs w:val="17"/>
                <w:color w:val="auto"/>
              </w:rPr>
              <w:t>310195</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Rocky Point Quarry</w:t>
            </w:r>
          </w:p>
        </w:tc>
        <w:tc>
          <w:tcPr>
            <w:tcW w:w="740" w:type="dxa"/>
            <w:vAlign w:val="bottom"/>
          </w:tcPr>
          <w:p>
            <w:pPr>
              <w:jc w:val="center"/>
              <w:ind w:right="55"/>
              <w:spacing w:after="0" w:line="205" w:lineRule="exact"/>
              <w:rPr>
                <w:sz w:val="20"/>
                <w:szCs w:val="20"/>
                <w:color w:val="auto"/>
              </w:rPr>
            </w:pPr>
            <w:r>
              <w:rPr>
                <w:rFonts w:ascii="Calibri" w:cs="Calibri" w:eastAsia="Calibri" w:hAnsi="Calibri"/>
                <w:sz w:val="17"/>
                <w:szCs w:val="17"/>
                <w:color w:val="auto"/>
                <w:w w:val="92"/>
              </w:rPr>
              <w:t>6</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40" w:type="dxa"/>
            <w:vAlign w:val="bottom"/>
            <w:shd w:val="clear" w:color="auto" w:fill="E5F1F8"/>
          </w:tcPr>
          <w:p>
            <w:pPr>
              <w:spacing w:after="0"/>
              <w:rPr>
                <w:sz w:val="16"/>
                <w:szCs w:val="16"/>
                <w:color w:val="auto"/>
              </w:rPr>
            </w:pPr>
          </w:p>
        </w:tc>
        <w:tc>
          <w:tcPr>
            <w:tcW w:w="740" w:type="dxa"/>
            <w:vAlign w:val="bottom"/>
            <w:shd w:val="clear" w:color="auto" w:fill="E5F1F8"/>
          </w:tcPr>
          <w:p>
            <w:pPr>
              <w:jc w:val="center"/>
              <w:ind w:right="75"/>
              <w:spacing w:after="0" w:line="189" w:lineRule="exact"/>
              <w:rPr>
                <w:sz w:val="20"/>
                <w:szCs w:val="20"/>
                <w:color w:val="auto"/>
              </w:rPr>
            </w:pPr>
            <w:r>
              <w:rPr>
                <w:rFonts w:ascii="Calibri" w:cs="Calibri" w:eastAsia="Calibri" w:hAnsi="Calibri"/>
                <w:sz w:val="17"/>
                <w:szCs w:val="17"/>
                <w:color w:val="auto"/>
              </w:rPr>
              <w:t>090007</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Ruby Quarry</w:t>
            </w:r>
          </w:p>
        </w:tc>
        <w:tc>
          <w:tcPr>
            <w:tcW w:w="740" w:type="dxa"/>
            <w:vAlign w:val="bottom"/>
            <w:tcBorders>
              <w:bottom w:val="single" w:sz="8" w:color="E5F1F8"/>
            </w:tcBorders>
            <w:shd w:val="clear" w:color="auto" w:fill="E5F1F8"/>
          </w:tcPr>
          <w:p>
            <w:pPr>
              <w:jc w:val="center"/>
              <w:ind w:right="55"/>
              <w:spacing w:after="0" w:line="205" w:lineRule="exact"/>
              <w:rPr>
                <w:sz w:val="20"/>
                <w:szCs w:val="20"/>
                <w:color w:val="auto"/>
              </w:rPr>
            </w:pPr>
            <w:r>
              <w:rPr>
                <w:rFonts w:ascii="Calibri" w:cs="Calibri" w:eastAsia="Calibri" w:hAnsi="Calibri"/>
                <w:sz w:val="17"/>
                <w:szCs w:val="17"/>
                <w:color w:val="auto"/>
                <w:w w:val="92"/>
              </w:rPr>
              <w:t>4</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133</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40" w:type="dxa"/>
            <w:vAlign w:val="bottom"/>
          </w:tcPr>
          <w:p>
            <w:pPr>
              <w:spacing w:after="0"/>
              <w:rPr>
                <w:sz w:val="16"/>
                <w:szCs w:val="16"/>
                <w:color w:val="auto"/>
              </w:rPr>
            </w:pPr>
          </w:p>
        </w:tc>
        <w:tc>
          <w:tcPr>
            <w:tcW w:w="740" w:type="dxa"/>
            <w:vAlign w:val="bottom"/>
          </w:tcPr>
          <w:p>
            <w:pPr>
              <w:jc w:val="center"/>
              <w:ind w:right="75"/>
              <w:spacing w:after="0" w:line="189" w:lineRule="exact"/>
              <w:rPr>
                <w:sz w:val="20"/>
                <w:szCs w:val="20"/>
                <w:color w:val="auto"/>
              </w:rPr>
            </w:pPr>
            <w:r>
              <w:rPr>
                <w:rFonts w:ascii="Calibri" w:cs="Calibri" w:eastAsia="Calibri" w:hAnsi="Calibri"/>
                <w:sz w:val="17"/>
                <w:szCs w:val="17"/>
                <w:color w:val="auto"/>
              </w:rPr>
              <w:t>310203</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Salem Stone</w:t>
            </w:r>
          </w:p>
        </w:tc>
        <w:tc>
          <w:tcPr>
            <w:tcW w:w="740" w:type="dxa"/>
            <w:vAlign w:val="bottom"/>
          </w:tcPr>
          <w:p>
            <w:pPr>
              <w:jc w:val="center"/>
              <w:ind w:right="55"/>
              <w:spacing w:after="0" w:line="205" w:lineRule="exact"/>
              <w:rPr>
                <w:sz w:val="20"/>
                <w:szCs w:val="20"/>
                <w:color w:val="auto"/>
              </w:rPr>
            </w:pPr>
            <w:r>
              <w:rPr>
                <w:rFonts w:ascii="Calibri" w:cs="Calibri" w:eastAsia="Calibri" w:hAnsi="Calibri"/>
                <w:sz w:val="17"/>
                <w:szCs w:val="17"/>
                <w:color w:val="auto"/>
                <w:w w:val="92"/>
              </w:rPr>
              <w:t>8</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40" w:type="dxa"/>
            <w:vAlign w:val="bottom"/>
            <w:shd w:val="clear" w:color="auto" w:fill="E5F1F8"/>
          </w:tcPr>
          <w:p>
            <w:pPr>
              <w:spacing w:after="0"/>
              <w:rPr>
                <w:sz w:val="16"/>
                <w:szCs w:val="16"/>
                <w:color w:val="auto"/>
              </w:rPr>
            </w:pPr>
          </w:p>
        </w:tc>
        <w:tc>
          <w:tcPr>
            <w:tcW w:w="740" w:type="dxa"/>
            <w:vAlign w:val="bottom"/>
            <w:shd w:val="clear" w:color="auto" w:fill="E5F1F8"/>
          </w:tcPr>
          <w:p>
            <w:pPr>
              <w:jc w:val="center"/>
              <w:ind w:right="75"/>
              <w:spacing w:after="0" w:line="189" w:lineRule="exact"/>
              <w:rPr>
                <w:sz w:val="20"/>
                <w:szCs w:val="20"/>
                <w:color w:val="auto"/>
              </w:rPr>
            </w:pPr>
            <w:r>
              <w:rPr>
                <w:rFonts w:ascii="Calibri" w:cs="Calibri" w:eastAsia="Calibri" w:hAnsi="Calibri"/>
                <w:sz w:val="17"/>
                <w:szCs w:val="17"/>
                <w:color w:val="auto"/>
              </w:rPr>
              <w:t>090114</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Six Mile Quarry</w:t>
            </w:r>
          </w:p>
        </w:tc>
        <w:tc>
          <w:tcPr>
            <w:tcW w:w="740" w:type="dxa"/>
            <w:vAlign w:val="bottom"/>
            <w:tcBorders>
              <w:bottom w:val="single" w:sz="8" w:color="E5F1F8"/>
            </w:tcBorders>
            <w:shd w:val="clear" w:color="auto" w:fill="E5F1F8"/>
          </w:tcPr>
          <w:p>
            <w:pPr>
              <w:jc w:val="center"/>
              <w:ind w:right="55"/>
              <w:spacing w:after="0" w:line="205" w:lineRule="exact"/>
              <w:rPr>
                <w:sz w:val="20"/>
                <w:szCs w:val="20"/>
                <w:color w:val="auto"/>
              </w:rPr>
            </w:pPr>
            <w:r>
              <w:rPr>
                <w:rFonts w:ascii="Calibri" w:cs="Calibri" w:eastAsia="Calibri" w:hAnsi="Calibri"/>
                <w:sz w:val="17"/>
                <w:szCs w:val="17"/>
                <w:color w:val="auto"/>
                <w:w w:val="92"/>
              </w:rPr>
              <w:t>4</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266</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40" w:type="dxa"/>
            <w:vAlign w:val="bottom"/>
          </w:tcPr>
          <w:p>
            <w:pPr>
              <w:ind w:left="20"/>
              <w:spacing w:after="0" w:line="189" w:lineRule="exact"/>
              <w:rPr>
                <w:sz w:val="20"/>
                <w:szCs w:val="20"/>
                <w:color w:val="auto"/>
              </w:rPr>
            </w:pPr>
            <w:r>
              <w:rPr>
                <w:rFonts w:ascii="Calibri" w:cs="Calibri" w:eastAsia="Calibri" w:hAnsi="Calibri"/>
                <w:sz w:val="17"/>
                <w:szCs w:val="17"/>
                <w:color w:val="auto"/>
              </w:rPr>
              <w:t>St. Marys Sand</w:t>
            </w:r>
          </w:p>
        </w:tc>
        <w:tc>
          <w:tcPr>
            <w:tcW w:w="740" w:type="dxa"/>
            <w:vAlign w:val="bottom"/>
          </w:tcPr>
          <w:p>
            <w:pPr>
              <w:jc w:val="center"/>
              <w:ind w:right="75"/>
              <w:spacing w:after="0" w:line="189" w:lineRule="exact"/>
              <w:rPr>
                <w:sz w:val="20"/>
                <w:szCs w:val="20"/>
                <w:color w:val="auto"/>
              </w:rPr>
            </w:pPr>
            <w:r>
              <w:rPr>
                <w:rFonts w:ascii="Calibri" w:cs="Calibri" w:eastAsia="Calibri" w:hAnsi="Calibri"/>
                <w:sz w:val="17"/>
                <w:szCs w:val="17"/>
                <w:color w:val="auto"/>
              </w:rPr>
              <w:t>090119</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Company</w:t>
            </w:r>
          </w:p>
        </w:tc>
        <w:tc>
          <w:tcPr>
            <w:tcW w:w="740" w:type="dxa"/>
            <w:vAlign w:val="bottom"/>
          </w:tcPr>
          <w:p>
            <w:pPr>
              <w:jc w:val="center"/>
              <w:ind w:right="55"/>
              <w:spacing w:after="0" w:line="205" w:lineRule="exact"/>
              <w:rPr>
                <w:sz w:val="20"/>
                <w:szCs w:val="20"/>
                <w:color w:val="auto"/>
              </w:rPr>
            </w:pPr>
            <w:r>
              <w:rPr>
                <w:rFonts w:ascii="Calibri" w:cs="Calibri" w:eastAsia="Calibri" w:hAnsi="Calibri"/>
                <w:sz w:val="17"/>
                <w:szCs w:val="17"/>
                <w:color w:val="auto"/>
                <w:w w:val="92"/>
              </w:rPr>
              <w:t>9</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399</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40" w:type="dxa"/>
            <w:vAlign w:val="bottom"/>
            <w:shd w:val="clear" w:color="auto" w:fill="E5F1F8"/>
          </w:tcPr>
          <w:p>
            <w:pPr>
              <w:spacing w:after="0"/>
              <w:rPr>
                <w:sz w:val="16"/>
                <w:szCs w:val="16"/>
                <w:color w:val="auto"/>
              </w:rPr>
            </w:pPr>
          </w:p>
        </w:tc>
        <w:tc>
          <w:tcPr>
            <w:tcW w:w="740" w:type="dxa"/>
            <w:vAlign w:val="bottom"/>
            <w:shd w:val="clear" w:color="auto" w:fill="E5F1F8"/>
          </w:tcPr>
          <w:p>
            <w:pPr>
              <w:jc w:val="center"/>
              <w:ind w:right="75"/>
              <w:spacing w:after="0" w:line="189" w:lineRule="exact"/>
              <w:rPr>
                <w:sz w:val="20"/>
                <w:szCs w:val="20"/>
                <w:color w:val="auto"/>
              </w:rPr>
            </w:pPr>
            <w:r>
              <w:rPr>
                <w:rFonts w:ascii="Calibri" w:cs="Calibri" w:eastAsia="Calibri" w:hAnsi="Calibri"/>
                <w:sz w:val="17"/>
                <w:szCs w:val="17"/>
                <w:color w:val="auto"/>
              </w:rPr>
              <w:t>310005</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Statesville Quarry</w:t>
            </w:r>
          </w:p>
        </w:tc>
        <w:tc>
          <w:tcPr>
            <w:tcW w:w="740" w:type="dxa"/>
            <w:vAlign w:val="bottom"/>
            <w:tcBorders>
              <w:bottom w:val="single" w:sz="8" w:color="E5F1F8"/>
            </w:tcBorders>
            <w:shd w:val="clear" w:color="auto" w:fill="E5F1F8"/>
          </w:tcPr>
          <w:p>
            <w:pPr>
              <w:jc w:val="center"/>
              <w:ind w:right="55"/>
              <w:spacing w:after="0" w:line="205" w:lineRule="exact"/>
              <w:rPr>
                <w:sz w:val="20"/>
                <w:szCs w:val="20"/>
                <w:color w:val="auto"/>
              </w:rPr>
            </w:pPr>
            <w:r>
              <w:rPr>
                <w:rFonts w:ascii="Calibri" w:cs="Calibri" w:eastAsia="Calibri" w:hAnsi="Calibri"/>
                <w:sz w:val="17"/>
                <w:szCs w:val="17"/>
                <w:color w:val="auto"/>
                <w:w w:val="92"/>
              </w:rPr>
              <w:t>5</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40" w:type="dxa"/>
            <w:vAlign w:val="bottom"/>
          </w:tcPr>
          <w:p>
            <w:pPr>
              <w:spacing w:after="0"/>
              <w:rPr>
                <w:sz w:val="16"/>
                <w:szCs w:val="16"/>
                <w:color w:val="auto"/>
              </w:rPr>
            </w:pPr>
          </w:p>
        </w:tc>
        <w:tc>
          <w:tcPr>
            <w:tcW w:w="740" w:type="dxa"/>
            <w:vAlign w:val="bottom"/>
          </w:tcPr>
          <w:p>
            <w:pPr>
              <w:jc w:val="center"/>
              <w:ind w:right="75"/>
              <w:spacing w:after="0" w:line="189" w:lineRule="exact"/>
              <w:rPr>
                <w:sz w:val="20"/>
                <w:szCs w:val="20"/>
                <w:color w:val="auto"/>
              </w:rPr>
            </w:pPr>
            <w:r>
              <w:rPr>
                <w:rFonts w:ascii="Calibri" w:cs="Calibri" w:eastAsia="Calibri" w:hAnsi="Calibri"/>
                <w:sz w:val="17"/>
                <w:szCs w:val="17"/>
                <w:color w:val="auto"/>
              </w:rPr>
              <w:t>180000</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Texas Quarry</w:t>
            </w:r>
          </w:p>
        </w:tc>
        <w:tc>
          <w:tcPr>
            <w:tcW w:w="740" w:type="dxa"/>
            <w:vAlign w:val="bottom"/>
          </w:tcPr>
          <w:p>
            <w:pPr>
              <w:jc w:val="center"/>
              <w:ind w:right="55"/>
              <w:spacing w:after="0" w:line="205" w:lineRule="exact"/>
              <w:rPr>
                <w:sz w:val="20"/>
                <w:szCs w:val="20"/>
                <w:color w:val="auto"/>
              </w:rPr>
            </w:pPr>
            <w:r>
              <w:rPr>
                <w:rFonts w:ascii="Calibri" w:cs="Calibri" w:eastAsia="Calibri" w:hAnsi="Calibri"/>
                <w:sz w:val="17"/>
                <w:szCs w:val="17"/>
                <w:color w:val="auto"/>
                <w:w w:val="92"/>
              </w:rPr>
              <w:t>9</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1</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669</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40" w:type="dxa"/>
            <w:vAlign w:val="bottom"/>
            <w:shd w:val="clear" w:color="auto" w:fill="E5F1F8"/>
          </w:tcPr>
          <w:p>
            <w:pPr>
              <w:spacing w:after="0"/>
              <w:rPr>
                <w:sz w:val="16"/>
                <w:szCs w:val="16"/>
                <w:color w:val="auto"/>
              </w:rPr>
            </w:pPr>
          </w:p>
        </w:tc>
        <w:tc>
          <w:tcPr>
            <w:tcW w:w="740" w:type="dxa"/>
            <w:vAlign w:val="bottom"/>
            <w:shd w:val="clear" w:color="auto" w:fill="E5F1F8"/>
          </w:tcPr>
          <w:p>
            <w:pPr>
              <w:jc w:val="center"/>
              <w:ind w:right="75"/>
              <w:spacing w:after="0" w:line="189" w:lineRule="exact"/>
              <w:rPr>
                <w:sz w:val="20"/>
                <w:szCs w:val="20"/>
                <w:color w:val="auto"/>
              </w:rPr>
            </w:pPr>
            <w:r>
              <w:rPr>
                <w:rFonts w:ascii="Calibri" w:cs="Calibri" w:eastAsia="Calibri" w:hAnsi="Calibri"/>
                <w:sz w:val="17"/>
                <w:szCs w:val="17"/>
                <w:color w:val="auto"/>
              </w:rPr>
              <w:t>310147</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Thomasville Quarry</w:t>
            </w:r>
          </w:p>
        </w:tc>
        <w:tc>
          <w:tcPr>
            <w:tcW w:w="740" w:type="dxa"/>
            <w:vAlign w:val="bottom"/>
            <w:tcBorders>
              <w:bottom w:val="single" w:sz="8" w:color="E5F1F8"/>
            </w:tcBorders>
            <w:shd w:val="clear" w:color="auto" w:fill="E5F1F8"/>
          </w:tcPr>
          <w:p>
            <w:pPr>
              <w:jc w:val="center"/>
              <w:ind w:right="55"/>
              <w:spacing w:after="0" w:line="205" w:lineRule="exact"/>
              <w:rPr>
                <w:sz w:val="20"/>
                <w:szCs w:val="20"/>
                <w:color w:val="auto"/>
              </w:rPr>
            </w:pPr>
            <w:r>
              <w:rPr>
                <w:rFonts w:ascii="Calibri" w:cs="Calibri" w:eastAsia="Calibri" w:hAnsi="Calibri"/>
                <w:sz w:val="17"/>
                <w:szCs w:val="17"/>
                <w:color w:val="auto"/>
                <w:w w:val="92"/>
              </w:rPr>
              <w:t>5</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40" w:type="dxa"/>
            <w:vAlign w:val="bottom"/>
          </w:tcPr>
          <w:p>
            <w:pPr>
              <w:spacing w:after="0"/>
              <w:rPr>
                <w:sz w:val="16"/>
                <w:szCs w:val="16"/>
                <w:color w:val="auto"/>
              </w:rPr>
            </w:pPr>
          </w:p>
        </w:tc>
        <w:tc>
          <w:tcPr>
            <w:tcW w:w="740" w:type="dxa"/>
            <w:vAlign w:val="bottom"/>
          </w:tcPr>
          <w:p>
            <w:pPr>
              <w:jc w:val="center"/>
              <w:ind w:right="75"/>
              <w:spacing w:after="0" w:line="189" w:lineRule="exact"/>
              <w:rPr>
                <w:sz w:val="20"/>
                <w:szCs w:val="20"/>
                <w:color w:val="auto"/>
              </w:rPr>
            </w:pPr>
            <w:r>
              <w:rPr>
                <w:rFonts w:ascii="Calibri" w:cs="Calibri" w:eastAsia="Calibri" w:hAnsi="Calibri"/>
                <w:sz w:val="17"/>
                <w:szCs w:val="17"/>
                <w:color w:val="auto"/>
              </w:rPr>
              <w:t>090030</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Tyrone Quarry</w:t>
            </w:r>
          </w:p>
        </w:tc>
        <w:tc>
          <w:tcPr>
            <w:tcW w:w="740" w:type="dxa"/>
            <w:vAlign w:val="bottom"/>
          </w:tcPr>
          <w:p>
            <w:pPr>
              <w:jc w:val="center"/>
              <w:ind w:right="55"/>
              <w:spacing w:after="0" w:line="205" w:lineRule="exact"/>
              <w:rPr>
                <w:sz w:val="20"/>
                <w:szCs w:val="20"/>
                <w:color w:val="auto"/>
              </w:rPr>
            </w:pPr>
            <w:r>
              <w:rPr>
                <w:rFonts w:ascii="Calibri" w:cs="Calibri" w:eastAsia="Calibri" w:hAnsi="Calibri"/>
                <w:sz w:val="17"/>
                <w:szCs w:val="17"/>
                <w:color w:val="auto"/>
                <w:w w:val="92"/>
              </w:rPr>
              <w:t>6</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266</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40" w:type="dxa"/>
            <w:vAlign w:val="bottom"/>
            <w:shd w:val="clear" w:color="auto" w:fill="E5F1F8"/>
          </w:tcPr>
          <w:p>
            <w:pPr>
              <w:spacing w:after="0"/>
              <w:rPr>
                <w:sz w:val="16"/>
                <w:szCs w:val="16"/>
                <w:color w:val="auto"/>
              </w:rPr>
            </w:pPr>
          </w:p>
        </w:tc>
        <w:tc>
          <w:tcPr>
            <w:tcW w:w="740" w:type="dxa"/>
            <w:vAlign w:val="bottom"/>
            <w:shd w:val="clear" w:color="auto" w:fill="E5F1F8"/>
          </w:tcPr>
          <w:p>
            <w:pPr>
              <w:jc w:val="center"/>
              <w:ind w:right="75"/>
              <w:spacing w:after="0" w:line="189" w:lineRule="exact"/>
              <w:rPr>
                <w:sz w:val="20"/>
                <w:szCs w:val="20"/>
                <w:color w:val="auto"/>
              </w:rPr>
            </w:pPr>
            <w:r>
              <w:rPr>
                <w:rFonts w:ascii="Calibri" w:cs="Calibri" w:eastAsia="Calibri" w:hAnsi="Calibri"/>
                <w:sz w:val="17"/>
                <w:szCs w:val="17"/>
                <w:color w:val="auto"/>
              </w:rPr>
              <w:t>010302</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Vance Quarry  Co 19</w:t>
            </w:r>
          </w:p>
        </w:tc>
        <w:tc>
          <w:tcPr>
            <w:tcW w:w="740" w:type="dxa"/>
            <w:vAlign w:val="bottom"/>
            <w:tcBorders>
              <w:bottom w:val="single" w:sz="8" w:color="E5F1F8"/>
            </w:tcBorders>
            <w:shd w:val="clear" w:color="auto" w:fill="E5F1F8"/>
          </w:tcPr>
          <w:p>
            <w:pPr>
              <w:jc w:val="center"/>
              <w:ind w:right="55"/>
              <w:spacing w:after="0" w:line="205" w:lineRule="exact"/>
              <w:rPr>
                <w:sz w:val="20"/>
                <w:szCs w:val="20"/>
                <w:color w:val="auto"/>
              </w:rPr>
            </w:pPr>
            <w:r>
              <w:rPr>
                <w:rFonts w:ascii="Calibri" w:cs="Calibri" w:eastAsia="Calibri" w:hAnsi="Calibri"/>
                <w:sz w:val="17"/>
                <w:szCs w:val="17"/>
                <w:color w:val="auto"/>
                <w:w w:val="92"/>
              </w:rPr>
              <w:t>2</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1</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1</w:t>
            </w:r>
          </w:p>
        </w:tc>
      </w:tr>
      <w:tr>
        <w:trPr>
          <w:trHeight w:val="189"/>
        </w:trPr>
        <w:tc>
          <w:tcPr>
            <w:tcW w:w="1740" w:type="dxa"/>
            <w:vAlign w:val="bottom"/>
          </w:tcPr>
          <w:p>
            <w:pPr>
              <w:spacing w:after="0"/>
              <w:rPr>
                <w:sz w:val="16"/>
                <w:szCs w:val="16"/>
                <w:color w:val="auto"/>
              </w:rPr>
            </w:pPr>
          </w:p>
        </w:tc>
        <w:tc>
          <w:tcPr>
            <w:tcW w:w="740" w:type="dxa"/>
            <w:vAlign w:val="bottom"/>
          </w:tcPr>
          <w:p>
            <w:pPr>
              <w:jc w:val="center"/>
              <w:ind w:right="75"/>
              <w:spacing w:after="0" w:line="189" w:lineRule="exact"/>
              <w:rPr>
                <w:sz w:val="20"/>
                <w:szCs w:val="20"/>
                <w:color w:val="auto"/>
              </w:rPr>
            </w:pPr>
            <w:r>
              <w:rPr>
                <w:rFonts w:ascii="Calibri" w:cs="Calibri" w:eastAsia="Calibri" w:hAnsi="Calibri"/>
                <w:sz w:val="17"/>
                <w:szCs w:val="17"/>
                <w:color w:val="auto"/>
              </w:rPr>
              <w:t>360016</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Warfordsburg Quarry</w:t>
            </w:r>
          </w:p>
        </w:tc>
        <w:tc>
          <w:tcPr>
            <w:tcW w:w="740" w:type="dxa"/>
            <w:vAlign w:val="bottom"/>
          </w:tcPr>
          <w:p>
            <w:pPr>
              <w:jc w:val="center"/>
              <w:ind w:right="55"/>
              <w:spacing w:after="0" w:line="205" w:lineRule="exact"/>
              <w:rPr>
                <w:sz w:val="20"/>
                <w:szCs w:val="20"/>
                <w:color w:val="auto"/>
              </w:rPr>
            </w:pPr>
            <w:r>
              <w:rPr>
                <w:rFonts w:ascii="Calibri" w:cs="Calibri" w:eastAsia="Calibri" w:hAnsi="Calibri"/>
                <w:sz w:val="17"/>
                <w:szCs w:val="17"/>
                <w:color w:val="auto"/>
                <w:w w:val="92"/>
              </w:rPr>
              <w:t>8</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266</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40" w:type="dxa"/>
            <w:vAlign w:val="bottom"/>
            <w:shd w:val="clear" w:color="auto" w:fill="E5F1F8"/>
          </w:tcPr>
          <w:p>
            <w:pPr>
              <w:spacing w:after="0"/>
              <w:rPr>
                <w:sz w:val="16"/>
                <w:szCs w:val="16"/>
                <w:color w:val="auto"/>
              </w:rPr>
            </w:pPr>
          </w:p>
        </w:tc>
        <w:tc>
          <w:tcPr>
            <w:tcW w:w="740" w:type="dxa"/>
            <w:vAlign w:val="bottom"/>
            <w:shd w:val="clear" w:color="auto" w:fill="E5F1F8"/>
          </w:tcPr>
          <w:p>
            <w:pPr>
              <w:jc w:val="center"/>
              <w:ind w:right="75"/>
              <w:spacing w:after="0" w:line="189" w:lineRule="exact"/>
              <w:rPr>
                <w:sz w:val="20"/>
                <w:szCs w:val="20"/>
                <w:color w:val="auto"/>
              </w:rPr>
            </w:pPr>
            <w:r>
              <w:rPr>
                <w:rFonts w:ascii="Calibri" w:cs="Calibri" w:eastAsia="Calibri" w:hAnsi="Calibri"/>
                <w:sz w:val="17"/>
                <w:szCs w:val="17"/>
                <w:color w:val="auto"/>
              </w:rPr>
              <w:t>090058</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Warrenton Quarry</w:t>
            </w:r>
          </w:p>
        </w:tc>
        <w:tc>
          <w:tcPr>
            <w:tcW w:w="740" w:type="dxa"/>
            <w:vAlign w:val="bottom"/>
            <w:tcBorders>
              <w:bottom w:val="single" w:sz="8" w:color="E5F1F8"/>
            </w:tcBorders>
            <w:shd w:val="clear" w:color="auto" w:fill="E5F1F8"/>
          </w:tcPr>
          <w:p>
            <w:pPr>
              <w:jc w:val="center"/>
              <w:ind w:right="55"/>
              <w:spacing w:after="0" w:line="205" w:lineRule="exact"/>
              <w:rPr>
                <w:sz w:val="20"/>
                <w:szCs w:val="20"/>
                <w:color w:val="auto"/>
              </w:rPr>
            </w:pPr>
            <w:r>
              <w:rPr>
                <w:rFonts w:ascii="Calibri" w:cs="Calibri" w:eastAsia="Calibri" w:hAnsi="Calibri"/>
                <w:sz w:val="17"/>
                <w:szCs w:val="17"/>
                <w:color w:val="auto"/>
                <w:w w:val="92"/>
              </w:rPr>
              <w:t>0</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40" w:type="dxa"/>
            <w:vAlign w:val="bottom"/>
          </w:tcPr>
          <w:p>
            <w:pPr>
              <w:spacing w:after="0"/>
              <w:rPr>
                <w:sz w:val="16"/>
                <w:szCs w:val="16"/>
                <w:color w:val="auto"/>
              </w:rPr>
            </w:pPr>
          </w:p>
        </w:tc>
        <w:tc>
          <w:tcPr>
            <w:tcW w:w="740" w:type="dxa"/>
            <w:vAlign w:val="bottom"/>
          </w:tcPr>
          <w:p>
            <w:pPr>
              <w:jc w:val="center"/>
              <w:ind w:right="75"/>
              <w:spacing w:after="0" w:line="189" w:lineRule="exact"/>
              <w:rPr>
                <w:sz w:val="20"/>
                <w:szCs w:val="20"/>
                <w:color w:val="auto"/>
              </w:rPr>
            </w:pPr>
            <w:r>
              <w:rPr>
                <w:rFonts w:ascii="Calibri" w:cs="Calibri" w:eastAsia="Calibri" w:hAnsi="Calibri"/>
                <w:sz w:val="17"/>
                <w:szCs w:val="17"/>
                <w:color w:val="auto"/>
              </w:rPr>
              <w:t>310006</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Woodleaf Quarry</w:t>
            </w:r>
          </w:p>
        </w:tc>
        <w:tc>
          <w:tcPr>
            <w:tcW w:w="740" w:type="dxa"/>
            <w:vAlign w:val="bottom"/>
          </w:tcPr>
          <w:p>
            <w:pPr>
              <w:jc w:val="center"/>
              <w:ind w:right="55"/>
              <w:spacing w:after="0" w:line="205" w:lineRule="exact"/>
              <w:rPr>
                <w:sz w:val="20"/>
                <w:szCs w:val="20"/>
                <w:color w:val="auto"/>
              </w:rPr>
            </w:pPr>
            <w:r>
              <w:rPr>
                <w:rFonts w:ascii="Calibri" w:cs="Calibri" w:eastAsia="Calibri" w:hAnsi="Calibri"/>
                <w:sz w:val="17"/>
                <w:szCs w:val="17"/>
                <w:color w:val="auto"/>
                <w:w w:val="92"/>
              </w:rPr>
              <w:t>9</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743</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40" w:type="dxa"/>
            <w:vAlign w:val="bottom"/>
            <w:shd w:val="clear" w:color="auto" w:fill="E5F1F8"/>
          </w:tcPr>
          <w:p>
            <w:pPr>
              <w:ind w:left="20"/>
              <w:spacing w:after="0" w:line="189" w:lineRule="exact"/>
              <w:rPr>
                <w:sz w:val="20"/>
                <w:szCs w:val="20"/>
                <w:color w:val="auto"/>
              </w:rPr>
            </w:pPr>
            <w:r>
              <w:rPr>
                <w:rFonts w:ascii="Calibri" w:cs="Calibri" w:eastAsia="Calibri" w:hAnsi="Calibri"/>
                <w:sz w:val="17"/>
                <w:szCs w:val="17"/>
                <w:color w:val="auto"/>
              </w:rPr>
              <w:t>(45) North Indianapolis</w:t>
            </w:r>
          </w:p>
        </w:tc>
        <w:tc>
          <w:tcPr>
            <w:tcW w:w="740" w:type="dxa"/>
            <w:vAlign w:val="bottom"/>
            <w:shd w:val="clear" w:color="auto" w:fill="E5F1F8"/>
          </w:tcPr>
          <w:p>
            <w:pPr>
              <w:jc w:val="center"/>
              <w:ind w:right="75"/>
              <w:spacing w:after="0" w:line="189" w:lineRule="exact"/>
              <w:rPr>
                <w:sz w:val="20"/>
                <w:szCs w:val="20"/>
                <w:color w:val="auto"/>
              </w:rPr>
            </w:pPr>
            <w:r>
              <w:rPr>
                <w:rFonts w:ascii="Calibri" w:cs="Calibri" w:eastAsia="Calibri" w:hAnsi="Calibri"/>
                <w:sz w:val="17"/>
                <w:szCs w:val="17"/>
                <w:color w:val="auto"/>
              </w:rPr>
              <w:t>120000</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SURFACE</w:t>
            </w:r>
          </w:p>
        </w:tc>
        <w:tc>
          <w:tcPr>
            <w:tcW w:w="740" w:type="dxa"/>
            <w:vAlign w:val="bottom"/>
            <w:tcBorders>
              <w:bottom w:val="single" w:sz="8" w:color="E5F1F8"/>
            </w:tcBorders>
            <w:shd w:val="clear" w:color="auto" w:fill="E5F1F8"/>
          </w:tcPr>
          <w:p>
            <w:pPr>
              <w:jc w:val="center"/>
              <w:ind w:right="55"/>
              <w:spacing w:after="0" w:line="205" w:lineRule="exact"/>
              <w:rPr>
                <w:sz w:val="20"/>
                <w:szCs w:val="20"/>
                <w:color w:val="auto"/>
              </w:rPr>
            </w:pPr>
            <w:r>
              <w:rPr>
                <w:rFonts w:ascii="Calibri" w:cs="Calibri" w:eastAsia="Calibri" w:hAnsi="Calibri"/>
                <w:sz w:val="17"/>
                <w:szCs w:val="17"/>
                <w:color w:val="auto"/>
                <w:w w:val="92"/>
              </w:rPr>
              <w:t>2</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8</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11,099</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1</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1</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40" w:type="dxa"/>
            <w:vAlign w:val="bottom"/>
          </w:tcPr>
          <w:p>
            <w:pPr>
              <w:spacing w:after="0"/>
              <w:rPr>
                <w:sz w:val="16"/>
                <w:szCs w:val="16"/>
                <w:color w:val="auto"/>
              </w:rPr>
            </w:pPr>
          </w:p>
        </w:tc>
        <w:tc>
          <w:tcPr>
            <w:tcW w:w="740" w:type="dxa"/>
            <w:vAlign w:val="bottom"/>
          </w:tcPr>
          <w:p>
            <w:pPr>
              <w:jc w:val="center"/>
              <w:ind w:right="75"/>
              <w:spacing w:after="0" w:line="189" w:lineRule="exact"/>
              <w:rPr>
                <w:sz w:val="20"/>
                <w:szCs w:val="20"/>
                <w:color w:val="auto"/>
              </w:rPr>
            </w:pPr>
            <w:r>
              <w:rPr>
                <w:rFonts w:ascii="Calibri" w:cs="Calibri" w:eastAsia="Calibri" w:hAnsi="Calibri"/>
                <w:sz w:val="17"/>
                <w:szCs w:val="17"/>
                <w:color w:val="auto"/>
              </w:rPr>
              <w:t>130203</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Alden Portable Plant #2</w:t>
            </w:r>
          </w:p>
        </w:tc>
        <w:tc>
          <w:tcPr>
            <w:tcW w:w="740" w:type="dxa"/>
            <w:vAlign w:val="bottom"/>
          </w:tcPr>
          <w:p>
            <w:pPr>
              <w:jc w:val="center"/>
              <w:ind w:right="55"/>
              <w:spacing w:after="0" w:line="205" w:lineRule="exact"/>
              <w:rPr>
                <w:sz w:val="20"/>
                <w:szCs w:val="20"/>
                <w:color w:val="auto"/>
              </w:rPr>
            </w:pPr>
            <w:r>
              <w:rPr>
                <w:rFonts w:ascii="Calibri" w:cs="Calibri" w:eastAsia="Calibri" w:hAnsi="Calibri"/>
                <w:sz w:val="17"/>
                <w:szCs w:val="17"/>
                <w:color w:val="auto"/>
                <w:w w:val="92"/>
              </w:rPr>
              <w:t>3</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40" w:type="dxa"/>
            <w:vAlign w:val="bottom"/>
            <w:shd w:val="clear" w:color="auto" w:fill="E5F1F8"/>
          </w:tcPr>
          <w:p>
            <w:pPr>
              <w:spacing w:after="0"/>
              <w:rPr>
                <w:sz w:val="16"/>
                <w:szCs w:val="16"/>
                <w:color w:val="auto"/>
              </w:rPr>
            </w:pPr>
          </w:p>
        </w:tc>
        <w:tc>
          <w:tcPr>
            <w:tcW w:w="740" w:type="dxa"/>
            <w:vAlign w:val="bottom"/>
            <w:shd w:val="clear" w:color="auto" w:fill="E5F1F8"/>
          </w:tcPr>
          <w:p>
            <w:pPr>
              <w:jc w:val="center"/>
              <w:ind w:right="75"/>
              <w:spacing w:after="0" w:line="189" w:lineRule="exact"/>
              <w:rPr>
                <w:sz w:val="20"/>
                <w:szCs w:val="20"/>
                <w:color w:val="auto"/>
              </w:rPr>
            </w:pPr>
            <w:r>
              <w:rPr>
                <w:rFonts w:ascii="Calibri" w:cs="Calibri" w:eastAsia="Calibri" w:hAnsi="Calibri"/>
                <w:sz w:val="17"/>
                <w:szCs w:val="17"/>
                <w:color w:val="auto"/>
              </w:rPr>
              <w:t>130203</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Alden Portable Sand</w:t>
            </w:r>
          </w:p>
        </w:tc>
        <w:tc>
          <w:tcPr>
            <w:tcW w:w="740" w:type="dxa"/>
            <w:vAlign w:val="bottom"/>
            <w:tcBorders>
              <w:bottom w:val="single" w:sz="8" w:color="E5F1F8"/>
            </w:tcBorders>
            <w:shd w:val="clear" w:color="auto" w:fill="E5F1F8"/>
          </w:tcPr>
          <w:p>
            <w:pPr>
              <w:jc w:val="center"/>
              <w:ind w:right="55"/>
              <w:spacing w:after="0" w:line="205" w:lineRule="exact"/>
              <w:rPr>
                <w:sz w:val="20"/>
                <w:szCs w:val="20"/>
                <w:color w:val="auto"/>
              </w:rPr>
            </w:pPr>
            <w:r>
              <w:rPr>
                <w:rFonts w:ascii="Calibri" w:cs="Calibri" w:eastAsia="Calibri" w:hAnsi="Calibri"/>
                <w:sz w:val="17"/>
                <w:szCs w:val="17"/>
                <w:color w:val="auto"/>
                <w:w w:val="92"/>
              </w:rPr>
              <w:t>7</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133</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40" w:type="dxa"/>
            <w:vAlign w:val="bottom"/>
          </w:tcPr>
          <w:p>
            <w:pPr>
              <w:spacing w:after="0"/>
              <w:rPr>
                <w:sz w:val="16"/>
                <w:szCs w:val="16"/>
                <w:color w:val="auto"/>
              </w:rPr>
            </w:pPr>
          </w:p>
        </w:tc>
        <w:tc>
          <w:tcPr>
            <w:tcW w:w="740" w:type="dxa"/>
            <w:vAlign w:val="bottom"/>
          </w:tcPr>
          <w:p>
            <w:pPr>
              <w:jc w:val="center"/>
              <w:ind w:right="75"/>
              <w:spacing w:after="0" w:line="189" w:lineRule="exact"/>
              <w:rPr>
                <w:sz w:val="20"/>
                <w:szCs w:val="20"/>
                <w:color w:val="auto"/>
              </w:rPr>
            </w:pPr>
            <w:r>
              <w:rPr>
                <w:rFonts w:ascii="Calibri" w:cs="Calibri" w:eastAsia="Calibri" w:hAnsi="Calibri"/>
                <w:sz w:val="17"/>
                <w:szCs w:val="17"/>
                <w:color w:val="auto"/>
              </w:rPr>
              <w:t>130212</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Alden Portable Wash</w:t>
            </w:r>
          </w:p>
        </w:tc>
        <w:tc>
          <w:tcPr>
            <w:tcW w:w="740" w:type="dxa"/>
            <w:vAlign w:val="bottom"/>
          </w:tcPr>
          <w:p>
            <w:pPr>
              <w:jc w:val="center"/>
              <w:ind w:right="55"/>
              <w:spacing w:after="0" w:line="205" w:lineRule="exact"/>
              <w:rPr>
                <w:sz w:val="20"/>
                <w:szCs w:val="20"/>
                <w:color w:val="auto"/>
              </w:rPr>
            </w:pPr>
            <w:r>
              <w:rPr>
                <w:rFonts w:ascii="Calibri" w:cs="Calibri" w:eastAsia="Calibri" w:hAnsi="Calibri"/>
                <w:sz w:val="17"/>
                <w:szCs w:val="17"/>
                <w:color w:val="auto"/>
                <w:w w:val="92"/>
              </w:rPr>
              <w:t>2</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40" w:type="dxa"/>
            <w:vAlign w:val="bottom"/>
            <w:shd w:val="clear" w:color="auto" w:fill="E5F1F8"/>
          </w:tcPr>
          <w:p>
            <w:pPr>
              <w:spacing w:after="0"/>
              <w:rPr>
                <w:sz w:val="16"/>
                <w:szCs w:val="16"/>
                <w:color w:val="auto"/>
              </w:rPr>
            </w:pPr>
          </w:p>
        </w:tc>
        <w:tc>
          <w:tcPr>
            <w:tcW w:w="740" w:type="dxa"/>
            <w:vAlign w:val="bottom"/>
            <w:shd w:val="clear" w:color="auto" w:fill="E5F1F8"/>
          </w:tcPr>
          <w:p>
            <w:pPr>
              <w:jc w:val="center"/>
              <w:ind w:right="75"/>
              <w:spacing w:after="0" w:line="189" w:lineRule="exact"/>
              <w:rPr>
                <w:sz w:val="20"/>
                <w:szCs w:val="20"/>
                <w:color w:val="auto"/>
              </w:rPr>
            </w:pPr>
            <w:r>
              <w:rPr>
                <w:rFonts w:ascii="Calibri" w:cs="Calibri" w:eastAsia="Calibri" w:hAnsi="Calibri"/>
                <w:sz w:val="17"/>
                <w:szCs w:val="17"/>
                <w:color w:val="auto"/>
              </w:rPr>
              <w:t>130022</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Alden Quarry</w:t>
            </w:r>
          </w:p>
        </w:tc>
        <w:tc>
          <w:tcPr>
            <w:tcW w:w="740" w:type="dxa"/>
            <w:vAlign w:val="bottom"/>
            <w:tcBorders>
              <w:bottom w:val="single" w:sz="8" w:color="E5F1F8"/>
            </w:tcBorders>
            <w:shd w:val="clear" w:color="auto" w:fill="E5F1F8"/>
          </w:tcPr>
          <w:p>
            <w:pPr>
              <w:jc w:val="center"/>
              <w:ind w:right="55"/>
              <w:spacing w:after="0" w:line="205" w:lineRule="exact"/>
              <w:rPr>
                <w:sz w:val="20"/>
                <w:szCs w:val="20"/>
                <w:color w:val="auto"/>
              </w:rPr>
            </w:pPr>
            <w:r>
              <w:rPr>
                <w:rFonts w:ascii="Calibri" w:cs="Calibri" w:eastAsia="Calibri" w:hAnsi="Calibri"/>
                <w:sz w:val="17"/>
                <w:szCs w:val="17"/>
                <w:color w:val="auto"/>
                <w:w w:val="92"/>
              </w:rPr>
              <w:t>8</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133</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40" w:type="dxa"/>
            <w:vAlign w:val="bottom"/>
          </w:tcPr>
          <w:p>
            <w:pPr>
              <w:spacing w:after="0"/>
              <w:rPr>
                <w:sz w:val="16"/>
                <w:szCs w:val="16"/>
                <w:color w:val="auto"/>
              </w:rPr>
            </w:pPr>
          </w:p>
        </w:tc>
        <w:tc>
          <w:tcPr>
            <w:tcW w:w="740" w:type="dxa"/>
            <w:vAlign w:val="bottom"/>
          </w:tcPr>
          <w:p>
            <w:pPr>
              <w:jc w:val="center"/>
              <w:ind w:right="75"/>
              <w:spacing w:after="0" w:line="189" w:lineRule="exact"/>
              <w:rPr>
                <w:sz w:val="20"/>
                <w:szCs w:val="20"/>
                <w:color w:val="auto"/>
              </w:rPr>
            </w:pPr>
            <w:r>
              <w:rPr>
                <w:rFonts w:ascii="Calibri" w:cs="Calibri" w:eastAsia="Calibri" w:hAnsi="Calibri"/>
                <w:sz w:val="17"/>
                <w:szCs w:val="17"/>
                <w:color w:val="auto"/>
              </w:rPr>
              <w:t>130001</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Ames Mine</w:t>
            </w:r>
          </w:p>
        </w:tc>
        <w:tc>
          <w:tcPr>
            <w:tcW w:w="740" w:type="dxa"/>
            <w:vAlign w:val="bottom"/>
          </w:tcPr>
          <w:p>
            <w:pPr>
              <w:jc w:val="center"/>
              <w:ind w:right="55"/>
              <w:spacing w:after="0" w:line="205" w:lineRule="exact"/>
              <w:rPr>
                <w:sz w:val="20"/>
                <w:szCs w:val="20"/>
                <w:color w:val="auto"/>
              </w:rPr>
            </w:pPr>
            <w:r>
              <w:rPr>
                <w:rFonts w:ascii="Calibri" w:cs="Calibri" w:eastAsia="Calibri" w:hAnsi="Calibri"/>
                <w:sz w:val="17"/>
                <w:szCs w:val="17"/>
                <w:color w:val="auto"/>
                <w:w w:val="92"/>
              </w:rPr>
              <w:t>4</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266</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40" w:type="dxa"/>
            <w:vAlign w:val="bottom"/>
            <w:shd w:val="clear" w:color="auto" w:fill="E5F1F8"/>
          </w:tcPr>
          <w:p>
            <w:pPr>
              <w:spacing w:after="0"/>
              <w:rPr>
                <w:sz w:val="16"/>
                <w:szCs w:val="16"/>
                <w:color w:val="auto"/>
              </w:rPr>
            </w:pPr>
          </w:p>
        </w:tc>
        <w:tc>
          <w:tcPr>
            <w:tcW w:w="740" w:type="dxa"/>
            <w:vAlign w:val="bottom"/>
            <w:shd w:val="clear" w:color="auto" w:fill="E5F1F8"/>
          </w:tcPr>
          <w:p>
            <w:pPr>
              <w:jc w:val="center"/>
              <w:ind w:right="75"/>
              <w:spacing w:after="0" w:line="189" w:lineRule="exact"/>
              <w:rPr>
                <w:sz w:val="20"/>
                <w:szCs w:val="20"/>
                <w:color w:val="auto"/>
              </w:rPr>
            </w:pPr>
            <w:r>
              <w:rPr>
                <w:rFonts w:ascii="Calibri" w:cs="Calibri" w:eastAsia="Calibri" w:hAnsi="Calibri"/>
                <w:sz w:val="17"/>
                <w:szCs w:val="17"/>
                <w:color w:val="auto"/>
              </w:rPr>
              <w:t>330167</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Apple Grove S G</w:t>
            </w:r>
          </w:p>
        </w:tc>
        <w:tc>
          <w:tcPr>
            <w:tcW w:w="740" w:type="dxa"/>
            <w:vAlign w:val="bottom"/>
            <w:tcBorders>
              <w:bottom w:val="single" w:sz="8" w:color="E5F1F8"/>
            </w:tcBorders>
            <w:shd w:val="clear" w:color="auto" w:fill="E5F1F8"/>
          </w:tcPr>
          <w:p>
            <w:pPr>
              <w:jc w:val="center"/>
              <w:ind w:right="55"/>
              <w:spacing w:after="0" w:line="205" w:lineRule="exact"/>
              <w:rPr>
                <w:sz w:val="20"/>
                <w:szCs w:val="20"/>
                <w:color w:val="auto"/>
              </w:rPr>
            </w:pPr>
            <w:r>
              <w:rPr>
                <w:rFonts w:ascii="Calibri" w:cs="Calibri" w:eastAsia="Calibri" w:hAnsi="Calibri"/>
                <w:sz w:val="17"/>
                <w:szCs w:val="17"/>
                <w:color w:val="auto"/>
                <w:w w:val="92"/>
              </w:rPr>
              <w:t>6</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40" w:type="dxa"/>
            <w:vAlign w:val="bottom"/>
          </w:tcPr>
          <w:p>
            <w:pPr>
              <w:spacing w:after="0"/>
              <w:rPr>
                <w:sz w:val="16"/>
                <w:szCs w:val="16"/>
                <w:color w:val="auto"/>
              </w:rPr>
            </w:pPr>
          </w:p>
        </w:tc>
        <w:tc>
          <w:tcPr>
            <w:tcW w:w="740" w:type="dxa"/>
            <w:vAlign w:val="bottom"/>
          </w:tcPr>
          <w:p>
            <w:pPr>
              <w:jc w:val="center"/>
              <w:ind w:right="75"/>
              <w:spacing w:after="0" w:line="189" w:lineRule="exact"/>
              <w:rPr>
                <w:sz w:val="20"/>
                <w:szCs w:val="20"/>
                <w:color w:val="auto"/>
              </w:rPr>
            </w:pPr>
            <w:r>
              <w:rPr>
                <w:rFonts w:ascii="Calibri" w:cs="Calibri" w:eastAsia="Calibri" w:hAnsi="Calibri"/>
                <w:sz w:val="17"/>
                <w:szCs w:val="17"/>
                <w:color w:val="auto"/>
              </w:rPr>
              <w:t>120191</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Belmont Sand</w:t>
            </w:r>
          </w:p>
        </w:tc>
        <w:tc>
          <w:tcPr>
            <w:tcW w:w="740" w:type="dxa"/>
            <w:vAlign w:val="bottom"/>
          </w:tcPr>
          <w:p>
            <w:pPr>
              <w:jc w:val="center"/>
              <w:ind w:right="55"/>
              <w:spacing w:after="0" w:line="205" w:lineRule="exact"/>
              <w:rPr>
                <w:sz w:val="20"/>
                <w:szCs w:val="20"/>
                <w:color w:val="auto"/>
              </w:rPr>
            </w:pPr>
            <w:r>
              <w:rPr>
                <w:rFonts w:ascii="Calibri" w:cs="Calibri" w:eastAsia="Calibri" w:hAnsi="Calibri"/>
                <w:sz w:val="17"/>
                <w:szCs w:val="17"/>
                <w:color w:val="auto"/>
                <w:w w:val="92"/>
              </w:rPr>
              <w:t>1</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266</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40" w:type="dxa"/>
            <w:vAlign w:val="bottom"/>
            <w:shd w:val="clear" w:color="auto" w:fill="E5F1F8"/>
          </w:tcPr>
          <w:p>
            <w:pPr>
              <w:ind w:left="20"/>
              <w:spacing w:after="0" w:line="189" w:lineRule="exact"/>
              <w:rPr>
                <w:sz w:val="20"/>
                <w:szCs w:val="20"/>
                <w:color w:val="auto"/>
              </w:rPr>
            </w:pPr>
            <w:r>
              <w:rPr>
                <w:rFonts w:ascii="Calibri" w:cs="Calibri" w:eastAsia="Calibri" w:hAnsi="Calibri"/>
                <w:sz w:val="17"/>
                <w:szCs w:val="17"/>
                <w:color w:val="auto"/>
              </w:rPr>
              <w:t>Bowling Green North</w:t>
            </w:r>
          </w:p>
        </w:tc>
        <w:tc>
          <w:tcPr>
            <w:tcW w:w="740" w:type="dxa"/>
            <w:vAlign w:val="bottom"/>
            <w:shd w:val="clear" w:color="auto" w:fill="E5F1F8"/>
          </w:tcPr>
          <w:p>
            <w:pPr>
              <w:jc w:val="center"/>
              <w:ind w:right="75"/>
              <w:spacing w:after="0" w:line="189" w:lineRule="exact"/>
              <w:rPr>
                <w:sz w:val="20"/>
                <w:szCs w:val="20"/>
                <w:color w:val="auto"/>
              </w:rPr>
            </w:pPr>
            <w:r>
              <w:rPr>
                <w:rFonts w:ascii="Calibri" w:cs="Calibri" w:eastAsia="Calibri" w:hAnsi="Calibri"/>
                <w:sz w:val="17"/>
                <w:szCs w:val="17"/>
                <w:color w:val="auto"/>
              </w:rPr>
              <w:t>150006</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Quarry</w:t>
            </w:r>
          </w:p>
        </w:tc>
        <w:tc>
          <w:tcPr>
            <w:tcW w:w="740" w:type="dxa"/>
            <w:vAlign w:val="bottom"/>
            <w:tcBorders>
              <w:bottom w:val="single" w:sz="8" w:color="E5F1F8"/>
            </w:tcBorders>
            <w:shd w:val="clear" w:color="auto" w:fill="E5F1F8"/>
          </w:tcPr>
          <w:p>
            <w:pPr>
              <w:jc w:val="center"/>
              <w:ind w:right="55"/>
              <w:spacing w:after="0" w:line="205" w:lineRule="exact"/>
              <w:rPr>
                <w:sz w:val="20"/>
                <w:szCs w:val="20"/>
                <w:color w:val="auto"/>
              </w:rPr>
            </w:pPr>
            <w:r>
              <w:rPr>
                <w:rFonts w:ascii="Calibri" w:cs="Calibri" w:eastAsia="Calibri" w:hAnsi="Calibri"/>
                <w:sz w:val="17"/>
                <w:szCs w:val="17"/>
                <w:color w:val="auto"/>
                <w:w w:val="92"/>
              </w:rPr>
              <w:t>5</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133</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40" w:type="dxa"/>
            <w:vAlign w:val="bottom"/>
          </w:tcPr>
          <w:p>
            <w:pPr>
              <w:ind w:left="20"/>
              <w:spacing w:after="0" w:line="189" w:lineRule="exact"/>
              <w:rPr>
                <w:sz w:val="20"/>
                <w:szCs w:val="20"/>
                <w:color w:val="auto"/>
              </w:rPr>
            </w:pPr>
            <w:r>
              <w:rPr>
                <w:rFonts w:ascii="Calibri" w:cs="Calibri" w:eastAsia="Calibri" w:hAnsi="Calibri"/>
                <w:sz w:val="17"/>
                <w:szCs w:val="17"/>
                <w:color w:val="auto"/>
              </w:rPr>
              <w:t>Bowling Green South</w:t>
            </w:r>
          </w:p>
        </w:tc>
        <w:tc>
          <w:tcPr>
            <w:tcW w:w="740" w:type="dxa"/>
            <w:vAlign w:val="bottom"/>
          </w:tcPr>
          <w:p>
            <w:pPr>
              <w:jc w:val="center"/>
              <w:ind w:right="75"/>
              <w:spacing w:after="0" w:line="189" w:lineRule="exact"/>
              <w:rPr>
                <w:sz w:val="20"/>
                <w:szCs w:val="20"/>
                <w:color w:val="auto"/>
              </w:rPr>
            </w:pPr>
            <w:r>
              <w:rPr>
                <w:rFonts w:ascii="Calibri" w:cs="Calibri" w:eastAsia="Calibri" w:hAnsi="Calibri"/>
                <w:sz w:val="17"/>
                <w:szCs w:val="17"/>
                <w:color w:val="auto"/>
              </w:rPr>
              <w:t>150002</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Quarry</w:t>
            </w:r>
          </w:p>
        </w:tc>
        <w:tc>
          <w:tcPr>
            <w:tcW w:w="740" w:type="dxa"/>
            <w:vAlign w:val="bottom"/>
          </w:tcPr>
          <w:p>
            <w:pPr>
              <w:jc w:val="center"/>
              <w:ind w:right="55"/>
              <w:spacing w:after="0" w:line="205" w:lineRule="exact"/>
              <w:rPr>
                <w:sz w:val="20"/>
                <w:szCs w:val="20"/>
                <w:color w:val="auto"/>
              </w:rPr>
            </w:pPr>
            <w:r>
              <w:rPr>
                <w:rFonts w:ascii="Calibri" w:cs="Calibri" w:eastAsia="Calibri" w:hAnsi="Calibri"/>
                <w:sz w:val="17"/>
                <w:szCs w:val="17"/>
                <w:color w:val="auto"/>
                <w:w w:val="92"/>
              </w:rPr>
              <w:t>5</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40" w:type="dxa"/>
            <w:vAlign w:val="bottom"/>
            <w:shd w:val="clear" w:color="auto" w:fill="E5F1F8"/>
          </w:tcPr>
          <w:p>
            <w:pPr>
              <w:spacing w:after="0"/>
              <w:rPr>
                <w:sz w:val="16"/>
                <w:szCs w:val="16"/>
                <w:color w:val="auto"/>
              </w:rPr>
            </w:pPr>
          </w:p>
        </w:tc>
        <w:tc>
          <w:tcPr>
            <w:tcW w:w="740" w:type="dxa"/>
            <w:vAlign w:val="bottom"/>
            <w:shd w:val="clear" w:color="auto" w:fill="E5F1F8"/>
          </w:tcPr>
          <w:p>
            <w:pPr>
              <w:jc w:val="center"/>
              <w:ind w:right="75"/>
              <w:spacing w:after="0" w:line="189" w:lineRule="exact"/>
              <w:rPr>
                <w:sz w:val="20"/>
                <w:szCs w:val="20"/>
                <w:color w:val="auto"/>
              </w:rPr>
            </w:pPr>
            <w:r>
              <w:rPr>
                <w:rFonts w:ascii="Calibri" w:cs="Calibri" w:eastAsia="Calibri" w:hAnsi="Calibri"/>
                <w:sz w:val="17"/>
                <w:szCs w:val="17"/>
                <w:color w:val="auto"/>
              </w:rPr>
              <w:t>460886</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Burning Springs Mine</w:t>
            </w:r>
          </w:p>
        </w:tc>
        <w:tc>
          <w:tcPr>
            <w:tcW w:w="740" w:type="dxa"/>
            <w:vAlign w:val="bottom"/>
            <w:tcBorders>
              <w:bottom w:val="single" w:sz="8" w:color="E5F1F8"/>
            </w:tcBorders>
            <w:shd w:val="clear" w:color="auto" w:fill="E5F1F8"/>
          </w:tcPr>
          <w:p>
            <w:pPr>
              <w:jc w:val="center"/>
              <w:ind w:right="55"/>
              <w:spacing w:after="0" w:line="205" w:lineRule="exact"/>
              <w:rPr>
                <w:sz w:val="20"/>
                <w:szCs w:val="20"/>
                <w:color w:val="auto"/>
              </w:rPr>
            </w:pPr>
            <w:r>
              <w:rPr>
                <w:rFonts w:ascii="Calibri" w:cs="Calibri" w:eastAsia="Calibri" w:hAnsi="Calibri"/>
                <w:sz w:val="17"/>
                <w:szCs w:val="17"/>
                <w:color w:val="auto"/>
                <w:w w:val="92"/>
              </w:rPr>
              <w:t>2</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133</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40" w:type="dxa"/>
            <w:vAlign w:val="bottom"/>
          </w:tcPr>
          <w:p>
            <w:pPr>
              <w:spacing w:after="0"/>
              <w:rPr>
                <w:sz w:val="16"/>
                <w:szCs w:val="16"/>
                <w:color w:val="auto"/>
              </w:rPr>
            </w:pPr>
          </w:p>
        </w:tc>
        <w:tc>
          <w:tcPr>
            <w:tcW w:w="740" w:type="dxa"/>
            <w:vAlign w:val="bottom"/>
          </w:tcPr>
          <w:p>
            <w:pPr>
              <w:jc w:val="center"/>
              <w:ind w:right="75"/>
              <w:spacing w:after="0" w:line="189" w:lineRule="exact"/>
              <w:rPr>
                <w:sz w:val="20"/>
                <w:szCs w:val="20"/>
                <w:color w:val="auto"/>
              </w:rPr>
            </w:pPr>
            <w:r>
              <w:rPr>
                <w:rFonts w:ascii="Calibri" w:cs="Calibri" w:eastAsia="Calibri" w:hAnsi="Calibri"/>
                <w:sz w:val="17"/>
                <w:szCs w:val="17"/>
                <w:color w:val="auto"/>
              </w:rPr>
              <w:t>120212</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Carmel Sand</w:t>
            </w:r>
          </w:p>
        </w:tc>
        <w:tc>
          <w:tcPr>
            <w:tcW w:w="740" w:type="dxa"/>
            <w:vAlign w:val="bottom"/>
          </w:tcPr>
          <w:p>
            <w:pPr>
              <w:jc w:val="center"/>
              <w:ind w:right="55"/>
              <w:spacing w:after="0" w:line="205" w:lineRule="exact"/>
              <w:rPr>
                <w:sz w:val="20"/>
                <w:szCs w:val="20"/>
                <w:color w:val="auto"/>
              </w:rPr>
            </w:pPr>
            <w:r>
              <w:rPr>
                <w:rFonts w:ascii="Calibri" w:cs="Calibri" w:eastAsia="Calibri" w:hAnsi="Calibri"/>
                <w:sz w:val="17"/>
                <w:szCs w:val="17"/>
                <w:color w:val="auto"/>
                <w:w w:val="92"/>
              </w:rPr>
              <w:t>4</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133</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40" w:type="dxa"/>
            <w:vAlign w:val="bottom"/>
            <w:shd w:val="clear" w:color="auto" w:fill="E5F1F8"/>
          </w:tcPr>
          <w:p>
            <w:pPr>
              <w:spacing w:after="0"/>
              <w:rPr>
                <w:sz w:val="16"/>
                <w:szCs w:val="16"/>
                <w:color w:val="auto"/>
              </w:rPr>
            </w:pPr>
          </w:p>
        </w:tc>
        <w:tc>
          <w:tcPr>
            <w:tcW w:w="740" w:type="dxa"/>
            <w:vAlign w:val="bottom"/>
            <w:shd w:val="clear" w:color="auto" w:fill="E5F1F8"/>
          </w:tcPr>
          <w:p>
            <w:pPr>
              <w:jc w:val="center"/>
              <w:ind w:right="75"/>
              <w:spacing w:after="0" w:line="189" w:lineRule="exact"/>
              <w:rPr>
                <w:sz w:val="20"/>
                <w:szCs w:val="20"/>
                <w:color w:val="auto"/>
              </w:rPr>
            </w:pPr>
            <w:r>
              <w:rPr>
                <w:rFonts w:ascii="Calibri" w:cs="Calibri" w:eastAsia="Calibri" w:hAnsi="Calibri"/>
                <w:sz w:val="17"/>
                <w:szCs w:val="17"/>
                <w:color w:val="auto"/>
              </w:rPr>
              <w:t>130012</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Cedar Rapids Quarry</w:t>
            </w:r>
          </w:p>
        </w:tc>
        <w:tc>
          <w:tcPr>
            <w:tcW w:w="740" w:type="dxa"/>
            <w:vAlign w:val="bottom"/>
            <w:tcBorders>
              <w:bottom w:val="single" w:sz="8" w:color="E5F1F8"/>
            </w:tcBorders>
            <w:shd w:val="clear" w:color="auto" w:fill="E5F1F8"/>
          </w:tcPr>
          <w:p>
            <w:pPr>
              <w:jc w:val="center"/>
              <w:ind w:right="55"/>
              <w:spacing w:after="0" w:line="205" w:lineRule="exact"/>
              <w:rPr>
                <w:sz w:val="20"/>
                <w:szCs w:val="20"/>
                <w:color w:val="auto"/>
              </w:rPr>
            </w:pPr>
            <w:r>
              <w:rPr>
                <w:rFonts w:ascii="Calibri" w:cs="Calibri" w:eastAsia="Calibri" w:hAnsi="Calibri"/>
                <w:sz w:val="17"/>
                <w:szCs w:val="17"/>
                <w:color w:val="auto"/>
                <w:w w:val="92"/>
              </w:rPr>
              <w:t>2</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133</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40" w:type="dxa"/>
            <w:vAlign w:val="bottom"/>
          </w:tcPr>
          <w:p>
            <w:pPr>
              <w:spacing w:after="0"/>
              <w:rPr>
                <w:sz w:val="16"/>
                <w:szCs w:val="16"/>
                <w:color w:val="auto"/>
              </w:rPr>
            </w:pPr>
          </w:p>
        </w:tc>
        <w:tc>
          <w:tcPr>
            <w:tcW w:w="740" w:type="dxa"/>
            <w:vAlign w:val="bottom"/>
          </w:tcPr>
          <w:p>
            <w:pPr>
              <w:jc w:val="center"/>
              <w:ind w:right="75"/>
              <w:spacing w:after="0" w:line="189" w:lineRule="exact"/>
              <w:rPr>
                <w:sz w:val="20"/>
                <w:szCs w:val="20"/>
                <w:color w:val="auto"/>
              </w:rPr>
            </w:pPr>
            <w:r>
              <w:rPr>
                <w:rFonts w:ascii="Calibri" w:cs="Calibri" w:eastAsia="Calibri" w:hAnsi="Calibri"/>
                <w:sz w:val="17"/>
                <w:szCs w:val="17"/>
                <w:color w:val="auto"/>
              </w:rPr>
              <w:t>330407</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Cedarville Quarry</w:t>
            </w:r>
          </w:p>
        </w:tc>
        <w:tc>
          <w:tcPr>
            <w:tcW w:w="740" w:type="dxa"/>
            <w:vAlign w:val="bottom"/>
          </w:tcPr>
          <w:p>
            <w:pPr>
              <w:jc w:val="center"/>
              <w:ind w:right="55"/>
              <w:spacing w:after="0" w:line="205" w:lineRule="exact"/>
              <w:rPr>
                <w:sz w:val="20"/>
                <w:szCs w:val="20"/>
                <w:color w:val="auto"/>
              </w:rPr>
            </w:pPr>
            <w:r>
              <w:rPr>
                <w:rFonts w:ascii="Calibri" w:cs="Calibri" w:eastAsia="Calibri" w:hAnsi="Calibri"/>
                <w:sz w:val="17"/>
                <w:szCs w:val="17"/>
                <w:color w:val="auto"/>
                <w:w w:val="92"/>
              </w:rPr>
              <w:t>2</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133</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40" w:type="dxa"/>
            <w:vAlign w:val="bottom"/>
            <w:shd w:val="clear" w:color="auto" w:fill="E5F1F8"/>
          </w:tcPr>
          <w:p>
            <w:pPr>
              <w:spacing w:after="0"/>
              <w:rPr>
                <w:sz w:val="16"/>
                <w:szCs w:val="16"/>
                <w:color w:val="auto"/>
              </w:rPr>
            </w:pPr>
          </w:p>
        </w:tc>
        <w:tc>
          <w:tcPr>
            <w:tcW w:w="740" w:type="dxa"/>
            <w:vAlign w:val="bottom"/>
            <w:shd w:val="clear" w:color="auto" w:fill="E5F1F8"/>
          </w:tcPr>
          <w:p>
            <w:pPr>
              <w:jc w:val="center"/>
              <w:ind w:right="75"/>
              <w:spacing w:after="0" w:line="189" w:lineRule="exact"/>
              <w:rPr>
                <w:sz w:val="20"/>
                <w:szCs w:val="20"/>
                <w:color w:val="auto"/>
              </w:rPr>
            </w:pPr>
            <w:r>
              <w:rPr>
                <w:rFonts w:ascii="Calibri" w:cs="Calibri" w:eastAsia="Calibri" w:hAnsi="Calibri"/>
                <w:sz w:val="17"/>
                <w:szCs w:val="17"/>
                <w:color w:val="auto"/>
              </w:rPr>
              <w:t>120174</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Cloverdale Quarry</w:t>
            </w:r>
          </w:p>
        </w:tc>
        <w:tc>
          <w:tcPr>
            <w:tcW w:w="740" w:type="dxa"/>
            <w:vAlign w:val="bottom"/>
            <w:tcBorders>
              <w:bottom w:val="single" w:sz="8" w:color="E5F1F8"/>
            </w:tcBorders>
            <w:shd w:val="clear" w:color="auto" w:fill="E5F1F8"/>
          </w:tcPr>
          <w:p>
            <w:pPr>
              <w:jc w:val="center"/>
              <w:ind w:right="55"/>
              <w:spacing w:after="0" w:line="205" w:lineRule="exact"/>
              <w:rPr>
                <w:sz w:val="20"/>
                <w:szCs w:val="20"/>
                <w:color w:val="auto"/>
              </w:rPr>
            </w:pPr>
            <w:r>
              <w:rPr>
                <w:rFonts w:ascii="Calibri" w:cs="Calibri" w:eastAsia="Calibri" w:hAnsi="Calibri"/>
                <w:sz w:val="17"/>
                <w:szCs w:val="17"/>
                <w:color w:val="auto"/>
                <w:w w:val="92"/>
              </w:rPr>
              <w:t>4</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40" w:type="dxa"/>
            <w:vAlign w:val="bottom"/>
          </w:tcPr>
          <w:p>
            <w:pPr>
              <w:spacing w:after="0"/>
              <w:rPr>
                <w:sz w:val="16"/>
                <w:szCs w:val="16"/>
                <w:color w:val="auto"/>
              </w:rPr>
            </w:pPr>
          </w:p>
        </w:tc>
        <w:tc>
          <w:tcPr>
            <w:tcW w:w="740" w:type="dxa"/>
            <w:vAlign w:val="bottom"/>
          </w:tcPr>
          <w:p>
            <w:pPr>
              <w:jc w:val="center"/>
              <w:ind w:right="75"/>
              <w:spacing w:after="0" w:line="189" w:lineRule="exact"/>
              <w:rPr>
                <w:sz w:val="20"/>
                <w:szCs w:val="20"/>
                <w:color w:val="auto"/>
              </w:rPr>
            </w:pPr>
            <w:r>
              <w:rPr>
                <w:rFonts w:ascii="Calibri" w:cs="Calibri" w:eastAsia="Calibri" w:hAnsi="Calibri"/>
                <w:sz w:val="17"/>
                <w:szCs w:val="17"/>
                <w:color w:val="auto"/>
              </w:rPr>
              <w:t>150003</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Cumberland Quarry</w:t>
            </w:r>
          </w:p>
        </w:tc>
        <w:tc>
          <w:tcPr>
            <w:tcW w:w="740" w:type="dxa"/>
            <w:vAlign w:val="bottom"/>
          </w:tcPr>
          <w:p>
            <w:pPr>
              <w:jc w:val="center"/>
              <w:ind w:right="55"/>
              <w:spacing w:after="0" w:line="205" w:lineRule="exact"/>
              <w:rPr>
                <w:sz w:val="20"/>
                <w:szCs w:val="20"/>
                <w:color w:val="auto"/>
              </w:rPr>
            </w:pPr>
            <w:r>
              <w:rPr>
                <w:rFonts w:ascii="Calibri" w:cs="Calibri" w:eastAsia="Calibri" w:hAnsi="Calibri"/>
                <w:sz w:val="17"/>
                <w:szCs w:val="17"/>
                <w:color w:val="auto"/>
                <w:w w:val="92"/>
              </w:rPr>
              <w:t>7</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40" w:type="dxa"/>
            <w:vAlign w:val="bottom"/>
            <w:shd w:val="clear" w:color="auto" w:fill="E5F1F8"/>
          </w:tcPr>
          <w:p>
            <w:pPr>
              <w:spacing w:after="0"/>
              <w:rPr>
                <w:sz w:val="16"/>
                <w:szCs w:val="16"/>
                <w:color w:val="auto"/>
              </w:rPr>
            </w:pPr>
          </w:p>
        </w:tc>
        <w:tc>
          <w:tcPr>
            <w:tcW w:w="740" w:type="dxa"/>
            <w:vAlign w:val="bottom"/>
            <w:shd w:val="clear" w:color="auto" w:fill="E5F1F8"/>
          </w:tcPr>
          <w:p>
            <w:pPr>
              <w:jc w:val="center"/>
              <w:ind w:right="75"/>
              <w:spacing w:after="0" w:line="189" w:lineRule="exact"/>
              <w:rPr>
                <w:sz w:val="20"/>
                <w:szCs w:val="20"/>
                <w:color w:val="auto"/>
              </w:rPr>
            </w:pPr>
            <w:r>
              <w:rPr>
                <w:rFonts w:ascii="Calibri" w:cs="Calibri" w:eastAsia="Calibri" w:hAnsi="Calibri"/>
                <w:sz w:val="17"/>
                <w:szCs w:val="17"/>
                <w:color w:val="auto"/>
              </w:rPr>
              <w:t>130015</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Des Moines Portable</w:t>
            </w:r>
          </w:p>
        </w:tc>
        <w:tc>
          <w:tcPr>
            <w:tcW w:w="740" w:type="dxa"/>
            <w:vAlign w:val="bottom"/>
            <w:tcBorders>
              <w:bottom w:val="single" w:sz="8" w:color="E5F1F8"/>
            </w:tcBorders>
            <w:shd w:val="clear" w:color="auto" w:fill="E5F1F8"/>
          </w:tcPr>
          <w:p>
            <w:pPr>
              <w:jc w:val="center"/>
              <w:ind w:right="55"/>
              <w:spacing w:after="0" w:line="205" w:lineRule="exact"/>
              <w:rPr>
                <w:sz w:val="20"/>
                <w:szCs w:val="20"/>
                <w:color w:val="auto"/>
              </w:rPr>
            </w:pPr>
            <w:r>
              <w:rPr>
                <w:rFonts w:ascii="Calibri" w:cs="Calibri" w:eastAsia="Calibri" w:hAnsi="Calibri"/>
                <w:sz w:val="17"/>
                <w:szCs w:val="17"/>
                <w:color w:val="auto"/>
                <w:w w:val="92"/>
              </w:rPr>
              <w:t>0</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40" w:type="dxa"/>
            <w:vAlign w:val="bottom"/>
          </w:tcPr>
          <w:p>
            <w:pPr>
              <w:spacing w:after="0"/>
              <w:rPr>
                <w:sz w:val="16"/>
                <w:szCs w:val="16"/>
                <w:color w:val="auto"/>
              </w:rPr>
            </w:pPr>
          </w:p>
        </w:tc>
        <w:tc>
          <w:tcPr>
            <w:tcW w:w="740" w:type="dxa"/>
            <w:vAlign w:val="bottom"/>
          </w:tcPr>
          <w:p>
            <w:pPr>
              <w:jc w:val="center"/>
              <w:ind w:right="75"/>
              <w:spacing w:after="0" w:line="189" w:lineRule="exact"/>
              <w:rPr>
                <w:sz w:val="20"/>
                <w:szCs w:val="20"/>
                <w:color w:val="auto"/>
              </w:rPr>
            </w:pPr>
            <w:r>
              <w:rPr>
                <w:rFonts w:ascii="Calibri" w:cs="Calibri" w:eastAsia="Calibri" w:hAnsi="Calibri"/>
                <w:sz w:val="17"/>
                <w:szCs w:val="17"/>
                <w:color w:val="auto"/>
              </w:rPr>
              <w:t>130093</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Des Moines Portable #2</w:t>
            </w:r>
          </w:p>
        </w:tc>
        <w:tc>
          <w:tcPr>
            <w:tcW w:w="740" w:type="dxa"/>
            <w:vAlign w:val="bottom"/>
          </w:tcPr>
          <w:p>
            <w:pPr>
              <w:jc w:val="center"/>
              <w:ind w:right="55"/>
              <w:spacing w:after="0" w:line="205" w:lineRule="exact"/>
              <w:rPr>
                <w:sz w:val="20"/>
                <w:szCs w:val="20"/>
                <w:color w:val="auto"/>
              </w:rPr>
            </w:pPr>
            <w:r>
              <w:rPr>
                <w:rFonts w:ascii="Calibri" w:cs="Calibri" w:eastAsia="Calibri" w:hAnsi="Calibri"/>
                <w:sz w:val="17"/>
                <w:szCs w:val="17"/>
                <w:color w:val="auto"/>
                <w:w w:val="92"/>
              </w:rPr>
              <w:t>2</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40" w:type="dxa"/>
            <w:vAlign w:val="bottom"/>
            <w:shd w:val="clear" w:color="auto" w:fill="E5F1F8"/>
          </w:tcPr>
          <w:p>
            <w:pPr>
              <w:spacing w:after="0"/>
              <w:rPr>
                <w:sz w:val="16"/>
                <w:szCs w:val="16"/>
                <w:color w:val="auto"/>
              </w:rPr>
            </w:pPr>
          </w:p>
        </w:tc>
        <w:tc>
          <w:tcPr>
            <w:tcW w:w="740" w:type="dxa"/>
            <w:vAlign w:val="bottom"/>
            <w:shd w:val="clear" w:color="auto" w:fill="E5F1F8"/>
          </w:tcPr>
          <w:p>
            <w:pPr>
              <w:jc w:val="center"/>
              <w:ind w:right="75"/>
              <w:spacing w:after="0" w:line="189" w:lineRule="exact"/>
              <w:rPr>
                <w:sz w:val="20"/>
                <w:szCs w:val="20"/>
                <w:color w:val="auto"/>
              </w:rPr>
            </w:pPr>
            <w:r>
              <w:rPr>
                <w:rFonts w:ascii="Calibri" w:cs="Calibri" w:eastAsia="Calibri" w:hAnsi="Calibri"/>
                <w:sz w:val="17"/>
                <w:szCs w:val="17"/>
                <w:color w:val="auto"/>
              </w:rPr>
              <w:t>250104</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Dubois Quarry</w:t>
            </w:r>
          </w:p>
        </w:tc>
        <w:tc>
          <w:tcPr>
            <w:tcW w:w="740" w:type="dxa"/>
            <w:vAlign w:val="bottom"/>
            <w:tcBorders>
              <w:bottom w:val="single" w:sz="8" w:color="E5F1F8"/>
            </w:tcBorders>
            <w:shd w:val="clear" w:color="auto" w:fill="E5F1F8"/>
          </w:tcPr>
          <w:p>
            <w:pPr>
              <w:jc w:val="center"/>
              <w:ind w:right="55"/>
              <w:spacing w:after="0" w:line="205" w:lineRule="exact"/>
              <w:rPr>
                <w:sz w:val="20"/>
                <w:szCs w:val="20"/>
                <w:color w:val="auto"/>
              </w:rPr>
            </w:pPr>
            <w:r>
              <w:rPr>
                <w:rFonts w:ascii="Calibri" w:cs="Calibri" w:eastAsia="Calibri" w:hAnsi="Calibri"/>
                <w:sz w:val="17"/>
                <w:szCs w:val="17"/>
                <w:color w:val="auto"/>
                <w:w w:val="92"/>
              </w:rPr>
              <w:t>6</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1</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1,222</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40" w:type="dxa"/>
            <w:vAlign w:val="bottom"/>
          </w:tcPr>
          <w:p>
            <w:pPr>
              <w:spacing w:after="0"/>
              <w:rPr>
                <w:sz w:val="16"/>
                <w:szCs w:val="16"/>
                <w:color w:val="auto"/>
              </w:rPr>
            </w:pPr>
          </w:p>
        </w:tc>
        <w:tc>
          <w:tcPr>
            <w:tcW w:w="740" w:type="dxa"/>
            <w:vAlign w:val="bottom"/>
          </w:tcPr>
          <w:p>
            <w:pPr>
              <w:jc w:val="center"/>
              <w:ind w:right="75"/>
              <w:spacing w:after="0" w:line="189" w:lineRule="exact"/>
              <w:rPr>
                <w:sz w:val="20"/>
                <w:szCs w:val="20"/>
                <w:color w:val="auto"/>
              </w:rPr>
            </w:pPr>
            <w:r>
              <w:rPr>
                <w:rFonts w:ascii="Calibri" w:cs="Calibri" w:eastAsia="Calibri" w:hAnsi="Calibri"/>
                <w:sz w:val="17"/>
                <w:szCs w:val="17"/>
                <w:color w:val="auto"/>
              </w:rPr>
              <w:t>130122</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Durham Mine</w:t>
            </w:r>
          </w:p>
        </w:tc>
        <w:tc>
          <w:tcPr>
            <w:tcW w:w="740" w:type="dxa"/>
            <w:vAlign w:val="bottom"/>
          </w:tcPr>
          <w:p>
            <w:pPr>
              <w:jc w:val="center"/>
              <w:ind w:right="55"/>
              <w:spacing w:after="0" w:line="205" w:lineRule="exact"/>
              <w:rPr>
                <w:sz w:val="20"/>
                <w:szCs w:val="20"/>
                <w:color w:val="auto"/>
              </w:rPr>
            </w:pPr>
            <w:r>
              <w:rPr>
                <w:rFonts w:ascii="Calibri" w:cs="Calibri" w:eastAsia="Calibri" w:hAnsi="Calibri"/>
                <w:sz w:val="17"/>
                <w:szCs w:val="17"/>
                <w:color w:val="auto"/>
                <w:w w:val="92"/>
              </w:rPr>
              <w:t>5</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1</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1,283</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4"/>
        </w:trPr>
        <w:tc>
          <w:tcPr>
            <w:tcW w:w="1740" w:type="dxa"/>
            <w:vAlign w:val="bottom"/>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E Town Sand Gravel</w:t>
            </w:r>
          </w:p>
        </w:tc>
        <w:tc>
          <w:tcPr>
            <w:tcW w:w="740" w:type="dxa"/>
            <w:vAlign w:val="bottom"/>
            <w:shd w:val="clear" w:color="auto" w:fill="E5F1F8"/>
          </w:tcPr>
          <w:p>
            <w:pPr>
              <w:jc w:val="center"/>
              <w:ind w:right="75"/>
              <w:spacing w:after="0" w:line="205" w:lineRule="exact"/>
              <w:rPr>
                <w:sz w:val="20"/>
                <w:szCs w:val="20"/>
                <w:color w:val="auto"/>
              </w:rPr>
            </w:pPr>
            <w:r>
              <w:rPr>
                <w:rFonts w:ascii="Calibri" w:cs="Calibri" w:eastAsia="Calibri" w:hAnsi="Calibri"/>
                <w:sz w:val="17"/>
                <w:szCs w:val="17"/>
                <w:color w:val="auto"/>
              </w:rPr>
              <w:t>330427</w:t>
            </w:r>
          </w:p>
        </w:tc>
        <w:tc>
          <w:tcPr>
            <w:tcW w:w="520" w:type="dxa"/>
            <w:vAlign w:val="bottom"/>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1</w:t>
            </w:r>
          </w:p>
        </w:tc>
        <w:tc>
          <w:tcPr>
            <w:tcW w:w="660" w:type="dxa"/>
            <w:vAlign w:val="bottom"/>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378</w:t>
            </w:r>
          </w:p>
        </w:tc>
        <w:tc>
          <w:tcPr>
            <w:tcW w:w="760" w:type="dxa"/>
            <w:vAlign w:val="bottom"/>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56"/>
        </w:trPr>
        <w:tc>
          <w:tcPr>
            <w:tcW w:w="1740" w:type="dxa"/>
            <w:vAlign w:val="bottom"/>
            <w:shd w:val="clear" w:color="auto" w:fill="E5F1F8"/>
          </w:tcPr>
          <w:p>
            <w:pPr>
              <w:spacing w:after="0"/>
              <w:rPr>
                <w:sz w:val="13"/>
                <w:szCs w:val="13"/>
                <w:color w:val="auto"/>
              </w:rPr>
            </w:pPr>
          </w:p>
        </w:tc>
        <w:tc>
          <w:tcPr>
            <w:tcW w:w="740" w:type="dxa"/>
            <w:vAlign w:val="bottom"/>
            <w:shd w:val="clear" w:color="auto" w:fill="E5F1F8"/>
          </w:tcPr>
          <w:p>
            <w:pPr>
              <w:spacing w:after="0"/>
              <w:rPr>
                <w:sz w:val="13"/>
                <w:szCs w:val="13"/>
                <w:color w:val="auto"/>
              </w:rPr>
            </w:pPr>
          </w:p>
        </w:tc>
        <w:tc>
          <w:tcPr>
            <w:tcW w:w="520" w:type="dxa"/>
            <w:vAlign w:val="bottom"/>
            <w:shd w:val="clear" w:color="auto" w:fill="E5F1F8"/>
          </w:tcPr>
          <w:p>
            <w:pPr>
              <w:spacing w:after="0"/>
              <w:rPr>
                <w:sz w:val="13"/>
                <w:szCs w:val="13"/>
                <w:color w:val="auto"/>
              </w:rPr>
            </w:pPr>
          </w:p>
        </w:tc>
        <w:tc>
          <w:tcPr>
            <w:tcW w:w="660" w:type="dxa"/>
            <w:vAlign w:val="bottom"/>
            <w:shd w:val="clear" w:color="auto" w:fill="E5F1F8"/>
          </w:tcPr>
          <w:p>
            <w:pPr>
              <w:spacing w:after="0"/>
              <w:rPr>
                <w:sz w:val="13"/>
                <w:szCs w:val="13"/>
                <w:color w:val="auto"/>
              </w:rPr>
            </w:pPr>
          </w:p>
        </w:tc>
        <w:tc>
          <w:tcPr>
            <w:tcW w:w="700" w:type="dxa"/>
            <w:vAlign w:val="bottom"/>
            <w:shd w:val="clear" w:color="auto" w:fill="E5F1F8"/>
          </w:tcPr>
          <w:p>
            <w:pPr>
              <w:spacing w:after="0"/>
              <w:rPr>
                <w:sz w:val="13"/>
                <w:szCs w:val="13"/>
                <w:color w:val="auto"/>
              </w:rPr>
            </w:pPr>
          </w:p>
        </w:tc>
        <w:tc>
          <w:tcPr>
            <w:tcW w:w="720" w:type="dxa"/>
            <w:vAlign w:val="bottom"/>
            <w:shd w:val="clear" w:color="auto" w:fill="E5F1F8"/>
          </w:tcPr>
          <w:p>
            <w:pPr>
              <w:spacing w:after="0"/>
              <w:rPr>
                <w:sz w:val="13"/>
                <w:szCs w:val="13"/>
                <w:color w:val="auto"/>
              </w:rPr>
            </w:pPr>
          </w:p>
        </w:tc>
        <w:tc>
          <w:tcPr>
            <w:tcW w:w="500" w:type="dxa"/>
            <w:vAlign w:val="bottom"/>
            <w:shd w:val="clear" w:color="auto" w:fill="E5F1F8"/>
          </w:tcPr>
          <w:p>
            <w:pPr>
              <w:spacing w:after="0"/>
              <w:rPr>
                <w:sz w:val="13"/>
                <w:szCs w:val="13"/>
                <w:color w:val="auto"/>
              </w:rPr>
            </w:pPr>
          </w:p>
        </w:tc>
        <w:tc>
          <w:tcPr>
            <w:tcW w:w="280" w:type="dxa"/>
            <w:vAlign w:val="bottom"/>
            <w:shd w:val="clear" w:color="auto" w:fill="E5F1F8"/>
          </w:tcPr>
          <w:p>
            <w:pPr>
              <w:spacing w:after="0"/>
              <w:rPr>
                <w:sz w:val="13"/>
                <w:szCs w:val="13"/>
                <w:color w:val="auto"/>
              </w:rPr>
            </w:pPr>
          </w:p>
        </w:tc>
        <w:tc>
          <w:tcPr>
            <w:tcW w:w="840" w:type="dxa"/>
            <w:vAlign w:val="bottom"/>
            <w:shd w:val="clear" w:color="auto" w:fill="E5F1F8"/>
          </w:tcPr>
          <w:p>
            <w:pPr>
              <w:spacing w:after="0"/>
              <w:rPr>
                <w:sz w:val="13"/>
                <w:szCs w:val="13"/>
                <w:color w:val="auto"/>
              </w:rPr>
            </w:pPr>
          </w:p>
        </w:tc>
        <w:tc>
          <w:tcPr>
            <w:tcW w:w="760" w:type="dxa"/>
            <w:vAlign w:val="bottom"/>
            <w:shd w:val="clear" w:color="auto" w:fill="E5F1F8"/>
          </w:tcPr>
          <w:p>
            <w:pPr>
              <w:spacing w:after="0"/>
              <w:rPr>
                <w:sz w:val="13"/>
                <w:szCs w:val="13"/>
                <w:color w:val="auto"/>
              </w:rPr>
            </w:pPr>
          </w:p>
        </w:tc>
        <w:tc>
          <w:tcPr>
            <w:tcW w:w="840" w:type="dxa"/>
            <w:vAlign w:val="bottom"/>
            <w:shd w:val="clear" w:color="auto" w:fill="E5F1F8"/>
          </w:tcPr>
          <w:p>
            <w:pPr>
              <w:spacing w:after="0"/>
              <w:rPr>
                <w:sz w:val="13"/>
                <w:szCs w:val="13"/>
                <w:color w:val="auto"/>
              </w:rPr>
            </w:pPr>
          </w:p>
        </w:tc>
        <w:tc>
          <w:tcPr>
            <w:tcW w:w="760" w:type="dxa"/>
            <w:vAlign w:val="bottom"/>
            <w:shd w:val="clear" w:color="auto" w:fill="E5F1F8"/>
          </w:tcPr>
          <w:p>
            <w:pPr>
              <w:spacing w:after="0"/>
              <w:rPr>
                <w:sz w:val="13"/>
                <w:szCs w:val="13"/>
                <w:color w:val="auto"/>
              </w:rPr>
            </w:pPr>
          </w:p>
        </w:tc>
        <w:tc>
          <w:tcPr>
            <w:tcW w:w="680" w:type="dxa"/>
            <w:vAlign w:val="bottom"/>
            <w:shd w:val="clear" w:color="auto" w:fill="E5F1F8"/>
          </w:tcPr>
          <w:p>
            <w:pPr>
              <w:spacing w:after="0"/>
              <w:rPr>
                <w:sz w:val="13"/>
                <w:szCs w:val="13"/>
                <w:color w:val="auto"/>
              </w:rPr>
            </w:pPr>
          </w:p>
        </w:tc>
        <w:tc>
          <w:tcPr>
            <w:tcW w:w="540" w:type="dxa"/>
            <w:vAlign w:val="bottom"/>
            <w:shd w:val="clear" w:color="auto" w:fill="E5F1F8"/>
          </w:tcPr>
          <w:p>
            <w:pPr>
              <w:spacing w:after="0"/>
              <w:rPr>
                <w:sz w:val="13"/>
                <w:szCs w:val="13"/>
                <w:color w:val="auto"/>
              </w:rPr>
            </w:pPr>
          </w:p>
        </w:tc>
        <w:tc>
          <w:tcPr>
            <w:tcW w:w="960" w:type="dxa"/>
            <w:vAlign w:val="bottom"/>
            <w:shd w:val="clear" w:color="auto" w:fill="E5F1F8"/>
          </w:tcPr>
          <w:p>
            <w:pPr>
              <w:spacing w:after="0"/>
              <w:rPr>
                <w:sz w:val="13"/>
                <w:szCs w:val="13"/>
                <w:color w:val="auto"/>
              </w:rPr>
            </w:pPr>
          </w:p>
        </w:tc>
      </w:tr>
    </w:tbl>
    <w:p>
      <w:pPr>
        <w:sectPr>
          <w:pgSz w:w="11900" w:h="16900" w:orient="portrait"/>
          <w:cols w:equalWidth="0" w:num="1">
            <w:col w:w="11240"/>
          </w:cols>
          <w:pgMar w:left="320" w:top="112" w:right="339" w:bottom="0" w:gutter="0" w:footer="0" w:header="0"/>
        </w:sectPr>
      </w:pPr>
    </w:p>
    <w:bookmarkStart w:id="145" w:name="page146"/>
    <w:bookmarkEnd w:id="145"/>
    <w:p>
      <w:pPr>
        <w:ind w:left="880"/>
        <w:spacing w:after="0"/>
        <w:rPr>
          <w:sz w:val="20"/>
          <w:szCs w:val="20"/>
          <w:color w:val="auto"/>
        </w:rPr>
      </w:pPr>
      <w:r>
        <w:rPr>
          <w:rFonts w:ascii="Calibri" w:cs="Calibri" w:eastAsia="Calibri" w:hAnsi="Calibri"/>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-81280</wp:posOffset>
            </wp:positionV>
            <wp:extent cx="7132320" cy="12001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8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93980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5" w:right="1440"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20"/>
        </w:trPr>
        <w:tc>
          <w:tcPr>
            <w:tcW w:w="1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center"/>
              <w:ind w:left="74"/>
              <w:spacing w:after="0"/>
              <w:rPr>
                <w:sz w:val="20"/>
                <w:szCs w:val="20"/>
                <w:color w:val="auto"/>
              </w:rPr>
            </w:pPr>
            <w:r>
              <w:rPr>
                <w:rFonts w:ascii="Calibri" w:cs="Calibri" w:eastAsia="Calibri" w:hAnsi="Calibri"/>
                <w:sz w:val="18"/>
                <w:szCs w:val="18"/>
                <w:color w:val="auto"/>
                <w:w w:val="97"/>
              </w:rPr>
              <w:t>Appendix 1</w:t>
            </w:r>
          </w:p>
        </w:tc>
      </w:tr>
      <w:tr>
        <w:trPr>
          <w:trHeight w:val="212"/>
        </w:trPr>
        <w:tc>
          <w:tcPr>
            <w:tcW w:w="16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Calibri" w:cs="Calibri" w:eastAsia="Calibri" w:hAnsi="Calibri"/>
                <w:sz w:val="17"/>
                <w:szCs w:val="17"/>
                <w:color w:val="auto"/>
              </w:rPr>
              <w:t>130212</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4"/>
        </w:trPr>
        <w:tc>
          <w:tcPr>
            <w:tcW w:w="1660" w:type="dxa"/>
            <w:vAlign w:val="bottom"/>
          </w:tcPr>
          <w:p>
            <w:pPr>
              <w:ind w:left="20"/>
              <w:spacing w:after="0" w:line="205" w:lineRule="exact"/>
              <w:rPr>
                <w:sz w:val="20"/>
                <w:szCs w:val="20"/>
                <w:color w:val="auto"/>
              </w:rPr>
            </w:pPr>
            <w:r>
              <w:rPr>
                <w:rFonts w:ascii="Calibri" w:cs="Calibri" w:eastAsia="Calibri" w:hAnsi="Calibri"/>
                <w:sz w:val="17"/>
                <w:szCs w:val="17"/>
                <w:color w:val="auto"/>
              </w:rPr>
              <w:t>Earlham Quarry</w:t>
            </w:r>
          </w:p>
        </w:tc>
        <w:tc>
          <w:tcPr>
            <w:tcW w:w="8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3</w:t>
            </w:r>
          </w:p>
        </w:tc>
        <w:tc>
          <w:tcPr>
            <w:tcW w:w="5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1</w:t>
            </w:r>
          </w:p>
        </w:tc>
        <w:tc>
          <w:tcPr>
            <w:tcW w:w="64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331</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660" w:type="dxa"/>
            <w:vAlign w:val="bottom"/>
            <w:shd w:val="clear" w:color="auto" w:fill="E5F1F8"/>
          </w:tcPr>
          <w:p>
            <w:pPr>
              <w:spacing w:after="0"/>
              <w:rPr>
                <w:sz w:val="16"/>
                <w:szCs w:val="16"/>
                <w:color w:val="auto"/>
              </w:rPr>
            </w:pPr>
          </w:p>
        </w:tc>
        <w:tc>
          <w:tcPr>
            <w:tcW w:w="800" w:type="dxa"/>
            <w:vAlign w:val="bottom"/>
            <w:shd w:val="clear" w:color="auto" w:fill="E5F1F8"/>
          </w:tcPr>
          <w:p>
            <w:pPr>
              <w:jc w:val="center"/>
              <w:spacing w:after="0" w:line="189" w:lineRule="exact"/>
              <w:rPr>
                <w:sz w:val="20"/>
                <w:szCs w:val="20"/>
                <w:color w:val="auto"/>
              </w:rPr>
            </w:pPr>
            <w:r>
              <w:rPr>
                <w:rFonts w:ascii="Calibri" w:cs="Calibri" w:eastAsia="Calibri" w:hAnsi="Calibri"/>
                <w:sz w:val="17"/>
                <w:szCs w:val="17"/>
                <w:color w:val="auto"/>
              </w:rPr>
              <w:t>210121</w:t>
            </w:r>
          </w:p>
        </w:tc>
        <w:tc>
          <w:tcPr>
            <w:tcW w:w="560" w:type="dxa"/>
            <w:vAlign w:val="bottom"/>
            <w:shd w:val="clear" w:color="auto" w:fill="E5F1F8"/>
          </w:tcPr>
          <w:p>
            <w:pPr>
              <w:spacing w:after="0"/>
              <w:rPr>
                <w:sz w:val="16"/>
                <w:szCs w:val="16"/>
                <w:color w:val="auto"/>
              </w:rPr>
            </w:pPr>
          </w:p>
        </w:tc>
        <w:tc>
          <w:tcPr>
            <w:tcW w:w="64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66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Elk River Wash Plant</w:t>
            </w:r>
          </w:p>
        </w:tc>
        <w:tc>
          <w:tcPr>
            <w:tcW w:w="8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8</w:t>
            </w:r>
          </w:p>
        </w:tc>
        <w:tc>
          <w:tcPr>
            <w:tcW w:w="5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0</w:t>
            </w:r>
          </w:p>
        </w:tc>
        <w:tc>
          <w:tcPr>
            <w:tcW w:w="64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660" w:type="dxa"/>
            <w:vAlign w:val="bottom"/>
          </w:tcPr>
          <w:p>
            <w:pPr>
              <w:spacing w:after="0"/>
              <w:rPr>
                <w:sz w:val="16"/>
                <w:szCs w:val="16"/>
                <w:color w:val="auto"/>
              </w:rPr>
            </w:pPr>
          </w:p>
        </w:tc>
        <w:tc>
          <w:tcPr>
            <w:tcW w:w="800" w:type="dxa"/>
            <w:vAlign w:val="bottom"/>
          </w:tcPr>
          <w:p>
            <w:pPr>
              <w:jc w:val="center"/>
              <w:spacing w:after="0" w:line="189" w:lineRule="exact"/>
              <w:rPr>
                <w:sz w:val="20"/>
                <w:szCs w:val="20"/>
                <w:color w:val="auto"/>
              </w:rPr>
            </w:pPr>
            <w:r>
              <w:rPr>
                <w:rFonts w:ascii="Calibri" w:cs="Calibri" w:eastAsia="Calibri" w:hAnsi="Calibri"/>
                <w:sz w:val="17"/>
                <w:szCs w:val="17"/>
                <w:color w:val="auto"/>
              </w:rPr>
              <w:t>330139</w:t>
            </w: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660" w:type="dxa"/>
            <w:vAlign w:val="bottom"/>
          </w:tcPr>
          <w:p>
            <w:pPr>
              <w:ind w:left="20"/>
              <w:spacing w:after="0" w:line="205" w:lineRule="exact"/>
              <w:rPr>
                <w:sz w:val="20"/>
                <w:szCs w:val="20"/>
                <w:color w:val="auto"/>
              </w:rPr>
            </w:pPr>
            <w:r>
              <w:rPr>
                <w:rFonts w:ascii="Calibri" w:cs="Calibri" w:eastAsia="Calibri" w:hAnsi="Calibri"/>
                <w:sz w:val="17"/>
                <w:szCs w:val="17"/>
                <w:color w:val="auto"/>
              </w:rPr>
              <w:t>Fairfeld Quarry</w:t>
            </w:r>
          </w:p>
        </w:tc>
        <w:tc>
          <w:tcPr>
            <w:tcW w:w="8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6</w:t>
            </w:r>
          </w:p>
        </w:tc>
        <w:tc>
          <w:tcPr>
            <w:tcW w:w="5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0</w:t>
            </w:r>
          </w:p>
        </w:tc>
        <w:tc>
          <w:tcPr>
            <w:tcW w:w="64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133</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660" w:type="dxa"/>
            <w:vAlign w:val="bottom"/>
            <w:shd w:val="clear" w:color="auto" w:fill="E5F1F8"/>
          </w:tcPr>
          <w:p>
            <w:pPr>
              <w:spacing w:after="0"/>
              <w:rPr>
                <w:sz w:val="16"/>
                <w:szCs w:val="16"/>
                <w:color w:val="auto"/>
              </w:rPr>
            </w:pPr>
          </w:p>
        </w:tc>
        <w:tc>
          <w:tcPr>
            <w:tcW w:w="800" w:type="dxa"/>
            <w:vAlign w:val="bottom"/>
            <w:shd w:val="clear" w:color="auto" w:fill="E5F1F8"/>
          </w:tcPr>
          <w:p>
            <w:pPr>
              <w:jc w:val="center"/>
              <w:spacing w:after="0" w:line="189" w:lineRule="exact"/>
              <w:rPr>
                <w:sz w:val="20"/>
                <w:szCs w:val="20"/>
                <w:color w:val="auto"/>
              </w:rPr>
            </w:pPr>
            <w:r>
              <w:rPr>
                <w:rFonts w:ascii="Calibri" w:cs="Calibri" w:eastAsia="Calibri" w:hAnsi="Calibri"/>
                <w:sz w:val="17"/>
                <w:szCs w:val="17"/>
                <w:color w:val="auto"/>
              </w:rPr>
              <w:t>130012</w:t>
            </w:r>
          </w:p>
        </w:tc>
        <w:tc>
          <w:tcPr>
            <w:tcW w:w="560" w:type="dxa"/>
            <w:vAlign w:val="bottom"/>
            <w:shd w:val="clear" w:color="auto" w:fill="E5F1F8"/>
          </w:tcPr>
          <w:p>
            <w:pPr>
              <w:spacing w:after="0"/>
              <w:rPr>
                <w:sz w:val="16"/>
                <w:szCs w:val="16"/>
                <w:color w:val="auto"/>
              </w:rPr>
            </w:pPr>
          </w:p>
        </w:tc>
        <w:tc>
          <w:tcPr>
            <w:tcW w:w="64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66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Ferguson Quarry</w:t>
            </w:r>
          </w:p>
        </w:tc>
        <w:tc>
          <w:tcPr>
            <w:tcW w:w="8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4</w:t>
            </w:r>
          </w:p>
        </w:tc>
        <w:tc>
          <w:tcPr>
            <w:tcW w:w="5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0</w:t>
            </w:r>
          </w:p>
        </w:tc>
        <w:tc>
          <w:tcPr>
            <w:tcW w:w="64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133</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660" w:type="dxa"/>
            <w:vAlign w:val="bottom"/>
          </w:tcPr>
          <w:p>
            <w:pPr>
              <w:spacing w:after="0"/>
              <w:rPr>
                <w:sz w:val="16"/>
                <w:szCs w:val="16"/>
                <w:color w:val="auto"/>
              </w:rPr>
            </w:pPr>
          </w:p>
        </w:tc>
        <w:tc>
          <w:tcPr>
            <w:tcW w:w="800" w:type="dxa"/>
            <w:vAlign w:val="bottom"/>
          </w:tcPr>
          <w:p>
            <w:pPr>
              <w:jc w:val="center"/>
              <w:spacing w:after="0" w:line="189" w:lineRule="exact"/>
              <w:rPr>
                <w:sz w:val="20"/>
                <w:szCs w:val="20"/>
                <w:color w:val="auto"/>
              </w:rPr>
            </w:pPr>
            <w:r>
              <w:rPr>
                <w:rFonts w:ascii="Calibri" w:cs="Calibri" w:eastAsia="Calibri" w:hAnsi="Calibri"/>
                <w:sz w:val="17"/>
                <w:szCs w:val="17"/>
                <w:color w:val="auto"/>
              </w:rPr>
              <w:t>250130</w:t>
            </w: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660" w:type="dxa"/>
            <w:vAlign w:val="bottom"/>
          </w:tcPr>
          <w:p>
            <w:pPr>
              <w:ind w:left="20"/>
              <w:spacing w:after="0" w:line="205" w:lineRule="exact"/>
              <w:rPr>
                <w:sz w:val="20"/>
                <w:szCs w:val="20"/>
                <w:color w:val="auto"/>
              </w:rPr>
            </w:pPr>
            <w:r>
              <w:rPr>
                <w:rFonts w:ascii="Calibri" w:cs="Calibri" w:eastAsia="Calibri" w:hAnsi="Calibri"/>
                <w:sz w:val="17"/>
                <w:szCs w:val="17"/>
                <w:color w:val="auto"/>
              </w:rPr>
              <w:t>Fort Calhoun Quarry</w:t>
            </w:r>
          </w:p>
        </w:tc>
        <w:tc>
          <w:tcPr>
            <w:tcW w:w="8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5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7</w:t>
            </w:r>
          </w:p>
        </w:tc>
        <w:tc>
          <w:tcPr>
            <w:tcW w:w="64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11,292</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1</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1</w:t>
            </w:r>
          </w:p>
        </w:tc>
      </w:tr>
      <w:tr>
        <w:trPr>
          <w:trHeight w:val="39"/>
        </w:trPr>
        <w:tc>
          <w:tcPr>
            <w:tcW w:w="1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660" w:type="dxa"/>
            <w:vAlign w:val="bottom"/>
            <w:shd w:val="clear" w:color="auto" w:fill="E5F1F8"/>
          </w:tcPr>
          <w:p>
            <w:pPr>
              <w:spacing w:after="0"/>
              <w:rPr>
                <w:sz w:val="16"/>
                <w:szCs w:val="16"/>
                <w:color w:val="auto"/>
              </w:rPr>
            </w:pPr>
          </w:p>
        </w:tc>
        <w:tc>
          <w:tcPr>
            <w:tcW w:w="800" w:type="dxa"/>
            <w:vAlign w:val="bottom"/>
            <w:shd w:val="clear" w:color="auto" w:fill="E5F1F8"/>
          </w:tcPr>
          <w:p>
            <w:pPr>
              <w:jc w:val="center"/>
              <w:spacing w:after="0" w:line="189" w:lineRule="exact"/>
              <w:rPr>
                <w:sz w:val="20"/>
                <w:szCs w:val="20"/>
                <w:color w:val="auto"/>
              </w:rPr>
            </w:pPr>
            <w:r>
              <w:rPr>
                <w:rFonts w:ascii="Calibri" w:cs="Calibri" w:eastAsia="Calibri" w:hAnsi="Calibri"/>
                <w:sz w:val="17"/>
                <w:szCs w:val="17"/>
                <w:color w:val="auto"/>
              </w:rPr>
              <w:t>130003</w:t>
            </w:r>
          </w:p>
        </w:tc>
        <w:tc>
          <w:tcPr>
            <w:tcW w:w="560" w:type="dxa"/>
            <w:vAlign w:val="bottom"/>
            <w:shd w:val="clear" w:color="auto" w:fill="E5F1F8"/>
          </w:tcPr>
          <w:p>
            <w:pPr>
              <w:spacing w:after="0"/>
              <w:rPr>
                <w:sz w:val="16"/>
                <w:szCs w:val="16"/>
                <w:color w:val="auto"/>
              </w:rPr>
            </w:pPr>
          </w:p>
        </w:tc>
        <w:tc>
          <w:tcPr>
            <w:tcW w:w="64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66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Fort Dodge Mine</w:t>
            </w:r>
          </w:p>
        </w:tc>
        <w:tc>
          <w:tcPr>
            <w:tcW w:w="8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2</w:t>
            </w:r>
          </w:p>
        </w:tc>
        <w:tc>
          <w:tcPr>
            <w:tcW w:w="5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1</w:t>
            </w:r>
          </w:p>
        </w:tc>
        <w:tc>
          <w:tcPr>
            <w:tcW w:w="64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1</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2,150</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660" w:type="dxa"/>
            <w:vAlign w:val="bottom"/>
          </w:tcPr>
          <w:p>
            <w:pPr>
              <w:ind w:left="20"/>
              <w:spacing w:after="0" w:line="189" w:lineRule="exact"/>
              <w:rPr>
                <w:sz w:val="20"/>
                <w:szCs w:val="20"/>
                <w:color w:val="auto"/>
              </w:rPr>
            </w:pPr>
            <w:r>
              <w:rPr>
                <w:rFonts w:ascii="Calibri" w:cs="Calibri" w:eastAsia="Calibri" w:hAnsi="Calibri"/>
                <w:sz w:val="17"/>
                <w:szCs w:val="17"/>
                <w:color w:val="auto"/>
              </w:rPr>
              <w:t>Greenwood Quarry</w:t>
            </w:r>
          </w:p>
        </w:tc>
        <w:tc>
          <w:tcPr>
            <w:tcW w:w="800" w:type="dxa"/>
            <w:vAlign w:val="bottom"/>
          </w:tcPr>
          <w:p>
            <w:pPr>
              <w:jc w:val="center"/>
              <w:spacing w:after="0" w:line="189" w:lineRule="exact"/>
              <w:rPr>
                <w:sz w:val="20"/>
                <w:szCs w:val="20"/>
                <w:color w:val="auto"/>
              </w:rPr>
            </w:pPr>
            <w:r>
              <w:rPr>
                <w:rFonts w:ascii="Calibri" w:cs="Calibri" w:eastAsia="Calibri" w:hAnsi="Calibri"/>
                <w:sz w:val="17"/>
                <w:szCs w:val="17"/>
                <w:color w:val="auto"/>
              </w:rPr>
              <w:t>230014</w:t>
            </w: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660" w:type="dxa"/>
            <w:vAlign w:val="bottom"/>
          </w:tcPr>
          <w:p>
            <w:pPr>
              <w:ind w:left="20"/>
              <w:spacing w:after="0" w:line="205" w:lineRule="exact"/>
              <w:rPr>
                <w:sz w:val="20"/>
                <w:szCs w:val="20"/>
                <w:color w:val="auto"/>
              </w:rPr>
            </w:pPr>
            <w:r>
              <w:rPr>
                <w:rFonts w:ascii="Calibri" w:cs="Calibri" w:eastAsia="Calibri" w:hAnsi="Calibri"/>
                <w:sz w:val="17"/>
                <w:szCs w:val="17"/>
                <w:color w:val="auto"/>
              </w:rPr>
              <w:t>New</w:t>
            </w:r>
          </w:p>
        </w:tc>
        <w:tc>
          <w:tcPr>
            <w:tcW w:w="8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1</w:t>
            </w:r>
          </w:p>
        </w:tc>
        <w:tc>
          <w:tcPr>
            <w:tcW w:w="5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0</w:t>
            </w:r>
          </w:p>
        </w:tc>
        <w:tc>
          <w:tcPr>
            <w:tcW w:w="64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562</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660" w:type="dxa"/>
            <w:vAlign w:val="bottom"/>
            <w:shd w:val="clear" w:color="auto" w:fill="E5F1F8"/>
          </w:tcPr>
          <w:p>
            <w:pPr>
              <w:spacing w:after="0"/>
              <w:rPr>
                <w:sz w:val="16"/>
                <w:szCs w:val="16"/>
                <w:color w:val="auto"/>
              </w:rPr>
            </w:pPr>
          </w:p>
        </w:tc>
        <w:tc>
          <w:tcPr>
            <w:tcW w:w="800" w:type="dxa"/>
            <w:vAlign w:val="bottom"/>
            <w:shd w:val="clear" w:color="auto" w:fill="E5F1F8"/>
          </w:tcPr>
          <w:p>
            <w:pPr>
              <w:jc w:val="center"/>
              <w:spacing w:after="0" w:line="189" w:lineRule="exact"/>
              <w:rPr>
                <w:sz w:val="20"/>
                <w:szCs w:val="20"/>
                <w:color w:val="auto"/>
              </w:rPr>
            </w:pPr>
            <w:r>
              <w:rPr>
                <w:rFonts w:ascii="Calibri" w:cs="Calibri" w:eastAsia="Calibri" w:hAnsi="Calibri"/>
                <w:sz w:val="17"/>
                <w:szCs w:val="17"/>
                <w:color w:val="auto"/>
              </w:rPr>
              <w:t>150007</w:t>
            </w:r>
          </w:p>
        </w:tc>
        <w:tc>
          <w:tcPr>
            <w:tcW w:w="560" w:type="dxa"/>
            <w:vAlign w:val="bottom"/>
            <w:shd w:val="clear" w:color="auto" w:fill="E5F1F8"/>
          </w:tcPr>
          <w:p>
            <w:pPr>
              <w:spacing w:after="0"/>
              <w:rPr>
                <w:sz w:val="16"/>
                <w:szCs w:val="16"/>
                <w:color w:val="auto"/>
              </w:rPr>
            </w:pPr>
          </w:p>
        </w:tc>
        <w:tc>
          <w:tcPr>
            <w:tcW w:w="64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66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Harlan Quarry</w:t>
            </w:r>
          </w:p>
        </w:tc>
        <w:tc>
          <w:tcPr>
            <w:tcW w:w="8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1</w:t>
            </w:r>
          </w:p>
        </w:tc>
        <w:tc>
          <w:tcPr>
            <w:tcW w:w="5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0</w:t>
            </w:r>
          </w:p>
        </w:tc>
        <w:tc>
          <w:tcPr>
            <w:tcW w:w="64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660" w:type="dxa"/>
            <w:vAlign w:val="bottom"/>
          </w:tcPr>
          <w:p>
            <w:pPr>
              <w:spacing w:after="0"/>
              <w:rPr>
                <w:sz w:val="16"/>
                <w:szCs w:val="16"/>
                <w:color w:val="auto"/>
              </w:rPr>
            </w:pPr>
          </w:p>
        </w:tc>
        <w:tc>
          <w:tcPr>
            <w:tcW w:w="800" w:type="dxa"/>
            <w:vAlign w:val="bottom"/>
          </w:tcPr>
          <w:p>
            <w:pPr>
              <w:jc w:val="center"/>
              <w:spacing w:after="0" w:line="189" w:lineRule="exact"/>
              <w:rPr>
                <w:sz w:val="20"/>
                <w:szCs w:val="20"/>
                <w:color w:val="auto"/>
              </w:rPr>
            </w:pPr>
            <w:r>
              <w:rPr>
                <w:rFonts w:ascii="Calibri" w:cs="Calibri" w:eastAsia="Calibri" w:hAnsi="Calibri"/>
                <w:sz w:val="17"/>
                <w:szCs w:val="17"/>
                <w:color w:val="auto"/>
              </w:rPr>
              <w:t>150009</w:t>
            </w: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660" w:type="dxa"/>
            <w:vAlign w:val="bottom"/>
          </w:tcPr>
          <w:p>
            <w:pPr>
              <w:ind w:left="20"/>
              <w:spacing w:after="0" w:line="205" w:lineRule="exact"/>
              <w:rPr>
                <w:sz w:val="20"/>
                <w:szCs w:val="20"/>
                <w:color w:val="auto"/>
              </w:rPr>
            </w:pPr>
            <w:r>
              <w:rPr>
                <w:rFonts w:ascii="Calibri" w:cs="Calibri" w:eastAsia="Calibri" w:hAnsi="Calibri"/>
                <w:sz w:val="17"/>
                <w:szCs w:val="17"/>
                <w:color w:val="auto"/>
              </w:rPr>
              <w:t>Hartord Quarry</w:t>
            </w:r>
          </w:p>
        </w:tc>
        <w:tc>
          <w:tcPr>
            <w:tcW w:w="8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5</w:t>
            </w:r>
          </w:p>
        </w:tc>
        <w:tc>
          <w:tcPr>
            <w:tcW w:w="5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0</w:t>
            </w:r>
          </w:p>
        </w:tc>
        <w:tc>
          <w:tcPr>
            <w:tcW w:w="64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399</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660" w:type="dxa"/>
            <w:vAlign w:val="bottom"/>
            <w:shd w:val="clear" w:color="auto" w:fill="E5F1F8"/>
          </w:tcPr>
          <w:p>
            <w:pPr>
              <w:spacing w:after="0"/>
              <w:rPr>
                <w:sz w:val="16"/>
                <w:szCs w:val="16"/>
                <w:color w:val="auto"/>
              </w:rPr>
            </w:pPr>
          </w:p>
        </w:tc>
        <w:tc>
          <w:tcPr>
            <w:tcW w:w="800" w:type="dxa"/>
            <w:vAlign w:val="bottom"/>
            <w:shd w:val="clear" w:color="auto" w:fill="E5F1F8"/>
          </w:tcPr>
          <w:p>
            <w:pPr>
              <w:jc w:val="center"/>
              <w:spacing w:after="0" w:line="189" w:lineRule="exact"/>
              <w:rPr>
                <w:sz w:val="20"/>
                <w:szCs w:val="20"/>
                <w:color w:val="auto"/>
              </w:rPr>
            </w:pPr>
            <w:r>
              <w:rPr>
                <w:rFonts w:ascii="Calibri" w:cs="Calibri" w:eastAsia="Calibri" w:hAnsi="Calibri"/>
                <w:sz w:val="17"/>
                <w:szCs w:val="17"/>
                <w:color w:val="auto"/>
              </w:rPr>
              <w:t>130212</w:t>
            </w:r>
          </w:p>
        </w:tc>
        <w:tc>
          <w:tcPr>
            <w:tcW w:w="560" w:type="dxa"/>
            <w:vAlign w:val="bottom"/>
            <w:shd w:val="clear" w:color="auto" w:fill="E5F1F8"/>
          </w:tcPr>
          <w:p>
            <w:pPr>
              <w:spacing w:after="0"/>
              <w:rPr>
                <w:sz w:val="16"/>
                <w:szCs w:val="16"/>
                <w:color w:val="auto"/>
              </w:rPr>
            </w:pPr>
          </w:p>
        </w:tc>
        <w:tc>
          <w:tcPr>
            <w:tcW w:w="64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66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Inactve Iowa Grading</w:t>
            </w:r>
          </w:p>
        </w:tc>
        <w:tc>
          <w:tcPr>
            <w:tcW w:w="8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6</w:t>
            </w:r>
          </w:p>
        </w:tc>
        <w:tc>
          <w:tcPr>
            <w:tcW w:w="5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0</w:t>
            </w:r>
          </w:p>
        </w:tc>
        <w:tc>
          <w:tcPr>
            <w:tcW w:w="64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660" w:type="dxa"/>
            <w:vAlign w:val="bottom"/>
          </w:tcPr>
          <w:p>
            <w:pPr>
              <w:spacing w:after="0"/>
              <w:rPr>
                <w:sz w:val="16"/>
                <w:szCs w:val="16"/>
                <w:color w:val="auto"/>
              </w:rPr>
            </w:pPr>
          </w:p>
        </w:tc>
        <w:tc>
          <w:tcPr>
            <w:tcW w:w="800" w:type="dxa"/>
            <w:vAlign w:val="bottom"/>
          </w:tcPr>
          <w:p>
            <w:pPr>
              <w:jc w:val="center"/>
              <w:spacing w:after="0" w:line="189" w:lineRule="exact"/>
              <w:rPr>
                <w:sz w:val="20"/>
                <w:szCs w:val="20"/>
                <w:color w:val="auto"/>
              </w:rPr>
            </w:pPr>
            <w:r>
              <w:rPr>
                <w:rFonts w:ascii="Calibri" w:cs="Calibri" w:eastAsia="Calibri" w:hAnsi="Calibri"/>
                <w:sz w:val="17"/>
                <w:szCs w:val="17"/>
                <w:color w:val="auto"/>
              </w:rPr>
              <w:t>130231</w:t>
            </w: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660" w:type="dxa"/>
            <w:vAlign w:val="bottom"/>
          </w:tcPr>
          <w:p>
            <w:pPr>
              <w:ind w:left="20"/>
              <w:spacing w:after="0" w:line="205" w:lineRule="exact"/>
              <w:rPr>
                <w:sz w:val="20"/>
                <w:szCs w:val="20"/>
                <w:color w:val="auto"/>
              </w:rPr>
            </w:pPr>
            <w:r>
              <w:rPr>
                <w:rFonts w:ascii="Calibri" w:cs="Calibri" w:eastAsia="Calibri" w:hAnsi="Calibri"/>
                <w:sz w:val="17"/>
                <w:szCs w:val="17"/>
                <w:color w:val="auto"/>
              </w:rPr>
              <w:t>Iowa Grading</w:t>
            </w:r>
          </w:p>
        </w:tc>
        <w:tc>
          <w:tcPr>
            <w:tcW w:w="8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6</w:t>
            </w:r>
          </w:p>
        </w:tc>
        <w:tc>
          <w:tcPr>
            <w:tcW w:w="5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0</w:t>
            </w:r>
          </w:p>
        </w:tc>
        <w:tc>
          <w:tcPr>
            <w:tcW w:w="64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2460" w:type="dxa"/>
            <w:vAlign w:val="bottom"/>
            <w:gridSpan w:val="2"/>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2460" w:type="dxa"/>
            <w:vAlign w:val="bottom"/>
            <w:gridSpan w:val="2"/>
            <w:shd w:val="clear" w:color="auto" w:fill="E5F1F8"/>
          </w:tcPr>
          <w:p>
            <w:pPr>
              <w:ind w:left="20"/>
              <w:spacing w:after="0" w:line="189" w:lineRule="exact"/>
              <w:rPr>
                <w:sz w:val="20"/>
                <w:szCs w:val="20"/>
                <w:color w:val="auto"/>
              </w:rPr>
            </w:pPr>
            <w:r>
              <w:rPr>
                <w:rFonts w:ascii="Calibri" w:cs="Calibri" w:eastAsia="Calibri" w:hAnsi="Calibri"/>
                <w:sz w:val="17"/>
                <w:szCs w:val="17"/>
                <w:color w:val="auto"/>
              </w:rPr>
              <w:t>Johnson County Sand &amp; 120250</w:t>
            </w:r>
          </w:p>
        </w:tc>
        <w:tc>
          <w:tcPr>
            <w:tcW w:w="560" w:type="dxa"/>
            <w:vAlign w:val="bottom"/>
            <w:shd w:val="clear" w:color="auto" w:fill="E5F1F8"/>
          </w:tcPr>
          <w:p>
            <w:pPr>
              <w:spacing w:after="0"/>
              <w:rPr>
                <w:sz w:val="16"/>
                <w:szCs w:val="16"/>
                <w:color w:val="auto"/>
              </w:rPr>
            </w:pPr>
          </w:p>
        </w:tc>
        <w:tc>
          <w:tcPr>
            <w:tcW w:w="64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66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Gravel</w:t>
            </w:r>
          </w:p>
        </w:tc>
        <w:tc>
          <w:tcPr>
            <w:tcW w:w="8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6</w:t>
            </w:r>
          </w:p>
        </w:tc>
        <w:tc>
          <w:tcPr>
            <w:tcW w:w="5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0</w:t>
            </w:r>
          </w:p>
        </w:tc>
        <w:tc>
          <w:tcPr>
            <w:tcW w:w="64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660" w:type="dxa"/>
            <w:vAlign w:val="bottom"/>
          </w:tcPr>
          <w:p>
            <w:pPr>
              <w:spacing w:after="0"/>
              <w:rPr>
                <w:sz w:val="16"/>
                <w:szCs w:val="16"/>
                <w:color w:val="auto"/>
              </w:rPr>
            </w:pPr>
          </w:p>
        </w:tc>
        <w:tc>
          <w:tcPr>
            <w:tcW w:w="800" w:type="dxa"/>
            <w:vAlign w:val="bottom"/>
          </w:tcPr>
          <w:p>
            <w:pPr>
              <w:jc w:val="center"/>
              <w:spacing w:after="0" w:line="189" w:lineRule="exact"/>
              <w:rPr>
                <w:sz w:val="20"/>
                <w:szCs w:val="20"/>
                <w:color w:val="auto"/>
              </w:rPr>
            </w:pPr>
            <w:r>
              <w:rPr>
                <w:rFonts w:ascii="Calibri" w:cs="Calibri" w:eastAsia="Calibri" w:hAnsi="Calibri"/>
                <w:sz w:val="17"/>
                <w:szCs w:val="17"/>
                <w:color w:val="auto"/>
              </w:rPr>
              <w:t>120176</w:t>
            </w: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660" w:type="dxa"/>
            <w:vAlign w:val="bottom"/>
          </w:tcPr>
          <w:p>
            <w:pPr>
              <w:ind w:left="20"/>
              <w:spacing w:after="0" w:line="205" w:lineRule="exact"/>
              <w:rPr>
                <w:sz w:val="20"/>
                <w:szCs w:val="20"/>
                <w:color w:val="auto"/>
              </w:rPr>
            </w:pPr>
            <w:r>
              <w:rPr>
                <w:rFonts w:ascii="Calibri" w:cs="Calibri" w:eastAsia="Calibri" w:hAnsi="Calibri"/>
                <w:sz w:val="17"/>
                <w:szCs w:val="17"/>
                <w:color w:val="auto"/>
              </w:rPr>
              <w:t>Kentucky Ave Mine</w:t>
            </w:r>
          </w:p>
        </w:tc>
        <w:tc>
          <w:tcPr>
            <w:tcW w:w="8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2</w:t>
            </w:r>
          </w:p>
        </w:tc>
        <w:tc>
          <w:tcPr>
            <w:tcW w:w="560" w:type="dxa"/>
            <w:vAlign w:val="bottom"/>
          </w:tcPr>
          <w:p>
            <w:pPr>
              <w:jc w:val="center"/>
              <w:ind w:right="15"/>
              <w:spacing w:after="0" w:line="205" w:lineRule="exact"/>
              <w:rPr>
                <w:sz w:val="20"/>
                <w:szCs w:val="20"/>
                <w:color w:val="auto"/>
              </w:rPr>
            </w:pPr>
            <w:r>
              <w:rPr>
                <w:rFonts w:ascii="Calibri" w:cs="Calibri" w:eastAsia="Calibri" w:hAnsi="Calibri"/>
                <w:sz w:val="17"/>
                <w:szCs w:val="17"/>
                <w:color w:val="auto"/>
              </w:rPr>
              <w:t>19</w:t>
            </w:r>
          </w:p>
        </w:tc>
        <w:tc>
          <w:tcPr>
            <w:tcW w:w="64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28,854</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2</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2</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660" w:type="dxa"/>
            <w:vAlign w:val="bottom"/>
            <w:shd w:val="clear" w:color="auto" w:fill="E5F1F8"/>
          </w:tcPr>
          <w:p>
            <w:pPr>
              <w:spacing w:after="0"/>
              <w:rPr>
                <w:sz w:val="16"/>
                <w:szCs w:val="16"/>
                <w:color w:val="auto"/>
              </w:rPr>
            </w:pPr>
          </w:p>
        </w:tc>
        <w:tc>
          <w:tcPr>
            <w:tcW w:w="800" w:type="dxa"/>
            <w:vAlign w:val="bottom"/>
            <w:shd w:val="clear" w:color="auto" w:fill="E5F1F8"/>
          </w:tcPr>
          <w:p>
            <w:pPr>
              <w:jc w:val="center"/>
              <w:spacing w:after="0" w:line="189" w:lineRule="exact"/>
              <w:rPr>
                <w:sz w:val="20"/>
                <w:szCs w:val="20"/>
                <w:color w:val="auto"/>
              </w:rPr>
            </w:pPr>
            <w:r>
              <w:rPr>
                <w:rFonts w:ascii="Calibri" w:cs="Calibri" w:eastAsia="Calibri" w:hAnsi="Calibri"/>
                <w:sz w:val="17"/>
                <w:szCs w:val="17"/>
                <w:color w:val="auto"/>
              </w:rPr>
              <w:t>120210</w:t>
            </w:r>
          </w:p>
        </w:tc>
        <w:tc>
          <w:tcPr>
            <w:tcW w:w="560" w:type="dxa"/>
            <w:vAlign w:val="bottom"/>
            <w:shd w:val="clear" w:color="auto" w:fill="E5F1F8"/>
          </w:tcPr>
          <w:p>
            <w:pPr>
              <w:spacing w:after="0"/>
              <w:rPr>
                <w:sz w:val="16"/>
                <w:szCs w:val="16"/>
                <w:color w:val="auto"/>
              </w:rPr>
            </w:pPr>
          </w:p>
        </w:tc>
        <w:tc>
          <w:tcPr>
            <w:tcW w:w="64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66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Kokomo Mine</w:t>
            </w:r>
          </w:p>
        </w:tc>
        <w:tc>
          <w:tcPr>
            <w:tcW w:w="8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5</w:t>
            </w:r>
          </w:p>
        </w:tc>
        <w:tc>
          <w:tcPr>
            <w:tcW w:w="5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0</w:t>
            </w:r>
          </w:p>
        </w:tc>
        <w:tc>
          <w:tcPr>
            <w:tcW w:w="64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266</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660" w:type="dxa"/>
            <w:vAlign w:val="bottom"/>
          </w:tcPr>
          <w:p>
            <w:pPr>
              <w:spacing w:after="0"/>
              <w:rPr>
                <w:sz w:val="16"/>
                <w:szCs w:val="16"/>
                <w:color w:val="auto"/>
              </w:rPr>
            </w:pPr>
          </w:p>
        </w:tc>
        <w:tc>
          <w:tcPr>
            <w:tcW w:w="800" w:type="dxa"/>
            <w:vAlign w:val="bottom"/>
          </w:tcPr>
          <w:p>
            <w:pPr>
              <w:jc w:val="center"/>
              <w:spacing w:after="0" w:line="189" w:lineRule="exact"/>
              <w:rPr>
                <w:sz w:val="20"/>
                <w:szCs w:val="20"/>
                <w:color w:val="auto"/>
              </w:rPr>
            </w:pPr>
            <w:r>
              <w:rPr>
                <w:rFonts w:ascii="Calibri" w:cs="Calibri" w:eastAsia="Calibri" w:hAnsi="Calibri"/>
                <w:sz w:val="17"/>
                <w:szCs w:val="17"/>
                <w:color w:val="auto"/>
              </w:rPr>
              <w:t>120220</w:t>
            </w: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660" w:type="dxa"/>
            <w:vAlign w:val="bottom"/>
          </w:tcPr>
          <w:p>
            <w:pPr>
              <w:ind w:left="20"/>
              <w:spacing w:after="0" w:line="205" w:lineRule="exact"/>
              <w:rPr>
                <w:sz w:val="20"/>
                <w:szCs w:val="20"/>
                <w:color w:val="auto"/>
              </w:rPr>
            </w:pPr>
            <w:r>
              <w:rPr>
                <w:rFonts w:ascii="Calibri" w:cs="Calibri" w:eastAsia="Calibri" w:hAnsi="Calibri"/>
                <w:sz w:val="17"/>
                <w:szCs w:val="17"/>
                <w:color w:val="auto"/>
              </w:rPr>
              <w:t>Kokomo Sand</w:t>
            </w:r>
          </w:p>
        </w:tc>
        <w:tc>
          <w:tcPr>
            <w:tcW w:w="8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3</w:t>
            </w:r>
          </w:p>
        </w:tc>
        <w:tc>
          <w:tcPr>
            <w:tcW w:w="5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1</w:t>
            </w:r>
          </w:p>
        </w:tc>
        <w:tc>
          <w:tcPr>
            <w:tcW w:w="64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973</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1</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1</w:t>
            </w:r>
          </w:p>
        </w:tc>
      </w:tr>
      <w:tr>
        <w:trPr>
          <w:trHeight w:val="39"/>
        </w:trPr>
        <w:tc>
          <w:tcPr>
            <w:tcW w:w="1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660" w:type="dxa"/>
            <w:vAlign w:val="bottom"/>
            <w:shd w:val="clear" w:color="auto" w:fill="E5F1F8"/>
          </w:tcPr>
          <w:p>
            <w:pPr>
              <w:spacing w:after="0"/>
              <w:rPr>
                <w:sz w:val="16"/>
                <w:szCs w:val="16"/>
                <w:color w:val="auto"/>
              </w:rPr>
            </w:pPr>
          </w:p>
        </w:tc>
        <w:tc>
          <w:tcPr>
            <w:tcW w:w="800" w:type="dxa"/>
            <w:vAlign w:val="bottom"/>
            <w:shd w:val="clear" w:color="auto" w:fill="E5F1F8"/>
          </w:tcPr>
          <w:p>
            <w:pPr>
              <w:jc w:val="center"/>
              <w:spacing w:after="0" w:line="189" w:lineRule="exact"/>
              <w:rPr>
                <w:sz w:val="20"/>
                <w:szCs w:val="20"/>
                <w:color w:val="auto"/>
              </w:rPr>
            </w:pPr>
            <w:r>
              <w:rPr>
                <w:rFonts w:ascii="Calibri" w:cs="Calibri" w:eastAsia="Calibri" w:hAnsi="Calibri"/>
                <w:sz w:val="17"/>
                <w:szCs w:val="17"/>
                <w:color w:val="auto"/>
              </w:rPr>
              <w:t>120014</w:t>
            </w:r>
          </w:p>
        </w:tc>
        <w:tc>
          <w:tcPr>
            <w:tcW w:w="560" w:type="dxa"/>
            <w:vAlign w:val="bottom"/>
            <w:shd w:val="clear" w:color="auto" w:fill="E5F1F8"/>
          </w:tcPr>
          <w:p>
            <w:pPr>
              <w:spacing w:after="0"/>
              <w:rPr>
                <w:sz w:val="16"/>
                <w:szCs w:val="16"/>
                <w:color w:val="auto"/>
              </w:rPr>
            </w:pPr>
          </w:p>
        </w:tc>
        <w:tc>
          <w:tcPr>
            <w:tcW w:w="64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66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Kokomo Stone</w:t>
            </w:r>
          </w:p>
        </w:tc>
        <w:tc>
          <w:tcPr>
            <w:tcW w:w="8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2</w:t>
            </w:r>
          </w:p>
        </w:tc>
        <w:tc>
          <w:tcPr>
            <w:tcW w:w="5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1</w:t>
            </w:r>
          </w:p>
        </w:tc>
        <w:tc>
          <w:tcPr>
            <w:tcW w:w="64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784</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1</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1</w:t>
            </w:r>
          </w:p>
        </w:tc>
      </w:tr>
      <w:tr>
        <w:trPr>
          <w:trHeight w:val="189"/>
        </w:trPr>
        <w:tc>
          <w:tcPr>
            <w:tcW w:w="1660" w:type="dxa"/>
            <w:vAlign w:val="bottom"/>
          </w:tcPr>
          <w:p>
            <w:pPr>
              <w:spacing w:after="0"/>
              <w:rPr>
                <w:sz w:val="16"/>
                <w:szCs w:val="16"/>
                <w:color w:val="auto"/>
              </w:rPr>
            </w:pPr>
          </w:p>
        </w:tc>
        <w:tc>
          <w:tcPr>
            <w:tcW w:w="800" w:type="dxa"/>
            <w:vAlign w:val="bottom"/>
          </w:tcPr>
          <w:p>
            <w:pPr>
              <w:jc w:val="center"/>
              <w:spacing w:after="0" w:line="189" w:lineRule="exact"/>
              <w:rPr>
                <w:sz w:val="20"/>
                <w:szCs w:val="20"/>
                <w:color w:val="auto"/>
              </w:rPr>
            </w:pPr>
            <w:r>
              <w:rPr>
                <w:rFonts w:ascii="Calibri" w:cs="Calibri" w:eastAsia="Calibri" w:hAnsi="Calibri"/>
                <w:sz w:val="17"/>
                <w:szCs w:val="17"/>
                <w:color w:val="auto"/>
              </w:rPr>
              <w:t>130220</w:t>
            </w: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660" w:type="dxa"/>
            <w:vAlign w:val="bottom"/>
          </w:tcPr>
          <w:p>
            <w:pPr>
              <w:ind w:left="20"/>
              <w:spacing w:after="0" w:line="205" w:lineRule="exact"/>
              <w:rPr>
                <w:sz w:val="20"/>
                <w:szCs w:val="20"/>
                <w:color w:val="auto"/>
              </w:rPr>
            </w:pPr>
            <w:r>
              <w:rPr>
                <w:rFonts w:ascii="Calibri" w:cs="Calibri" w:eastAsia="Calibri" w:hAnsi="Calibri"/>
                <w:sz w:val="17"/>
                <w:szCs w:val="17"/>
                <w:color w:val="auto"/>
              </w:rPr>
              <w:t>Linn County Sand</w:t>
            </w:r>
          </w:p>
        </w:tc>
        <w:tc>
          <w:tcPr>
            <w:tcW w:w="8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8</w:t>
            </w:r>
          </w:p>
        </w:tc>
        <w:tc>
          <w:tcPr>
            <w:tcW w:w="5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0</w:t>
            </w:r>
          </w:p>
        </w:tc>
        <w:tc>
          <w:tcPr>
            <w:tcW w:w="64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660" w:type="dxa"/>
            <w:vAlign w:val="bottom"/>
            <w:shd w:val="clear" w:color="auto" w:fill="E5F1F8"/>
          </w:tcPr>
          <w:p>
            <w:pPr>
              <w:spacing w:after="0"/>
              <w:rPr>
                <w:sz w:val="16"/>
                <w:szCs w:val="16"/>
                <w:color w:val="auto"/>
              </w:rPr>
            </w:pPr>
          </w:p>
        </w:tc>
        <w:tc>
          <w:tcPr>
            <w:tcW w:w="800" w:type="dxa"/>
            <w:vAlign w:val="bottom"/>
            <w:shd w:val="clear" w:color="auto" w:fill="E5F1F8"/>
          </w:tcPr>
          <w:p>
            <w:pPr>
              <w:jc w:val="center"/>
              <w:spacing w:after="0" w:line="189" w:lineRule="exact"/>
              <w:rPr>
                <w:sz w:val="20"/>
                <w:szCs w:val="20"/>
                <w:color w:val="auto"/>
              </w:rPr>
            </w:pPr>
            <w:r>
              <w:rPr>
                <w:rFonts w:ascii="Calibri" w:cs="Calibri" w:eastAsia="Calibri" w:hAnsi="Calibri"/>
                <w:sz w:val="17"/>
                <w:szCs w:val="17"/>
                <w:color w:val="auto"/>
              </w:rPr>
              <w:t>130011</w:t>
            </w:r>
          </w:p>
        </w:tc>
        <w:tc>
          <w:tcPr>
            <w:tcW w:w="560" w:type="dxa"/>
            <w:vAlign w:val="bottom"/>
            <w:shd w:val="clear" w:color="auto" w:fill="E5F1F8"/>
          </w:tcPr>
          <w:p>
            <w:pPr>
              <w:spacing w:after="0"/>
              <w:rPr>
                <w:sz w:val="16"/>
                <w:szCs w:val="16"/>
                <w:color w:val="auto"/>
              </w:rPr>
            </w:pPr>
          </w:p>
        </w:tc>
        <w:tc>
          <w:tcPr>
            <w:tcW w:w="64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66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Malcom Mine</w:t>
            </w:r>
          </w:p>
        </w:tc>
        <w:tc>
          <w:tcPr>
            <w:tcW w:w="8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2</w:t>
            </w:r>
          </w:p>
        </w:tc>
        <w:tc>
          <w:tcPr>
            <w:tcW w:w="5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1</w:t>
            </w:r>
          </w:p>
        </w:tc>
        <w:tc>
          <w:tcPr>
            <w:tcW w:w="64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3,455</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660" w:type="dxa"/>
            <w:vAlign w:val="bottom"/>
          </w:tcPr>
          <w:p>
            <w:pPr>
              <w:spacing w:after="0"/>
              <w:rPr>
                <w:sz w:val="16"/>
                <w:szCs w:val="16"/>
                <w:color w:val="auto"/>
              </w:rPr>
            </w:pPr>
          </w:p>
        </w:tc>
        <w:tc>
          <w:tcPr>
            <w:tcW w:w="800" w:type="dxa"/>
            <w:vAlign w:val="bottom"/>
          </w:tcPr>
          <w:p>
            <w:pPr>
              <w:jc w:val="center"/>
              <w:spacing w:after="0" w:line="189" w:lineRule="exact"/>
              <w:rPr>
                <w:sz w:val="20"/>
                <w:szCs w:val="20"/>
                <w:color w:val="auto"/>
              </w:rPr>
            </w:pPr>
            <w:r>
              <w:rPr>
                <w:rFonts w:ascii="Calibri" w:cs="Calibri" w:eastAsia="Calibri" w:hAnsi="Calibri"/>
                <w:sz w:val="17"/>
                <w:szCs w:val="17"/>
                <w:color w:val="auto"/>
              </w:rPr>
              <w:t>130071</w:t>
            </w: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660" w:type="dxa"/>
            <w:vAlign w:val="bottom"/>
          </w:tcPr>
          <w:p>
            <w:pPr>
              <w:ind w:left="20"/>
              <w:spacing w:after="0" w:line="205" w:lineRule="exact"/>
              <w:rPr>
                <w:sz w:val="20"/>
                <w:szCs w:val="20"/>
                <w:color w:val="auto"/>
              </w:rPr>
            </w:pPr>
            <w:r>
              <w:rPr>
                <w:rFonts w:ascii="Calibri" w:cs="Calibri" w:eastAsia="Calibri" w:hAnsi="Calibri"/>
                <w:sz w:val="17"/>
                <w:szCs w:val="17"/>
                <w:color w:val="auto"/>
              </w:rPr>
              <w:t>Marshalltown Sand</w:t>
            </w:r>
          </w:p>
        </w:tc>
        <w:tc>
          <w:tcPr>
            <w:tcW w:w="8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8</w:t>
            </w:r>
          </w:p>
        </w:tc>
        <w:tc>
          <w:tcPr>
            <w:tcW w:w="5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0</w:t>
            </w:r>
          </w:p>
        </w:tc>
        <w:tc>
          <w:tcPr>
            <w:tcW w:w="64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9"/>
        </w:trPr>
        <w:tc>
          <w:tcPr>
            <w:tcW w:w="166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Midwest Division OH</w:t>
            </w:r>
          </w:p>
        </w:tc>
        <w:tc>
          <w:tcPr>
            <w:tcW w:w="8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9"/>
              </w:rPr>
              <w:t>A2354</w:t>
            </w:r>
          </w:p>
        </w:tc>
        <w:tc>
          <w:tcPr>
            <w:tcW w:w="5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0</w:t>
            </w:r>
          </w:p>
        </w:tc>
        <w:tc>
          <w:tcPr>
            <w:tcW w:w="64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660" w:type="dxa"/>
            <w:vAlign w:val="bottom"/>
          </w:tcPr>
          <w:p>
            <w:pPr>
              <w:spacing w:after="0"/>
              <w:rPr>
                <w:sz w:val="16"/>
                <w:szCs w:val="16"/>
                <w:color w:val="auto"/>
              </w:rPr>
            </w:pPr>
          </w:p>
        </w:tc>
        <w:tc>
          <w:tcPr>
            <w:tcW w:w="800" w:type="dxa"/>
            <w:vAlign w:val="bottom"/>
          </w:tcPr>
          <w:p>
            <w:pPr>
              <w:jc w:val="center"/>
              <w:spacing w:after="0" w:line="189" w:lineRule="exact"/>
              <w:rPr>
                <w:sz w:val="20"/>
                <w:szCs w:val="20"/>
                <w:color w:val="auto"/>
              </w:rPr>
            </w:pPr>
            <w:r>
              <w:rPr>
                <w:rFonts w:ascii="Calibri" w:cs="Calibri" w:eastAsia="Calibri" w:hAnsi="Calibri"/>
                <w:sz w:val="17"/>
                <w:szCs w:val="17"/>
                <w:color w:val="auto"/>
              </w:rPr>
              <w:t>210111</w:t>
            </w: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660" w:type="dxa"/>
            <w:vAlign w:val="bottom"/>
          </w:tcPr>
          <w:p>
            <w:pPr>
              <w:ind w:left="20"/>
              <w:spacing w:after="0" w:line="205" w:lineRule="exact"/>
              <w:rPr>
                <w:sz w:val="20"/>
                <w:szCs w:val="20"/>
                <w:color w:val="auto"/>
              </w:rPr>
            </w:pPr>
            <w:r>
              <w:rPr>
                <w:rFonts w:ascii="Calibri" w:cs="Calibri" w:eastAsia="Calibri" w:hAnsi="Calibri"/>
                <w:sz w:val="17"/>
                <w:szCs w:val="17"/>
                <w:color w:val="auto"/>
              </w:rPr>
              <w:t>MN Portable # 1</w:t>
            </w:r>
          </w:p>
        </w:tc>
        <w:tc>
          <w:tcPr>
            <w:tcW w:w="8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2</w:t>
            </w:r>
          </w:p>
        </w:tc>
        <w:tc>
          <w:tcPr>
            <w:tcW w:w="5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0</w:t>
            </w:r>
          </w:p>
        </w:tc>
        <w:tc>
          <w:tcPr>
            <w:tcW w:w="64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660" w:type="dxa"/>
            <w:vAlign w:val="bottom"/>
            <w:shd w:val="clear" w:color="auto" w:fill="E5F1F8"/>
          </w:tcPr>
          <w:p>
            <w:pPr>
              <w:spacing w:after="0"/>
              <w:rPr>
                <w:sz w:val="16"/>
                <w:szCs w:val="16"/>
                <w:color w:val="auto"/>
              </w:rPr>
            </w:pPr>
          </w:p>
        </w:tc>
        <w:tc>
          <w:tcPr>
            <w:tcW w:w="800" w:type="dxa"/>
            <w:vAlign w:val="bottom"/>
            <w:shd w:val="clear" w:color="auto" w:fill="E5F1F8"/>
          </w:tcPr>
          <w:p>
            <w:pPr>
              <w:jc w:val="center"/>
              <w:spacing w:after="0" w:line="189" w:lineRule="exact"/>
              <w:rPr>
                <w:sz w:val="20"/>
                <w:szCs w:val="20"/>
                <w:color w:val="auto"/>
              </w:rPr>
            </w:pPr>
            <w:r>
              <w:rPr>
                <w:rFonts w:ascii="Calibri" w:cs="Calibri" w:eastAsia="Calibri" w:hAnsi="Calibri"/>
                <w:sz w:val="17"/>
                <w:szCs w:val="17"/>
                <w:color w:val="auto"/>
              </w:rPr>
              <w:t>210159</w:t>
            </w:r>
          </w:p>
        </w:tc>
        <w:tc>
          <w:tcPr>
            <w:tcW w:w="560" w:type="dxa"/>
            <w:vAlign w:val="bottom"/>
            <w:shd w:val="clear" w:color="auto" w:fill="E5F1F8"/>
          </w:tcPr>
          <w:p>
            <w:pPr>
              <w:spacing w:after="0"/>
              <w:rPr>
                <w:sz w:val="16"/>
                <w:szCs w:val="16"/>
                <w:color w:val="auto"/>
              </w:rPr>
            </w:pPr>
          </w:p>
        </w:tc>
        <w:tc>
          <w:tcPr>
            <w:tcW w:w="64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66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MN Portable # 2</w:t>
            </w:r>
          </w:p>
        </w:tc>
        <w:tc>
          <w:tcPr>
            <w:tcW w:w="8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3</w:t>
            </w:r>
          </w:p>
        </w:tc>
        <w:tc>
          <w:tcPr>
            <w:tcW w:w="5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0</w:t>
            </w:r>
          </w:p>
        </w:tc>
        <w:tc>
          <w:tcPr>
            <w:tcW w:w="64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660" w:type="dxa"/>
            <w:vAlign w:val="bottom"/>
          </w:tcPr>
          <w:p>
            <w:pPr>
              <w:spacing w:after="0"/>
              <w:rPr>
                <w:sz w:val="16"/>
                <w:szCs w:val="16"/>
                <w:color w:val="auto"/>
              </w:rPr>
            </w:pPr>
          </w:p>
        </w:tc>
        <w:tc>
          <w:tcPr>
            <w:tcW w:w="800" w:type="dxa"/>
            <w:vAlign w:val="bottom"/>
          </w:tcPr>
          <w:p>
            <w:pPr>
              <w:jc w:val="center"/>
              <w:spacing w:after="0" w:line="189" w:lineRule="exact"/>
              <w:rPr>
                <w:sz w:val="20"/>
                <w:szCs w:val="20"/>
                <w:color w:val="auto"/>
              </w:rPr>
            </w:pPr>
            <w:r>
              <w:rPr>
                <w:rFonts w:ascii="Calibri" w:cs="Calibri" w:eastAsia="Calibri" w:hAnsi="Calibri"/>
                <w:sz w:val="17"/>
                <w:szCs w:val="17"/>
                <w:color w:val="auto"/>
              </w:rPr>
              <w:t>210314</w:t>
            </w: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660" w:type="dxa"/>
            <w:vAlign w:val="bottom"/>
          </w:tcPr>
          <w:p>
            <w:pPr>
              <w:ind w:left="20"/>
              <w:spacing w:after="0" w:line="205" w:lineRule="exact"/>
              <w:rPr>
                <w:sz w:val="20"/>
                <w:szCs w:val="20"/>
                <w:color w:val="auto"/>
              </w:rPr>
            </w:pPr>
            <w:r>
              <w:rPr>
                <w:rFonts w:ascii="Calibri" w:cs="Calibri" w:eastAsia="Calibri" w:hAnsi="Calibri"/>
                <w:sz w:val="17"/>
                <w:szCs w:val="17"/>
                <w:color w:val="auto"/>
              </w:rPr>
              <w:t>MN Portable # 3</w:t>
            </w:r>
          </w:p>
        </w:tc>
        <w:tc>
          <w:tcPr>
            <w:tcW w:w="8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7</w:t>
            </w:r>
          </w:p>
        </w:tc>
        <w:tc>
          <w:tcPr>
            <w:tcW w:w="5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0</w:t>
            </w:r>
          </w:p>
        </w:tc>
        <w:tc>
          <w:tcPr>
            <w:tcW w:w="64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143</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660" w:type="dxa"/>
            <w:vAlign w:val="bottom"/>
            <w:shd w:val="clear" w:color="auto" w:fill="E5F1F8"/>
          </w:tcPr>
          <w:p>
            <w:pPr>
              <w:spacing w:after="0"/>
              <w:rPr>
                <w:sz w:val="16"/>
                <w:szCs w:val="16"/>
                <w:color w:val="auto"/>
              </w:rPr>
            </w:pPr>
          </w:p>
        </w:tc>
        <w:tc>
          <w:tcPr>
            <w:tcW w:w="800" w:type="dxa"/>
            <w:vAlign w:val="bottom"/>
            <w:shd w:val="clear" w:color="auto" w:fill="E5F1F8"/>
          </w:tcPr>
          <w:p>
            <w:pPr>
              <w:jc w:val="center"/>
              <w:spacing w:after="0" w:line="189" w:lineRule="exact"/>
              <w:rPr>
                <w:sz w:val="20"/>
                <w:szCs w:val="20"/>
                <w:color w:val="auto"/>
              </w:rPr>
            </w:pPr>
            <w:r>
              <w:rPr>
                <w:rFonts w:ascii="Calibri" w:cs="Calibri" w:eastAsia="Calibri" w:hAnsi="Calibri"/>
                <w:sz w:val="17"/>
                <w:szCs w:val="17"/>
                <w:color w:val="auto"/>
              </w:rPr>
              <w:t>210328</w:t>
            </w:r>
          </w:p>
        </w:tc>
        <w:tc>
          <w:tcPr>
            <w:tcW w:w="560" w:type="dxa"/>
            <w:vAlign w:val="bottom"/>
            <w:shd w:val="clear" w:color="auto" w:fill="E5F1F8"/>
          </w:tcPr>
          <w:p>
            <w:pPr>
              <w:spacing w:after="0"/>
              <w:rPr>
                <w:sz w:val="16"/>
                <w:szCs w:val="16"/>
                <w:color w:val="auto"/>
              </w:rPr>
            </w:pPr>
          </w:p>
        </w:tc>
        <w:tc>
          <w:tcPr>
            <w:tcW w:w="64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66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MN Portable # 4</w:t>
            </w:r>
          </w:p>
        </w:tc>
        <w:tc>
          <w:tcPr>
            <w:tcW w:w="8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7</w:t>
            </w:r>
          </w:p>
        </w:tc>
        <w:tc>
          <w:tcPr>
            <w:tcW w:w="5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0</w:t>
            </w:r>
          </w:p>
        </w:tc>
        <w:tc>
          <w:tcPr>
            <w:tcW w:w="64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660" w:type="dxa"/>
            <w:vAlign w:val="bottom"/>
          </w:tcPr>
          <w:p>
            <w:pPr>
              <w:spacing w:after="0"/>
              <w:rPr>
                <w:sz w:val="16"/>
                <w:szCs w:val="16"/>
                <w:color w:val="auto"/>
              </w:rPr>
            </w:pPr>
          </w:p>
        </w:tc>
        <w:tc>
          <w:tcPr>
            <w:tcW w:w="800" w:type="dxa"/>
            <w:vAlign w:val="bottom"/>
          </w:tcPr>
          <w:p>
            <w:pPr>
              <w:jc w:val="center"/>
              <w:spacing w:after="0" w:line="189" w:lineRule="exact"/>
              <w:rPr>
                <w:sz w:val="20"/>
                <w:szCs w:val="20"/>
                <w:color w:val="auto"/>
              </w:rPr>
            </w:pPr>
            <w:r>
              <w:rPr>
                <w:rFonts w:ascii="Calibri" w:cs="Calibri" w:eastAsia="Calibri" w:hAnsi="Calibri"/>
                <w:sz w:val="17"/>
                <w:szCs w:val="17"/>
                <w:color w:val="auto"/>
              </w:rPr>
              <w:t>210111</w:t>
            </w: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660" w:type="dxa"/>
            <w:vAlign w:val="bottom"/>
          </w:tcPr>
          <w:p>
            <w:pPr>
              <w:ind w:left="20"/>
              <w:spacing w:after="0" w:line="205" w:lineRule="exact"/>
              <w:rPr>
                <w:sz w:val="20"/>
                <w:szCs w:val="20"/>
                <w:color w:val="auto"/>
              </w:rPr>
            </w:pPr>
            <w:r>
              <w:rPr>
                <w:rFonts w:ascii="Calibri" w:cs="Calibri" w:eastAsia="Calibri" w:hAnsi="Calibri"/>
                <w:sz w:val="17"/>
                <w:szCs w:val="17"/>
                <w:color w:val="auto"/>
              </w:rPr>
              <w:t>MN Portable # 5</w:t>
            </w:r>
          </w:p>
        </w:tc>
        <w:tc>
          <w:tcPr>
            <w:tcW w:w="8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5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0</w:t>
            </w:r>
          </w:p>
        </w:tc>
        <w:tc>
          <w:tcPr>
            <w:tcW w:w="64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660" w:type="dxa"/>
            <w:vAlign w:val="bottom"/>
            <w:shd w:val="clear" w:color="auto" w:fill="E5F1F8"/>
          </w:tcPr>
          <w:p>
            <w:pPr>
              <w:spacing w:after="0"/>
              <w:rPr>
                <w:sz w:val="16"/>
                <w:szCs w:val="16"/>
                <w:color w:val="auto"/>
              </w:rPr>
            </w:pPr>
          </w:p>
        </w:tc>
        <w:tc>
          <w:tcPr>
            <w:tcW w:w="800" w:type="dxa"/>
            <w:vAlign w:val="bottom"/>
            <w:shd w:val="clear" w:color="auto" w:fill="E5F1F8"/>
          </w:tcPr>
          <w:p>
            <w:pPr>
              <w:jc w:val="center"/>
              <w:spacing w:after="0" w:line="189" w:lineRule="exact"/>
              <w:rPr>
                <w:sz w:val="20"/>
                <w:szCs w:val="20"/>
                <w:color w:val="auto"/>
              </w:rPr>
            </w:pPr>
            <w:r>
              <w:rPr>
                <w:rFonts w:ascii="Calibri" w:cs="Calibri" w:eastAsia="Calibri" w:hAnsi="Calibri"/>
                <w:sz w:val="17"/>
                <w:szCs w:val="17"/>
                <w:color w:val="auto"/>
              </w:rPr>
              <w:t>210312</w:t>
            </w:r>
          </w:p>
        </w:tc>
        <w:tc>
          <w:tcPr>
            <w:tcW w:w="560" w:type="dxa"/>
            <w:vAlign w:val="bottom"/>
            <w:shd w:val="clear" w:color="auto" w:fill="E5F1F8"/>
          </w:tcPr>
          <w:p>
            <w:pPr>
              <w:spacing w:after="0"/>
              <w:rPr>
                <w:sz w:val="16"/>
                <w:szCs w:val="16"/>
                <w:color w:val="auto"/>
              </w:rPr>
            </w:pPr>
          </w:p>
        </w:tc>
        <w:tc>
          <w:tcPr>
            <w:tcW w:w="64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66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MN Portable # 6</w:t>
            </w:r>
          </w:p>
        </w:tc>
        <w:tc>
          <w:tcPr>
            <w:tcW w:w="8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5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0</w:t>
            </w:r>
          </w:p>
        </w:tc>
        <w:tc>
          <w:tcPr>
            <w:tcW w:w="64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660" w:type="dxa"/>
            <w:vAlign w:val="bottom"/>
          </w:tcPr>
          <w:p>
            <w:pPr>
              <w:spacing w:after="0"/>
              <w:rPr>
                <w:sz w:val="16"/>
                <w:szCs w:val="16"/>
                <w:color w:val="auto"/>
              </w:rPr>
            </w:pPr>
          </w:p>
        </w:tc>
        <w:tc>
          <w:tcPr>
            <w:tcW w:w="800" w:type="dxa"/>
            <w:vAlign w:val="bottom"/>
          </w:tcPr>
          <w:p>
            <w:pPr>
              <w:jc w:val="center"/>
              <w:spacing w:after="0" w:line="189" w:lineRule="exact"/>
              <w:rPr>
                <w:sz w:val="20"/>
                <w:szCs w:val="20"/>
                <w:color w:val="auto"/>
              </w:rPr>
            </w:pPr>
            <w:r>
              <w:rPr>
                <w:rFonts w:ascii="Calibri" w:cs="Calibri" w:eastAsia="Calibri" w:hAnsi="Calibri"/>
                <w:sz w:val="17"/>
                <w:szCs w:val="17"/>
                <w:color w:val="auto"/>
              </w:rPr>
              <w:t>210335</w:t>
            </w: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660" w:type="dxa"/>
            <w:vAlign w:val="bottom"/>
          </w:tcPr>
          <w:p>
            <w:pPr>
              <w:ind w:left="20"/>
              <w:spacing w:after="0" w:line="205" w:lineRule="exact"/>
              <w:rPr>
                <w:sz w:val="20"/>
                <w:szCs w:val="20"/>
                <w:color w:val="auto"/>
              </w:rPr>
            </w:pPr>
            <w:r>
              <w:rPr>
                <w:rFonts w:ascii="Calibri" w:cs="Calibri" w:eastAsia="Calibri" w:hAnsi="Calibri"/>
                <w:sz w:val="17"/>
                <w:szCs w:val="17"/>
                <w:color w:val="auto"/>
              </w:rPr>
              <w:t>MN Portable # 7</w:t>
            </w:r>
          </w:p>
        </w:tc>
        <w:tc>
          <w:tcPr>
            <w:tcW w:w="8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5</w:t>
            </w:r>
          </w:p>
        </w:tc>
        <w:tc>
          <w:tcPr>
            <w:tcW w:w="5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0</w:t>
            </w:r>
          </w:p>
        </w:tc>
        <w:tc>
          <w:tcPr>
            <w:tcW w:w="64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660" w:type="dxa"/>
            <w:vAlign w:val="bottom"/>
            <w:shd w:val="clear" w:color="auto" w:fill="E5F1F8"/>
          </w:tcPr>
          <w:p>
            <w:pPr>
              <w:spacing w:after="0"/>
              <w:rPr>
                <w:sz w:val="16"/>
                <w:szCs w:val="16"/>
                <w:color w:val="auto"/>
              </w:rPr>
            </w:pPr>
          </w:p>
        </w:tc>
        <w:tc>
          <w:tcPr>
            <w:tcW w:w="800" w:type="dxa"/>
            <w:vAlign w:val="bottom"/>
            <w:shd w:val="clear" w:color="auto" w:fill="E5F1F8"/>
          </w:tcPr>
          <w:p>
            <w:pPr>
              <w:jc w:val="center"/>
              <w:spacing w:after="0" w:line="189" w:lineRule="exact"/>
              <w:rPr>
                <w:sz w:val="20"/>
                <w:szCs w:val="20"/>
                <w:color w:val="auto"/>
              </w:rPr>
            </w:pPr>
            <w:r>
              <w:rPr>
                <w:rFonts w:ascii="Calibri" w:cs="Calibri" w:eastAsia="Calibri" w:hAnsi="Calibri"/>
                <w:sz w:val="17"/>
                <w:szCs w:val="17"/>
                <w:color w:val="auto"/>
              </w:rPr>
              <w:t>210184</w:t>
            </w:r>
          </w:p>
        </w:tc>
        <w:tc>
          <w:tcPr>
            <w:tcW w:w="560" w:type="dxa"/>
            <w:vAlign w:val="bottom"/>
            <w:shd w:val="clear" w:color="auto" w:fill="E5F1F8"/>
          </w:tcPr>
          <w:p>
            <w:pPr>
              <w:spacing w:after="0"/>
              <w:rPr>
                <w:sz w:val="16"/>
                <w:szCs w:val="16"/>
                <w:color w:val="auto"/>
              </w:rPr>
            </w:pPr>
          </w:p>
        </w:tc>
        <w:tc>
          <w:tcPr>
            <w:tcW w:w="64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66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MN Portable # 8</w:t>
            </w:r>
          </w:p>
        </w:tc>
        <w:tc>
          <w:tcPr>
            <w:tcW w:w="8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3</w:t>
            </w:r>
          </w:p>
        </w:tc>
        <w:tc>
          <w:tcPr>
            <w:tcW w:w="5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0</w:t>
            </w:r>
          </w:p>
        </w:tc>
        <w:tc>
          <w:tcPr>
            <w:tcW w:w="64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660" w:type="dxa"/>
            <w:vAlign w:val="bottom"/>
          </w:tcPr>
          <w:p>
            <w:pPr>
              <w:spacing w:after="0"/>
              <w:rPr>
                <w:sz w:val="16"/>
                <w:szCs w:val="16"/>
                <w:color w:val="auto"/>
              </w:rPr>
            </w:pPr>
          </w:p>
        </w:tc>
        <w:tc>
          <w:tcPr>
            <w:tcW w:w="800" w:type="dxa"/>
            <w:vAlign w:val="bottom"/>
          </w:tcPr>
          <w:p>
            <w:pPr>
              <w:jc w:val="center"/>
              <w:spacing w:after="0" w:line="189" w:lineRule="exact"/>
              <w:rPr>
                <w:sz w:val="20"/>
                <w:szCs w:val="20"/>
                <w:color w:val="auto"/>
              </w:rPr>
            </w:pPr>
            <w:r>
              <w:rPr>
                <w:rFonts w:ascii="Calibri" w:cs="Calibri" w:eastAsia="Calibri" w:hAnsi="Calibri"/>
                <w:sz w:val="17"/>
                <w:szCs w:val="17"/>
                <w:color w:val="auto"/>
              </w:rPr>
              <w:t>210369</w:t>
            </w: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660" w:type="dxa"/>
            <w:vAlign w:val="bottom"/>
          </w:tcPr>
          <w:p>
            <w:pPr>
              <w:ind w:left="20"/>
              <w:spacing w:after="0" w:line="205" w:lineRule="exact"/>
              <w:rPr>
                <w:sz w:val="20"/>
                <w:szCs w:val="20"/>
                <w:color w:val="auto"/>
              </w:rPr>
            </w:pPr>
            <w:r>
              <w:rPr>
                <w:rFonts w:ascii="Calibri" w:cs="Calibri" w:eastAsia="Calibri" w:hAnsi="Calibri"/>
                <w:sz w:val="17"/>
                <w:szCs w:val="17"/>
                <w:color w:val="auto"/>
              </w:rPr>
              <w:t>MN Reclamaton</w:t>
            </w:r>
          </w:p>
        </w:tc>
        <w:tc>
          <w:tcPr>
            <w:tcW w:w="8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5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0</w:t>
            </w:r>
          </w:p>
        </w:tc>
        <w:tc>
          <w:tcPr>
            <w:tcW w:w="64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660" w:type="dxa"/>
            <w:vAlign w:val="bottom"/>
            <w:shd w:val="clear" w:color="auto" w:fill="E5F1F8"/>
          </w:tcPr>
          <w:p>
            <w:pPr>
              <w:spacing w:after="0"/>
              <w:rPr>
                <w:sz w:val="16"/>
                <w:szCs w:val="16"/>
                <w:color w:val="auto"/>
              </w:rPr>
            </w:pPr>
          </w:p>
        </w:tc>
        <w:tc>
          <w:tcPr>
            <w:tcW w:w="800" w:type="dxa"/>
            <w:vAlign w:val="bottom"/>
            <w:shd w:val="clear" w:color="auto" w:fill="E5F1F8"/>
          </w:tcPr>
          <w:p>
            <w:pPr>
              <w:jc w:val="center"/>
              <w:spacing w:after="0" w:line="189" w:lineRule="exact"/>
              <w:rPr>
                <w:sz w:val="20"/>
                <w:szCs w:val="20"/>
                <w:color w:val="auto"/>
              </w:rPr>
            </w:pPr>
            <w:r>
              <w:rPr>
                <w:rFonts w:ascii="Calibri" w:cs="Calibri" w:eastAsia="Calibri" w:hAnsi="Calibri"/>
                <w:sz w:val="17"/>
                <w:szCs w:val="17"/>
                <w:color w:val="auto"/>
              </w:rPr>
              <w:t>130218</w:t>
            </w:r>
          </w:p>
        </w:tc>
        <w:tc>
          <w:tcPr>
            <w:tcW w:w="560" w:type="dxa"/>
            <w:vAlign w:val="bottom"/>
            <w:shd w:val="clear" w:color="auto" w:fill="E5F1F8"/>
          </w:tcPr>
          <w:p>
            <w:pPr>
              <w:spacing w:after="0"/>
              <w:rPr>
                <w:sz w:val="16"/>
                <w:szCs w:val="16"/>
                <w:color w:val="auto"/>
              </w:rPr>
            </w:pPr>
          </w:p>
        </w:tc>
        <w:tc>
          <w:tcPr>
            <w:tcW w:w="64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66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Moore Quarry</w:t>
            </w:r>
          </w:p>
        </w:tc>
        <w:tc>
          <w:tcPr>
            <w:tcW w:w="8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8</w:t>
            </w:r>
          </w:p>
        </w:tc>
        <w:tc>
          <w:tcPr>
            <w:tcW w:w="5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0</w:t>
            </w:r>
          </w:p>
        </w:tc>
        <w:tc>
          <w:tcPr>
            <w:tcW w:w="64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399</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660" w:type="dxa"/>
            <w:vAlign w:val="bottom"/>
          </w:tcPr>
          <w:p>
            <w:pPr>
              <w:spacing w:after="0"/>
              <w:rPr>
                <w:sz w:val="16"/>
                <w:szCs w:val="16"/>
                <w:color w:val="auto"/>
              </w:rPr>
            </w:pPr>
          </w:p>
        </w:tc>
        <w:tc>
          <w:tcPr>
            <w:tcW w:w="800" w:type="dxa"/>
            <w:vAlign w:val="bottom"/>
          </w:tcPr>
          <w:p>
            <w:pPr>
              <w:jc w:val="center"/>
              <w:spacing w:after="0" w:line="189" w:lineRule="exact"/>
              <w:rPr>
                <w:sz w:val="20"/>
                <w:szCs w:val="20"/>
                <w:color w:val="auto"/>
              </w:rPr>
            </w:pPr>
            <w:r>
              <w:rPr>
                <w:rFonts w:ascii="Calibri" w:cs="Calibri" w:eastAsia="Calibri" w:hAnsi="Calibri"/>
                <w:sz w:val="17"/>
                <w:szCs w:val="17"/>
                <w:color w:val="auto"/>
              </w:rPr>
              <w:t>130177</w:t>
            </w: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660" w:type="dxa"/>
            <w:vAlign w:val="bottom"/>
          </w:tcPr>
          <w:p>
            <w:pPr>
              <w:ind w:left="20"/>
              <w:spacing w:after="0" w:line="205" w:lineRule="exact"/>
              <w:rPr>
                <w:sz w:val="20"/>
                <w:szCs w:val="20"/>
                <w:color w:val="auto"/>
              </w:rPr>
            </w:pPr>
            <w:r>
              <w:rPr>
                <w:rFonts w:ascii="Calibri" w:cs="Calibri" w:eastAsia="Calibri" w:hAnsi="Calibri"/>
                <w:sz w:val="17"/>
                <w:szCs w:val="17"/>
                <w:color w:val="auto"/>
              </w:rPr>
              <w:t>New Harvey Sand</w:t>
            </w:r>
          </w:p>
        </w:tc>
        <w:tc>
          <w:tcPr>
            <w:tcW w:w="8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8</w:t>
            </w:r>
          </w:p>
        </w:tc>
        <w:tc>
          <w:tcPr>
            <w:tcW w:w="5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0</w:t>
            </w:r>
          </w:p>
        </w:tc>
        <w:tc>
          <w:tcPr>
            <w:tcW w:w="64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266</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660" w:type="dxa"/>
            <w:vAlign w:val="bottom"/>
            <w:shd w:val="clear" w:color="auto" w:fill="E5F1F8"/>
          </w:tcPr>
          <w:p>
            <w:pPr>
              <w:spacing w:after="0"/>
              <w:rPr>
                <w:sz w:val="16"/>
                <w:szCs w:val="16"/>
                <w:color w:val="auto"/>
              </w:rPr>
            </w:pPr>
          </w:p>
        </w:tc>
        <w:tc>
          <w:tcPr>
            <w:tcW w:w="800" w:type="dxa"/>
            <w:vAlign w:val="bottom"/>
            <w:shd w:val="clear" w:color="auto" w:fill="E5F1F8"/>
          </w:tcPr>
          <w:p>
            <w:pPr>
              <w:jc w:val="center"/>
              <w:spacing w:after="0" w:line="189" w:lineRule="exact"/>
              <w:rPr>
                <w:sz w:val="20"/>
                <w:szCs w:val="20"/>
                <w:color w:val="auto"/>
              </w:rPr>
            </w:pPr>
            <w:r>
              <w:rPr>
                <w:rFonts w:ascii="Calibri" w:cs="Calibri" w:eastAsia="Calibri" w:hAnsi="Calibri"/>
                <w:sz w:val="17"/>
                <w:szCs w:val="17"/>
                <w:color w:val="auto"/>
              </w:rPr>
              <w:t>130250</w:t>
            </w:r>
          </w:p>
        </w:tc>
        <w:tc>
          <w:tcPr>
            <w:tcW w:w="560" w:type="dxa"/>
            <w:vAlign w:val="bottom"/>
            <w:shd w:val="clear" w:color="auto" w:fill="E5F1F8"/>
          </w:tcPr>
          <w:p>
            <w:pPr>
              <w:spacing w:after="0"/>
              <w:rPr>
                <w:sz w:val="16"/>
                <w:szCs w:val="16"/>
                <w:color w:val="auto"/>
              </w:rPr>
            </w:pPr>
          </w:p>
        </w:tc>
        <w:tc>
          <w:tcPr>
            <w:tcW w:w="64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66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New Marshall Sand</w:t>
            </w:r>
          </w:p>
        </w:tc>
        <w:tc>
          <w:tcPr>
            <w:tcW w:w="8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4</w:t>
            </w:r>
          </w:p>
        </w:tc>
        <w:tc>
          <w:tcPr>
            <w:tcW w:w="5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0</w:t>
            </w:r>
          </w:p>
        </w:tc>
        <w:tc>
          <w:tcPr>
            <w:tcW w:w="64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410</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660" w:type="dxa"/>
            <w:vAlign w:val="bottom"/>
          </w:tcPr>
          <w:p>
            <w:pPr>
              <w:spacing w:after="0"/>
              <w:rPr>
                <w:sz w:val="16"/>
                <w:szCs w:val="16"/>
                <w:color w:val="auto"/>
              </w:rPr>
            </w:pPr>
          </w:p>
        </w:tc>
        <w:tc>
          <w:tcPr>
            <w:tcW w:w="800" w:type="dxa"/>
            <w:vAlign w:val="bottom"/>
          </w:tcPr>
          <w:p>
            <w:pPr>
              <w:jc w:val="center"/>
              <w:spacing w:after="0" w:line="189" w:lineRule="exact"/>
              <w:rPr>
                <w:sz w:val="20"/>
                <w:szCs w:val="20"/>
                <w:color w:val="auto"/>
              </w:rPr>
            </w:pPr>
            <w:r>
              <w:rPr>
                <w:rFonts w:ascii="Calibri" w:cs="Calibri" w:eastAsia="Calibri" w:hAnsi="Calibri"/>
                <w:sz w:val="17"/>
                <w:szCs w:val="17"/>
                <w:color w:val="auto"/>
              </w:rPr>
              <w:t>120199</w:t>
            </w: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660" w:type="dxa"/>
            <w:vAlign w:val="bottom"/>
          </w:tcPr>
          <w:p>
            <w:pPr>
              <w:ind w:left="20"/>
              <w:spacing w:after="0" w:line="205" w:lineRule="exact"/>
              <w:rPr>
                <w:sz w:val="20"/>
                <w:szCs w:val="20"/>
                <w:color w:val="auto"/>
              </w:rPr>
            </w:pPr>
            <w:r>
              <w:rPr>
                <w:rFonts w:ascii="Calibri" w:cs="Calibri" w:eastAsia="Calibri" w:hAnsi="Calibri"/>
                <w:sz w:val="17"/>
                <w:szCs w:val="17"/>
                <w:color w:val="auto"/>
              </w:rPr>
              <w:t>Noblesville Sand</w:t>
            </w:r>
          </w:p>
        </w:tc>
        <w:tc>
          <w:tcPr>
            <w:tcW w:w="8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4</w:t>
            </w:r>
          </w:p>
        </w:tc>
        <w:tc>
          <w:tcPr>
            <w:tcW w:w="5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0</w:t>
            </w:r>
          </w:p>
        </w:tc>
        <w:tc>
          <w:tcPr>
            <w:tcW w:w="64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399</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660" w:type="dxa"/>
            <w:vAlign w:val="bottom"/>
            <w:shd w:val="clear" w:color="auto" w:fill="E5F1F8"/>
          </w:tcPr>
          <w:p>
            <w:pPr>
              <w:spacing w:after="0"/>
              <w:rPr>
                <w:sz w:val="16"/>
                <w:szCs w:val="16"/>
                <w:color w:val="auto"/>
              </w:rPr>
            </w:pPr>
          </w:p>
        </w:tc>
        <w:tc>
          <w:tcPr>
            <w:tcW w:w="800" w:type="dxa"/>
            <w:vAlign w:val="bottom"/>
            <w:shd w:val="clear" w:color="auto" w:fill="E5F1F8"/>
          </w:tcPr>
          <w:p>
            <w:pPr>
              <w:jc w:val="center"/>
              <w:spacing w:after="0" w:line="189" w:lineRule="exact"/>
              <w:rPr>
                <w:sz w:val="20"/>
                <w:szCs w:val="20"/>
                <w:color w:val="auto"/>
              </w:rPr>
            </w:pPr>
            <w:r>
              <w:rPr>
                <w:rFonts w:ascii="Calibri" w:cs="Calibri" w:eastAsia="Calibri" w:hAnsi="Calibri"/>
                <w:sz w:val="17"/>
                <w:szCs w:val="17"/>
                <w:color w:val="auto"/>
              </w:rPr>
              <w:t>120217</w:t>
            </w:r>
          </w:p>
        </w:tc>
        <w:tc>
          <w:tcPr>
            <w:tcW w:w="560" w:type="dxa"/>
            <w:vAlign w:val="bottom"/>
            <w:shd w:val="clear" w:color="auto" w:fill="E5F1F8"/>
          </w:tcPr>
          <w:p>
            <w:pPr>
              <w:spacing w:after="0"/>
              <w:rPr>
                <w:sz w:val="16"/>
                <w:szCs w:val="16"/>
                <w:color w:val="auto"/>
              </w:rPr>
            </w:pPr>
          </w:p>
        </w:tc>
        <w:tc>
          <w:tcPr>
            <w:tcW w:w="64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66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Noblesville Stone</w:t>
            </w:r>
          </w:p>
        </w:tc>
        <w:tc>
          <w:tcPr>
            <w:tcW w:w="8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6</w:t>
            </w:r>
          </w:p>
        </w:tc>
        <w:tc>
          <w:tcPr>
            <w:tcW w:w="5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4</w:t>
            </w:r>
          </w:p>
        </w:tc>
        <w:tc>
          <w:tcPr>
            <w:tcW w:w="64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4,154</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2</w:t>
            </w:r>
          </w:p>
        </w:tc>
      </w:tr>
      <w:tr>
        <w:trPr>
          <w:trHeight w:val="189"/>
        </w:trPr>
        <w:tc>
          <w:tcPr>
            <w:tcW w:w="1660" w:type="dxa"/>
            <w:vAlign w:val="bottom"/>
          </w:tcPr>
          <w:p>
            <w:pPr>
              <w:ind w:left="20"/>
              <w:spacing w:after="0" w:line="189" w:lineRule="exact"/>
              <w:rPr>
                <w:sz w:val="20"/>
                <w:szCs w:val="20"/>
                <w:color w:val="auto"/>
              </w:rPr>
            </w:pPr>
            <w:r>
              <w:rPr>
                <w:rFonts w:ascii="Calibri" w:cs="Calibri" w:eastAsia="Calibri" w:hAnsi="Calibri"/>
                <w:sz w:val="17"/>
                <w:szCs w:val="17"/>
                <w:color w:val="auto"/>
              </w:rPr>
              <w:t>North Indianapolis</w:t>
            </w:r>
          </w:p>
        </w:tc>
        <w:tc>
          <w:tcPr>
            <w:tcW w:w="800" w:type="dxa"/>
            <w:vAlign w:val="bottom"/>
          </w:tcPr>
          <w:p>
            <w:pPr>
              <w:jc w:val="center"/>
              <w:spacing w:after="0" w:line="189" w:lineRule="exact"/>
              <w:rPr>
                <w:sz w:val="20"/>
                <w:szCs w:val="20"/>
                <w:color w:val="auto"/>
              </w:rPr>
            </w:pPr>
            <w:r>
              <w:rPr>
                <w:rFonts w:ascii="Calibri" w:cs="Calibri" w:eastAsia="Calibri" w:hAnsi="Calibri"/>
                <w:sz w:val="17"/>
                <w:szCs w:val="17"/>
                <w:color w:val="auto"/>
              </w:rPr>
              <w:t>120199</w:t>
            </w: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660" w:type="dxa"/>
            <w:vAlign w:val="bottom"/>
          </w:tcPr>
          <w:p>
            <w:pPr>
              <w:ind w:left="20"/>
              <w:spacing w:after="0" w:line="205" w:lineRule="exact"/>
              <w:rPr>
                <w:sz w:val="20"/>
                <w:szCs w:val="20"/>
                <w:color w:val="auto"/>
              </w:rPr>
            </w:pPr>
            <w:r>
              <w:rPr>
                <w:rFonts w:ascii="Calibri" w:cs="Calibri" w:eastAsia="Calibri" w:hAnsi="Calibri"/>
                <w:sz w:val="17"/>
                <w:szCs w:val="17"/>
                <w:color w:val="auto"/>
              </w:rPr>
              <w:t>Quarry</w:t>
            </w:r>
          </w:p>
        </w:tc>
        <w:tc>
          <w:tcPr>
            <w:tcW w:w="8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3</w:t>
            </w:r>
          </w:p>
        </w:tc>
        <w:tc>
          <w:tcPr>
            <w:tcW w:w="5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7</w:t>
            </w:r>
          </w:p>
        </w:tc>
        <w:tc>
          <w:tcPr>
            <w:tcW w:w="64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7,669</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660" w:type="dxa"/>
            <w:vAlign w:val="bottom"/>
            <w:shd w:val="clear" w:color="auto" w:fill="E5F1F8"/>
          </w:tcPr>
          <w:p>
            <w:pPr>
              <w:spacing w:after="0"/>
              <w:rPr>
                <w:sz w:val="16"/>
                <w:szCs w:val="16"/>
                <w:color w:val="auto"/>
              </w:rPr>
            </w:pPr>
          </w:p>
        </w:tc>
        <w:tc>
          <w:tcPr>
            <w:tcW w:w="800" w:type="dxa"/>
            <w:vAlign w:val="bottom"/>
            <w:shd w:val="clear" w:color="auto" w:fill="E5F1F8"/>
          </w:tcPr>
          <w:p>
            <w:pPr>
              <w:jc w:val="center"/>
              <w:spacing w:after="0" w:line="189" w:lineRule="exact"/>
              <w:rPr>
                <w:sz w:val="20"/>
                <w:szCs w:val="20"/>
                <w:color w:val="auto"/>
              </w:rPr>
            </w:pPr>
            <w:r>
              <w:rPr>
                <w:rFonts w:ascii="Calibri" w:cs="Calibri" w:eastAsia="Calibri" w:hAnsi="Calibri"/>
                <w:sz w:val="17"/>
                <w:szCs w:val="17"/>
                <w:color w:val="auto"/>
              </w:rPr>
              <w:t>250127</w:t>
            </w:r>
          </w:p>
        </w:tc>
        <w:tc>
          <w:tcPr>
            <w:tcW w:w="560" w:type="dxa"/>
            <w:vAlign w:val="bottom"/>
            <w:shd w:val="clear" w:color="auto" w:fill="E5F1F8"/>
          </w:tcPr>
          <w:p>
            <w:pPr>
              <w:spacing w:after="0"/>
              <w:rPr>
                <w:sz w:val="16"/>
                <w:szCs w:val="16"/>
                <w:color w:val="auto"/>
              </w:rPr>
            </w:pPr>
          </w:p>
        </w:tc>
        <w:tc>
          <w:tcPr>
            <w:tcW w:w="64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66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North Valley Sand</w:t>
            </w:r>
          </w:p>
        </w:tc>
        <w:tc>
          <w:tcPr>
            <w:tcW w:w="8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1</w:t>
            </w:r>
          </w:p>
        </w:tc>
        <w:tc>
          <w:tcPr>
            <w:tcW w:w="5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0</w:t>
            </w:r>
          </w:p>
        </w:tc>
        <w:tc>
          <w:tcPr>
            <w:tcW w:w="64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435</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660" w:type="dxa"/>
            <w:vAlign w:val="bottom"/>
          </w:tcPr>
          <w:p>
            <w:pPr>
              <w:spacing w:after="0"/>
              <w:rPr>
                <w:sz w:val="16"/>
                <w:szCs w:val="16"/>
                <w:color w:val="auto"/>
              </w:rPr>
            </w:pPr>
          </w:p>
        </w:tc>
        <w:tc>
          <w:tcPr>
            <w:tcW w:w="800" w:type="dxa"/>
            <w:vAlign w:val="bottom"/>
          </w:tcPr>
          <w:p>
            <w:pPr>
              <w:jc w:val="center"/>
              <w:spacing w:after="0" w:line="189" w:lineRule="exact"/>
              <w:rPr>
                <w:sz w:val="20"/>
                <w:szCs w:val="20"/>
                <w:color w:val="auto"/>
              </w:rPr>
            </w:pPr>
            <w:r>
              <w:rPr>
                <w:rFonts w:ascii="Calibri" w:cs="Calibri" w:eastAsia="Calibri" w:hAnsi="Calibri"/>
                <w:sz w:val="17"/>
                <w:szCs w:val="17"/>
                <w:color w:val="auto"/>
              </w:rPr>
              <w:t>140159</w:t>
            </w: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660" w:type="dxa"/>
            <w:vAlign w:val="bottom"/>
          </w:tcPr>
          <w:p>
            <w:pPr>
              <w:ind w:left="20"/>
              <w:spacing w:after="0" w:line="205" w:lineRule="exact"/>
              <w:rPr>
                <w:sz w:val="20"/>
                <w:szCs w:val="20"/>
                <w:color w:val="auto"/>
              </w:rPr>
            </w:pPr>
            <w:r>
              <w:rPr>
                <w:rFonts w:ascii="Calibri" w:cs="Calibri" w:eastAsia="Calibri" w:hAnsi="Calibri"/>
                <w:sz w:val="17"/>
                <w:szCs w:val="17"/>
                <w:color w:val="auto"/>
              </w:rPr>
              <w:t>Otawa Quarry New</w:t>
            </w:r>
          </w:p>
        </w:tc>
        <w:tc>
          <w:tcPr>
            <w:tcW w:w="8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5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0</w:t>
            </w:r>
          </w:p>
        </w:tc>
        <w:tc>
          <w:tcPr>
            <w:tcW w:w="64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682</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660" w:type="dxa"/>
            <w:vAlign w:val="bottom"/>
            <w:shd w:val="clear" w:color="auto" w:fill="E5F1F8"/>
          </w:tcPr>
          <w:p>
            <w:pPr>
              <w:spacing w:after="0"/>
              <w:rPr>
                <w:sz w:val="16"/>
                <w:szCs w:val="16"/>
                <w:color w:val="auto"/>
              </w:rPr>
            </w:pPr>
          </w:p>
        </w:tc>
        <w:tc>
          <w:tcPr>
            <w:tcW w:w="800" w:type="dxa"/>
            <w:vAlign w:val="bottom"/>
            <w:shd w:val="clear" w:color="auto" w:fill="E5F1F8"/>
          </w:tcPr>
          <w:p>
            <w:pPr>
              <w:jc w:val="center"/>
              <w:spacing w:after="0" w:line="189" w:lineRule="exact"/>
              <w:rPr>
                <w:sz w:val="20"/>
                <w:szCs w:val="20"/>
                <w:color w:val="auto"/>
              </w:rPr>
            </w:pPr>
            <w:r>
              <w:rPr>
                <w:rFonts w:ascii="Calibri" w:cs="Calibri" w:eastAsia="Calibri" w:hAnsi="Calibri"/>
                <w:sz w:val="17"/>
                <w:szCs w:val="17"/>
                <w:color w:val="auto"/>
              </w:rPr>
              <w:t>130219</w:t>
            </w:r>
          </w:p>
        </w:tc>
        <w:tc>
          <w:tcPr>
            <w:tcW w:w="560" w:type="dxa"/>
            <w:vAlign w:val="bottom"/>
            <w:shd w:val="clear" w:color="auto" w:fill="E5F1F8"/>
          </w:tcPr>
          <w:p>
            <w:pPr>
              <w:spacing w:after="0"/>
              <w:rPr>
                <w:sz w:val="16"/>
                <w:szCs w:val="16"/>
                <w:color w:val="auto"/>
              </w:rPr>
            </w:pPr>
          </w:p>
        </w:tc>
        <w:tc>
          <w:tcPr>
            <w:tcW w:w="64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04"/>
        </w:trPr>
        <w:tc>
          <w:tcPr>
            <w:tcW w:w="1660" w:type="dxa"/>
            <w:vAlign w:val="bottom"/>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Pedersen Quarry</w:t>
            </w:r>
          </w:p>
        </w:tc>
        <w:tc>
          <w:tcPr>
            <w:tcW w:w="800" w:type="dxa"/>
            <w:vAlign w:val="bottom"/>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2</w:t>
            </w:r>
          </w:p>
        </w:tc>
        <w:tc>
          <w:tcPr>
            <w:tcW w:w="560" w:type="dxa"/>
            <w:vAlign w:val="bottom"/>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0</w:t>
            </w:r>
          </w:p>
        </w:tc>
        <w:tc>
          <w:tcPr>
            <w:tcW w:w="640" w:type="dxa"/>
            <w:vAlign w:val="bottom"/>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133</w:t>
            </w:r>
          </w:p>
        </w:tc>
        <w:tc>
          <w:tcPr>
            <w:tcW w:w="760" w:type="dxa"/>
            <w:vAlign w:val="bottom"/>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660" w:type="dxa"/>
            <w:vAlign w:val="bottom"/>
            <w:shd w:val="clear" w:color="auto" w:fill="E5F1F8"/>
          </w:tcPr>
          <w:p>
            <w:pPr>
              <w:spacing w:after="0"/>
              <w:rPr>
                <w:sz w:val="3"/>
                <w:szCs w:val="3"/>
                <w:color w:val="auto"/>
              </w:rPr>
            </w:pPr>
          </w:p>
        </w:tc>
        <w:tc>
          <w:tcPr>
            <w:tcW w:w="800" w:type="dxa"/>
            <w:vAlign w:val="bottom"/>
            <w:shd w:val="clear" w:color="auto" w:fill="E5F1F8"/>
          </w:tcPr>
          <w:p>
            <w:pPr>
              <w:spacing w:after="0"/>
              <w:rPr>
                <w:sz w:val="3"/>
                <w:szCs w:val="3"/>
                <w:color w:val="auto"/>
              </w:rPr>
            </w:pPr>
          </w:p>
        </w:tc>
        <w:tc>
          <w:tcPr>
            <w:tcW w:w="560" w:type="dxa"/>
            <w:vAlign w:val="bottom"/>
            <w:shd w:val="clear" w:color="auto" w:fill="E5F1F8"/>
          </w:tcPr>
          <w:p>
            <w:pPr>
              <w:spacing w:after="0"/>
              <w:rPr>
                <w:sz w:val="3"/>
                <w:szCs w:val="3"/>
                <w:color w:val="auto"/>
              </w:rPr>
            </w:pPr>
          </w:p>
        </w:tc>
        <w:tc>
          <w:tcPr>
            <w:tcW w:w="640" w:type="dxa"/>
            <w:vAlign w:val="bottom"/>
            <w:shd w:val="clear" w:color="auto" w:fill="E5F1F8"/>
          </w:tcPr>
          <w:p>
            <w:pPr>
              <w:spacing w:after="0"/>
              <w:rPr>
                <w:sz w:val="3"/>
                <w:szCs w:val="3"/>
                <w:color w:val="auto"/>
              </w:rPr>
            </w:pPr>
          </w:p>
        </w:tc>
        <w:tc>
          <w:tcPr>
            <w:tcW w:w="700" w:type="dxa"/>
            <w:vAlign w:val="bottom"/>
            <w:shd w:val="clear" w:color="auto" w:fill="E5F1F8"/>
          </w:tcPr>
          <w:p>
            <w:pPr>
              <w:spacing w:after="0"/>
              <w:rPr>
                <w:sz w:val="3"/>
                <w:szCs w:val="3"/>
                <w:color w:val="auto"/>
              </w:rPr>
            </w:pPr>
          </w:p>
        </w:tc>
        <w:tc>
          <w:tcPr>
            <w:tcW w:w="720" w:type="dxa"/>
            <w:vAlign w:val="bottom"/>
            <w:shd w:val="clear" w:color="auto" w:fill="E5F1F8"/>
          </w:tcPr>
          <w:p>
            <w:pPr>
              <w:spacing w:after="0"/>
              <w:rPr>
                <w:sz w:val="3"/>
                <w:szCs w:val="3"/>
                <w:color w:val="auto"/>
              </w:rPr>
            </w:pPr>
          </w:p>
        </w:tc>
        <w:tc>
          <w:tcPr>
            <w:tcW w:w="500" w:type="dxa"/>
            <w:vAlign w:val="bottom"/>
            <w:shd w:val="clear" w:color="auto" w:fill="E5F1F8"/>
          </w:tcPr>
          <w:p>
            <w:pPr>
              <w:spacing w:after="0"/>
              <w:rPr>
                <w:sz w:val="3"/>
                <w:szCs w:val="3"/>
                <w:color w:val="auto"/>
              </w:rPr>
            </w:pPr>
          </w:p>
        </w:tc>
        <w:tc>
          <w:tcPr>
            <w:tcW w:w="280" w:type="dxa"/>
            <w:vAlign w:val="bottom"/>
            <w:shd w:val="clear" w:color="auto" w:fill="E5F1F8"/>
          </w:tcPr>
          <w:p>
            <w:pPr>
              <w:spacing w:after="0"/>
              <w:rPr>
                <w:sz w:val="3"/>
                <w:szCs w:val="3"/>
                <w:color w:val="auto"/>
              </w:rPr>
            </w:pPr>
          </w:p>
        </w:tc>
        <w:tc>
          <w:tcPr>
            <w:tcW w:w="840" w:type="dxa"/>
            <w:vAlign w:val="bottom"/>
            <w:shd w:val="clear" w:color="auto" w:fill="E5F1F8"/>
          </w:tcPr>
          <w:p>
            <w:pPr>
              <w:spacing w:after="0"/>
              <w:rPr>
                <w:sz w:val="3"/>
                <w:szCs w:val="3"/>
                <w:color w:val="auto"/>
              </w:rPr>
            </w:pPr>
          </w:p>
        </w:tc>
        <w:tc>
          <w:tcPr>
            <w:tcW w:w="760" w:type="dxa"/>
            <w:vAlign w:val="bottom"/>
            <w:shd w:val="clear" w:color="auto" w:fill="E5F1F8"/>
          </w:tcPr>
          <w:p>
            <w:pPr>
              <w:spacing w:after="0"/>
              <w:rPr>
                <w:sz w:val="3"/>
                <w:szCs w:val="3"/>
                <w:color w:val="auto"/>
              </w:rPr>
            </w:pPr>
          </w:p>
        </w:tc>
        <w:tc>
          <w:tcPr>
            <w:tcW w:w="840" w:type="dxa"/>
            <w:vAlign w:val="bottom"/>
            <w:shd w:val="clear" w:color="auto" w:fill="E5F1F8"/>
          </w:tcPr>
          <w:p>
            <w:pPr>
              <w:spacing w:after="0"/>
              <w:rPr>
                <w:sz w:val="3"/>
                <w:szCs w:val="3"/>
                <w:color w:val="auto"/>
              </w:rPr>
            </w:pPr>
          </w:p>
        </w:tc>
        <w:tc>
          <w:tcPr>
            <w:tcW w:w="760" w:type="dxa"/>
            <w:vAlign w:val="bottom"/>
            <w:shd w:val="clear" w:color="auto" w:fill="E5F1F8"/>
          </w:tcPr>
          <w:p>
            <w:pPr>
              <w:spacing w:after="0"/>
              <w:rPr>
                <w:sz w:val="3"/>
                <w:szCs w:val="3"/>
                <w:color w:val="auto"/>
              </w:rPr>
            </w:pPr>
          </w:p>
        </w:tc>
        <w:tc>
          <w:tcPr>
            <w:tcW w:w="680" w:type="dxa"/>
            <w:vAlign w:val="bottom"/>
            <w:shd w:val="clear" w:color="auto" w:fill="E5F1F8"/>
          </w:tcPr>
          <w:p>
            <w:pPr>
              <w:spacing w:after="0"/>
              <w:rPr>
                <w:sz w:val="3"/>
                <w:szCs w:val="3"/>
                <w:color w:val="auto"/>
              </w:rPr>
            </w:pPr>
          </w:p>
        </w:tc>
        <w:tc>
          <w:tcPr>
            <w:tcW w:w="540" w:type="dxa"/>
            <w:vAlign w:val="bottom"/>
            <w:shd w:val="clear" w:color="auto" w:fill="E5F1F8"/>
          </w:tcPr>
          <w:p>
            <w:pPr>
              <w:spacing w:after="0"/>
              <w:rPr>
                <w:sz w:val="3"/>
                <w:szCs w:val="3"/>
                <w:color w:val="auto"/>
              </w:rPr>
            </w:pPr>
          </w:p>
        </w:tc>
        <w:tc>
          <w:tcPr>
            <w:tcW w:w="960" w:type="dxa"/>
            <w:vAlign w:val="bottom"/>
            <w:shd w:val="clear" w:color="auto" w:fill="E5F1F8"/>
          </w:tcPr>
          <w:p>
            <w:pPr>
              <w:spacing w:after="0"/>
              <w:rPr>
                <w:sz w:val="3"/>
                <w:szCs w:val="3"/>
                <w:color w:val="auto"/>
              </w:rPr>
            </w:pPr>
          </w:p>
        </w:tc>
      </w:tr>
    </w:tbl>
    <w:p>
      <w:pPr>
        <w:sectPr>
          <w:pgSz w:w="11900" w:h="16838" w:orient="portrait"/>
          <w:cols w:equalWidth="0" w:num="1">
            <w:col w:w="11240"/>
          </w:cols>
          <w:pgMar w:left="320" w:top="112" w:right="339" w:bottom="0" w:gutter="0" w:footer="0" w:header="0"/>
        </w:sectPr>
      </w:pPr>
    </w:p>
    <w:bookmarkStart w:id="147" w:name="page148"/>
    <w:bookmarkEnd w:id="1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620" w:type="dxa"/>
            <w:vAlign w:val="bottom"/>
          </w:tcPr>
          <w:p>
            <w:pPr>
              <w:ind w:left="20"/>
              <w:spacing w:after="0"/>
              <w:rPr>
                <w:sz w:val="20"/>
                <w:szCs w:val="20"/>
                <w:color w:val="auto"/>
              </w:rPr>
            </w:pPr>
            <w:r>
              <w:rPr>
                <w:rFonts w:ascii="Calibri" w:cs="Calibri" w:eastAsia="Calibri" w:hAnsi="Calibri"/>
                <w:sz w:val="17"/>
                <w:szCs w:val="17"/>
                <w:color w:val="auto"/>
              </w:rPr>
              <w:t>Petersburg Ky Gravel</w:t>
            </w:r>
          </w:p>
        </w:tc>
        <w:tc>
          <w:tcPr>
            <w:tcW w:w="860" w:type="dxa"/>
            <w:vAlign w:val="bottom"/>
          </w:tcPr>
          <w:p>
            <w:pPr>
              <w:jc w:val="center"/>
              <w:spacing w:after="0"/>
              <w:rPr>
                <w:sz w:val="20"/>
                <w:szCs w:val="20"/>
                <w:color w:val="auto"/>
              </w:rPr>
            </w:pPr>
            <w:r>
              <w:rPr>
                <w:rFonts w:ascii="Calibri" w:cs="Calibri" w:eastAsia="Calibri" w:hAnsi="Calibri"/>
                <w:sz w:val="17"/>
                <w:szCs w:val="17"/>
                <w:color w:val="auto"/>
              </w:rPr>
              <w:t>151689</w:t>
            </w:r>
          </w:p>
        </w:tc>
        <w:tc>
          <w:tcPr>
            <w:tcW w:w="520" w:type="dxa"/>
            <w:vAlign w:val="bottom"/>
          </w:tcPr>
          <w:p>
            <w:pPr>
              <w:jc w:val="right"/>
              <w:ind w:right="195"/>
              <w:spacing w:after="0"/>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rPr>
                <w:sz w:val="20"/>
                <w:szCs w:val="20"/>
                <w:color w:val="auto"/>
              </w:rPr>
            </w:pPr>
            <w:r>
              <w:rPr>
                <w:rFonts w:ascii="Calibri" w:cs="Calibri" w:eastAsia="Calibri" w:hAnsi="Calibri"/>
                <w:sz w:val="17"/>
                <w:szCs w:val="17"/>
                <w:color w:val="auto"/>
              </w:rPr>
              <w:t>0</w:t>
            </w:r>
          </w:p>
        </w:tc>
        <w:tc>
          <w:tcPr>
            <w:tcW w:w="400" w:type="dxa"/>
            <w:vAlign w:val="bottom"/>
          </w:tcPr>
          <w:p>
            <w:pPr>
              <w:jc w:val="right"/>
              <w:ind w:right="95"/>
              <w:spacing w:after="0"/>
              <w:rPr>
                <w:sz w:val="20"/>
                <w:szCs w:val="20"/>
                <w:color w:val="auto"/>
              </w:rPr>
            </w:pPr>
            <w:r>
              <w:rPr>
                <w:rFonts w:ascii="Calibri" w:cs="Calibri" w:eastAsia="Calibri" w:hAnsi="Calibri"/>
                <w:sz w:val="17"/>
                <w:szCs w:val="17"/>
                <w:b w:val="1"/>
                <w:bCs w:val="1"/>
                <w:color w:val="auto"/>
              </w:rPr>
              <w:t>$</w:t>
            </w:r>
          </w:p>
        </w:tc>
        <w:tc>
          <w:tcPr>
            <w:tcW w:w="720" w:type="dxa"/>
            <w:vAlign w:val="bottom"/>
          </w:tcPr>
          <w:p>
            <w:pPr>
              <w:jc w:val="right"/>
              <w:ind w:right="195"/>
              <w:spacing w:after="0"/>
              <w:rPr>
                <w:sz w:val="20"/>
                <w:szCs w:val="20"/>
                <w:color w:val="auto"/>
              </w:rPr>
            </w:pPr>
            <w:r>
              <w:rPr>
                <w:rFonts w:ascii="Calibri" w:cs="Calibri" w:eastAsia="Calibri" w:hAnsi="Calibri"/>
                <w:sz w:val="17"/>
                <w:szCs w:val="17"/>
                <w:b w:val="1"/>
                <w:bCs w:val="1"/>
                <w:color w:val="auto"/>
              </w:rPr>
              <w:t>266</w:t>
            </w:r>
          </w:p>
        </w:tc>
        <w:tc>
          <w:tcPr>
            <w:tcW w:w="760" w:type="dxa"/>
            <w:vAlign w:val="bottom"/>
          </w:tcPr>
          <w:p>
            <w:pPr>
              <w:jc w:val="right"/>
              <w:ind w:right="295"/>
              <w:spacing w:after="0"/>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rPr>
                <w:sz w:val="20"/>
                <w:szCs w:val="20"/>
                <w:color w:val="auto"/>
              </w:rPr>
            </w:pPr>
            <w:r>
              <w:rPr>
                <w:rFonts w:ascii="Calibri" w:cs="Calibri" w:eastAsia="Calibri" w:hAnsi="Calibri"/>
                <w:sz w:val="17"/>
                <w:szCs w:val="17"/>
                <w:color w:val="auto"/>
              </w:rPr>
              <w:t>0</w:t>
            </w:r>
          </w:p>
        </w:tc>
        <w:tc>
          <w:tcPr>
            <w:tcW w:w="720" w:type="dxa"/>
            <w:vAlign w:val="bottom"/>
          </w:tcPr>
          <w:p>
            <w:pPr>
              <w:jc w:val="right"/>
              <w:ind w:right="255"/>
              <w:spacing w:after="0"/>
              <w:rPr>
                <w:sz w:val="20"/>
                <w:szCs w:val="20"/>
                <w:color w:val="auto"/>
              </w:rPr>
            </w:pPr>
            <w:r>
              <w:rPr>
                <w:rFonts w:ascii="Calibri" w:cs="Calibri" w:eastAsia="Calibri" w:hAnsi="Calibri"/>
                <w:sz w:val="17"/>
                <w:szCs w:val="17"/>
                <w:color w:val="auto"/>
              </w:rPr>
              <w:t>0</w:t>
            </w:r>
          </w:p>
        </w:tc>
        <w:tc>
          <w:tcPr>
            <w:tcW w:w="780" w:type="dxa"/>
            <w:vAlign w:val="bottom"/>
          </w:tcPr>
          <w:p>
            <w:pPr>
              <w:jc w:val="right"/>
              <w:ind w:right="275"/>
              <w:spacing w:after="0"/>
              <w:rPr>
                <w:sz w:val="20"/>
                <w:szCs w:val="20"/>
                <w:color w:val="auto"/>
              </w:rPr>
            </w:pPr>
            <w:r>
              <w:rPr>
                <w:rFonts w:ascii="Calibri" w:cs="Calibri" w:eastAsia="Calibri" w:hAnsi="Calibri"/>
                <w:sz w:val="17"/>
                <w:szCs w:val="17"/>
                <w:color w:val="auto"/>
              </w:rPr>
              <w:t>0</w:t>
            </w:r>
          </w:p>
        </w:tc>
      </w:tr>
      <w:tr>
        <w:trPr>
          <w:trHeight w:val="204"/>
        </w:trPr>
        <w:tc>
          <w:tcPr>
            <w:tcW w:w="1620" w:type="dxa"/>
            <w:vAlign w:val="bottom"/>
          </w:tcPr>
          <w:p>
            <w:pPr>
              <w:spacing w:after="0"/>
              <w:rPr>
                <w:sz w:val="17"/>
                <w:szCs w:val="17"/>
                <w:color w:val="auto"/>
              </w:rPr>
            </w:pPr>
          </w:p>
        </w:tc>
        <w:tc>
          <w:tcPr>
            <w:tcW w:w="86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5</w:t>
            </w: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39"/>
        </w:trPr>
        <w:tc>
          <w:tcPr>
            <w:tcW w:w="1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89"/>
        </w:trPr>
        <w:tc>
          <w:tcPr>
            <w:tcW w:w="1620" w:type="dxa"/>
            <w:vAlign w:val="bottom"/>
            <w:shd w:val="clear" w:color="auto" w:fill="E5F1F8"/>
          </w:tcPr>
          <w:p>
            <w:pPr>
              <w:spacing w:after="0"/>
              <w:rPr>
                <w:sz w:val="16"/>
                <w:szCs w:val="16"/>
                <w:color w:val="auto"/>
              </w:rPr>
            </w:pPr>
          </w:p>
        </w:tc>
        <w:tc>
          <w:tcPr>
            <w:tcW w:w="860" w:type="dxa"/>
            <w:vAlign w:val="bottom"/>
            <w:shd w:val="clear" w:color="auto" w:fill="E5F1F8"/>
          </w:tcPr>
          <w:p>
            <w:pPr>
              <w:jc w:val="center"/>
              <w:spacing w:after="0" w:line="189" w:lineRule="exact"/>
              <w:rPr>
                <w:sz w:val="20"/>
                <w:szCs w:val="20"/>
                <w:color w:val="auto"/>
              </w:rPr>
            </w:pPr>
            <w:r>
              <w:rPr>
                <w:rFonts w:ascii="Calibri" w:cs="Calibri" w:eastAsia="Calibri" w:hAnsi="Calibri"/>
                <w:sz w:val="17"/>
                <w:szCs w:val="17"/>
                <w:color w:val="auto"/>
              </w:rPr>
              <w:t>330000</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4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780" w:type="dxa"/>
            <w:vAlign w:val="bottom"/>
            <w:shd w:val="clear" w:color="auto" w:fill="E5F1F8"/>
          </w:tcPr>
          <w:p>
            <w:pPr>
              <w:spacing w:after="0"/>
              <w:rPr>
                <w:sz w:val="16"/>
                <w:szCs w:val="16"/>
                <w:color w:val="auto"/>
              </w:rPr>
            </w:pPr>
          </w:p>
        </w:tc>
      </w:tr>
      <w:tr>
        <w:trPr>
          <w:trHeight w:val="223"/>
        </w:trPr>
        <w:tc>
          <w:tcPr>
            <w:tcW w:w="16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Phillipsburg Quarry</w:t>
            </w:r>
          </w:p>
        </w:tc>
        <w:tc>
          <w:tcPr>
            <w:tcW w:w="86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6</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400" w:type="dxa"/>
            <w:vAlign w:val="bottom"/>
            <w:tcBorders>
              <w:bottom w:val="single" w:sz="8" w:color="E5F1F8"/>
            </w:tcBorders>
            <w:shd w:val="clear" w:color="auto" w:fill="E5F1F8"/>
          </w:tcPr>
          <w:p>
            <w:pPr>
              <w:jc w:val="right"/>
              <w:ind w:right="95"/>
              <w:spacing w:after="0" w:line="205" w:lineRule="exact"/>
              <w:rPr>
                <w:sz w:val="20"/>
                <w:szCs w:val="20"/>
                <w:color w:val="auto"/>
              </w:rPr>
            </w:pPr>
            <w:r>
              <w:rPr>
                <w:rFonts w:ascii="Calibri" w:cs="Calibri" w:eastAsia="Calibri" w:hAnsi="Calibri"/>
                <w:sz w:val="17"/>
                <w:szCs w:val="17"/>
                <w:b w:val="1"/>
                <w:bCs w:val="1"/>
                <w:color w:val="auto"/>
              </w:rPr>
              <w:t>$</w:t>
            </w:r>
          </w:p>
        </w:tc>
        <w:tc>
          <w:tcPr>
            <w:tcW w:w="7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133</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80" w:type="dxa"/>
            <w:vAlign w:val="bottom"/>
            <w:tcBorders>
              <w:bottom w:val="single" w:sz="8" w:color="E5F1F8"/>
            </w:tcBorders>
            <w:shd w:val="clear" w:color="auto" w:fill="E5F1F8"/>
          </w:tcPr>
          <w:p>
            <w:pPr>
              <w:jc w:val="right"/>
              <w:ind w:right="275"/>
              <w:spacing w:after="0" w:line="205" w:lineRule="exact"/>
              <w:rPr>
                <w:sz w:val="20"/>
                <w:szCs w:val="20"/>
                <w:color w:val="auto"/>
              </w:rPr>
            </w:pPr>
            <w:r>
              <w:rPr>
                <w:rFonts w:ascii="Calibri" w:cs="Calibri" w:eastAsia="Calibri" w:hAnsi="Calibri"/>
                <w:sz w:val="17"/>
                <w:szCs w:val="17"/>
                <w:color w:val="auto"/>
              </w:rPr>
              <w:t>0</w:t>
            </w:r>
          </w:p>
        </w:tc>
      </w:tr>
      <w:tr>
        <w:trPr>
          <w:trHeight w:val="115"/>
        </w:trPr>
        <w:tc>
          <w:tcPr>
            <w:tcW w:w="16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0" w:right="339" w:bottom="1440" w:gutter="0" w:footer="0" w:header="0"/>
        </w:sectPr>
      </w:pPr>
    </w:p>
    <w:bookmarkStart w:id="148" w:name="page149"/>
    <w:bookmarkEnd w:id="14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center"/>
              <w:ind w:left="74"/>
              <w:spacing w:after="0"/>
              <w:rPr>
                <w:sz w:val="20"/>
                <w:szCs w:val="20"/>
                <w:color w:val="auto"/>
              </w:rPr>
            </w:pPr>
            <w:r>
              <w:rPr>
                <w:rFonts w:ascii="Calibri" w:cs="Calibri" w:eastAsia="Calibri" w:hAnsi="Calibri"/>
                <w:sz w:val="18"/>
                <w:szCs w:val="18"/>
                <w:color w:val="auto"/>
                <w:w w:val="97"/>
              </w:rPr>
              <w:t>Appendix 1</w:t>
            </w:r>
          </w:p>
        </w:tc>
      </w:tr>
      <w:tr>
        <w:trPr>
          <w:trHeight w:val="212"/>
        </w:trPr>
        <w:tc>
          <w:tcPr>
            <w:tcW w:w="1740" w:type="dxa"/>
            <w:vAlign w:val="bottom"/>
          </w:tcPr>
          <w:p>
            <w:pPr>
              <w:spacing w:after="0"/>
              <w:rPr>
                <w:sz w:val="18"/>
                <w:szCs w:val="18"/>
                <w:color w:val="auto"/>
              </w:rPr>
            </w:pPr>
          </w:p>
        </w:tc>
        <w:tc>
          <w:tcPr>
            <w:tcW w:w="740" w:type="dxa"/>
            <w:vAlign w:val="bottom"/>
          </w:tcPr>
          <w:p>
            <w:pPr>
              <w:jc w:val="center"/>
              <w:ind w:right="75"/>
              <w:spacing w:after="0"/>
              <w:rPr>
                <w:sz w:val="20"/>
                <w:szCs w:val="20"/>
                <w:color w:val="auto"/>
              </w:rPr>
            </w:pPr>
            <w:r>
              <w:rPr>
                <w:rFonts w:ascii="Calibri" w:cs="Calibri" w:eastAsia="Calibri" w:hAnsi="Calibri"/>
                <w:sz w:val="17"/>
                <w:szCs w:val="17"/>
                <w:color w:val="auto"/>
              </w:rPr>
              <w:t>130212</w:t>
            </w: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Portland Quarry</w:t>
            </w:r>
          </w:p>
        </w:tc>
        <w:tc>
          <w:tcPr>
            <w:tcW w:w="740" w:type="dxa"/>
            <w:vAlign w:val="bottom"/>
          </w:tcPr>
          <w:p>
            <w:pPr>
              <w:jc w:val="center"/>
              <w:ind w:right="55"/>
              <w:spacing w:after="0" w:line="205" w:lineRule="exact"/>
              <w:rPr>
                <w:sz w:val="20"/>
                <w:szCs w:val="20"/>
                <w:color w:val="auto"/>
              </w:rPr>
            </w:pPr>
            <w:r>
              <w:rPr>
                <w:rFonts w:ascii="Calibri" w:cs="Calibri" w:eastAsia="Calibri" w:hAnsi="Calibri"/>
                <w:sz w:val="17"/>
                <w:szCs w:val="17"/>
                <w:color w:val="auto"/>
                <w:w w:val="92"/>
              </w:rPr>
              <w:t>2</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40" w:type="dxa"/>
            <w:vAlign w:val="bottom"/>
            <w:shd w:val="clear" w:color="auto" w:fill="E5F1F8"/>
          </w:tcPr>
          <w:p>
            <w:pPr>
              <w:spacing w:after="0"/>
              <w:rPr>
                <w:sz w:val="16"/>
                <w:szCs w:val="16"/>
                <w:color w:val="auto"/>
              </w:rPr>
            </w:pPr>
          </w:p>
        </w:tc>
        <w:tc>
          <w:tcPr>
            <w:tcW w:w="740" w:type="dxa"/>
            <w:vAlign w:val="bottom"/>
            <w:shd w:val="clear" w:color="auto" w:fill="E5F1F8"/>
          </w:tcPr>
          <w:p>
            <w:pPr>
              <w:jc w:val="center"/>
              <w:ind w:right="75"/>
              <w:spacing w:after="0" w:line="189" w:lineRule="exact"/>
              <w:rPr>
                <w:sz w:val="20"/>
                <w:szCs w:val="20"/>
                <w:color w:val="auto"/>
              </w:rPr>
            </w:pPr>
            <w:r>
              <w:rPr>
                <w:rFonts w:ascii="Calibri" w:cs="Calibri" w:eastAsia="Calibri" w:hAnsi="Calibri"/>
                <w:sz w:val="17"/>
                <w:szCs w:val="17"/>
                <w:color w:val="auto"/>
              </w:rPr>
              <w:t>120224</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Putnam Quarry Divest</w:t>
            </w:r>
          </w:p>
        </w:tc>
        <w:tc>
          <w:tcPr>
            <w:tcW w:w="740" w:type="dxa"/>
            <w:vAlign w:val="bottom"/>
            <w:tcBorders>
              <w:bottom w:val="single" w:sz="8" w:color="E5F1F8"/>
            </w:tcBorders>
            <w:shd w:val="clear" w:color="auto" w:fill="E5F1F8"/>
          </w:tcPr>
          <w:p>
            <w:pPr>
              <w:jc w:val="center"/>
              <w:ind w:right="55"/>
              <w:spacing w:after="0" w:line="205" w:lineRule="exact"/>
              <w:rPr>
                <w:sz w:val="20"/>
                <w:szCs w:val="20"/>
                <w:color w:val="auto"/>
              </w:rPr>
            </w:pPr>
            <w:r>
              <w:rPr>
                <w:rFonts w:ascii="Calibri" w:cs="Calibri" w:eastAsia="Calibri" w:hAnsi="Calibri"/>
                <w:sz w:val="17"/>
                <w:szCs w:val="17"/>
                <w:color w:val="auto"/>
                <w:w w:val="92"/>
              </w:rPr>
              <w:t>2</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40" w:type="dxa"/>
            <w:vAlign w:val="bottom"/>
          </w:tcPr>
          <w:p>
            <w:pPr>
              <w:spacing w:after="0"/>
              <w:rPr>
                <w:sz w:val="16"/>
                <w:szCs w:val="16"/>
                <w:color w:val="auto"/>
              </w:rPr>
            </w:pPr>
          </w:p>
        </w:tc>
        <w:tc>
          <w:tcPr>
            <w:tcW w:w="740" w:type="dxa"/>
            <w:vAlign w:val="bottom"/>
          </w:tcPr>
          <w:p>
            <w:pPr>
              <w:jc w:val="center"/>
              <w:ind w:right="75"/>
              <w:spacing w:after="0" w:line="189" w:lineRule="exact"/>
              <w:rPr>
                <w:sz w:val="20"/>
                <w:szCs w:val="20"/>
                <w:color w:val="auto"/>
              </w:rPr>
            </w:pPr>
            <w:r>
              <w:rPr>
                <w:rFonts w:ascii="Calibri" w:cs="Calibri" w:eastAsia="Calibri" w:hAnsi="Calibri"/>
                <w:sz w:val="17"/>
                <w:szCs w:val="17"/>
                <w:color w:val="auto"/>
              </w:rPr>
              <w:t>130231</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Raccoon River Sand</w:t>
            </w:r>
          </w:p>
        </w:tc>
        <w:tc>
          <w:tcPr>
            <w:tcW w:w="740" w:type="dxa"/>
            <w:vAlign w:val="bottom"/>
          </w:tcPr>
          <w:p>
            <w:pPr>
              <w:jc w:val="center"/>
              <w:ind w:right="55"/>
              <w:spacing w:after="0" w:line="205" w:lineRule="exact"/>
              <w:rPr>
                <w:sz w:val="20"/>
                <w:szCs w:val="20"/>
                <w:color w:val="auto"/>
              </w:rPr>
            </w:pPr>
            <w:r>
              <w:rPr>
                <w:rFonts w:ascii="Calibri" w:cs="Calibri" w:eastAsia="Calibri" w:hAnsi="Calibri"/>
                <w:sz w:val="17"/>
                <w:szCs w:val="17"/>
                <w:color w:val="auto"/>
                <w:w w:val="92"/>
              </w:rPr>
              <w:t>5</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399</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40" w:type="dxa"/>
            <w:vAlign w:val="bottom"/>
            <w:shd w:val="clear" w:color="auto" w:fill="E5F1F8"/>
          </w:tcPr>
          <w:p>
            <w:pPr>
              <w:spacing w:after="0"/>
              <w:rPr>
                <w:sz w:val="16"/>
                <w:szCs w:val="16"/>
                <w:color w:val="auto"/>
              </w:rPr>
            </w:pPr>
          </w:p>
        </w:tc>
        <w:tc>
          <w:tcPr>
            <w:tcW w:w="740" w:type="dxa"/>
            <w:vAlign w:val="bottom"/>
            <w:shd w:val="clear" w:color="auto" w:fill="E5F1F8"/>
          </w:tcPr>
          <w:p>
            <w:pPr>
              <w:jc w:val="center"/>
              <w:ind w:right="75"/>
              <w:spacing w:after="0" w:line="189" w:lineRule="exact"/>
              <w:rPr>
                <w:sz w:val="20"/>
                <w:szCs w:val="20"/>
                <w:color w:val="auto"/>
              </w:rPr>
            </w:pPr>
            <w:r>
              <w:rPr>
                <w:rFonts w:ascii="Calibri" w:cs="Calibri" w:eastAsia="Calibri" w:hAnsi="Calibri"/>
                <w:sz w:val="17"/>
                <w:szCs w:val="17"/>
                <w:color w:val="auto"/>
              </w:rPr>
              <w:t>230230</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Randolph Mine</w:t>
            </w:r>
          </w:p>
        </w:tc>
        <w:tc>
          <w:tcPr>
            <w:tcW w:w="740" w:type="dxa"/>
            <w:vAlign w:val="bottom"/>
            <w:tcBorders>
              <w:bottom w:val="single" w:sz="8" w:color="E5F1F8"/>
            </w:tcBorders>
            <w:shd w:val="clear" w:color="auto" w:fill="E5F1F8"/>
          </w:tcPr>
          <w:p>
            <w:pPr>
              <w:jc w:val="center"/>
              <w:ind w:right="55"/>
              <w:spacing w:after="0" w:line="205" w:lineRule="exact"/>
              <w:rPr>
                <w:sz w:val="20"/>
                <w:szCs w:val="20"/>
                <w:color w:val="auto"/>
              </w:rPr>
            </w:pPr>
            <w:r>
              <w:rPr>
                <w:rFonts w:ascii="Calibri" w:cs="Calibri" w:eastAsia="Calibri" w:hAnsi="Calibri"/>
                <w:sz w:val="17"/>
                <w:szCs w:val="17"/>
                <w:color w:val="auto"/>
                <w:w w:val="92"/>
              </w:rPr>
              <w:t>8</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5</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10,850</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1</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1</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40" w:type="dxa"/>
            <w:vAlign w:val="bottom"/>
          </w:tcPr>
          <w:p>
            <w:pPr>
              <w:spacing w:after="0"/>
              <w:rPr>
                <w:sz w:val="16"/>
                <w:szCs w:val="16"/>
                <w:color w:val="auto"/>
              </w:rPr>
            </w:pPr>
          </w:p>
        </w:tc>
        <w:tc>
          <w:tcPr>
            <w:tcW w:w="740" w:type="dxa"/>
            <w:vAlign w:val="bottom"/>
          </w:tcPr>
          <w:p>
            <w:pPr>
              <w:jc w:val="center"/>
              <w:ind w:right="75"/>
              <w:spacing w:after="0" w:line="189" w:lineRule="exact"/>
              <w:rPr>
                <w:sz w:val="20"/>
                <w:szCs w:val="20"/>
                <w:color w:val="auto"/>
              </w:rPr>
            </w:pPr>
            <w:r>
              <w:rPr>
                <w:rFonts w:ascii="Calibri" w:cs="Calibri" w:eastAsia="Calibri" w:hAnsi="Calibri"/>
                <w:sz w:val="17"/>
                <w:szCs w:val="17"/>
                <w:color w:val="auto"/>
              </w:rPr>
              <w:t>130081</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Reasnor Sand</w:t>
            </w:r>
          </w:p>
        </w:tc>
        <w:tc>
          <w:tcPr>
            <w:tcW w:w="740" w:type="dxa"/>
            <w:vAlign w:val="bottom"/>
          </w:tcPr>
          <w:p>
            <w:pPr>
              <w:jc w:val="center"/>
              <w:ind w:right="55"/>
              <w:spacing w:after="0" w:line="205" w:lineRule="exact"/>
              <w:rPr>
                <w:sz w:val="20"/>
                <w:szCs w:val="20"/>
                <w:color w:val="auto"/>
              </w:rPr>
            </w:pPr>
            <w:r>
              <w:rPr>
                <w:rFonts w:ascii="Calibri" w:cs="Calibri" w:eastAsia="Calibri" w:hAnsi="Calibri"/>
                <w:sz w:val="17"/>
                <w:szCs w:val="17"/>
                <w:color w:val="auto"/>
                <w:w w:val="92"/>
              </w:rPr>
              <w:t>4</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40" w:type="dxa"/>
            <w:vAlign w:val="bottom"/>
            <w:shd w:val="clear" w:color="auto" w:fill="E5F1F8"/>
          </w:tcPr>
          <w:p>
            <w:pPr>
              <w:spacing w:after="0"/>
              <w:rPr>
                <w:sz w:val="16"/>
                <w:szCs w:val="16"/>
                <w:color w:val="auto"/>
              </w:rPr>
            </w:pPr>
          </w:p>
        </w:tc>
        <w:tc>
          <w:tcPr>
            <w:tcW w:w="740" w:type="dxa"/>
            <w:vAlign w:val="bottom"/>
            <w:shd w:val="clear" w:color="auto" w:fill="E5F1F8"/>
          </w:tcPr>
          <w:p>
            <w:pPr>
              <w:jc w:val="center"/>
              <w:ind w:right="75"/>
              <w:spacing w:after="0" w:line="189" w:lineRule="exact"/>
              <w:rPr>
                <w:sz w:val="20"/>
                <w:szCs w:val="20"/>
                <w:color w:val="auto"/>
              </w:rPr>
            </w:pPr>
            <w:r>
              <w:rPr>
                <w:rFonts w:ascii="Calibri" w:cs="Calibri" w:eastAsia="Calibri" w:hAnsi="Calibri"/>
                <w:sz w:val="17"/>
                <w:szCs w:val="17"/>
                <w:color w:val="auto"/>
              </w:rPr>
              <w:t>130229</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Saylorville Sand</w:t>
            </w:r>
          </w:p>
        </w:tc>
        <w:tc>
          <w:tcPr>
            <w:tcW w:w="740" w:type="dxa"/>
            <w:vAlign w:val="bottom"/>
            <w:tcBorders>
              <w:bottom w:val="single" w:sz="8" w:color="E5F1F8"/>
            </w:tcBorders>
            <w:shd w:val="clear" w:color="auto" w:fill="E5F1F8"/>
          </w:tcPr>
          <w:p>
            <w:pPr>
              <w:jc w:val="center"/>
              <w:ind w:right="55"/>
              <w:spacing w:after="0" w:line="205" w:lineRule="exact"/>
              <w:rPr>
                <w:sz w:val="20"/>
                <w:szCs w:val="20"/>
                <w:color w:val="auto"/>
              </w:rPr>
            </w:pPr>
            <w:r>
              <w:rPr>
                <w:rFonts w:ascii="Calibri" w:cs="Calibri" w:eastAsia="Calibri" w:hAnsi="Calibri"/>
                <w:sz w:val="17"/>
                <w:szCs w:val="17"/>
                <w:color w:val="auto"/>
                <w:w w:val="92"/>
              </w:rPr>
              <w:t>0</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40" w:type="dxa"/>
            <w:vAlign w:val="bottom"/>
          </w:tcPr>
          <w:p>
            <w:pPr>
              <w:spacing w:after="0"/>
              <w:rPr>
                <w:sz w:val="16"/>
                <w:szCs w:val="16"/>
                <w:color w:val="auto"/>
              </w:rPr>
            </w:pPr>
          </w:p>
        </w:tc>
        <w:tc>
          <w:tcPr>
            <w:tcW w:w="740" w:type="dxa"/>
            <w:vAlign w:val="bottom"/>
          </w:tcPr>
          <w:p>
            <w:pPr>
              <w:jc w:val="center"/>
              <w:ind w:right="75"/>
              <w:spacing w:after="0" w:line="189" w:lineRule="exact"/>
              <w:rPr>
                <w:sz w:val="20"/>
                <w:szCs w:val="20"/>
                <w:color w:val="auto"/>
              </w:rPr>
            </w:pPr>
            <w:r>
              <w:rPr>
                <w:rFonts w:ascii="Calibri" w:cs="Calibri" w:eastAsia="Calibri" w:hAnsi="Calibri"/>
                <w:sz w:val="17"/>
                <w:szCs w:val="17"/>
                <w:color w:val="auto"/>
              </w:rPr>
              <w:t>330401</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Shamrock SG</w:t>
            </w:r>
          </w:p>
        </w:tc>
        <w:tc>
          <w:tcPr>
            <w:tcW w:w="740" w:type="dxa"/>
            <w:vAlign w:val="bottom"/>
          </w:tcPr>
          <w:p>
            <w:pPr>
              <w:jc w:val="center"/>
              <w:ind w:right="55"/>
              <w:spacing w:after="0" w:line="205" w:lineRule="exact"/>
              <w:rPr>
                <w:sz w:val="20"/>
                <w:szCs w:val="20"/>
                <w:color w:val="auto"/>
              </w:rPr>
            </w:pPr>
            <w:r>
              <w:rPr>
                <w:rFonts w:ascii="Calibri" w:cs="Calibri" w:eastAsia="Calibri" w:hAnsi="Calibri"/>
                <w:sz w:val="17"/>
                <w:szCs w:val="17"/>
                <w:color w:val="auto"/>
                <w:w w:val="92"/>
              </w:rPr>
              <w:t>1</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40" w:type="dxa"/>
            <w:vAlign w:val="bottom"/>
            <w:shd w:val="clear" w:color="auto" w:fill="E5F1F8"/>
          </w:tcPr>
          <w:p>
            <w:pPr>
              <w:ind w:left="20"/>
              <w:spacing w:after="0" w:line="189" w:lineRule="exact"/>
              <w:rPr>
                <w:sz w:val="20"/>
                <w:szCs w:val="20"/>
                <w:color w:val="auto"/>
              </w:rPr>
            </w:pPr>
            <w:r>
              <w:rPr>
                <w:rFonts w:ascii="Calibri" w:cs="Calibri" w:eastAsia="Calibri" w:hAnsi="Calibri"/>
                <w:sz w:val="17"/>
                <w:szCs w:val="17"/>
                <w:color w:val="auto"/>
              </w:rPr>
              <w:t>Spring Valley Cook Rd</w:t>
            </w:r>
          </w:p>
        </w:tc>
        <w:tc>
          <w:tcPr>
            <w:tcW w:w="740" w:type="dxa"/>
            <w:vAlign w:val="bottom"/>
            <w:shd w:val="clear" w:color="auto" w:fill="E5F1F8"/>
          </w:tcPr>
          <w:p>
            <w:pPr>
              <w:jc w:val="center"/>
              <w:ind w:right="75"/>
              <w:spacing w:after="0" w:line="189" w:lineRule="exact"/>
              <w:rPr>
                <w:sz w:val="20"/>
                <w:szCs w:val="20"/>
                <w:color w:val="auto"/>
              </w:rPr>
            </w:pPr>
            <w:r>
              <w:rPr>
                <w:rFonts w:ascii="Calibri" w:cs="Calibri" w:eastAsia="Calibri" w:hAnsi="Calibri"/>
                <w:sz w:val="17"/>
                <w:szCs w:val="17"/>
                <w:color w:val="auto"/>
              </w:rPr>
              <w:t>330453</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SG</w:t>
            </w:r>
          </w:p>
        </w:tc>
        <w:tc>
          <w:tcPr>
            <w:tcW w:w="740" w:type="dxa"/>
            <w:vAlign w:val="bottom"/>
            <w:tcBorders>
              <w:bottom w:val="single" w:sz="8" w:color="E5F1F8"/>
            </w:tcBorders>
            <w:shd w:val="clear" w:color="auto" w:fill="E5F1F8"/>
          </w:tcPr>
          <w:p>
            <w:pPr>
              <w:jc w:val="center"/>
              <w:ind w:right="55"/>
              <w:spacing w:after="0" w:line="205" w:lineRule="exact"/>
              <w:rPr>
                <w:sz w:val="20"/>
                <w:szCs w:val="20"/>
                <w:color w:val="auto"/>
              </w:rPr>
            </w:pPr>
            <w:r>
              <w:rPr>
                <w:rFonts w:ascii="Calibri" w:cs="Calibri" w:eastAsia="Calibri" w:hAnsi="Calibri"/>
                <w:sz w:val="17"/>
                <w:szCs w:val="17"/>
                <w:color w:val="auto"/>
                <w:w w:val="92"/>
              </w:rPr>
              <w:t>4</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133</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40" w:type="dxa"/>
            <w:vAlign w:val="bottom"/>
          </w:tcPr>
          <w:p>
            <w:pPr>
              <w:spacing w:after="0"/>
              <w:rPr>
                <w:sz w:val="16"/>
                <w:szCs w:val="16"/>
                <w:color w:val="auto"/>
              </w:rPr>
            </w:pPr>
          </w:p>
        </w:tc>
        <w:tc>
          <w:tcPr>
            <w:tcW w:w="740" w:type="dxa"/>
            <w:vAlign w:val="bottom"/>
          </w:tcPr>
          <w:p>
            <w:pPr>
              <w:jc w:val="center"/>
              <w:ind w:right="75"/>
              <w:spacing w:after="0" w:line="189" w:lineRule="exact"/>
              <w:rPr>
                <w:sz w:val="20"/>
                <w:szCs w:val="20"/>
                <w:color w:val="auto"/>
              </w:rPr>
            </w:pPr>
            <w:r>
              <w:rPr>
                <w:rFonts w:ascii="Calibri" w:cs="Calibri" w:eastAsia="Calibri" w:hAnsi="Calibri"/>
                <w:sz w:val="17"/>
                <w:szCs w:val="17"/>
                <w:color w:val="auto"/>
              </w:rPr>
              <w:t>210008</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St Cloud Quarry</w:t>
            </w:r>
          </w:p>
        </w:tc>
        <w:tc>
          <w:tcPr>
            <w:tcW w:w="740" w:type="dxa"/>
            <w:vAlign w:val="bottom"/>
          </w:tcPr>
          <w:p>
            <w:pPr>
              <w:jc w:val="center"/>
              <w:ind w:right="55"/>
              <w:spacing w:after="0" w:line="205" w:lineRule="exact"/>
              <w:rPr>
                <w:sz w:val="20"/>
                <w:szCs w:val="20"/>
                <w:color w:val="auto"/>
              </w:rPr>
            </w:pPr>
            <w:r>
              <w:rPr>
                <w:rFonts w:ascii="Calibri" w:cs="Calibri" w:eastAsia="Calibri" w:hAnsi="Calibri"/>
                <w:sz w:val="17"/>
                <w:szCs w:val="17"/>
                <w:color w:val="auto"/>
                <w:w w:val="92"/>
              </w:rPr>
              <w:t>1</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40" w:type="dxa"/>
            <w:vAlign w:val="bottom"/>
            <w:shd w:val="clear" w:color="auto" w:fill="E5F1F8"/>
          </w:tcPr>
          <w:p>
            <w:pPr>
              <w:spacing w:after="0"/>
              <w:rPr>
                <w:sz w:val="16"/>
                <w:szCs w:val="16"/>
                <w:color w:val="auto"/>
              </w:rPr>
            </w:pPr>
          </w:p>
        </w:tc>
        <w:tc>
          <w:tcPr>
            <w:tcW w:w="740" w:type="dxa"/>
            <w:vAlign w:val="bottom"/>
            <w:shd w:val="clear" w:color="auto" w:fill="E5F1F8"/>
          </w:tcPr>
          <w:p>
            <w:pPr>
              <w:jc w:val="center"/>
              <w:ind w:right="75"/>
              <w:spacing w:after="0" w:line="189" w:lineRule="exact"/>
              <w:rPr>
                <w:sz w:val="20"/>
                <w:szCs w:val="20"/>
                <w:color w:val="auto"/>
              </w:rPr>
            </w:pPr>
            <w:r>
              <w:rPr>
                <w:rFonts w:ascii="Calibri" w:cs="Calibri" w:eastAsia="Calibri" w:hAnsi="Calibri"/>
                <w:sz w:val="17"/>
                <w:szCs w:val="17"/>
                <w:color w:val="auto"/>
              </w:rPr>
              <w:t>230223</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Stamper Mine</w:t>
            </w:r>
          </w:p>
        </w:tc>
        <w:tc>
          <w:tcPr>
            <w:tcW w:w="740" w:type="dxa"/>
            <w:vAlign w:val="bottom"/>
            <w:tcBorders>
              <w:bottom w:val="single" w:sz="8" w:color="E5F1F8"/>
            </w:tcBorders>
            <w:shd w:val="clear" w:color="auto" w:fill="E5F1F8"/>
          </w:tcPr>
          <w:p>
            <w:pPr>
              <w:jc w:val="center"/>
              <w:ind w:right="55"/>
              <w:spacing w:after="0" w:line="205" w:lineRule="exact"/>
              <w:rPr>
                <w:sz w:val="20"/>
                <w:szCs w:val="20"/>
                <w:color w:val="auto"/>
              </w:rPr>
            </w:pPr>
            <w:r>
              <w:rPr>
                <w:rFonts w:ascii="Calibri" w:cs="Calibri" w:eastAsia="Calibri" w:hAnsi="Calibri"/>
                <w:sz w:val="17"/>
                <w:szCs w:val="17"/>
                <w:color w:val="auto"/>
                <w:w w:val="92"/>
              </w:rPr>
              <w:t>2</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1</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2,046</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1</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1</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5</w:t>
            </w:r>
          </w:p>
        </w:tc>
      </w:tr>
      <w:tr>
        <w:trPr>
          <w:trHeight w:val="189"/>
        </w:trPr>
        <w:tc>
          <w:tcPr>
            <w:tcW w:w="1740" w:type="dxa"/>
            <w:vAlign w:val="bottom"/>
          </w:tcPr>
          <w:p>
            <w:pPr>
              <w:spacing w:after="0"/>
              <w:rPr>
                <w:sz w:val="16"/>
                <w:szCs w:val="16"/>
                <w:color w:val="auto"/>
              </w:rPr>
            </w:pPr>
          </w:p>
        </w:tc>
        <w:tc>
          <w:tcPr>
            <w:tcW w:w="740" w:type="dxa"/>
            <w:vAlign w:val="bottom"/>
          </w:tcPr>
          <w:p>
            <w:pPr>
              <w:jc w:val="center"/>
              <w:ind w:right="75"/>
              <w:spacing w:after="0" w:line="189" w:lineRule="exact"/>
              <w:rPr>
                <w:sz w:val="20"/>
                <w:szCs w:val="20"/>
                <w:color w:val="auto"/>
              </w:rPr>
            </w:pPr>
            <w:r>
              <w:rPr>
                <w:rFonts w:ascii="Calibri" w:cs="Calibri" w:eastAsia="Calibri" w:hAnsi="Calibri"/>
                <w:sz w:val="17"/>
                <w:szCs w:val="17"/>
                <w:color w:val="auto"/>
              </w:rPr>
              <w:t>130006</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Sully Mine</w:t>
            </w:r>
          </w:p>
        </w:tc>
        <w:tc>
          <w:tcPr>
            <w:tcW w:w="740" w:type="dxa"/>
            <w:vAlign w:val="bottom"/>
          </w:tcPr>
          <w:p>
            <w:pPr>
              <w:jc w:val="center"/>
              <w:ind w:right="55"/>
              <w:spacing w:after="0" w:line="205" w:lineRule="exact"/>
              <w:rPr>
                <w:sz w:val="20"/>
                <w:szCs w:val="20"/>
                <w:color w:val="auto"/>
              </w:rPr>
            </w:pPr>
            <w:r>
              <w:rPr>
                <w:rFonts w:ascii="Calibri" w:cs="Calibri" w:eastAsia="Calibri" w:hAnsi="Calibri"/>
                <w:sz w:val="17"/>
                <w:szCs w:val="17"/>
                <w:color w:val="auto"/>
                <w:w w:val="92"/>
              </w:rPr>
              <w:t>3</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1,064</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40" w:type="dxa"/>
            <w:vAlign w:val="bottom"/>
            <w:shd w:val="clear" w:color="auto" w:fill="E5F1F8"/>
          </w:tcPr>
          <w:p>
            <w:pPr>
              <w:spacing w:after="0"/>
              <w:rPr>
                <w:sz w:val="16"/>
                <w:szCs w:val="16"/>
                <w:color w:val="auto"/>
              </w:rPr>
            </w:pPr>
          </w:p>
        </w:tc>
        <w:tc>
          <w:tcPr>
            <w:tcW w:w="740" w:type="dxa"/>
            <w:vAlign w:val="bottom"/>
            <w:shd w:val="clear" w:color="auto" w:fill="E5F1F8"/>
          </w:tcPr>
          <w:p>
            <w:pPr>
              <w:jc w:val="center"/>
              <w:ind w:right="75"/>
              <w:spacing w:after="0" w:line="189" w:lineRule="exact"/>
              <w:rPr>
                <w:sz w:val="20"/>
                <w:szCs w:val="20"/>
                <w:color w:val="auto"/>
              </w:rPr>
            </w:pPr>
            <w:r>
              <w:rPr>
                <w:rFonts w:ascii="Calibri" w:cs="Calibri" w:eastAsia="Calibri" w:hAnsi="Calibri"/>
                <w:sz w:val="17"/>
                <w:szCs w:val="17"/>
                <w:color w:val="auto"/>
              </w:rPr>
              <w:t>140155</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Sunfower Qy  Co 61</w:t>
            </w:r>
          </w:p>
        </w:tc>
        <w:tc>
          <w:tcPr>
            <w:tcW w:w="740" w:type="dxa"/>
            <w:vAlign w:val="bottom"/>
            <w:tcBorders>
              <w:bottom w:val="single" w:sz="8" w:color="E5F1F8"/>
            </w:tcBorders>
            <w:shd w:val="clear" w:color="auto" w:fill="E5F1F8"/>
          </w:tcPr>
          <w:p>
            <w:pPr>
              <w:jc w:val="center"/>
              <w:ind w:right="55"/>
              <w:spacing w:after="0" w:line="205" w:lineRule="exact"/>
              <w:rPr>
                <w:sz w:val="20"/>
                <w:szCs w:val="20"/>
                <w:color w:val="auto"/>
              </w:rPr>
            </w:pPr>
            <w:r>
              <w:rPr>
                <w:rFonts w:ascii="Calibri" w:cs="Calibri" w:eastAsia="Calibri" w:hAnsi="Calibri"/>
                <w:sz w:val="17"/>
                <w:szCs w:val="17"/>
                <w:color w:val="auto"/>
                <w:w w:val="92"/>
              </w:rPr>
              <w:t>6</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266</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40" w:type="dxa"/>
            <w:vAlign w:val="bottom"/>
          </w:tcPr>
          <w:p>
            <w:pPr>
              <w:spacing w:after="0"/>
              <w:rPr>
                <w:sz w:val="16"/>
                <w:szCs w:val="16"/>
                <w:color w:val="auto"/>
              </w:rPr>
            </w:pPr>
          </w:p>
        </w:tc>
        <w:tc>
          <w:tcPr>
            <w:tcW w:w="740" w:type="dxa"/>
            <w:vAlign w:val="bottom"/>
          </w:tcPr>
          <w:p>
            <w:pPr>
              <w:jc w:val="center"/>
              <w:ind w:right="75"/>
              <w:spacing w:after="0" w:line="189" w:lineRule="exact"/>
              <w:rPr>
                <w:sz w:val="20"/>
                <w:szCs w:val="20"/>
                <w:color w:val="auto"/>
              </w:rPr>
            </w:pPr>
            <w:r>
              <w:rPr>
                <w:rFonts w:ascii="Calibri" w:cs="Calibri" w:eastAsia="Calibri" w:hAnsi="Calibri"/>
                <w:sz w:val="17"/>
                <w:szCs w:val="17"/>
                <w:color w:val="auto"/>
              </w:rPr>
              <w:t>330167</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Troy Gravel</w:t>
            </w:r>
          </w:p>
        </w:tc>
        <w:tc>
          <w:tcPr>
            <w:tcW w:w="740" w:type="dxa"/>
            <w:vAlign w:val="bottom"/>
          </w:tcPr>
          <w:p>
            <w:pPr>
              <w:jc w:val="center"/>
              <w:ind w:right="55"/>
              <w:spacing w:after="0" w:line="205" w:lineRule="exact"/>
              <w:rPr>
                <w:sz w:val="20"/>
                <w:szCs w:val="20"/>
                <w:color w:val="auto"/>
              </w:rPr>
            </w:pPr>
            <w:r>
              <w:rPr>
                <w:rFonts w:ascii="Calibri" w:cs="Calibri" w:eastAsia="Calibri" w:hAnsi="Calibri"/>
                <w:sz w:val="17"/>
                <w:szCs w:val="17"/>
                <w:color w:val="auto"/>
                <w:w w:val="92"/>
              </w:rPr>
              <w:t>8</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40" w:type="dxa"/>
            <w:vAlign w:val="bottom"/>
            <w:shd w:val="clear" w:color="auto" w:fill="E5F1F8"/>
          </w:tcPr>
          <w:p>
            <w:pPr>
              <w:spacing w:after="0"/>
              <w:rPr>
                <w:sz w:val="16"/>
                <w:szCs w:val="16"/>
                <w:color w:val="auto"/>
              </w:rPr>
            </w:pPr>
          </w:p>
        </w:tc>
        <w:tc>
          <w:tcPr>
            <w:tcW w:w="740" w:type="dxa"/>
            <w:vAlign w:val="bottom"/>
            <w:shd w:val="clear" w:color="auto" w:fill="E5F1F8"/>
          </w:tcPr>
          <w:p>
            <w:pPr>
              <w:jc w:val="center"/>
              <w:ind w:right="75"/>
              <w:spacing w:after="0" w:line="189" w:lineRule="exact"/>
              <w:rPr>
                <w:sz w:val="20"/>
                <w:szCs w:val="20"/>
                <w:color w:val="auto"/>
              </w:rPr>
            </w:pPr>
            <w:r>
              <w:rPr>
                <w:rFonts w:ascii="Calibri" w:cs="Calibri" w:eastAsia="Calibri" w:hAnsi="Calibri"/>
                <w:sz w:val="17"/>
                <w:szCs w:val="17"/>
                <w:color w:val="auto"/>
              </w:rPr>
              <w:t>250131</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Walterloo Sand</w:t>
            </w:r>
          </w:p>
        </w:tc>
        <w:tc>
          <w:tcPr>
            <w:tcW w:w="740" w:type="dxa"/>
            <w:vAlign w:val="bottom"/>
            <w:tcBorders>
              <w:bottom w:val="single" w:sz="8" w:color="E5F1F8"/>
            </w:tcBorders>
            <w:shd w:val="clear" w:color="auto" w:fill="E5F1F8"/>
          </w:tcPr>
          <w:p>
            <w:pPr>
              <w:jc w:val="center"/>
              <w:ind w:right="55"/>
              <w:spacing w:after="0" w:line="205" w:lineRule="exact"/>
              <w:rPr>
                <w:sz w:val="20"/>
                <w:szCs w:val="20"/>
                <w:color w:val="auto"/>
              </w:rPr>
            </w:pPr>
            <w:r>
              <w:rPr>
                <w:rFonts w:ascii="Calibri" w:cs="Calibri" w:eastAsia="Calibri" w:hAnsi="Calibri"/>
                <w:sz w:val="17"/>
                <w:szCs w:val="17"/>
                <w:color w:val="auto"/>
                <w:w w:val="92"/>
              </w:rPr>
              <w:t>4</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40" w:type="dxa"/>
            <w:vAlign w:val="bottom"/>
          </w:tcPr>
          <w:p>
            <w:pPr>
              <w:spacing w:after="0"/>
              <w:rPr>
                <w:sz w:val="16"/>
                <w:szCs w:val="16"/>
                <w:color w:val="auto"/>
              </w:rPr>
            </w:pPr>
          </w:p>
        </w:tc>
        <w:tc>
          <w:tcPr>
            <w:tcW w:w="740" w:type="dxa"/>
            <w:vAlign w:val="bottom"/>
          </w:tcPr>
          <w:p>
            <w:pPr>
              <w:jc w:val="center"/>
              <w:ind w:right="75"/>
              <w:spacing w:after="0" w:line="189" w:lineRule="exact"/>
              <w:rPr>
                <w:sz w:val="20"/>
                <w:szCs w:val="20"/>
                <w:color w:val="auto"/>
              </w:rPr>
            </w:pPr>
            <w:r>
              <w:rPr>
                <w:rFonts w:ascii="Calibri" w:cs="Calibri" w:eastAsia="Calibri" w:hAnsi="Calibri"/>
                <w:sz w:val="17"/>
                <w:szCs w:val="17"/>
                <w:color w:val="auto"/>
              </w:rPr>
              <w:t>120203</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Waverly Sand</w:t>
            </w:r>
          </w:p>
        </w:tc>
        <w:tc>
          <w:tcPr>
            <w:tcW w:w="740" w:type="dxa"/>
            <w:vAlign w:val="bottom"/>
          </w:tcPr>
          <w:p>
            <w:pPr>
              <w:jc w:val="center"/>
              <w:ind w:right="55"/>
              <w:spacing w:after="0" w:line="205" w:lineRule="exact"/>
              <w:rPr>
                <w:sz w:val="20"/>
                <w:szCs w:val="20"/>
                <w:color w:val="auto"/>
              </w:rPr>
            </w:pPr>
            <w:r>
              <w:rPr>
                <w:rFonts w:ascii="Calibri" w:cs="Calibri" w:eastAsia="Calibri" w:hAnsi="Calibri"/>
                <w:sz w:val="17"/>
                <w:szCs w:val="17"/>
                <w:color w:val="auto"/>
                <w:w w:val="92"/>
              </w:rPr>
              <w:t>8</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40" w:type="dxa"/>
            <w:vAlign w:val="bottom"/>
            <w:shd w:val="clear" w:color="auto" w:fill="E5F1F8"/>
          </w:tcPr>
          <w:p>
            <w:pPr>
              <w:spacing w:after="0"/>
              <w:rPr>
                <w:sz w:val="16"/>
                <w:szCs w:val="16"/>
                <w:color w:val="auto"/>
              </w:rPr>
            </w:pPr>
          </w:p>
        </w:tc>
        <w:tc>
          <w:tcPr>
            <w:tcW w:w="740" w:type="dxa"/>
            <w:vAlign w:val="bottom"/>
            <w:shd w:val="clear" w:color="auto" w:fill="E5F1F8"/>
          </w:tcPr>
          <w:p>
            <w:pPr>
              <w:jc w:val="center"/>
              <w:ind w:right="75"/>
              <w:spacing w:after="0" w:line="189" w:lineRule="exact"/>
              <w:rPr>
                <w:sz w:val="20"/>
                <w:szCs w:val="20"/>
                <w:color w:val="auto"/>
              </w:rPr>
            </w:pPr>
            <w:r>
              <w:rPr>
                <w:rFonts w:ascii="Calibri" w:cs="Calibri" w:eastAsia="Calibri" w:hAnsi="Calibri"/>
                <w:sz w:val="17"/>
                <w:szCs w:val="17"/>
                <w:color w:val="auto"/>
              </w:rPr>
              <w:t>250099</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Weeping Water Mine</w:t>
            </w:r>
          </w:p>
        </w:tc>
        <w:tc>
          <w:tcPr>
            <w:tcW w:w="740" w:type="dxa"/>
            <w:vAlign w:val="bottom"/>
            <w:tcBorders>
              <w:bottom w:val="single" w:sz="8" w:color="E5F1F8"/>
            </w:tcBorders>
            <w:shd w:val="clear" w:color="auto" w:fill="E5F1F8"/>
          </w:tcPr>
          <w:p>
            <w:pPr>
              <w:jc w:val="center"/>
              <w:ind w:right="55"/>
              <w:spacing w:after="0" w:line="205" w:lineRule="exact"/>
              <w:rPr>
                <w:sz w:val="20"/>
                <w:szCs w:val="20"/>
                <w:color w:val="auto"/>
              </w:rPr>
            </w:pPr>
            <w:r>
              <w:rPr>
                <w:rFonts w:ascii="Calibri" w:cs="Calibri" w:eastAsia="Calibri" w:hAnsi="Calibri"/>
                <w:sz w:val="17"/>
                <w:szCs w:val="17"/>
                <w:color w:val="auto"/>
                <w:w w:val="92"/>
              </w:rPr>
              <w:t>8</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1</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2,140</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40" w:type="dxa"/>
            <w:vAlign w:val="bottom"/>
          </w:tcPr>
          <w:p>
            <w:pPr>
              <w:spacing w:after="0"/>
              <w:rPr>
                <w:sz w:val="16"/>
                <w:szCs w:val="16"/>
                <w:color w:val="auto"/>
              </w:rPr>
            </w:pPr>
          </w:p>
        </w:tc>
        <w:tc>
          <w:tcPr>
            <w:tcW w:w="740" w:type="dxa"/>
            <w:vAlign w:val="bottom"/>
          </w:tcPr>
          <w:p>
            <w:pPr>
              <w:jc w:val="center"/>
              <w:ind w:right="75"/>
              <w:spacing w:after="0" w:line="189" w:lineRule="exact"/>
              <w:rPr>
                <w:sz w:val="20"/>
                <w:szCs w:val="20"/>
                <w:color w:val="auto"/>
              </w:rPr>
            </w:pPr>
            <w:r>
              <w:rPr>
                <w:rFonts w:ascii="Calibri" w:cs="Calibri" w:eastAsia="Calibri" w:hAnsi="Calibri"/>
                <w:sz w:val="17"/>
                <w:szCs w:val="17"/>
                <w:color w:val="auto"/>
              </w:rPr>
              <w:t>250123</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West Center Sand</w:t>
            </w:r>
          </w:p>
        </w:tc>
        <w:tc>
          <w:tcPr>
            <w:tcW w:w="740" w:type="dxa"/>
            <w:vAlign w:val="bottom"/>
          </w:tcPr>
          <w:p>
            <w:pPr>
              <w:jc w:val="center"/>
              <w:ind w:right="55"/>
              <w:spacing w:after="0" w:line="205" w:lineRule="exact"/>
              <w:rPr>
                <w:sz w:val="20"/>
                <w:szCs w:val="20"/>
                <w:color w:val="auto"/>
              </w:rPr>
            </w:pPr>
            <w:r>
              <w:rPr>
                <w:rFonts w:ascii="Calibri" w:cs="Calibri" w:eastAsia="Calibri" w:hAnsi="Calibri"/>
                <w:sz w:val="17"/>
                <w:szCs w:val="17"/>
                <w:color w:val="auto"/>
                <w:w w:val="92"/>
              </w:rPr>
              <w:t>1</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464</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40" w:type="dxa"/>
            <w:vAlign w:val="bottom"/>
            <w:shd w:val="clear" w:color="auto" w:fill="E5F1F8"/>
          </w:tcPr>
          <w:p>
            <w:pPr>
              <w:spacing w:after="0"/>
              <w:rPr>
                <w:sz w:val="16"/>
                <w:szCs w:val="16"/>
                <w:color w:val="auto"/>
              </w:rPr>
            </w:pPr>
          </w:p>
        </w:tc>
        <w:tc>
          <w:tcPr>
            <w:tcW w:w="740" w:type="dxa"/>
            <w:vAlign w:val="bottom"/>
            <w:shd w:val="clear" w:color="auto" w:fill="E5F1F8"/>
          </w:tcPr>
          <w:p>
            <w:pPr>
              <w:jc w:val="center"/>
              <w:ind w:right="75"/>
              <w:spacing w:after="0" w:line="189" w:lineRule="exact"/>
              <w:rPr>
                <w:sz w:val="20"/>
                <w:szCs w:val="20"/>
                <w:color w:val="auto"/>
              </w:rPr>
            </w:pPr>
            <w:r>
              <w:rPr>
                <w:rFonts w:ascii="Calibri" w:cs="Calibri" w:eastAsia="Calibri" w:hAnsi="Calibri"/>
                <w:sz w:val="17"/>
                <w:szCs w:val="17"/>
                <w:color w:val="auto"/>
              </w:rPr>
              <w:t>330139</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Xenia Gravel</w:t>
            </w:r>
          </w:p>
        </w:tc>
        <w:tc>
          <w:tcPr>
            <w:tcW w:w="740" w:type="dxa"/>
            <w:vAlign w:val="bottom"/>
            <w:tcBorders>
              <w:bottom w:val="single" w:sz="8" w:color="E5F1F8"/>
            </w:tcBorders>
            <w:shd w:val="clear" w:color="auto" w:fill="E5F1F8"/>
          </w:tcPr>
          <w:p>
            <w:pPr>
              <w:jc w:val="center"/>
              <w:ind w:right="55"/>
              <w:spacing w:after="0" w:line="205" w:lineRule="exact"/>
              <w:rPr>
                <w:sz w:val="20"/>
                <w:szCs w:val="20"/>
                <w:color w:val="auto"/>
              </w:rPr>
            </w:pPr>
            <w:r>
              <w:rPr>
                <w:rFonts w:ascii="Calibri" w:cs="Calibri" w:eastAsia="Calibri" w:hAnsi="Calibri"/>
                <w:sz w:val="17"/>
                <w:szCs w:val="17"/>
                <w:color w:val="auto"/>
                <w:w w:val="92"/>
              </w:rPr>
              <w:t>3</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40" w:type="dxa"/>
            <w:vAlign w:val="bottom"/>
          </w:tcPr>
          <w:p>
            <w:pPr>
              <w:spacing w:after="0"/>
              <w:rPr>
                <w:sz w:val="16"/>
                <w:szCs w:val="16"/>
                <w:color w:val="auto"/>
              </w:rPr>
            </w:pPr>
          </w:p>
        </w:tc>
        <w:tc>
          <w:tcPr>
            <w:tcW w:w="740" w:type="dxa"/>
            <w:vAlign w:val="bottom"/>
          </w:tcPr>
          <w:p>
            <w:pPr>
              <w:jc w:val="center"/>
              <w:ind w:right="75"/>
              <w:spacing w:after="0" w:line="189" w:lineRule="exact"/>
              <w:rPr>
                <w:sz w:val="20"/>
                <w:szCs w:val="20"/>
                <w:color w:val="auto"/>
              </w:rPr>
            </w:pPr>
            <w:r>
              <w:rPr>
                <w:rFonts w:ascii="Calibri" w:cs="Calibri" w:eastAsia="Calibri" w:hAnsi="Calibri"/>
                <w:sz w:val="17"/>
                <w:szCs w:val="17"/>
                <w:color w:val="auto"/>
              </w:rPr>
              <w:t>210003</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Yellow Medicine Quarry</w:t>
            </w:r>
          </w:p>
        </w:tc>
        <w:tc>
          <w:tcPr>
            <w:tcW w:w="740" w:type="dxa"/>
            <w:vAlign w:val="bottom"/>
          </w:tcPr>
          <w:p>
            <w:pPr>
              <w:jc w:val="center"/>
              <w:ind w:right="55"/>
              <w:spacing w:after="0" w:line="205" w:lineRule="exact"/>
              <w:rPr>
                <w:sz w:val="20"/>
                <w:szCs w:val="20"/>
                <w:color w:val="auto"/>
              </w:rPr>
            </w:pPr>
            <w:r>
              <w:rPr>
                <w:rFonts w:ascii="Calibri" w:cs="Calibri" w:eastAsia="Calibri" w:hAnsi="Calibri"/>
                <w:sz w:val="17"/>
                <w:szCs w:val="17"/>
                <w:color w:val="auto"/>
                <w:w w:val="92"/>
              </w:rPr>
              <w:t>3</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133</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40" w:type="dxa"/>
            <w:vAlign w:val="bottom"/>
            <w:shd w:val="clear" w:color="auto" w:fill="E5F1F8"/>
          </w:tcPr>
          <w:p>
            <w:pPr>
              <w:spacing w:after="0"/>
              <w:rPr>
                <w:sz w:val="16"/>
                <w:szCs w:val="16"/>
                <w:color w:val="auto"/>
              </w:rPr>
            </w:pPr>
          </w:p>
        </w:tc>
        <w:tc>
          <w:tcPr>
            <w:tcW w:w="740" w:type="dxa"/>
            <w:vAlign w:val="bottom"/>
            <w:shd w:val="clear" w:color="auto" w:fill="E5F1F8"/>
          </w:tcPr>
          <w:p>
            <w:pPr>
              <w:jc w:val="center"/>
              <w:ind w:right="75"/>
              <w:spacing w:after="0" w:line="189" w:lineRule="exact"/>
              <w:rPr>
                <w:sz w:val="20"/>
                <w:szCs w:val="20"/>
                <w:color w:val="auto"/>
              </w:rPr>
            </w:pPr>
            <w:r>
              <w:rPr>
                <w:rFonts w:ascii="Calibri" w:cs="Calibri" w:eastAsia="Calibri" w:hAnsi="Calibri"/>
                <w:sz w:val="17"/>
                <w:szCs w:val="17"/>
                <w:color w:val="auto"/>
              </w:rPr>
              <w:t>020252</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Clarkdale Sand &amp; Gravel</w:t>
            </w:r>
          </w:p>
        </w:tc>
        <w:tc>
          <w:tcPr>
            <w:tcW w:w="740" w:type="dxa"/>
            <w:vAlign w:val="bottom"/>
            <w:tcBorders>
              <w:bottom w:val="single" w:sz="8" w:color="E5F1F8"/>
            </w:tcBorders>
            <w:shd w:val="clear" w:color="auto" w:fill="E5F1F8"/>
          </w:tcPr>
          <w:p>
            <w:pPr>
              <w:jc w:val="center"/>
              <w:ind w:right="55"/>
              <w:spacing w:after="0" w:line="205" w:lineRule="exact"/>
              <w:rPr>
                <w:sz w:val="20"/>
                <w:szCs w:val="20"/>
                <w:color w:val="auto"/>
              </w:rPr>
            </w:pPr>
            <w:r>
              <w:rPr>
                <w:rFonts w:ascii="Calibri" w:cs="Calibri" w:eastAsia="Calibri" w:hAnsi="Calibri"/>
                <w:sz w:val="17"/>
                <w:szCs w:val="17"/>
                <w:color w:val="auto"/>
                <w:w w:val="92"/>
              </w:rPr>
              <w:t>4</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1,269</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40" w:type="dxa"/>
            <w:vAlign w:val="bottom"/>
          </w:tcPr>
          <w:p>
            <w:pPr>
              <w:spacing w:after="0"/>
              <w:rPr>
                <w:sz w:val="16"/>
                <w:szCs w:val="16"/>
                <w:color w:val="auto"/>
              </w:rPr>
            </w:pPr>
          </w:p>
        </w:tc>
        <w:tc>
          <w:tcPr>
            <w:tcW w:w="740" w:type="dxa"/>
            <w:vAlign w:val="bottom"/>
          </w:tcPr>
          <w:p>
            <w:pPr>
              <w:jc w:val="center"/>
              <w:ind w:right="75"/>
              <w:spacing w:after="0" w:line="189" w:lineRule="exact"/>
              <w:rPr>
                <w:sz w:val="20"/>
                <w:szCs w:val="20"/>
                <w:color w:val="auto"/>
              </w:rPr>
            </w:pPr>
            <w:r>
              <w:rPr>
                <w:rFonts w:ascii="Calibri" w:cs="Calibri" w:eastAsia="Calibri" w:hAnsi="Calibri"/>
                <w:sz w:val="17"/>
                <w:szCs w:val="17"/>
                <w:color w:val="auto"/>
              </w:rPr>
              <w:t>040015</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Clayton</w:t>
            </w:r>
          </w:p>
        </w:tc>
        <w:tc>
          <w:tcPr>
            <w:tcW w:w="740" w:type="dxa"/>
            <w:vAlign w:val="bottom"/>
          </w:tcPr>
          <w:p>
            <w:pPr>
              <w:jc w:val="center"/>
              <w:ind w:right="55"/>
              <w:spacing w:after="0" w:line="205" w:lineRule="exact"/>
              <w:rPr>
                <w:sz w:val="20"/>
                <w:szCs w:val="20"/>
                <w:color w:val="auto"/>
              </w:rPr>
            </w:pPr>
            <w:r>
              <w:rPr>
                <w:rFonts w:ascii="Calibri" w:cs="Calibri" w:eastAsia="Calibri" w:hAnsi="Calibri"/>
                <w:sz w:val="17"/>
                <w:szCs w:val="17"/>
                <w:color w:val="auto"/>
                <w:w w:val="92"/>
              </w:rPr>
              <w:t>9</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198</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40" w:type="dxa"/>
            <w:vAlign w:val="bottom"/>
            <w:shd w:val="clear" w:color="auto" w:fill="E5F1F8"/>
          </w:tcPr>
          <w:p>
            <w:pPr>
              <w:spacing w:after="0"/>
              <w:rPr>
                <w:sz w:val="16"/>
                <w:szCs w:val="16"/>
                <w:color w:val="auto"/>
              </w:rPr>
            </w:pPr>
          </w:p>
        </w:tc>
        <w:tc>
          <w:tcPr>
            <w:tcW w:w="740" w:type="dxa"/>
            <w:vAlign w:val="bottom"/>
            <w:shd w:val="clear" w:color="auto" w:fill="E5F1F8"/>
          </w:tcPr>
          <w:p>
            <w:pPr>
              <w:jc w:val="center"/>
              <w:ind w:right="75"/>
              <w:spacing w:after="0" w:line="189" w:lineRule="exact"/>
              <w:rPr>
                <w:sz w:val="20"/>
                <w:szCs w:val="20"/>
                <w:color w:val="auto"/>
              </w:rPr>
            </w:pPr>
            <w:r>
              <w:rPr>
                <w:rFonts w:ascii="Calibri" w:cs="Calibri" w:eastAsia="Calibri" w:hAnsi="Calibri"/>
                <w:sz w:val="17"/>
                <w:szCs w:val="17"/>
                <w:color w:val="auto"/>
              </w:rPr>
              <w:t>020317</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Coolidge Plant 65</w:t>
            </w:r>
          </w:p>
        </w:tc>
        <w:tc>
          <w:tcPr>
            <w:tcW w:w="740" w:type="dxa"/>
            <w:vAlign w:val="bottom"/>
            <w:tcBorders>
              <w:bottom w:val="single" w:sz="8" w:color="E5F1F8"/>
            </w:tcBorders>
            <w:shd w:val="clear" w:color="auto" w:fill="E5F1F8"/>
          </w:tcPr>
          <w:p>
            <w:pPr>
              <w:jc w:val="center"/>
              <w:ind w:right="55"/>
              <w:spacing w:after="0" w:line="205" w:lineRule="exact"/>
              <w:rPr>
                <w:sz w:val="20"/>
                <w:szCs w:val="20"/>
                <w:color w:val="auto"/>
              </w:rPr>
            </w:pPr>
            <w:r>
              <w:rPr>
                <w:rFonts w:ascii="Calibri" w:cs="Calibri" w:eastAsia="Calibri" w:hAnsi="Calibri"/>
                <w:sz w:val="17"/>
                <w:szCs w:val="17"/>
                <w:color w:val="auto"/>
                <w:w w:val="92"/>
              </w:rPr>
              <w:t>3</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40" w:type="dxa"/>
            <w:vAlign w:val="bottom"/>
          </w:tcPr>
          <w:p>
            <w:pPr>
              <w:spacing w:after="0"/>
              <w:rPr>
                <w:sz w:val="16"/>
                <w:szCs w:val="16"/>
                <w:color w:val="auto"/>
              </w:rPr>
            </w:pPr>
          </w:p>
        </w:tc>
        <w:tc>
          <w:tcPr>
            <w:tcW w:w="740" w:type="dxa"/>
            <w:vAlign w:val="bottom"/>
          </w:tcPr>
          <w:p>
            <w:pPr>
              <w:jc w:val="center"/>
              <w:ind w:right="75"/>
              <w:spacing w:after="0" w:line="189" w:lineRule="exact"/>
              <w:rPr>
                <w:sz w:val="20"/>
                <w:szCs w:val="20"/>
                <w:color w:val="auto"/>
              </w:rPr>
            </w:pPr>
            <w:r>
              <w:rPr>
                <w:rFonts w:ascii="Calibri" w:cs="Calibri" w:eastAsia="Calibri" w:hAnsi="Calibri"/>
                <w:sz w:val="17"/>
                <w:szCs w:val="17"/>
                <w:color w:val="auto"/>
              </w:rPr>
              <w:t>040475</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Eagle Valley Plant</w:t>
            </w:r>
          </w:p>
        </w:tc>
        <w:tc>
          <w:tcPr>
            <w:tcW w:w="740" w:type="dxa"/>
            <w:vAlign w:val="bottom"/>
          </w:tcPr>
          <w:p>
            <w:pPr>
              <w:jc w:val="center"/>
              <w:ind w:right="55"/>
              <w:spacing w:after="0" w:line="205" w:lineRule="exact"/>
              <w:rPr>
                <w:sz w:val="20"/>
                <w:szCs w:val="20"/>
                <w:color w:val="auto"/>
              </w:rPr>
            </w:pPr>
            <w:r>
              <w:rPr>
                <w:rFonts w:ascii="Calibri" w:cs="Calibri" w:eastAsia="Calibri" w:hAnsi="Calibri"/>
                <w:sz w:val="17"/>
                <w:szCs w:val="17"/>
                <w:color w:val="auto"/>
                <w:w w:val="92"/>
              </w:rPr>
              <w:t>8</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40" w:type="dxa"/>
            <w:vAlign w:val="bottom"/>
            <w:shd w:val="clear" w:color="auto" w:fill="E5F1F8"/>
          </w:tcPr>
          <w:p>
            <w:pPr>
              <w:spacing w:after="0"/>
              <w:rPr>
                <w:sz w:val="16"/>
                <w:szCs w:val="16"/>
                <w:color w:val="auto"/>
              </w:rPr>
            </w:pPr>
          </w:p>
        </w:tc>
        <w:tc>
          <w:tcPr>
            <w:tcW w:w="740" w:type="dxa"/>
            <w:vAlign w:val="bottom"/>
            <w:shd w:val="clear" w:color="auto" w:fill="E5F1F8"/>
          </w:tcPr>
          <w:p>
            <w:pPr>
              <w:jc w:val="center"/>
              <w:ind w:right="75"/>
              <w:spacing w:after="0" w:line="189" w:lineRule="exact"/>
              <w:rPr>
                <w:sz w:val="20"/>
                <w:szCs w:val="20"/>
                <w:color w:val="auto"/>
              </w:rPr>
            </w:pPr>
            <w:r>
              <w:rPr>
                <w:rFonts w:ascii="Calibri" w:cs="Calibri" w:eastAsia="Calibri" w:hAnsi="Calibri"/>
                <w:sz w:val="17"/>
                <w:szCs w:val="17"/>
                <w:color w:val="auto"/>
              </w:rPr>
              <w:t>480001</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Granite Canyon Quarry</w:t>
            </w:r>
          </w:p>
        </w:tc>
        <w:tc>
          <w:tcPr>
            <w:tcW w:w="740" w:type="dxa"/>
            <w:vAlign w:val="bottom"/>
            <w:tcBorders>
              <w:bottom w:val="single" w:sz="8" w:color="E5F1F8"/>
            </w:tcBorders>
            <w:shd w:val="clear" w:color="auto" w:fill="E5F1F8"/>
          </w:tcPr>
          <w:p>
            <w:pPr>
              <w:jc w:val="center"/>
              <w:ind w:right="55"/>
              <w:spacing w:after="0" w:line="205" w:lineRule="exact"/>
              <w:rPr>
                <w:sz w:val="20"/>
                <w:szCs w:val="20"/>
                <w:color w:val="auto"/>
              </w:rPr>
            </w:pPr>
            <w:r>
              <w:rPr>
                <w:rFonts w:ascii="Calibri" w:cs="Calibri" w:eastAsia="Calibri" w:hAnsi="Calibri"/>
                <w:sz w:val="17"/>
                <w:szCs w:val="17"/>
                <w:color w:val="auto"/>
                <w:w w:val="92"/>
              </w:rPr>
              <w:t>8</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2</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1,931</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40" w:type="dxa"/>
            <w:vAlign w:val="bottom"/>
          </w:tcPr>
          <w:p>
            <w:pPr>
              <w:spacing w:after="0"/>
              <w:rPr>
                <w:sz w:val="16"/>
                <w:szCs w:val="16"/>
                <w:color w:val="auto"/>
              </w:rPr>
            </w:pPr>
          </w:p>
        </w:tc>
        <w:tc>
          <w:tcPr>
            <w:tcW w:w="740" w:type="dxa"/>
            <w:vAlign w:val="bottom"/>
          </w:tcPr>
          <w:p>
            <w:pPr>
              <w:jc w:val="center"/>
              <w:ind w:right="75"/>
              <w:spacing w:after="0" w:line="189" w:lineRule="exact"/>
              <w:rPr>
                <w:sz w:val="20"/>
                <w:szCs w:val="20"/>
                <w:color w:val="auto"/>
              </w:rPr>
            </w:pPr>
            <w:r>
              <w:rPr>
                <w:rFonts w:ascii="Calibri" w:cs="Calibri" w:eastAsia="Calibri" w:hAnsi="Calibri"/>
                <w:sz w:val="17"/>
                <w:szCs w:val="17"/>
                <w:color w:val="auto"/>
              </w:rPr>
              <w:t>050438</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Greeley 35th Ready Mix</w:t>
            </w:r>
          </w:p>
        </w:tc>
        <w:tc>
          <w:tcPr>
            <w:tcW w:w="740" w:type="dxa"/>
            <w:vAlign w:val="bottom"/>
          </w:tcPr>
          <w:p>
            <w:pPr>
              <w:jc w:val="center"/>
              <w:ind w:right="55"/>
              <w:spacing w:after="0" w:line="205" w:lineRule="exact"/>
              <w:rPr>
                <w:sz w:val="20"/>
                <w:szCs w:val="20"/>
                <w:color w:val="auto"/>
              </w:rPr>
            </w:pPr>
            <w:r>
              <w:rPr>
                <w:rFonts w:ascii="Calibri" w:cs="Calibri" w:eastAsia="Calibri" w:hAnsi="Calibri"/>
                <w:sz w:val="17"/>
                <w:szCs w:val="17"/>
                <w:color w:val="auto"/>
                <w:w w:val="92"/>
              </w:rPr>
              <w:t>2</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40" w:type="dxa"/>
            <w:vAlign w:val="bottom"/>
            <w:shd w:val="clear" w:color="auto" w:fill="E5F1F8"/>
          </w:tcPr>
          <w:p>
            <w:pPr>
              <w:ind w:left="20"/>
              <w:spacing w:after="0" w:line="189" w:lineRule="exact"/>
              <w:rPr>
                <w:sz w:val="20"/>
                <w:szCs w:val="20"/>
                <w:color w:val="auto"/>
              </w:rPr>
            </w:pPr>
            <w:r>
              <w:rPr>
                <w:rFonts w:ascii="Calibri" w:cs="Calibri" w:eastAsia="Calibri" w:hAnsi="Calibri"/>
                <w:sz w:val="17"/>
                <w:szCs w:val="17"/>
                <w:color w:val="auto"/>
              </w:rPr>
              <w:t>Greeley 35th Sand</w:t>
            </w:r>
          </w:p>
        </w:tc>
        <w:tc>
          <w:tcPr>
            <w:tcW w:w="740" w:type="dxa"/>
            <w:vAlign w:val="bottom"/>
            <w:shd w:val="clear" w:color="auto" w:fill="E5F1F8"/>
          </w:tcPr>
          <w:p>
            <w:pPr>
              <w:jc w:val="center"/>
              <w:ind w:right="75"/>
              <w:spacing w:after="0" w:line="189" w:lineRule="exact"/>
              <w:rPr>
                <w:sz w:val="20"/>
                <w:szCs w:val="20"/>
                <w:color w:val="auto"/>
              </w:rPr>
            </w:pPr>
            <w:r>
              <w:rPr>
                <w:rFonts w:ascii="Calibri" w:cs="Calibri" w:eastAsia="Calibri" w:hAnsi="Calibri"/>
                <w:sz w:val="17"/>
                <w:szCs w:val="17"/>
                <w:color w:val="auto"/>
              </w:rPr>
              <w:t>050461</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Gravel</w:t>
            </w:r>
          </w:p>
        </w:tc>
        <w:tc>
          <w:tcPr>
            <w:tcW w:w="740" w:type="dxa"/>
            <w:vAlign w:val="bottom"/>
            <w:tcBorders>
              <w:bottom w:val="single" w:sz="8" w:color="E5F1F8"/>
            </w:tcBorders>
            <w:shd w:val="clear" w:color="auto" w:fill="E5F1F8"/>
          </w:tcPr>
          <w:p>
            <w:pPr>
              <w:jc w:val="center"/>
              <w:ind w:right="55"/>
              <w:spacing w:after="0" w:line="205" w:lineRule="exact"/>
              <w:rPr>
                <w:sz w:val="20"/>
                <w:szCs w:val="20"/>
                <w:color w:val="auto"/>
              </w:rPr>
            </w:pPr>
            <w:r>
              <w:rPr>
                <w:rFonts w:ascii="Calibri" w:cs="Calibri" w:eastAsia="Calibri" w:hAnsi="Calibri"/>
                <w:sz w:val="17"/>
                <w:szCs w:val="17"/>
                <w:color w:val="auto"/>
                <w:w w:val="92"/>
              </w:rPr>
              <w:t>3</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40" w:type="dxa"/>
            <w:vAlign w:val="bottom"/>
          </w:tcPr>
          <w:p>
            <w:pPr>
              <w:spacing w:after="0"/>
              <w:rPr>
                <w:sz w:val="16"/>
                <w:szCs w:val="16"/>
                <w:color w:val="auto"/>
              </w:rPr>
            </w:pPr>
          </w:p>
        </w:tc>
        <w:tc>
          <w:tcPr>
            <w:tcW w:w="740" w:type="dxa"/>
            <w:vAlign w:val="bottom"/>
          </w:tcPr>
          <w:p>
            <w:pPr>
              <w:jc w:val="center"/>
              <w:ind w:right="75"/>
              <w:spacing w:after="0" w:line="189" w:lineRule="exact"/>
              <w:rPr>
                <w:sz w:val="20"/>
                <w:szCs w:val="20"/>
                <w:color w:val="auto"/>
              </w:rPr>
            </w:pPr>
            <w:r>
              <w:rPr>
                <w:rFonts w:ascii="Calibri" w:cs="Calibri" w:eastAsia="Calibri" w:hAnsi="Calibri"/>
                <w:sz w:val="17"/>
                <w:szCs w:val="17"/>
                <w:color w:val="auto"/>
              </w:rPr>
              <w:t>480000</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Guernsey Quarry</w:t>
            </w:r>
          </w:p>
        </w:tc>
        <w:tc>
          <w:tcPr>
            <w:tcW w:w="740" w:type="dxa"/>
            <w:vAlign w:val="bottom"/>
          </w:tcPr>
          <w:p>
            <w:pPr>
              <w:jc w:val="center"/>
              <w:ind w:right="55"/>
              <w:spacing w:after="0" w:line="205" w:lineRule="exact"/>
              <w:rPr>
                <w:sz w:val="20"/>
                <w:szCs w:val="20"/>
                <w:color w:val="auto"/>
              </w:rPr>
            </w:pPr>
            <w:r>
              <w:rPr>
                <w:rFonts w:ascii="Calibri" w:cs="Calibri" w:eastAsia="Calibri" w:hAnsi="Calibri"/>
                <w:sz w:val="17"/>
                <w:szCs w:val="17"/>
                <w:color w:val="auto"/>
                <w:w w:val="92"/>
              </w:rPr>
              <w:t>4</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4,573</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40" w:type="dxa"/>
            <w:vAlign w:val="bottom"/>
            <w:shd w:val="clear" w:color="auto" w:fill="E5F1F8"/>
          </w:tcPr>
          <w:p>
            <w:pPr>
              <w:spacing w:after="0"/>
              <w:rPr>
                <w:sz w:val="16"/>
                <w:szCs w:val="16"/>
                <w:color w:val="auto"/>
              </w:rPr>
            </w:pPr>
          </w:p>
        </w:tc>
        <w:tc>
          <w:tcPr>
            <w:tcW w:w="740" w:type="dxa"/>
            <w:vAlign w:val="bottom"/>
            <w:shd w:val="clear" w:color="auto" w:fill="E5F1F8"/>
          </w:tcPr>
          <w:p>
            <w:pPr>
              <w:jc w:val="center"/>
              <w:ind w:right="75"/>
              <w:spacing w:after="0" w:line="189" w:lineRule="exact"/>
              <w:rPr>
                <w:sz w:val="20"/>
                <w:szCs w:val="20"/>
                <w:color w:val="auto"/>
              </w:rPr>
            </w:pPr>
            <w:r>
              <w:rPr>
                <w:rFonts w:ascii="Calibri" w:cs="Calibri" w:eastAsia="Calibri" w:hAnsi="Calibri"/>
                <w:sz w:val="17"/>
                <w:szCs w:val="17"/>
                <w:color w:val="auto"/>
              </w:rPr>
              <w:t>020267</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Hassayampa</w:t>
            </w:r>
          </w:p>
        </w:tc>
        <w:tc>
          <w:tcPr>
            <w:tcW w:w="740" w:type="dxa"/>
            <w:vAlign w:val="bottom"/>
            <w:tcBorders>
              <w:bottom w:val="single" w:sz="8" w:color="E5F1F8"/>
            </w:tcBorders>
            <w:shd w:val="clear" w:color="auto" w:fill="E5F1F8"/>
          </w:tcPr>
          <w:p>
            <w:pPr>
              <w:jc w:val="center"/>
              <w:ind w:right="55"/>
              <w:spacing w:after="0" w:line="205" w:lineRule="exact"/>
              <w:rPr>
                <w:sz w:val="20"/>
                <w:szCs w:val="20"/>
                <w:color w:val="auto"/>
              </w:rPr>
            </w:pPr>
            <w:r>
              <w:rPr>
                <w:rFonts w:ascii="Calibri" w:cs="Calibri" w:eastAsia="Calibri" w:hAnsi="Calibri"/>
                <w:sz w:val="17"/>
                <w:szCs w:val="17"/>
                <w:color w:val="auto"/>
                <w:w w:val="92"/>
              </w:rPr>
              <w:t>9</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40" w:type="dxa"/>
            <w:vAlign w:val="bottom"/>
          </w:tcPr>
          <w:p>
            <w:pPr>
              <w:spacing w:after="0"/>
              <w:rPr>
                <w:sz w:val="16"/>
                <w:szCs w:val="16"/>
                <w:color w:val="auto"/>
              </w:rPr>
            </w:pPr>
          </w:p>
        </w:tc>
        <w:tc>
          <w:tcPr>
            <w:tcW w:w="740" w:type="dxa"/>
            <w:vAlign w:val="bottom"/>
          </w:tcPr>
          <w:p>
            <w:pPr>
              <w:jc w:val="center"/>
              <w:ind w:right="75"/>
              <w:spacing w:after="0" w:line="189" w:lineRule="exact"/>
              <w:rPr>
                <w:sz w:val="20"/>
                <w:szCs w:val="20"/>
                <w:color w:val="auto"/>
              </w:rPr>
            </w:pPr>
            <w:r>
              <w:rPr>
                <w:rFonts w:ascii="Calibri" w:cs="Calibri" w:eastAsia="Calibri" w:hAnsi="Calibri"/>
                <w:sz w:val="17"/>
                <w:szCs w:val="17"/>
                <w:color w:val="auto"/>
              </w:rPr>
              <w:t>040176</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Hughson AGG &amp; HMA</w:t>
            </w:r>
          </w:p>
        </w:tc>
        <w:tc>
          <w:tcPr>
            <w:tcW w:w="740" w:type="dxa"/>
            <w:vAlign w:val="bottom"/>
          </w:tcPr>
          <w:p>
            <w:pPr>
              <w:jc w:val="center"/>
              <w:ind w:right="55"/>
              <w:spacing w:after="0" w:line="205" w:lineRule="exact"/>
              <w:rPr>
                <w:sz w:val="20"/>
                <w:szCs w:val="20"/>
                <w:color w:val="auto"/>
              </w:rPr>
            </w:pPr>
            <w:r>
              <w:rPr>
                <w:rFonts w:ascii="Calibri" w:cs="Calibri" w:eastAsia="Calibri" w:hAnsi="Calibri"/>
                <w:sz w:val="17"/>
                <w:szCs w:val="17"/>
                <w:color w:val="auto"/>
                <w:w w:val="92"/>
              </w:rPr>
              <w:t>9</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133</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40" w:type="dxa"/>
            <w:vAlign w:val="bottom"/>
            <w:shd w:val="clear" w:color="auto" w:fill="E5F1F8"/>
          </w:tcPr>
          <w:p>
            <w:pPr>
              <w:spacing w:after="0"/>
              <w:rPr>
                <w:sz w:val="16"/>
                <w:szCs w:val="16"/>
                <w:color w:val="auto"/>
              </w:rPr>
            </w:pPr>
          </w:p>
        </w:tc>
        <w:tc>
          <w:tcPr>
            <w:tcW w:w="740" w:type="dxa"/>
            <w:vAlign w:val="bottom"/>
            <w:shd w:val="clear" w:color="auto" w:fill="E5F1F8"/>
          </w:tcPr>
          <w:p>
            <w:pPr>
              <w:jc w:val="center"/>
              <w:ind w:right="75"/>
              <w:spacing w:after="0" w:line="189" w:lineRule="exact"/>
              <w:rPr>
                <w:sz w:val="20"/>
                <w:szCs w:val="20"/>
                <w:color w:val="auto"/>
              </w:rPr>
            </w:pPr>
            <w:r>
              <w:rPr>
                <w:rFonts w:ascii="Calibri" w:cs="Calibri" w:eastAsia="Calibri" w:hAnsi="Calibri"/>
                <w:sz w:val="17"/>
                <w:szCs w:val="17"/>
                <w:color w:val="auto"/>
              </w:rPr>
              <w:t>040183</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Irwindale Plant</w:t>
            </w:r>
          </w:p>
        </w:tc>
        <w:tc>
          <w:tcPr>
            <w:tcW w:w="740" w:type="dxa"/>
            <w:vAlign w:val="bottom"/>
            <w:tcBorders>
              <w:bottom w:val="single" w:sz="8" w:color="E5F1F8"/>
            </w:tcBorders>
            <w:shd w:val="clear" w:color="auto" w:fill="E5F1F8"/>
          </w:tcPr>
          <w:p>
            <w:pPr>
              <w:jc w:val="center"/>
              <w:ind w:right="55"/>
              <w:spacing w:after="0" w:line="205" w:lineRule="exact"/>
              <w:rPr>
                <w:sz w:val="20"/>
                <w:szCs w:val="20"/>
                <w:color w:val="auto"/>
              </w:rPr>
            </w:pPr>
            <w:r>
              <w:rPr>
                <w:rFonts w:ascii="Calibri" w:cs="Calibri" w:eastAsia="Calibri" w:hAnsi="Calibri"/>
                <w:sz w:val="17"/>
                <w:szCs w:val="17"/>
                <w:color w:val="auto"/>
                <w:w w:val="92"/>
              </w:rPr>
              <w:t>8</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2</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2,913</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40" w:type="dxa"/>
            <w:vAlign w:val="bottom"/>
          </w:tcPr>
          <w:p>
            <w:pPr>
              <w:spacing w:after="0"/>
              <w:rPr>
                <w:sz w:val="16"/>
                <w:szCs w:val="16"/>
                <w:color w:val="auto"/>
              </w:rPr>
            </w:pPr>
          </w:p>
        </w:tc>
        <w:tc>
          <w:tcPr>
            <w:tcW w:w="740" w:type="dxa"/>
            <w:vAlign w:val="bottom"/>
          </w:tcPr>
          <w:p>
            <w:pPr>
              <w:jc w:val="center"/>
              <w:ind w:right="75"/>
              <w:spacing w:after="0" w:line="189" w:lineRule="exact"/>
              <w:rPr>
                <w:sz w:val="20"/>
                <w:szCs w:val="20"/>
                <w:color w:val="auto"/>
              </w:rPr>
            </w:pPr>
            <w:r>
              <w:rPr>
                <w:rFonts w:ascii="Calibri" w:cs="Calibri" w:eastAsia="Calibri" w:hAnsi="Calibri"/>
                <w:sz w:val="17"/>
                <w:szCs w:val="17"/>
                <w:color w:val="auto"/>
              </w:rPr>
              <w:t>040268</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Lakeside Vigilante Plant</w:t>
            </w:r>
          </w:p>
        </w:tc>
        <w:tc>
          <w:tcPr>
            <w:tcW w:w="740" w:type="dxa"/>
            <w:vAlign w:val="bottom"/>
          </w:tcPr>
          <w:p>
            <w:pPr>
              <w:jc w:val="center"/>
              <w:ind w:right="55"/>
              <w:spacing w:after="0" w:line="205" w:lineRule="exact"/>
              <w:rPr>
                <w:sz w:val="20"/>
                <w:szCs w:val="20"/>
                <w:color w:val="auto"/>
              </w:rPr>
            </w:pPr>
            <w:r>
              <w:rPr>
                <w:rFonts w:ascii="Calibri" w:cs="Calibri" w:eastAsia="Calibri" w:hAnsi="Calibri"/>
                <w:sz w:val="17"/>
                <w:szCs w:val="17"/>
                <w:color w:val="auto"/>
                <w:w w:val="92"/>
              </w:rPr>
              <w:t>5</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4</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4,296</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40" w:type="dxa"/>
            <w:vAlign w:val="bottom"/>
            <w:shd w:val="clear" w:color="auto" w:fill="E5F1F8"/>
          </w:tcPr>
          <w:p>
            <w:pPr>
              <w:spacing w:after="0"/>
              <w:rPr>
                <w:sz w:val="16"/>
                <w:szCs w:val="16"/>
                <w:color w:val="auto"/>
              </w:rPr>
            </w:pPr>
          </w:p>
        </w:tc>
        <w:tc>
          <w:tcPr>
            <w:tcW w:w="740" w:type="dxa"/>
            <w:vAlign w:val="bottom"/>
            <w:shd w:val="clear" w:color="auto" w:fill="E5F1F8"/>
          </w:tcPr>
          <w:p>
            <w:pPr>
              <w:jc w:val="center"/>
              <w:ind w:right="75"/>
              <w:spacing w:after="0" w:line="189" w:lineRule="exact"/>
              <w:rPr>
                <w:sz w:val="20"/>
                <w:szCs w:val="20"/>
                <w:color w:val="auto"/>
              </w:rPr>
            </w:pPr>
            <w:r>
              <w:rPr>
                <w:rFonts w:ascii="Calibri" w:cs="Calibri" w:eastAsia="Calibri" w:hAnsi="Calibri"/>
                <w:sz w:val="17"/>
                <w:szCs w:val="17"/>
                <w:color w:val="auto"/>
              </w:rPr>
              <w:t>040284</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Merced AGG &amp; HMA</w:t>
            </w:r>
          </w:p>
        </w:tc>
        <w:tc>
          <w:tcPr>
            <w:tcW w:w="740" w:type="dxa"/>
            <w:vAlign w:val="bottom"/>
            <w:tcBorders>
              <w:bottom w:val="single" w:sz="8" w:color="E5F1F8"/>
            </w:tcBorders>
            <w:shd w:val="clear" w:color="auto" w:fill="E5F1F8"/>
          </w:tcPr>
          <w:p>
            <w:pPr>
              <w:jc w:val="center"/>
              <w:ind w:right="55"/>
              <w:spacing w:after="0" w:line="205" w:lineRule="exact"/>
              <w:rPr>
                <w:sz w:val="20"/>
                <w:szCs w:val="20"/>
                <w:color w:val="auto"/>
              </w:rPr>
            </w:pPr>
            <w:r>
              <w:rPr>
                <w:rFonts w:ascii="Calibri" w:cs="Calibri" w:eastAsia="Calibri" w:hAnsi="Calibri"/>
                <w:sz w:val="17"/>
                <w:szCs w:val="17"/>
                <w:color w:val="auto"/>
                <w:w w:val="92"/>
              </w:rPr>
              <w:t>1</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266</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40" w:type="dxa"/>
            <w:vAlign w:val="bottom"/>
          </w:tcPr>
          <w:p>
            <w:pPr>
              <w:spacing w:after="0"/>
              <w:rPr>
                <w:sz w:val="16"/>
                <w:szCs w:val="16"/>
                <w:color w:val="auto"/>
              </w:rPr>
            </w:pPr>
          </w:p>
        </w:tc>
        <w:tc>
          <w:tcPr>
            <w:tcW w:w="740" w:type="dxa"/>
            <w:vAlign w:val="bottom"/>
          </w:tcPr>
          <w:p>
            <w:pPr>
              <w:jc w:val="center"/>
              <w:ind w:right="75"/>
              <w:spacing w:after="0" w:line="189" w:lineRule="exact"/>
              <w:rPr>
                <w:sz w:val="20"/>
                <w:szCs w:val="20"/>
                <w:color w:val="auto"/>
              </w:rPr>
            </w:pPr>
            <w:r>
              <w:rPr>
                <w:rFonts w:ascii="Calibri" w:cs="Calibri" w:eastAsia="Calibri" w:hAnsi="Calibri"/>
                <w:sz w:val="17"/>
                <w:szCs w:val="17"/>
                <w:color w:val="auto"/>
              </w:rPr>
              <w:t>420217</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Milford Quarry  Utah</w:t>
            </w:r>
          </w:p>
        </w:tc>
        <w:tc>
          <w:tcPr>
            <w:tcW w:w="740" w:type="dxa"/>
            <w:vAlign w:val="bottom"/>
          </w:tcPr>
          <w:p>
            <w:pPr>
              <w:jc w:val="center"/>
              <w:ind w:right="55"/>
              <w:spacing w:after="0" w:line="205" w:lineRule="exact"/>
              <w:rPr>
                <w:sz w:val="20"/>
                <w:szCs w:val="20"/>
                <w:color w:val="auto"/>
              </w:rPr>
            </w:pPr>
            <w:r>
              <w:rPr>
                <w:rFonts w:ascii="Calibri" w:cs="Calibri" w:eastAsia="Calibri" w:hAnsi="Calibri"/>
                <w:sz w:val="17"/>
                <w:szCs w:val="17"/>
                <w:color w:val="auto"/>
                <w:w w:val="92"/>
              </w:rPr>
              <w:t>7</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4</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3,377</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40" w:type="dxa"/>
            <w:vAlign w:val="bottom"/>
            <w:shd w:val="clear" w:color="auto" w:fill="E5F1F8"/>
          </w:tcPr>
          <w:p>
            <w:pPr>
              <w:spacing w:after="0"/>
              <w:rPr>
                <w:sz w:val="16"/>
                <w:szCs w:val="16"/>
                <w:color w:val="auto"/>
              </w:rPr>
            </w:pPr>
          </w:p>
        </w:tc>
        <w:tc>
          <w:tcPr>
            <w:tcW w:w="740" w:type="dxa"/>
            <w:vAlign w:val="bottom"/>
            <w:shd w:val="clear" w:color="auto" w:fill="E5F1F8"/>
          </w:tcPr>
          <w:p>
            <w:pPr>
              <w:jc w:val="center"/>
              <w:ind w:right="75"/>
              <w:spacing w:after="0" w:line="189" w:lineRule="exact"/>
              <w:rPr>
                <w:sz w:val="20"/>
                <w:szCs w:val="20"/>
                <w:color w:val="auto"/>
              </w:rPr>
            </w:pPr>
            <w:r>
              <w:rPr>
                <w:rFonts w:ascii="Calibri" w:cs="Calibri" w:eastAsia="Calibri" w:hAnsi="Calibri"/>
                <w:sz w:val="17"/>
                <w:szCs w:val="17"/>
                <w:color w:val="auto"/>
              </w:rPr>
              <w:t>040291</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Miramar Recycle Plant</w:t>
            </w:r>
          </w:p>
        </w:tc>
        <w:tc>
          <w:tcPr>
            <w:tcW w:w="740" w:type="dxa"/>
            <w:vAlign w:val="bottom"/>
            <w:tcBorders>
              <w:bottom w:val="single" w:sz="8" w:color="E5F1F8"/>
            </w:tcBorders>
            <w:shd w:val="clear" w:color="auto" w:fill="E5F1F8"/>
          </w:tcPr>
          <w:p>
            <w:pPr>
              <w:jc w:val="center"/>
              <w:ind w:right="55"/>
              <w:spacing w:after="0" w:line="205" w:lineRule="exact"/>
              <w:rPr>
                <w:sz w:val="20"/>
                <w:szCs w:val="20"/>
                <w:color w:val="auto"/>
              </w:rPr>
            </w:pPr>
            <w:r>
              <w:rPr>
                <w:rFonts w:ascii="Calibri" w:cs="Calibri" w:eastAsia="Calibri" w:hAnsi="Calibri"/>
                <w:sz w:val="17"/>
                <w:szCs w:val="17"/>
                <w:color w:val="auto"/>
                <w:w w:val="92"/>
              </w:rPr>
              <w:t>1</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40" w:type="dxa"/>
            <w:vAlign w:val="bottom"/>
          </w:tcPr>
          <w:p>
            <w:pPr>
              <w:spacing w:after="0"/>
              <w:rPr>
                <w:sz w:val="16"/>
                <w:szCs w:val="16"/>
                <w:color w:val="auto"/>
              </w:rPr>
            </w:pPr>
          </w:p>
        </w:tc>
        <w:tc>
          <w:tcPr>
            <w:tcW w:w="740" w:type="dxa"/>
            <w:vAlign w:val="bottom"/>
          </w:tcPr>
          <w:p>
            <w:pPr>
              <w:jc w:val="center"/>
              <w:ind w:right="75"/>
              <w:spacing w:after="0" w:line="189" w:lineRule="exact"/>
              <w:rPr>
                <w:sz w:val="20"/>
                <w:szCs w:val="20"/>
                <w:color w:val="auto"/>
              </w:rPr>
            </w:pPr>
            <w:r>
              <w:rPr>
                <w:rFonts w:ascii="Calibri" w:cs="Calibri" w:eastAsia="Calibri" w:hAnsi="Calibri"/>
                <w:sz w:val="17"/>
                <w:szCs w:val="17"/>
                <w:color w:val="auto"/>
              </w:rPr>
              <w:t>450084</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Pacifc Quarry</w:t>
            </w:r>
          </w:p>
        </w:tc>
        <w:tc>
          <w:tcPr>
            <w:tcW w:w="740" w:type="dxa"/>
            <w:vAlign w:val="bottom"/>
          </w:tcPr>
          <w:p>
            <w:pPr>
              <w:jc w:val="center"/>
              <w:ind w:right="55"/>
              <w:spacing w:after="0" w:line="205" w:lineRule="exact"/>
              <w:rPr>
                <w:sz w:val="20"/>
                <w:szCs w:val="20"/>
                <w:color w:val="auto"/>
              </w:rPr>
            </w:pPr>
            <w:r>
              <w:rPr>
                <w:rFonts w:ascii="Calibri" w:cs="Calibri" w:eastAsia="Calibri" w:hAnsi="Calibri"/>
                <w:sz w:val="17"/>
                <w:szCs w:val="17"/>
                <w:color w:val="auto"/>
                <w:w w:val="92"/>
              </w:rPr>
              <w:t>4</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2</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2,282</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40" w:type="dxa"/>
            <w:vAlign w:val="bottom"/>
            <w:shd w:val="clear" w:color="auto" w:fill="E5F1F8"/>
          </w:tcPr>
          <w:p>
            <w:pPr>
              <w:spacing w:after="0"/>
              <w:rPr>
                <w:sz w:val="16"/>
                <w:szCs w:val="16"/>
                <w:color w:val="auto"/>
              </w:rPr>
            </w:pPr>
          </w:p>
        </w:tc>
        <w:tc>
          <w:tcPr>
            <w:tcW w:w="740" w:type="dxa"/>
            <w:vAlign w:val="bottom"/>
            <w:shd w:val="clear" w:color="auto" w:fill="E5F1F8"/>
          </w:tcPr>
          <w:p>
            <w:pPr>
              <w:jc w:val="center"/>
              <w:ind w:right="75"/>
              <w:spacing w:after="0" w:line="189" w:lineRule="exact"/>
              <w:rPr>
                <w:sz w:val="20"/>
                <w:szCs w:val="20"/>
                <w:color w:val="auto"/>
              </w:rPr>
            </w:pPr>
            <w:r>
              <w:rPr>
                <w:rFonts w:ascii="Calibri" w:cs="Calibri" w:eastAsia="Calibri" w:hAnsi="Calibri"/>
                <w:sz w:val="17"/>
                <w:szCs w:val="17"/>
                <w:color w:val="auto"/>
              </w:rPr>
              <w:t>050463</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8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Parkdale Quarry</w:t>
            </w:r>
          </w:p>
        </w:tc>
        <w:tc>
          <w:tcPr>
            <w:tcW w:w="740" w:type="dxa"/>
            <w:vAlign w:val="bottom"/>
            <w:tcBorders>
              <w:bottom w:val="single" w:sz="8" w:color="E5F1F8"/>
            </w:tcBorders>
            <w:shd w:val="clear" w:color="auto" w:fill="E5F1F8"/>
          </w:tcPr>
          <w:p>
            <w:pPr>
              <w:jc w:val="center"/>
              <w:ind w:right="55"/>
              <w:spacing w:after="0" w:line="205" w:lineRule="exact"/>
              <w:rPr>
                <w:sz w:val="20"/>
                <w:szCs w:val="20"/>
                <w:color w:val="auto"/>
              </w:rPr>
            </w:pPr>
            <w:r>
              <w:rPr>
                <w:rFonts w:ascii="Calibri" w:cs="Calibri" w:eastAsia="Calibri" w:hAnsi="Calibri"/>
                <w:sz w:val="17"/>
                <w:szCs w:val="17"/>
                <w:color w:val="auto"/>
                <w:w w:val="92"/>
              </w:rPr>
              <w:t>5</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614</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40" w:type="dxa"/>
            <w:vAlign w:val="bottom"/>
          </w:tcPr>
          <w:p>
            <w:pPr>
              <w:spacing w:after="0"/>
              <w:rPr>
                <w:sz w:val="16"/>
                <w:szCs w:val="16"/>
                <w:color w:val="auto"/>
              </w:rPr>
            </w:pPr>
          </w:p>
        </w:tc>
        <w:tc>
          <w:tcPr>
            <w:tcW w:w="740" w:type="dxa"/>
            <w:vAlign w:val="bottom"/>
          </w:tcPr>
          <w:p>
            <w:pPr>
              <w:jc w:val="center"/>
              <w:ind w:right="75"/>
              <w:spacing w:after="0" w:line="189" w:lineRule="exact"/>
              <w:rPr>
                <w:sz w:val="20"/>
                <w:szCs w:val="20"/>
                <w:color w:val="auto"/>
              </w:rPr>
            </w:pPr>
            <w:r>
              <w:rPr>
                <w:rFonts w:ascii="Calibri" w:cs="Calibri" w:eastAsia="Calibri" w:hAnsi="Calibri"/>
                <w:sz w:val="17"/>
                <w:szCs w:val="17"/>
                <w:color w:val="auto"/>
              </w:rPr>
              <w:t>050321</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Parsons Sand Gravel</w:t>
            </w:r>
          </w:p>
        </w:tc>
        <w:tc>
          <w:tcPr>
            <w:tcW w:w="740" w:type="dxa"/>
            <w:vAlign w:val="bottom"/>
          </w:tcPr>
          <w:p>
            <w:pPr>
              <w:jc w:val="center"/>
              <w:ind w:right="55"/>
              <w:spacing w:after="0" w:line="205" w:lineRule="exact"/>
              <w:rPr>
                <w:sz w:val="20"/>
                <w:szCs w:val="20"/>
                <w:color w:val="auto"/>
              </w:rPr>
            </w:pPr>
            <w:r>
              <w:rPr>
                <w:rFonts w:ascii="Calibri" w:cs="Calibri" w:eastAsia="Calibri" w:hAnsi="Calibri"/>
                <w:sz w:val="17"/>
                <w:szCs w:val="17"/>
                <w:color w:val="auto"/>
                <w:w w:val="92"/>
              </w:rPr>
              <w:t>5</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133</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4"/>
        </w:trPr>
        <w:tc>
          <w:tcPr>
            <w:tcW w:w="1740" w:type="dxa"/>
            <w:vAlign w:val="bottom"/>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Penrose Sand and</w:t>
            </w:r>
          </w:p>
        </w:tc>
        <w:tc>
          <w:tcPr>
            <w:tcW w:w="740" w:type="dxa"/>
            <w:vAlign w:val="bottom"/>
            <w:shd w:val="clear" w:color="auto" w:fill="E5F1F8"/>
          </w:tcPr>
          <w:p>
            <w:pPr>
              <w:jc w:val="center"/>
              <w:ind w:right="75"/>
              <w:spacing w:after="0" w:line="205" w:lineRule="exact"/>
              <w:rPr>
                <w:sz w:val="20"/>
                <w:szCs w:val="20"/>
                <w:color w:val="auto"/>
              </w:rPr>
            </w:pPr>
            <w:r>
              <w:rPr>
                <w:rFonts w:ascii="Calibri" w:cs="Calibri" w:eastAsia="Calibri" w:hAnsi="Calibri"/>
                <w:sz w:val="17"/>
                <w:szCs w:val="17"/>
                <w:color w:val="auto"/>
              </w:rPr>
              <w:t>050450</w:t>
            </w:r>
          </w:p>
        </w:tc>
        <w:tc>
          <w:tcPr>
            <w:tcW w:w="520" w:type="dxa"/>
            <w:vAlign w:val="bottom"/>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280" w:type="dxa"/>
            <w:vAlign w:val="bottom"/>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56"/>
        </w:trPr>
        <w:tc>
          <w:tcPr>
            <w:tcW w:w="1740" w:type="dxa"/>
            <w:vAlign w:val="bottom"/>
            <w:shd w:val="clear" w:color="auto" w:fill="E5F1F8"/>
          </w:tcPr>
          <w:p>
            <w:pPr>
              <w:spacing w:after="0"/>
              <w:rPr>
                <w:sz w:val="13"/>
                <w:szCs w:val="13"/>
                <w:color w:val="auto"/>
              </w:rPr>
            </w:pPr>
          </w:p>
        </w:tc>
        <w:tc>
          <w:tcPr>
            <w:tcW w:w="740" w:type="dxa"/>
            <w:vAlign w:val="bottom"/>
            <w:shd w:val="clear" w:color="auto" w:fill="E5F1F8"/>
          </w:tcPr>
          <w:p>
            <w:pPr>
              <w:spacing w:after="0"/>
              <w:rPr>
                <w:sz w:val="13"/>
                <w:szCs w:val="13"/>
                <w:color w:val="auto"/>
              </w:rPr>
            </w:pPr>
          </w:p>
        </w:tc>
        <w:tc>
          <w:tcPr>
            <w:tcW w:w="520" w:type="dxa"/>
            <w:vAlign w:val="bottom"/>
            <w:shd w:val="clear" w:color="auto" w:fill="E5F1F8"/>
          </w:tcPr>
          <w:p>
            <w:pPr>
              <w:spacing w:after="0"/>
              <w:rPr>
                <w:sz w:val="13"/>
                <w:szCs w:val="13"/>
                <w:color w:val="auto"/>
              </w:rPr>
            </w:pPr>
          </w:p>
        </w:tc>
        <w:tc>
          <w:tcPr>
            <w:tcW w:w="660" w:type="dxa"/>
            <w:vAlign w:val="bottom"/>
            <w:shd w:val="clear" w:color="auto" w:fill="E5F1F8"/>
          </w:tcPr>
          <w:p>
            <w:pPr>
              <w:spacing w:after="0"/>
              <w:rPr>
                <w:sz w:val="13"/>
                <w:szCs w:val="13"/>
                <w:color w:val="auto"/>
              </w:rPr>
            </w:pPr>
          </w:p>
        </w:tc>
        <w:tc>
          <w:tcPr>
            <w:tcW w:w="700" w:type="dxa"/>
            <w:vAlign w:val="bottom"/>
            <w:shd w:val="clear" w:color="auto" w:fill="E5F1F8"/>
          </w:tcPr>
          <w:p>
            <w:pPr>
              <w:spacing w:after="0"/>
              <w:rPr>
                <w:sz w:val="13"/>
                <w:szCs w:val="13"/>
                <w:color w:val="auto"/>
              </w:rPr>
            </w:pPr>
          </w:p>
        </w:tc>
        <w:tc>
          <w:tcPr>
            <w:tcW w:w="720" w:type="dxa"/>
            <w:vAlign w:val="bottom"/>
            <w:shd w:val="clear" w:color="auto" w:fill="E5F1F8"/>
          </w:tcPr>
          <w:p>
            <w:pPr>
              <w:spacing w:after="0"/>
              <w:rPr>
                <w:sz w:val="13"/>
                <w:szCs w:val="13"/>
                <w:color w:val="auto"/>
              </w:rPr>
            </w:pPr>
          </w:p>
        </w:tc>
        <w:tc>
          <w:tcPr>
            <w:tcW w:w="500" w:type="dxa"/>
            <w:vAlign w:val="bottom"/>
            <w:shd w:val="clear" w:color="auto" w:fill="E5F1F8"/>
          </w:tcPr>
          <w:p>
            <w:pPr>
              <w:spacing w:after="0"/>
              <w:rPr>
                <w:sz w:val="13"/>
                <w:szCs w:val="13"/>
                <w:color w:val="auto"/>
              </w:rPr>
            </w:pPr>
          </w:p>
        </w:tc>
        <w:tc>
          <w:tcPr>
            <w:tcW w:w="280" w:type="dxa"/>
            <w:vAlign w:val="bottom"/>
            <w:shd w:val="clear" w:color="auto" w:fill="E5F1F8"/>
          </w:tcPr>
          <w:p>
            <w:pPr>
              <w:spacing w:after="0"/>
              <w:rPr>
                <w:sz w:val="13"/>
                <w:szCs w:val="13"/>
                <w:color w:val="auto"/>
              </w:rPr>
            </w:pPr>
          </w:p>
        </w:tc>
        <w:tc>
          <w:tcPr>
            <w:tcW w:w="840" w:type="dxa"/>
            <w:vAlign w:val="bottom"/>
            <w:shd w:val="clear" w:color="auto" w:fill="E5F1F8"/>
          </w:tcPr>
          <w:p>
            <w:pPr>
              <w:spacing w:after="0"/>
              <w:rPr>
                <w:sz w:val="13"/>
                <w:szCs w:val="13"/>
                <w:color w:val="auto"/>
              </w:rPr>
            </w:pPr>
          </w:p>
        </w:tc>
        <w:tc>
          <w:tcPr>
            <w:tcW w:w="760" w:type="dxa"/>
            <w:vAlign w:val="bottom"/>
            <w:shd w:val="clear" w:color="auto" w:fill="E5F1F8"/>
          </w:tcPr>
          <w:p>
            <w:pPr>
              <w:spacing w:after="0"/>
              <w:rPr>
                <w:sz w:val="13"/>
                <w:szCs w:val="13"/>
                <w:color w:val="auto"/>
              </w:rPr>
            </w:pPr>
          </w:p>
        </w:tc>
        <w:tc>
          <w:tcPr>
            <w:tcW w:w="840" w:type="dxa"/>
            <w:vAlign w:val="bottom"/>
            <w:shd w:val="clear" w:color="auto" w:fill="E5F1F8"/>
          </w:tcPr>
          <w:p>
            <w:pPr>
              <w:spacing w:after="0"/>
              <w:rPr>
                <w:sz w:val="13"/>
                <w:szCs w:val="13"/>
                <w:color w:val="auto"/>
              </w:rPr>
            </w:pPr>
          </w:p>
        </w:tc>
        <w:tc>
          <w:tcPr>
            <w:tcW w:w="760" w:type="dxa"/>
            <w:vAlign w:val="bottom"/>
            <w:shd w:val="clear" w:color="auto" w:fill="E5F1F8"/>
          </w:tcPr>
          <w:p>
            <w:pPr>
              <w:spacing w:after="0"/>
              <w:rPr>
                <w:sz w:val="13"/>
                <w:szCs w:val="13"/>
                <w:color w:val="auto"/>
              </w:rPr>
            </w:pPr>
          </w:p>
        </w:tc>
        <w:tc>
          <w:tcPr>
            <w:tcW w:w="680" w:type="dxa"/>
            <w:vAlign w:val="bottom"/>
            <w:shd w:val="clear" w:color="auto" w:fill="E5F1F8"/>
          </w:tcPr>
          <w:p>
            <w:pPr>
              <w:spacing w:after="0"/>
              <w:rPr>
                <w:sz w:val="13"/>
                <w:szCs w:val="13"/>
                <w:color w:val="auto"/>
              </w:rPr>
            </w:pPr>
          </w:p>
        </w:tc>
        <w:tc>
          <w:tcPr>
            <w:tcW w:w="540" w:type="dxa"/>
            <w:vAlign w:val="bottom"/>
            <w:shd w:val="clear" w:color="auto" w:fill="E5F1F8"/>
          </w:tcPr>
          <w:p>
            <w:pPr>
              <w:spacing w:after="0"/>
              <w:rPr>
                <w:sz w:val="13"/>
                <w:szCs w:val="13"/>
                <w:color w:val="auto"/>
              </w:rPr>
            </w:pPr>
          </w:p>
        </w:tc>
        <w:tc>
          <w:tcPr>
            <w:tcW w:w="960" w:type="dxa"/>
            <w:vAlign w:val="bottom"/>
            <w:shd w:val="clear" w:color="auto" w:fill="E5F1F8"/>
          </w:tcPr>
          <w:p>
            <w:pPr>
              <w:spacing w:after="0"/>
              <w:rPr>
                <w:sz w:val="13"/>
                <w:szCs w:val="13"/>
                <w:color w:val="auto"/>
              </w:rPr>
            </w:pPr>
          </w:p>
        </w:tc>
      </w:tr>
    </w:tbl>
    <w:p>
      <w:pPr>
        <w:sectPr>
          <w:pgSz w:w="11900" w:h="16900" w:orient="portrait"/>
          <w:cols w:equalWidth="0" w:num="1">
            <w:col w:w="11240"/>
          </w:cols>
          <w:pgMar w:left="320" w:top="112" w:right="339" w:bottom="0" w:gutter="0" w:footer="0" w:header="0"/>
        </w:sectPr>
      </w:pPr>
    </w:p>
    <w:bookmarkStart w:id="149" w:name="page150"/>
    <w:bookmarkEnd w:id="1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620" w:type="dxa"/>
            <w:vAlign w:val="bottom"/>
            <w:shd w:val="clear" w:color="auto" w:fill="E5F1F8"/>
          </w:tcPr>
          <w:p>
            <w:pPr>
              <w:ind w:left="20"/>
              <w:spacing w:after="0"/>
              <w:rPr>
                <w:sz w:val="20"/>
                <w:szCs w:val="20"/>
                <w:color w:val="auto"/>
              </w:rPr>
            </w:pPr>
            <w:r>
              <w:rPr>
                <w:rFonts w:ascii="Calibri" w:cs="Calibri" w:eastAsia="Calibri" w:hAnsi="Calibri"/>
                <w:sz w:val="17"/>
                <w:szCs w:val="17"/>
                <w:color w:val="auto"/>
              </w:rPr>
              <w:t>Gravel</w:t>
            </w:r>
          </w:p>
        </w:tc>
        <w:tc>
          <w:tcPr>
            <w:tcW w:w="860" w:type="dxa"/>
            <w:vAlign w:val="bottom"/>
            <w:shd w:val="clear" w:color="auto" w:fill="E5F1F8"/>
          </w:tcPr>
          <w:p>
            <w:pPr>
              <w:jc w:val="center"/>
              <w:spacing w:after="0"/>
              <w:rPr>
                <w:sz w:val="20"/>
                <w:szCs w:val="20"/>
                <w:color w:val="auto"/>
              </w:rPr>
            </w:pPr>
            <w:r>
              <w:rPr>
                <w:rFonts w:ascii="Calibri" w:cs="Calibri" w:eastAsia="Calibri" w:hAnsi="Calibri"/>
                <w:sz w:val="17"/>
                <w:szCs w:val="17"/>
                <w:color w:val="auto"/>
                <w:w w:val="92"/>
              </w:rPr>
              <w:t>9</w:t>
            </w:r>
          </w:p>
        </w:tc>
        <w:tc>
          <w:tcPr>
            <w:tcW w:w="52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700" w:type="dxa"/>
            <w:vAlign w:val="bottom"/>
            <w:shd w:val="clear" w:color="auto" w:fill="E5F1F8"/>
          </w:tcPr>
          <w:p>
            <w:pPr>
              <w:spacing w:after="0"/>
              <w:rPr>
                <w:sz w:val="18"/>
                <w:szCs w:val="18"/>
                <w:color w:val="auto"/>
              </w:rPr>
            </w:pPr>
          </w:p>
        </w:tc>
        <w:tc>
          <w:tcPr>
            <w:tcW w:w="720" w:type="dxa"/>
            <w:vAlign w:val="bottom"/>
            <w:shd w:val="clear" w:color="auto" w:fill="E5F1F8"/>
          </w:tcPr>
          <w:p>
            <w:pPr>
              <w:spacing w:after="0"/>
              <w:rPr>
                <w:sz w:val="18"/>
                <w:szCs w:val="18"/>
                <w:color w:val="auto"/>
              </w:rPr>
            </w:pPr>
          </w:p>
        </w:tc>
        <w:tc>
          <w:tcPr>
            <w:tcW w:w="500" w:type="dxa"/>
            <w:vAlign w:val="bottom"/>
            <w:shd w:val="clear" w:color="auto" w:fill="E5F1F8"/>
          </w:tcPr>
          <w:p>
            <w:pPr>
              <w:spacing w:after="0"/>
              <w:rPr>
                <w:sz w:val="18"/>
                <w:szCs w:val="18"/>
                <w:color w:val="auto"/>
              </w:rPr>
            </w:pPr>
          </w:p>
        </w:tc>
        <w:tc>
          <w:tcPr>
            <w:tcW w:w="400" w:type="dxa"/>
            <w:vAlign w:val="bottom"/>
            <w:shd w:val="clear" w:color="auto" w:fill="E5F1F8"/>
          </w:tcPr>
          <w:p>
            <w:pPr>
              <w:spacing w:after="0"/>
              <w:rPr>
                <w:sz w:val="18"/>
                <w:szCs w:val="18"/>
                <w:color w:val="auto"/>
              </w:rPr>
            </w:pPr>
          </w:p>
        </w:tc>
        <w:tc>
          <w:tcPr>
            <w:tcW w:w="720" w:type="dxa"/>
            <w:vAlign w:val="bottom"/>
            <w:shd w:val="clear" w:color="auto" w:fill="E5F1F8"/>
          </w:tcPr>
          <w:p>
            <w:pPr>
              <w:spacing w:after="0"/>
              <w:rPr>
                <w:sz w:val="18"/>
                <w:szCs w:val="18"/>
                <w:color w:val="auto"/>
              </w:rPr>
            </w:pPr>
          </w:p>
        </w:tc>
        <w:tc>
          <w:tcPr>
            <w:tcW w:w="760" w:type="dxa"/>
            <w:vAlign w:val="bottom"/>
            <w:shd w:val="clear" w:color="auto" w:fill="E5F1F8"/>
          </w:tcPr>
          <w:p>
            <w:pPr>
              <w:spacing w:after="0"/>
              <w:rPr>
                <w:sz w:val="18"/>
                <w:szCs w:val="18"/>
                <w:color w:val="auto"/>
              </w:rPr>
            </w:pPr>
          </w:p>
        </w:tc>
        <w:tc>
          <w:tcPr>
            <w:tcW w:w="840" w:type="dxa"/>
            <w:vAlign w:val="bottom"/>
            <w:shd w:val="clear" w:color="auto" w:fill="E5F1F8"/>
          </w:tcPr>
          <w:p>
            <w:pPr>
              <w:spacing w:after="0"/>
              <w:rPr>
                <w:sz w:val="18"/>
                <w:szCs w:val="18"/>
                <w:color w:val="auto"/>
              </w:rPr>
            </w:pPr>
          </w:p>
        </w:tc>
        <w:tc>
          <w:tcPr>
            <w:tcW w:w="76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7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r>
      <w:tr>
        <w:trPr>
          <w:trHeight w:val="189"/>
        </w:trPr>
        <w:tc>
          <w:tcPr>
            <w:tcW w:w="1620" w:type="dxa"/>
            <w:vAlign w:val="bottom"/>
          </w:tcPr>
          <w:p>
            <w:pPr>
              <w:ind w:left="20"/>
              <w:spacing w:after="0" w:line="189" w:lineRule="exact"/>
              <w:rPr>
                <w:sz w:val="20"/>
                <w:szCs w:val="20"/>
                <w:color w:val="auto"/>
              </w:rPr>
            </w:pPr>
            <w:r>
              <w:rPr>
                <w:rFonts w:ascii="Calibri" w:cs="Calibri" w:eastAsia="Calibri" w:hAnsi="Calibri"/>
                <w:sz w:val="17"/>
                <w:szCs w:val="17"/>
                <w:color w:val="auto"/>
              </w:rPr>
              <w:t>Pier 92 Marine</w:t>
            </w:r>
          </w:p>
        </w:tc>
        <w:tc>
          <w:tcPr>
            <w:tcW w:w="860" w:type="dxa"/>
            <w:vAlign w:val="bottom"/>
          </w:tcPr>
          <w:p>
            <w:pPr>
              <w:jc w:val="center"/>
              <w:spacing w:after="0" w:line="189" w:lineRule="exact"/>
              <w:rPr>
                <w:sz w:val="20"/>
                <w:szCs w:val="20"/>
                <w:color w:val="auto"/>
              </w:rPr>
            </w:pPr>
            <w:r>
              <w:rPr>
                <w:rFonts w:ascii="Calibri" w:cs="Calibri" w:eastAsia="Calibri" w:hAnsi="Calibri"/>
                <w:sz w:val="17"/>
                <w:szCs w:val="17"/>
                <w:color w:val="auto"/>
              </w:rPr>
              <w:t>040526</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4"/>
        </w:trPr>
        <w:tc>
          <w:tcPr>
            <w:tcW w:w="1620" w:type="dxa"/>
            <w:vAlign w:val="bottom"/>
          </w:tcPr>
          <w:p>
            <w:pPr>
              <w:ind w:left="20"/>
              <w:spacing w:after="0" w:line="205" w:lineRule="exact"/>
              <w:rPr>
                <w:sz w:val="20"/>
                <w:szCs w:val="20"/>
                <w:color w:val="auto"/>
              </w:rPr>
            </w:pPr>
            <w:r>
              <w:rPr>
                <w:rFonts w:ascii="Calibri" w:cs="Calibri" w:eastAsia="Calibri" w:hAnsi="Calibri"/>
                <w:sz w:val="17"/>
                <w:szCs w:val="17"/>
                <w:color w:val="auto"/>
              </w:rPr>
              <w:t>Aggregates</w:t>
            </w:r>
          </w:p>
        </w:tc>
        <w:tc>
          <w:tcPr>
            <w:tcW w:w="86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1</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400" w:type="dxa"/>
            <w:vAlign w:val="bottom"/>
          </w:tcPr>
          <w:p>
            <w:pPr>
              <w:jc w:val="right"/>
              <w:ind w:right="95"/>
              <w:spacing w:after="0" w:line="205" w:lineRule="exact"/>
              <w:rPr>
                <w:sz w:val="20"/>
                <w:szCs w:val="20"/>
                <w:color w:val="auto"/>
              </w:rPr>
            </w:pPr>
            <w:r>
              <w:rPr>
                <w:rFonts w:ascii="Calibri" w:cs="Calibri" w:eastAsia="Calibri" w:hAnsi="Calibri"/>
                <w:sz w:val="17"/>
                <w:szCs w:val="17"/>
                <w:b w:val="1"/>
                <w:bCs w:val="1"/>
                <w:color w:val="auto"/>
              </w:rPr>
              <w:t>$</w:t>
            </w:r>
          </w:p>
        </w:tc>
        <w:tc>
          <w:tcPr>
            <w:tcW w:w="72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133</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80" w:type="dxa"/>
            <w:vAlign w:val="bottom"/>
          </w:tcPr>
          <w:p>
            <w:pPr>
              <w:jc w:val="right"/>
              <w:ind w:right="275"/>
              <w:spacing w:after="0" w:line="205" w:lineRule="exact"/>
              <w:rPr>
                <w:sz w:val="20"/>
                <w:szCs w:val="20"/>
                <w:color w:val="auto"/>
              </w:rPr>
            </w:pPr>
            <w:r>
              <w:rPr>
                <w:rFonts w:ascii="Calibri" w:cs="Calibri" w:eastAsia="Calibri" w:hAnsi="Calibri"/>
                <w:sz w:val="17"/>
                <w:szCs w:val="17"/>
                <w:color w:val="auto"/>
              </w:rPr>
              <w:t>0</w:t>
            </w:r>
          </w:p>
        </w:tc>
      </w:tr>
      <w:tr>
        <w:trPr>
          <w:trHeight w:val="39"/>
        </w:trPr>
        <w:tc>
          <w:tcPr>
            <w:tcW w:w="1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89"/>
        </w:trPr>
        <w:tc>
          <w:tcPr>
            <w:tcW w:w="1620" w:type="dxa"/>
            <w:vAlign w:val="bottom"/>
            <w:shd w:val="clear" w:color="auto" w:fill="E5F1F8"/>
          </w:tcPr>
          <w:p>
            <w:pPr>
              <w:spacing w:after="0"/>
              <w:rPr>
                <w:sz w:val="16"/>
                <w:szCs w:val="16"/>
                <w:color w:val="auto"/>
              </w:rPr>
            </w:pPr>
          </w:p>
        </w:tc>
        <w:tc>
          <w:tcPr>
            <w:tcW w:w="860" w:type="dxa"/>
            <w:vAlign w:val="bottom"/>
            <w:shd w:val="clear" w:color="auto" w:fill="E5F1F8"/>
          </w:tcPr>
          <w:p>
            <w:pPr>
              <w:jc w:val="center"/>
              <w:spacing w:after="0" w:line="189" w:lineRule="exact"/>
              <w:rPr>
                <w:sz w:val="20"/>
                <w:szCs w:val="20"/>
                <w:color w:val="auto"/>
              </w:rPr>
            </w:pPr>
            <w:r>
              <w:rPr>
                <w:rFonts w:ascii="Calibri" w:cs="Calibri" w:eastAsia="Calibri" w:hAnsi="Calibri"/>
                <w:sz w:val="17"/>
                <w:szCs w:val="17"/>
                <w:color w:val="auto"/>
              </w:rPr>
              <w:t>050441</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4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780" w:type="dxa"/>
            <w:vAlign w:val="bottom"/>
            <w:shd w:val="clear" w:color="auto" w:fill="E5F1F8"/>
          </w:tcPr>
          <w:p>
            <w:pPr>
              <w:spacing w:after="0"/>
              <w:rPr>
                <w:sz w:val="16"/>
                <w:szCs w:val="16"/>
                <w:color w:val="auto"/>
              </w:rPr>
            </w:pPr>
          </w:p>
        </w:tc>
      </w:tr>
      <w:tr>
        <w:trPr>
          <w:trHeight w:val="223"/>
        </w:trPr>
        <w:tc>
          <w:tcPr>
            <w:tcW w:w="16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Plate Sand &amp; Gravel</w:t>
            </w:r>
          </w:p>
        </w:tc>
        <w:tc>
          <w:tcPr>
            <w:tcW w:w="86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8</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1</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400" w:type="dxa"/>
            <w:vAlign w:val="bottom"/>
            <w:tcBorders>
              <w:bottom w:val="single" w:sz="8" w:color="E5F1F8"/>
            </w:tcBorders>
            <w:shd w:val="clear" w:color="auto" w:fill="E5F1F8"/>
          </w:tcPr>
          <w:p>
            <w:pPr>
              <w:jc w:val="right"/>
              <w:ind w:right="95"/>
              <w:spacing w:after="0" w:line="205" w:lineRule="exact"/>
              <w:rPr>
                <w:sz w:val="20"/>
                <w:szCs w:val="20"/>
                <w:color w:val="auto"/>
              </w:rPr>
            </w:pPr>
            <w:r>
              <w:rPr>
                <w:rFonts w:ascii="Calibri" w:cs="Calibri" w:eastAsia="Calibri" w:hAnsi="Calibri"/>
                <w:sz w:val="17"/>
                <w:szCs w:val="17"/>
                <w:b w:val="1"/>
                <w:bCs w:val="1"/>
                <w:color w:val="auto"/>
              </w:rPr>
              <w:t>$</w:t>
            </w:r>
          </w:p>
        </w:tc>
        <w:tc>
          <w:tcPr>
            <w:tcW w:w="7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266</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80" w:type="dxa"/>
            <w:vAlign w:val="bottom"/>
            <w:tcBorders>
              <w:bottom w:val="single" w:sz="8" w:color="E5F1F8"/>
            </w:tcBorders>
            <w:shd w:val="clear" w:color="auto" w:fill="E5F1F8"/>
          </w:tcPr>
          <w:p>
            <w:pPr>
              <w:jc w:val="right"/>
              <w:ind w:right="275"/>
              <w:spacing w:after="0" w:line="205" w:lineRule="exact"/>
              <w:rPr>
                <w:sz w:val="20"/>
                <w:szCs w:val="20"/>
                <w:color w:val="auto"/>
              </w:rPr>
            </w:pPr>
            <w:r>
              <w:rPr>
                <w:rFonts w:ascii="Calibri" w:cs="Calibri" w:eastAsia="Calibri" w:hAnsi="Calibri"/>
                <w:sz w:val="17"/>
                <w:szCs w:val="17"/>
                <w:color w:val="auto"/>
              </w:rPr>
              <w:t>0</w:t>
            </w:r>
          </w:p>
        </w:tc>
      </w:tr>
      <w:tr>
        <w:trPr>
          <w:trHeight w:val="189"/>
        </w:trPr>
        <w:tc>
          <w:tcPr>
            <w:tcW w:w="1620" w:type="dxa"/>
            <w:vAlign w:val="bottom"/>
          </w:tcPr>
          <w:p>
            <w:pPr>
              <w:spacing w:after="0"/>
              <w:rPr>
                <w:sz w:val="16"/>
                <w:szCs w:val="16"/>
                <w:color w:val="auto"/>
              </w:rPr>
            </w:pPr>
          </w:p>
        </w:tc>
        <w:tc>
          <w:tcPr>
            <w:tcW w:w="860" w:type="dxa"/>
            <w:vAlign w:val="bottom"/>
          </w:tcPr>
          <w:p>
            <w:pPr>
              <w:jc w:val="center"/>
              <w:spacing w:after="0" w:line="189" w:lineRule="exact"/>
              <w:rPr>
                <w:sz w:val="20"/>
                <w:szCs w:val="20"/>
                <w:color w:val="auto"/>
              </w:rPr>
            </w:pPr>
            <w:r>
              <w:rPr>
                <w:rFonts w:ascii="Calibri" w:cs="Calibri" w:eastAsia="Calibri" w:hAnsi="Calibri"/>
                <w:sz w:val="17"/>
                <w:szCs w:val="17"/>
                <w:color w:val="auto"/>
              </w:rPr>
              <w:t>050398</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4"/>
        </w:trPr>
        <w:tc>
          <w:tcPr>
            <w:tcW w:w="1620" w:type="dxa"/>
            <w:vAlign w:val="bottom"/>
          </w:tcPr>
          <w:p>
            <w:pPr>
              <w:ind w:left="20"/>
              <w:spacing w:after="0" w:line="205" w:lineRule="exact"/>
              <w:rPr>
                <w:sz w:val="20"/>
                <w:szCs w:val="20"/>
                <w:color w:val="auto"/>
              </w:rPr>
            </w:pPr>
            <w:r>
              <w:rPr>
                <w:rFonts w:ascii="Calibri" w:cs="Calibri" w:eastAsia="Calibri" w:hAnsi="Calibri"/>
                <w:sz w:val="17"/>
                <w:szCs w:val="17"/>
                <w:color w:val="auto"/>
              </w:rPr>
              <w:t>Portable Crushing</w:t>
            </w:r>
          </w:p>
        </w:tc>
        <w:tc>
          <w:tcPr>
            <w:tcW w:w="86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4</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400" w:type="dxa"/>
            <w:vAlign w:val="bottom"/>
          </w:tcPr>
          <w:p>
            <w:pPr>
              <w:jc w:val="right"/>
              <w:ind w:right="95"/>
              <w:spacing w:after="0" w:line="205" w:lineRule="exact"/>
              <w:rPr>
                <w:sz w:val="20"/>
                <w:szCs w:val="20"/>
                <w:color w:val="auto"/>
              </w:rPr>
            </w:pPr>
            <w:r>
              <w:rPr>
                <w:rFonts w:ascii="Calibri" w:cs="Calibri" w:eastAsia="Calibri" w:hAnsi="Calibri"/>
                <w:sz w:val="17"/>
                <w:szCs w:val="17"/>
                <w:b w:val="1"/>
                <w:bCs w:val="1"/>
                <w:color w:val="auto"/>
              </w:rPr>
              <w:t>$</w:t>
            </w:r>
          </w:p>
        </w:tc>
        <w:tc>
          <w:tcPr>
            <w:tcW w:w="72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80" w:type="dxa"/>
            <w:vAlign w:val="bottom"/>
          </w:tcPr>
          <w:p>
            <w:pPr>
              <w:jc w:val="right"/>
              <w:ind w:right="275"/>
              <w:spacing w:after="0" w:line="205" w:lineRule="exact"/>
              <w:rPr>
                <w:sz w:val="20"/>
                <w:szCs w:val="20"/>
                <w:color w:val="auto"/>
              </w:rPr>
            </w:pPr>
            <w:r>
              <w:rPr>
                <w:rFonts w:ascii="Calibri" w:cs="Calibri" w:eastAsia="Calibri" w:hAnsi="Calibri"/>
                <w:sz w:val="17"/>
                <w:szCs w:val="17"/>
                <w:color w:val="auto"/>
              </w:rPr>
              <w:t>0</w:t>
            </w:r>
          </w:p>
        </w:tc>
      </w:tr>
      <w:tr>
        <w:trPr>
          <w:trHeight w:val="154"/>
        </w:trPr>
        <w:tc>
          <w:tcPr>
            <w:tcW w:w="1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center"/>
              <w:ind w:left="74"/>
              <w:spacing w:after="0"/>
              <w:rPr>
                <w:sz w:val="20"/>
                <w:szCs w:val="20"/>
                <w:color w:val="auto"/>
              </w:rPr>
            </w:pPr>
            <w:r>
              <w:rPr>
                <w:rFonts w:ascii="Calibri" w:cs="Calibri" w:eastAsia="Calibri" w:hAnsi="Calibri"/>
                <w:sz w:val="18"/>
                <w:szCs w:val="18"/>
                <w:color w:val="auto"/>
                <w:w w:val="97"/>
              </w:rPr>
              <w:t>Appendix 1</w:t>
            </w:r>
          </w:p>
        </w:tc>
      </w:tr>
      <w:tr>
        <w:trPr>
          <w:trHeight w:val="23"/>
        </w:trPr>
        <w:tc>
          <w:tcPr>
            <w:tcW w:w="1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89"/>
        </w:trPr>
        <w:tc>
          <w:tcPr>
            <w:tcW w:w="1720" w:type="dxa"/>
            <w:vAlign w:val="bottom"/>
            <w:shd w:val="clear" w:color="auto" w:fill="E5F1F8"/>
          </w:tcPr>
          <w:p>
            <w:pPr>
              <w:spacing w:after="0"/>
              <w:rPr>
                <w:sz w:val="16"/>
                <w:szCs w:val="16"/>
                <w:color w:val="auto"/>
              </w:rPr>
            </w:pPr>
          </w:p>
        </w:tc>
        <w:tc>
          <w:tcPr>
            <w:tcW w:w="760" w:type="dxa"/>
            <w:vAlign w:val="bottom"/>
            <w:shd w:val="clear" w:color="auto" w:fill="E5F1F8"/>
          </w:tcPr>
          <w:p>
            <w:pPr>
              <w:jc w:val="center"/>
              <w:ind w:right="55"/>
              <w:spacing w:after="0" w:line="189" w:lineRule="exact"/>
              <w:rPr>
                <w:sz w:val="20"/>
                <w:szCs w:val="20"/>
                <w:color w:val="auto"/>
              </w:rPr>
            </w:pPr>
            <w:r>
              <w:rPr>
                <w:rFonts w:ascii="Calibri" w:cs="Calibri" w:eastAsia="Calibri" w:hAnsi="Calibri"/>
                <w:sz w:val="17"/>
                <w:szCs w:val="17"/>
                <w:color w:val="auto"/>
              </w:rPr>
              <w:t>050435</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320" w:type="dxa"/>
            <w:vAlign w:val="bottom"/>
            <w:shd w:val="clear" w:color="auto" w:fill="E5F1F8"/>
          </w:tcPr>
          <w:p>
            <w:pPr>
              <w:spacing w:after="0"/>
              <w:rPr>
                <w:sz w:val="16"/>
                <w:szCs w:val="16"/>
                <w:color w:val="auto"/>
              </w:rPr>
            </w:pPr>
          </w:p>
        </w:tc>
        <w:tc>
          <w:tcPr>
            <w:tcW w:w="8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Portable Plant 1</w:t>
            </w:r>
          </w:p>
        </w:tc>
        <w:tc>
          <w:tcPr>
            <w:tcW w:w="7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9</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Borders>
              <w:bottom w:val="single" w:sz="8" w:color="E5F1F8"/>
            </w:tcBorders>
            <w:shd w:val="clear" w:color="auto" w:fill="E5F1F8"/>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760" w:type="dxa"/>
            <w:vAlign w:val="bottom"/>
          </w:tcPr>
          <w:p>
            <w:pPr>
              <w:jc w:val="center"/>
              <w:ind w:right="55"/>
              <w:spacing w:after="0" w:line="189" w:lineRule="exact"/>
              <w:rPr>
                <w:sz w:val="20"/>
                <w:szCs w:val="20"/>
                <w:color w:val="auto"/>
              </w:rPr>
            </w:pPr>
            <w:r>
              <w:rPr>
                <w:rFonts w:ascii="Calibri" w:cs="Calibri" w:eastAsia="Calibri" w:hAnsi="Calibri"/>
                <w:sz w:val="17"/>
                <w:szCs w:val="17"/>
                <w:color w:val="auto"/>
              </w:rPr>
              <w:t>050452</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Portable Plant 21</w:t>
            </w:r>
          </w:p>
        </w:tc>
        <w:tc>
          <w:tcPr>
            <w:tcW w:w="7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0</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156</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760" w:type="dxa"/>
            <w:vAlign w:val="bottom"/>
            <w:shd w:val="clear" w:color="auto" w:fill="E5F1F8"/>
          </w:tcPr>
          <w:p>
            <w:pPr>
              <w:jc w:val="center"/>
              <w:ind w:right="55"/>
              <w:spacing w:after="0" w:line="189" w:lineRule="exact"/>
              <w:rPr>
                <w:sz w:val="20"/>
                <w:szCs w:val="20"/>
                <w:color w:val="auto"/>
              </w:rPr>
            </w:pPr>
            <w:r>
              <w:rPr>
                <w:rFonts w:ascii="Calibri" w:cs="Calibri" w:eastAsia="Calibri" w:hAnsi="Calibri"/>
                <w:sz w:val="17"/>
                <w:szCs w:val="17"/>
                <w:color w:val="auto"/>
              </w:rPr>
              <w:t>050413</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320" w:type="dxa"/>
            <w:vAlign w:val="bottom"/>
            <w:shd w:val="clear" w:color="auto" w:fill="E5F1F8"/>
          </w:tcPr>
          <w:p>
            <w:pPr>
              <w:spacing w:after="0"/>
              <w:rPr>
                <w:sz w:val="16"/>
                <w:szCs w:val="16"/>
                <w:color w:val="auto"/>
              </w:rPr>
            </w:pPr>
          </w:p>
        </w:tc>
        <w:tc>
          <w:tcPr>
            <w:tcW w:w="8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Red Canyon Quarry</w:t>
            </w:r>
          </w:p>
        </w:tc>
        <w:tc>
          <w:tcPr>
            <w:tcW w:w="7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6</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Borders>
              <w:bottom w:val="single" w:sz="8" w:color="E5F1F8"/>
            </w:tcBorders>
            <w:shd w:val="clear" w:color="auto" w:fill="E5F1F8"/>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665</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760" w:type="dxa"/>
            <w:vAlign w:val="bottom"/>
          </w:tcPr>
          <w:p>
            <w:pPr>
              <w:jc w:val="center"/>
              <w:ind w:right="55"/>
              <w:spacing w:after="0" w:line="189" w:lineRule="exact"/>
              <w:rPr>
                <w:sz w:val="20"/>
                <w:szCs w:val="20"/>
                <w:color w:val="auto"/>
              </w:rPr>
            </w:pPr>
            <w:r>
              <w:rPr>
                <w:rFonts w:ascii="Calibri" w:cs="Calibri" w:eastAsia="Calibri" w:hAnsi="Calibri"/>
                <w:sz w:val="17"/>
                <w:szCs w:val="17"/>
                <w:color w:val="auto"/>
              </w:rPr>
              <w:t>050418</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Rich Sand &amp; Gravel</w:t>
            </w:r>
          </w:p>
        </w:tc>
        <w:tc>
          <w:tcPr>
            <w:tcW w:w="7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6</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1</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777</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760" w:type="dxa"/>
            <w:vAlign w:val="bottom"/>
            <w:shd w:val="clear" w:color="auto" w:fill="E5F1F8"/>
          </w:tcPr>
          <w:p>
            <w:pPr>
              <w:jc w:val="center"/>
              <w:ind w:right="55"/>
              <w:spacing w:after="0" w:line="189" w:lineRule="exact"/>
              <w:rPr>
                <w:sz w:val="20"/>
                <w:szCs w:val="20"/>
                <w:color w:val="auto"/>
              </w:rPr>
            </w:pPr>
            <w:r>
              <w:rPr>
                <w:rFonts w:ascii="Calibri" w:cs="Calibri" w:eastAsia="Calibri" w:hAnsi="Calibri"/>
                <w:sz w:val="17"/>
                <w:szCs w:val="17"/>
                <w:color w:val="auto"/>
              </w:rPr>
              <w:t>020264</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320" w:type="dxa"/>
            <w:vAlign w:val="bottom"/>
            <w:shd w:val="clear" w:color="auto" w:fill="E5F1F8"/>
          </w:tcPr>
          <w:p>
            <w:pPr>
              <w:spacing w:after="0"/>
              <w:rPr>
                <w:sz w:val="16"/>
                <w:szCs w:val="16"/>
                <w:color w:val="auto"/>
              </w:rPr>
            </w:pPr>
          </w:p>
        </w:tc>
        <w:tc>
          <w:tcPr>
            <w:tcW w:w="8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River Ranch AGG</w:t>
            </w:r>
          </w:p>
        </w:tc>
        <w:tc>
          <w:tcPr>
            <w:tcW w:w="7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6</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Borders>
              <w:bottom w:val="single" w:sz="8" w:color="E5F1F8"/>
            </w:tcBorders>
            <w:shd w:val="clear" w:color="auto" w:fill="E5F1F8"/>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773</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760" w:type="dxa"/>
            <w:vAlign w:val="bottom"/>
          </w:tcPr>
          <w:p>
            <w:pPr>
              <w:jc w:val="center"/>
              <w:ind w:right="55"/>
              <w:spacing w:after="0" w:line="189" w:lineRule="exact"/>
              <w:rPr>
                <w:sz w:val="20"/>
                <w:szCs w:val="20"/>
                <w:color w:val="auto"/>
              </w:rPr>
            </w:pPr>
            <w:r>
              <w:rPr>
                <w:rFonts w:ascii="Calibri" w:cs="Calibri" w:eastAsia="Calibri" w:hAnsi="Calibri"/>
                <w:sz w:val="17"/>
                <w:szCs w:val="17"/>
                <w:color w:val="auto"/>
              </w:rPr>
              <w:t>050484</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Riverbend Sand Gravel</w:t>
            </w:r>
          </w:p>
        </w:tc>
        <w:tc>
          <w:tcPr>
            <w:tcW w:w="7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1</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1</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4,160</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760" w:type="dxa"/>
            <w:vAlign w:val="bottom"/>
            <w:shd w:val="clear" w:color="auto" w:fill="E5F1F8"/>
          </w:tcPr>
          <w:p>
            <w:pPr>
              <w:jc w:val="center"/>
              <w:ind w:right="55"/>
              <w:spacing w:after="0" w:line="189" w:lineRule="exact"/>
              <w:rPr>
                <w:sz w:val="20"/>
                <w:szCs w:val="20"/>
                <w:color w:val="auto"/>
              </w:rPr>
            </w:pPr>
            <w:r>
              <w:rPr>
                <w:rFonts w:ascii="Calibri" w:cs="Calibri" w:eastAsia="Calibri" w:hAnsi="Calibri"/>
                <w:sz w:val="17"/>
                <w:szCs w:val="17"/>
                <w:color w:val="auto"/>
              </w:rPr>
              <w:t>040053</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320" w:type="dxa"/>
            <w:vAlign w:val="bottom"/>
            <w:shd w:val="clear" w:color="auto" w:fill="E5F1F8"/>
          </w:tcPr>
          <w:p>
            <w:pPr>
              <w:spacing w:after="0"/>
              <w:rPr>
                <w:sz w:val="16"/>
                <w:szCs w:val="16"/>
                <w:color w:val="auto"/>
              </w:rPr>
            </w:pPr>
          </w:p>
        </w:tc>
        <w:tc>
          <w:tcPr>
            <w:tcW w:w="8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San Andreas AGG</w:t>
            </w:r>
          </w:p>
        </w:tc>
        <w:tc>
          <w:tcPr>
            <w:tcW w:w="7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9</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1</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Borders>
              <w:bottom w:val="single" w:sz="8" w:color="E5F1F8"/>
            </w:tcBorders>
            <w:shd w:val="clear" w:color="auto" w:fill="E5F1F8"/>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849</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760" w:type="dxa"/>
            <w:vAlign w:val="bottom"/>
          </w:tcPr>
          <w:p>
            <w:pPr>
              <w:jc w:val="center"/>
              <w:ind w:right="55"/>
              <w:spacing w:after="0" w:line="189" w:lineRule="exact"/>
              <w:rPr>
                <w:sz w:val="20"/>
                <w:szCs w:val="20"/>
                <w:color w:val="auto"/>
              </w:rPr>
            </w:pPr>
            <w:r>
              <w:rPr>
                <w:rFonts w:ascii="Calibri" w:cs="Calibri" w:eastAsia="Calibri" w:hAnsi="Calibri"/>
                <w:sz w:val="17"/>
                <w:szCs w:val="17"/>
                <w:color w:val="auto"/>
              </w:rPr>
              <w:t>040579</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Sanger AGG</w:t>
            </w:r>
          </w:p>
        </w:tc>
        <w:tc>
          <w:tcPr>
            <w:tcW w:w="7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9</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2,028</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20" w:type="dxa"/>
            <w:vAlign w:val="bottom"/>
            <w:shd w:val="clear" w:color="auto" w:fill="E5F1F8"/>
          </w:tcPr>
          <w:p>
            <w:pPr>
              <w:ind w:left="20"/>
              <w:spacing w:after="0" w:line="189" w:lineRule="exact"/>
              <w:rPr>
                <w:sz w:val="20"/>
                <w:szCs w:val="20"/>
                <w:color w:val="auto"/>
              </w:rPr>
            </w:pPr>
            <w:r>
              <w:rPr>
                <w:rFonts w:ascii="Calibri" w:cs="Calibri" w:eastAsia="Calibri" w:hAnsi="Calibri"/>
                <w:sz w:val="17"/>
                <w:szCs w:val="17"/>
                <w:color w:val="auto"/>
              </w:rPr>
              <w:t>Santa Margarita</w:t>
            </w:r>
          </w:p>
        </w:tc>
        <w:tc>
          <w:tcPr>
            <w:tcW w:w="760" w:type="dxa"/>
            <w:vAlign w:val="bottom"/>
            <w:shd w:val="clear" w:color="auto" w:fill="E5F1F8"/>
          </w:tcPr>
          <w:p>
            <w:pPr>
              <w:jc w:val="center"/>
              <w:ind w:right="55"/>
              <w:spacing w:after="0" w:line="189" w:lineRule="exact"/>
              <w:rPr>
                <w:sz w:val="20"/>
                <w:szCs w:val="20"/>
                <w:color w:val="auto"/>
              </w:rPr>
            </w:pPr>
            <w:r>
              <w:rPr>
                <w:rFonts w:ascii="Calibri" w:cs="Calibri" w:eastAsia="Calibri" w:hAnsi="Calibri"/>
                <w:sz w:val="17"/>
                <w:szCs w:val="17"/>
                <w:color w:val="auto"/>
              </w:rPr>
              <w:t>040161</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320" w:type="dxa"/>
            <w:vAlign w:val="bottom"/>
            <w:shd w:val="clear" w:color="auto" w:fill="E5F1F8"/>
          </w:tcPr>
          <w:p>
            <w:pPr>
              <w:spacing w:after="0"/>
              <w:rPr>
                <w:sz w:val="16"/>
                <w:szCs w:val="16"/>
                <w:color w:val="auto"/>
              </w:rPr>
            </w:pPr>
          </w:p>
        </w:tc>
        <w:tc>
          <w:tcPr>
            <w:tcW w:w="8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Aggregates</w:t>
            </w:r>
          </w:p>
        </w:tc>
        <w:tc>
          <w:tcPr>
            <w:tcW w:w="7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6</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3</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Borders>
              <w:bottom w:val="single" w:sz="8" w:color="E5F1F8"/>
            </w:tcBorders>
            <w:shd w:val="clear" w:color="auto" w:fill="E5F1F8"/>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9,337</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760" w:type="dxa"/>
            <w:vAlign w:val="bottom"/>
          </w:tcPr>
          <w:p>
            <w:pPr>
              <w:jc w:val="center"/>
              <w:ind w:right="55"/>
              <w:spacing w:after="0" w:line="189" w:lineRule="exact"/>
              <w:rPr>
                <w:sz w:val="20"/>
                <w:szCs w:val="20"/>
                <w:color w:val="auto"/>
              </w:rPr>
            </w:pPr>
            <w:r>
              <w:rPr>
                <w:rFonts w:ascii="Calibri" w:cs="Calibri" w:eastAsia="Calibri" w:hAnsi="Calibri"/>
                <w:sz w:val="17"/>
                <w:szCs w:val="17"/>
                <w:color w:val="auto"/>
              </w:rPr>
              <w:t>040556</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Santee Plant</w:t>
            </w:r>
          </w:p>
        </w:tc>
        <w:tc>
          <w:tcPr>
            <w:tcW w:w="7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4</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133</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760" w:type="dxa"/>
            <w:vAlign w:val="bottom"/>
            <w:shd w:val="clear" w:color="auto" w:fill="E5F1F8"/>
          </w:tcPr>
          <w:p>
            <w:pPr>
              <w:jc w:val="center"/>
              <w:ind w:right="55"/>
              <w:spacing w:after="0" w:line="189" w:lineRule="exact"/>
              <w:rPr>
                <w:sz w:val="20"/>
                <w:szCs w:val="20"/>
                <w:color w:val="auto"/>
              </w:rPr>
            </w:pPr>
            <w:r>
              <w:rPr>
                <w:rFonts w:ascii="Calibri" w:cs="Calibri" w:eastAsia="Calibri" w:hAnsi="Calibri"/>
                <w:sz w:val="17"/>
                <w:szCs w:val="17"/>
                <w:color w:val="auto"/>
              </w:rPr>
              <w:t>040195</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320" w:type="dxa"/>
            <w:vAlign w:val="bottom"/>
            <w:shd w:val="clear" w:color="auto" w:fill="E5F1F8"/>
          </w:tcPr>
          <w:p>
            <w:pPr>
              <w:spacing w:after="0"/>
              <w:rPr>
                <w:sz w:val="16"/>
                <w:szCs w:val="16"/>
                <w:color w:val="auto"/>
              </w:rPr>
            </w:pPr>
          </w:p>
        </w:tc>
        <w:tc>
          <w:tcPr>
            <w:tcW w:w="8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Sisquoc Aggregates</w:t>
            </w:r>
          </w:p>
        </w:tc>
        <w:tc>
          <w:tcPr>
            <w:tcW w:w="7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9</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Borders>
              <w:bottom w:val="single" w:sz="8" w:color="E5F1F8"/>
            </w:tcBorders>
            <w:shd w:val="clear" w:color="auto" w:fill="E5F1F8"/>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1,164</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760" w:type="dxa"/>
            <w:vAlign w:val="bottom"/>
          </w:tcPr>
          <w:p>
            <w:pPr>
              <w:jc w:val="center"/>
              <w:ind w:right="55"/>
              <w:spacing w:after="0" w:line="189" w:lineRule="exact"/>
              <w:rPr>
                <w:sz w:val="20"/>
                <w:szCs w:val="20"/>
                <w:color w:val="auto"/>
              </w:rPr>
            </w:pPr>
            <w:r>
              <w:rPr>
                <w:rFonts w:ascii="Calibri" w:cs="Calibri" w:eastAsia="Calibri" w:hAnsi="Calibri"/>
                <w:sz w:val="17"/>
                <w:szCs w:val="17"/>
                <w:color w:val="auto"/>
              </w:rPr>
              <w:t>050086</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Spec Agg Quarry</w:t>
            </w:r>
          </w:p>
        </w:tc>
        <w:tc>
          <w:tcPr>
            <w:tcW w:w="7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0</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1</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1,358</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760" w:type="dxa"/>
            <w:vAlign w:val="bottom"/>
            <w:shd w:val="clear" w:color="auto" w:fill="E5F1F8"/>
          </w:tcPr>
          <w:p>
            <w:pPr>
              <w:jc w:val="center"/>
              <w:ind w:right="55"/>
              <w:spacing w:after="0" w:line="189" w:lineRule="exact"/>
              <w:rPr>
                <w:sz w:val="20"/>
                <w:szCs w:val="20"/>
                <w:color w:val="auto"/>
              </w:rPr>
            </w:pPr>
            <w:r>
              <w:rPr>
                <w:rFonts w:ascii="Calibri" w:cs="Calibri" w:eastAsia="Calibri" w:hAnsi="Calibri"/>
                <w:sz w:val="17"/>
                <w:szCs w:val="17"/>
                <w:color w:val="auto"/>
              </w:rPr>
              <w:t>040185</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320" w:type="dxa"/>
            <w:vAlign w:val="bottom"/>
            <w:shd w:val="clear" w:color="auto" w:fill="E5F1F8"/>
          </w:tcPr>
          <w:p>
            <w:pPr>
              <w:spacing w:after="0"/>
              <w:rPr>
                <w:sz w:val="16"/>
                <w:szCs w:val="16"/>
                <w:color w:val="auto"/>
              </w:rPr>
            </w:pPr>
          </w:p>
        </w:tc>
        <w:tc>
          <w:tcPr>
            <w:tcW w:w="8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Sunol Plant</w:t>
            </w:r>
          </w:p>
        </w:tc>
        <w:tc>
          <w:tcPr>
            <w:tcW w:w="7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9</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Borders>
              <w:bottom w:val="single" w:sz="8" w:color="E5F1F8"/>
            </w:tcBorders>
            <w:shd w:val="clear" w:color="auto" w:fill="E5F1F8"/>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2,255</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760" w:type="dxa"/>
            <w:vAlign w:val="bottom"/>
          </w:tcPr>
          <w:p>
            <w:pPr>
              <w:jc w:val="center"/>
              <w:ind w:right="55"/>
              <w:spacing w:after="0" w:line="189" w:lineRule="exact"/>
              <w:rPr>
                <w:sz w:val="20"/>
                <w:szCs w:val="20"/>
                <w:color w:val="auto"/>
              </w:rPr>
            </w:pPr>
            <w:r>
              <w:rPr>
                <w:rFonts w:ascii="Calibri" w:cs="Calibri" w:eastAsia="Calibri" w:hAnsi="Calibri"/>
                <w:sz w:val="17"/>
                <w:szCs w:val="17"/>
                <w:color w:val="auto"/>
              </w:rPr>
              <w:t>050452</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Taf Sand Gravel</w:t>
            </w:r>
          </w:p>
        </w:tc>
        <w:tc>
          <w:tcPr>
            <w:tcW w:w="7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6</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169</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760" w:type="dxa"/>
            <w:vAlign w:val="bottom"/>
            <w:shd w:val="clear" w:color="auto" w:fill="E5F1F8"/>
          </w:tcPr>
          <w:p>
            <w:pPr>
              <w:jc w:val="center"/>
              <w:ind w:right="55"/>
              <w:spacing w:after="0" w:line="189" w:lineRule="exact"/>
              <w:rPr>
                <w:sz w:val="20"/>
                <w:szCs w:val="20"/>
                <w:color w:val="auto"/>
              </w:rPr>
            </w:pPr>
            <w:r>
              <w:rPr>
                <w:rFonts w:ascii="Calibri" w:cs="Calibri" w:eastAsia="Calibri" w:hAnsi="Calibri"/>
                <w:sz w:val="17"/>
                <w:szCs w:val="17"/>
                <w:color w:val="auto"/>
              </w:rPr>
              <w:t>050473</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320" w:type="dxa"/>
            <w:vAlign w:val="bottom"/>
            <w:shd w:val="clear" w:color="auto" w:fill="E5F1F8"/>
          </w:tcPr>
          <w:p>
            <w:pPr>
              <w:spacing w:after="0"/>
              <w:rPr>
                <w:sz w:val="16"/>
                <w:szCs w:val="16"/>
                <w:color w:val="auto"/>
              </w:rPr>
            </w:pPr>
          </w:p>
        </w:tc>
        <w:tc>
          <w:tcPr>
            <w:tcW w:w="8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Taf Wash Plant</w:t>
            </w:r>
          </w:p>
        </w:tc>
        <w:tc>
          <w:tcPr>
            <w:tcW w:w="7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5</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Borders>
              <w:bottom w:val="single" w:sz="8" w:color="E5F1F8"/>
            </w:tcBorders>
            <w:shd w:val="clear" w:color="auto" w:fill="E5F1F8"/>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144</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ind w:left="20"/>
              <w:spacing w:after="0" w:line="189" w:lineRule="exact"/>
              <w:rPr>
                <w:sz w:val="20"/>
                <w:szCs w:val="20"/>
                <w:color w:val="auto"/>
              </w:rPr>
            </w:pPr>
            <w:r>
              <w:rPr>
                <w:rFonts w:ascii="Calibri" w:cs="Calibri" w:eastAsia="Calibri" w:hAnsi="Calibri"/>
                <w:sz w:val="17"/>
                <w:szCs w:val="17"/>
                <w:color w:val="auto"/>
              </w:rPr>
              <w:t>Tidewater Oakland</w:t>
            </w:r>
          </w:p>
        </w:tc>
        <w:tc>
          <w:tcPr>
            <w:tcW w:w="760" w:type="dxa"/>
            <w:vAlign w:val="bottom"/>
          </w:tcPr>
          <w:p>
            <w:pPr>
              <w:jc w:val="center"/>
              <w:ind w:right="55"/>
              <w:spacing w:after="0" w:line="189" w:lineRule="exact"/>
              <w:rPr>
                <w:sz w:val="20"/>
                <w:szCs w:val="20"/>
                <w:color w:val="auto"/>
              </w:rPr>
            </w:pPr>
            <w:r>
              <w:rPr>
                <w:rFonts w:ascii="Calibri" w:cs="Calibri" w:eastAsia="Calibri" w:hAnsi="Calibri"/>
                <w:sz w:val="17"/>
                <w:szCs w:val="17"/>
                <w:color w:val="auto"/>
              </w:rPr>
              <w:t>040300</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Marine Agg</w:t>
            </w:r>
          </w:p>
        </w:tc>
        <w:tc>
          <w:tcPr>
            <w:tcW w:w="7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2</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133</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760" w:type="dxa"/>
            <w:vAlign w:val="bottom"/>
            <w:shd w:val="clear" w:color="auto" w:fill="E5F1F8"/>
          </w:tcPr>
          <w:p>
            <w:pPr>
              <w:jc w:val="center"/>
              <w:ind w:right="55"/>
              <w:spacing w:after="0" w:line="189" w:lineRule="exact"/>
              <w:rPr>
                <w:sz w:val="20"/>
                <w:szCs w:val="20"/>
                <w:color w:val="auto"/>
              </w:rPr>
            </w:pPr>
            <w:r>
              <w:rPr>
                <w:rFonts w:ascii="Calibri" w:cs="Calibri" w:eastAsia="Calibri" w:hAnsi="Calibri"/>
                <w:sz w:val="17"/>
                <w:szCs w:val="17"/>
                <w:color w:val="auto"/>
              </w:rPr>
              <w:t>020122</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320" w:type="dxa"/>
            <w:vAlign w:val="bottom"/>
            <w:shd w:val="clear" w:color="auto" w:fill="E5F1F8"/>
          </w:tcPr>
          <w:p>
            <w:pPr>
              <w:spacing w:after="0"/>
              <w:rPr>
                <w:sz w:val="16"/>
                <w:szCs w:val="16"/>
                <w:color w:val="auto"/>
              </w:rPr>
            </w:pPr>
          </w:p>
        </w:tc>
        <w:tc>
          <w:tcPr>
            <w:tcW w:w="8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Yavapai AGG</w:t>
            </w:r>
          </w:p>
        </w:tc>
        <w:tc>
          <w:tcPr>
            <w:tcW w:w="7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2</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Borders>
              <w:bottom w:val="single" w:sz="8" w:color="E5F1F8"/>
            </w:tcBorders>
            <w:shd w:val="clear" w:color="auto" w:fill="E5F1F8"/>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760" w:type="dxa"/>
            <w:vAlign w:val="bottom"/>
          </w:tcPr>
          <w:p>
            <w:pPr>
              <w:jc w:val="center"/>
              <w:ind w:right="55"/>
              <w:spacing w:after="0" w:line="189" w:lineRule="exact"/>
              <w:rPr>
                <w:sz w:val="20"/>
                <w:szCs w:val="20"/>
                <w:color w:val="auto"/>
              </w:rPr>
            </w:pPr>
            <w:r>
              <w:rPr>
                <w:rFonts w:ascii="Calibri" w:cs="Calibri" w:eastAsia="Calibri" w:hAnsi="Calibri"/>
                <w:sz w:val="17"/>
                <w:szCs w:val="17"/>
                <w:color w:val="auto"/>
              </w:rPr>
              <w:t>410538</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51 Sand &amp; Gravel</w:t>
            </w:r>
          </w:p>
        </w:tc>
        <w:tc>
          <w:tcPr>
            <w:tcW w:w="7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1</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266</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760" w:type="dxa"/>
            <w:vAlign w:val="bottom"/>
            <w:shd w:val="clear" w:color="auto" w:fill="E5F1F8"/>
          </w:tcPr>
          <w:p>
            <w:pPr>
              <w:jc w:val="center"/>
              <w:ind w:right="55"/>
              <w:spacing w:after="0" w:line="189" w:lineRule="exact"/>
              <w:rPr>
                <w:sz w:val="20"/>
                <w:szCs w:val="20"/>
                <w:color w:val="auto"/>
              </w:rPr>
            </w:pPr>
            <w:r>
              <w:rPr>
                <w:rFonts w:ascii="Calibri" w:cs="Calibri" w:eastAsia="Calibri" w:hAnsi="Calibri"/>
                <w:sz w:val="17"/>
                <w:szCs w:val="17"/>
                <w:color w:val="auto"/>
              </w:rPr>
              <w:t>410133</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320" w:type="dxa"/>
            <w:vAlign w:val="bottom"/>
            <w:shd w:val="clear" w:color="auto" w:fill="E5F1F8"/>
          </w:tcPr>
          <w:p>
            <w:pPr>
              <w:spacing w:after="0"/>
              <w:rPr>
                <w:sz w:val="16"/>
                <w:szCs w:val="16"/>
                <w:color w:val="auto"/>
              </w:rPr>
            </w:pPr>
          </w:p>
        </w:tc>
        <w:tc>
          <w:tcPr>
            <w:tcW w:w="8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Beckmann Quarry</w:t>
            </w:r>
          </w:p>
        </w:tc>
        <w:tc>
          <w:tcPr>
            <w:tcW w:w="7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5</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Borders>
              <w:bottom w:val="single" w:sz="8" w:color="E5F1F8"/>
            </w:tcBorders>
            <w:shd w:val="clear" w:color="auto" w:fill="E5F1F8"/>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665</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760" w:type="dxa"/>
            <w:vAlign w:val="bottom"/>
          </w:tcPr>
          <w:p>
            <w:pPr>
              <w:jc w:val="center"/>
              <w:ind w:right="55"/>
              <w:spacing w:after="0" w:line="189" w:lineRule="exact"/>
              <w:rPr>
                <w:sz w:val="20"/>
                <w:szCs w:val="20"/>
                <w:color w:val="auto"/>
              </w:rPr>
            </w:pPr>
            <w:r>
              <w:rPr>
                <w:rFonts w:ascii="Calibri" w:cs="Calibri" w:eastAsia="Calibri" w:hAnsi="Calibri"/>
                <w:sz w:val="17"/>
                <w:szCs w:val="17"/>
                <w:color w:val="auto"/>
              </w:rPr>
              <w:t>410328</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Bedrock Sand Gravel</w:t>
            </w:r>
          </w:p>
        </w:tc>
        <w:tc>
          <w:tcPr>
            <w:tcW w:w="7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3</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266</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760" w:type="dxa"/>
            <w:vAlign w:val="bottom"/>
            <w:shd w:val="clear" w:color="auto" w:fill="E5F1F8"/>
          </w:tcPr>
          <w:p>
            <w:pPr>
              <w:jc w:val="center"/>
              <w:ind w:right="55"/>
              <w:spacing w:after="0" w:line="189" w:lineRule="exact"/>
              <w:rPr>
                <w:sz w:val="20"/>
                <w:szCs w:val="20"/>
                <w:color w:val="auto"/>
              </w:rPr>
            </w:pPr>
            <w:r>
              <w:rPr>
                <w:rFonts w:ascii="Calibri" w:cs="Calibri" w:eastAsia="Calibri" w:hAnsi="Calibri"/>
                <w:sz w:val="17"/>
                <w:szCs w:val="17"/>
                <w:color w:val="auto"/>
              </w:rPr>
              <w:t>410401</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320" w:type="dxa"/>
            <w:vAlign w:val="bottom"/>
            <w:shd w:val="clear" w:color="auto" w:fill="E5F1F8"/>
          </w:tcPr>
          <w:p>
            <w:pPr>
              <w:spacing w:after="0"/>
              <w:rPr>
                <w:sz w:val="16"/>
                <w:szCs w:val="16"/>
                <w:color w:val="auto"/>
              </w:rPr>
            </w:pPr>
          </w:p>
        </w:tc>
        <w:tc>
          <w:tcPr>
            <w:tcW w:w="8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Bells Savoy SG</w:t>
            </w:r>
          </w:p>
        </w:tc>
        <w:tc>
          <w:tcPr>
            <w:tcW w:w="7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9</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1</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Borders>
              <w:bottom w:val="single" w:sz="8" w:color="E5F1F8"/>
            </w:tcBorders>
            <w:shd w:val="clear" w:color="auto" w:fill="E5F1F8"/>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841</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760" w:type="dxa"/>
            <w:vAlign w:val="bottom"/>
          </w:tcPr>
          <w:p>
            <w:pPr>
              <w:jc w:val="center"/>
              <w:ind w:right="55"/>
              <w:spacing w:after="0" w:line="189" w:lineRule="exact"/>
              <w:rPr>
                <w:sz w:val="20"/>
                <w:szCs w:val="20"/>
                <w:color w:val="auto"/>
              </w:rPr>
            </w:pPr>
            <w:r>
              <w:rPr>
                <w:rFonts w:ascii="Calibri" w:cs="Calibri" w:eastAsia="Calibri" w:hAnsi="Calibri"/>
                <w:sz w:val="17"/>
                <w:szCs w:val="17"/>
                <w:color w:val="auto"/>
              </w:rPr>
              <w:t>030001</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Black Rock Quarry</w:t>
            </w:r>
          </w:p>
        </w:tc>
        <w:tc>
          <w:tcPr>
            <w:tcW w:w="7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1</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715</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760" w:type="dxa"/>
            <w:vAlign w:val="bottom"/>
            <w:shd w:val="clear" w:color="auto" w:fill="E5F1F8"/>
          </w:tcPr>
          <w:p>
            <w:pPr>
              <w:jc w:val="center"/>
              <w:ind w:right="55"/>
              <w:spacing w:after="0" w:line="189" w:lineRule="exact"/>
              <w:rPr>
                <w:sz w:val="20"/>
                <w:szCs w:val="20"/>
                <w:color w:val="auto"/>
              </w:rPr>
            </w:pPr>
            <w:r>
              <w:rPr>
                <w:rFonts w:ascii="Calibri" w:cs="Calibri" w:eastAsia="Calibri" w:hAnsi="Calibri"/>
                <w:sz w:val="17"/>
                <w:szCs w:val="17"/>
                <w:color w:val="auto"/>
              </w:rPr>
              <w:t>410415</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320" w:type="dxa"/>
            <w:vAlign w:val="bottom"/>
            <w:shd w:val="clear" w:color="auto" w:fill="E5F1F8"/>
          </w:tcPr>
          <w:p>
            <w:pPr>
              <w:spacing w:after="0"/>
              <w:rPr>
                <w:sz w:val="16"/>
                <w:szCs w:val="16"/>
                <w:color w:val="auto"/>
              </w:rPr>
            </w:pPr>
          </w:p>
        </w:tc>
        <w:tc>
          <w:tcPr>
            <w:tcW w:w="8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Black Spur Quarry</w:t>
            </w:r>
          </w:p>
        </w:tc>
        <w:tc>
          <w:tcPr>
            <w:tcW w:w="7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9</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Borders>
              <w:bottom w:val="single" w:sz="8" w:color="E5F1F8"/>
            </w:tcBorders>
            <w:shd w:val="clear" w:color="auto" w:fill="E5F1F8"/>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529</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760" w:type="dxa"/>
            <w:vAlign w:val="bottom"/>
          </w:tcPr>
          <w:p>
            <w:pPr>
              <w:jc w:val="center"/>
              <w:ind w:right="55"/>
              <w:spacing w:after="0" w:line="189" w:lineRule="exact"/>
              <w:rPr>
                <w:sz w:val="20"/>
                <w:szCs w:val="20"/>
                <w:color w:val="auto"/>
              </w:rPr>
            </w:pPr>
            <w:r>
              <w:rPr>
                <w:rFonts w:ascii="Calibri" w:cs="Calibri" w:eastAsia="Calibri" w:hAnsi="Calibri"/>
                <w:sz w:val="17"/>
                <w:szCs w:val="17"/>
                <w:color w:val="auto"/>
              </w:rPr>
              <w:t>410000</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Bridgeport Stone</w:t>
            </w:r>
          </w:p>
        </w:tc>
        <w:tc>
          <w:tcPr>
            <w:tcW w:w="7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7</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1</w:t>
            </w:r>
          </w:p>
        </w:tc>
      </w:tr>
      <w:tr>
        <w:trPr>
          <w:trHeight w:val="39"/>
        </w:trPr>
        <w:tc>
          <w:tcPr>
            <w:tcW w:w="1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760" w:type="dxa"/>
            <w:vAlign w:val="bottom"/>
            <w:shd w:val="clear" w:color="auto" w:fill="E5F1F8"/>
          </w:tcPr>
          <w:p>
            <w:pPr>
              <w:jc w:val="center"/>
              <w:ind w:right="55"/>
              <w:spacing w:after="0" w:line="189" w:lineRule="exact"/>
              <w:rPr>
                <w:sz w:val="20"/>
                <w:szCs w:val="20"/>
                <w:color w:val="auto"/>
              </w:rPr>
            </w:pPr>
            <w:r>
              <w:rPr>
                <w:rFonts w:ascii="Calibri" w:cs="Calibri" w:eastAsia="Calibri" w:hAnsi="Calibri"/>
                <w:sz w:val="17"/>
                <w:szCs w:val="17"/>
                <w:color w:val="auto"/>
              </w:rPr>
              <w:t>340046</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320" w:type="dxa"/>
            <w:vAlign w:val="bottom"/>
            <w:shd w:val="clear" w:color="auto" w:fill="E5F1F8"/>
          </w:tcPr>
          <w:p>
            <w:pPr>
              <w:spacing w:after="0"/>
              <w:rPr>
                <w:sz w:val="16"/>
                <w:szCs w:val="16"/>
                <w:color w:val="auto"/>
              </w:rPr>
            </w:pPr>
          </w:p>
        </w:tc>
        <w:tc>
          <w:tcPr>
            <w:tcW w:w="8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Broken Bow SG</w:t>
            </w:r>
          </w:p>
        </w:tc>
        <w:tc>
          <w:tcPr>
            <w:tcW w:w="7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0</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1</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Borders>
              <w:bottom w:val="single" w:sz="8" w:color="E5F1F8"/>
            </w:tcBorders>
            <w:shd w:val="clear" w:color="auto" w:fill="E5F1F8"/>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673</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760" w:type="dxa"/>
            <w:vAlign w:val="bottom"/>
          </w:tcPr>
          <w:p>
            <w:pPr>
              <w:jc w:val="center"/>
              <w:ind w:right="55"/>
              <w:spacing w:after="0" w:line="189" w:lineRule="exact"/>
              <w:rPr>
                <w:sz w:val="20"/>
                <w:szCs w:val="20"/>
                <w:color w:val="auto"/>
              </w:rPr>
            </w:pPr>
            <w:r>
              <w:rPr>
                <w:rFonts w:ascii="Calibri" w:cs="Calibri" w:eastAsia="Calibri" w:hAnsi="Calibri"/>
                <w:sz w:val="17"/>
                <w:szCs w:val="17"/>
                <w:color w:val="auto"/>
              </w:rPr>
              <w:t>410336</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Chico Quarry</w:t>
            </w:r>
          </w:p>
        </w:tc>
        <w:tc>
          <w:tcPr>
            <w:tcW w:w="7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0</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2</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1,514</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760" w:type="dxa"/>
            <w:vAlign w:val="bottom"/>
            <w:shd w:val="clear" w:color="auto" w:fill="E5F1F8"/>
          </w:tcPr>
          <w:p>
            <w:pPr>
              <w:jc w:val="center"/>
              <w:ind w:right="55"/>
              <w:spacing w:after="0" w:line="189" w:lineRule="exact"/>
              <w:rPr>
                <w:sz w:val="20"/>
                <w:szCs w:val="20"/>
                <w:color w:val="auto"/>
              </w:rPr>
            </w:pPr>
            <w:r>
              <w:rPr>
                <w:rFonts w:ascii="Calibri" w:cs="Calibri" w:eastAsia="Calibri" w:hAnsi="Calibri"/>
                <w:sz w:val="17"/>
                <w:szCs w:val="17"/>
                <w:color w:val="auto"/>
              </w:rPr>
              <w:t>340129</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320" w:type="dxa"/>
            <w:vAlign w:val="bottom"/>
            <w:shd w:val="clear" w:color="auto" w:fill="E5F1F8"/>
          </w:tcPr>
          <w:p>
            <w:pPr>
              <w:spacing w:after="0"/>
              <w:rPr>
                <w:sz w:val="16"/>
                <w:szCs w:val="16"/>
                <w:color w:val="auto"/>
              </w:rPr>
            </w:pPr>
          </w:p>
        </w:tc>
        <w:tc>
          <w:tcPr>
            <w:tcW w:w="8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Davis Quarry</w:t>
            </w:r>
          </w:p>
        </w:tc>
        <w:tc>
          <w:tcPr>
            <w:tcW w:w="7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9</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2</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Borders>
              <w:bottom w:val="single" w:sz="8" w:color="E5F1F8"/>
            </w:tcBorders>
            <w:shd w:val="clear" w:color="auto" w:fill="E5F1F8"/>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1,600</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1</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1</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760" w:type="dxa"/>
            <w:vAlign w:val="bottom"/>
          </w:tcPr>
          <w:p>
            <w:pPr>
              <w:jc w:val="center"/>
              <w:ind w:right="55"/>
              <w:spacing w:after="0" w:line="189" w:lineRule="exact"/>
              <w:rPr>
                <w:sz w:val="20"/>
                <w:szCs w:val="20"/>
                <w:color w:val="auto"/>
              </w:rPr>
            </w:pPr>
            <w:r>
              <w:rPr>
                <w:rFonts w:ascii="Calibri" w:cs="Calibri" w:eastAsia="Calibri" w:hAnsi="Calibri"/>
                <w:sz w:val="17"/>
                <w:szCs w:val="17"/>
                <w:color w:val="auto"/>
              </w:rPr>
              <w:t>410390</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Garfeld SG</w:t>
            </w:r>
          </w:p>
        </w:tc>
        <w:tc>
          <w:tcPr>
            <w:tcW w:w="7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9</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3</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1,351</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760" w:type="dxa"/>
            <w:vAlign w:val="bottom"/>
            <w:shd w:val="clear" w:color="auto" w:fill="E5F1F8"/>
          </w:tcPr>
          <w:p>
            <w:pPr>
              <w:jc w:val="center"/>
              <w:ind w:right="55"/>
              <w:spacing w:after="0" w:line="189" w:lineRule="exact"/>
              <w:rPr>
                <w:sz w:val="20"/>
                <w:szCs w:val="20"/>
                <w:color w:val="auto"/>
              </w:rPr>
            </w:pPr>
            <w:r>
              <w:rPr>
                <w:rFonts w:ascii="Calibri" w:cs="Calibri" w:eastAsia="Calibri" w:hAnsi="Calibri"/>
                <w:sz w:val="17"/>
                <w:szCs w:val="17"/>
                <w:color w:val="auto"/>
              </w:rPr>
              <w:t>410288</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320" w:type="dxa"/>
            <w:vAlign w:val="bottom"/>
            <w:shd w:val="clear" w:color="auto" w:fill="E5F1F8"/>
          </w:tcPr>
          <w:p>
            <w:pPr>
              <w:spacing w:after="0"/>
              <w:rPr>
                <w:sz w:val="16"/>
                <w:szCs w:val="16"/>
                <w:color w:val="auto"/>
              </w:rPr>
            </w:pPr>
          </w:p>
        </w:tc>
        <w:tc>
          <w:tcPr>
            <w:tcW w:w="8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Garwood Gravel</w:t>
            </w:r>
          </w:p>
        </w:tc>
        <w:tc>
          <w:tcPr>
            <w:tcW w:w="7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6</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Borders>
              <w:bottom w:val="single" w:sz="8" w:color="E5F1F8"/>
            </w:tcBorders>
            <w:shd w:val="clear" w:color="auto" w:fill="E5F1F8"/>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296</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GMS</w:t>
            </w:r>
          </w:p>
        </w:tc>
        <w:tc>
          <w:tcPr>
            <w:tcW w:w="7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rPr>
              <w:t>C335</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25"/>
        </w:trPr>
        <w:tc>
          <w:tcPr>
            <w:tcW w:w="1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89"/>
        </w:trPr>
        <w:tc>
          <w:tcPr>
            <w:tcW w:w="1720" w:type="dxa"/>
            <w:vAlign w:val="bottom"/>
            <w:shd w:val="clear" w:color="auto" w:fill="E5F1F8"/>
          </w:tcPr>
          <w:p>
            <w:pPr>
              <w:spacing w:after="0"/>
              <w:rPr>
                <w:sz w:val="16"/>
                <w:szCs w:val="16"/>
                <w:color w:val="auto"/>
              </w:rPr>
            </w:pPr>
          </w:p>
        </w:tc>
        <w:tc>
          <w:tcPr>
            <w:tcW w:w="760" w:type="dxa"/>
            <w:vAlign w:val="bottom"/>
            <w:shd w:val="clear" w:color="auto" w:fill="E5F1F8"/>
          </w:tcPr>
          <w:p>
            <w:pPr>
              <w:jc w:val="center"/>
              <w:ind w:right="55"/>
              <w:spacing w:after="0" w:line="189" w:lineRule="exact"/>
              <w:rPr>
                <w:sz w:val="20"/>
                <w:szCs w:val="20"/>
                <w:color w:val="auto"/>
              </w:rPr>
            </w:pPr>
            <w:r>
              <w:rPr>
                <w:rFonts w:ascii="Calibri" w:cs="Calibri" w:eastAsia="Calibri" w:hAnsi="Calibri"/>
                <w:sz w:val="17"/>
                <w:szCs w:val="17"/>
                <w:color w:val="auto"/>
              </w:rPr>
              <w:t>410420</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320" w:type="dxa"/>
            <w:vAlign w:val="bottom"/>
            <w:shd w:val="clear" w:color="auto" w:fill="E5F1F8"/>
          </w:tcPr>
          <w:p>
            <w:pPr>
              <w:spacing w:after="0"/>
              <w:rPr>
                <w:sz w:val="16"/>
                <w:szCs w:val="16"/>
                <w:color w:val="auto"/>
              </w:rPr>
            </w:pPr>
          </w:p>
        </w:tc>
        <w:tc>
          <w:tcPr>
            <w:tcW w:w="8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Gulf Coast Port #2</w:t>
            </w:r>
          </w:p>
        </w:tc>
        <w:tc>
          <w:tcPr>
            <w:tcW w:w="7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4</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Borders>
              <w:bottom w:val="single" w:sz="8" w:color="E5F1F8"/>
            </w:tcBorders>
            <w:shd w:val="clear" w:color="auto" w:fill="E5F1F8"/>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133</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760" w:type="dxa"/>
            <w:vAlign w:val="bottom"/>
          </w:tcPr>
          <w:p>
            <w:pPr>
              <w:jc w:val="center"/>
              <w:ind w:right="55"/>
              <w:spacing w:after="0" w:line="189" w:lineRule="exact"/>
              <w:rPr>
                <w:sz w:val="20"/>
                <w:szCs w:val="20"/>
                <w:color w:val="auto"/>
              </w:rPr>
            </w:pPr>
            <w:r>
              <w:rPr>
                <w:rFonts w:ascii="Calibri" w:cs="Calibri" w:eastAsia="Calibri" w:hAnsi="Calibri"/>
                <w:sz w:val="17"/>
                <w:szCs w:val="17"/>
                <w:color w:val="auto"/>
              </w:rPr>
              <w:t>030161</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Haton Quarry</w:t>
            </w:r>
          </w:p>
        </w:tc>
        <w:tc>
          <w:tcPr>
            <w:tcW w:w="7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4</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760" w:type="dxa"/>
            <w:vAlign w:val="bottom"/>
            <w:shd w:val="clear" w:color="auto" w:fill="E5F1F8"/>
          </w:tcPr>
          <w:p>
            <w:pPr>
              <w:jc w:val="center"/>
              <w:ind w:right="55"/>
              <w:spacing w:after="0" w:line="189" w:lineRule="exact"/>
              <w:rPr>
                <w:sz w:val="20"/>
                <w:szCs w:val="20"/>
                <w:color w:val="auto"/>
              </w:rPr>
            </w:pPr>
            <w:r>
              <w:rPr>
                <w:rFonts w:ascii="Calibri" w:cs="Calibri" w:eastAsia="Calibri" w:hAnsi="Calibri"/>
                <w:sz w:val="17"/>
                <w:szCs w:val="17"/>
                <w:color w:val="auto"/>
              </w:rPr>
              <w:t>410313</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320" w:type="dxa"/>
            <w:vAlign w:val="bottom"/>
            <w:shd w:val="clear" w:color="auto" w:fill="E5F1F8"/>
          </w:tcPr>
          <w:p>
            <w:pPr>
              <w:spacing w:after="0"/>
              <w:rPr>
                <w:sz w:val="16"/>
                <w:szCs w:val="16"/>
                <w:color w:val="auto"/>
              </w:rPr>
            </w:pPr>
          </w:p>
        </w:tc>
        <w:tc>
          <w:tcPr>
            <w:tcW w:w="8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Helotes</w:t>
            </w:r>
          </w:p>
        </w:tc>
        <w:tc>
          <w:tcPr>
            <w:tcW w:w="7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7</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Borders>
              <w:bottom w:val="single" w:sz="8" w:color="E5F1F8"/>
            </w:tcBorders>
            <w:shd w:val="clear" w:color="auto" w:fill="E5F1F8"/>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760" w:type="dxa"/>
            <w:vAlign w:val="bottom"/>
          </w:tcPr>
          <w:p>
            <w:pPr>
              <w:jc w:val="center"/>
              <w:ind w:right="55"/>
              <w:spacing w:after="0" w:line="189" w:lineRule="exact"/>
              <w:rPr>
                <w:sz w:val="20"/>
                <w:szCs w:val="20"/>
                <w:color w:val="auto"/>
              </w:rPr>
            </w:pPr>
            <w:r>
              <w:rPr>
                <w:rFonts w:ascii="Calibri" w:cs="Calibri" w:eastAsia="Calibri" w:hAnsi="Calibri"/>
                <w:sz w:val="17"/>
                <w:szCs w:val="17"/>
                <w:color w:val="auto"/>
              </w:rPr>
              <w:t>410382</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Highway 211 Quarry</w:t>
            </w:r>
          </w:p>
        </w:tc>
        <w:tc>
          <w:tcPr>
            <w:tcW w:w="7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9</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760" w:type="dxa"/>
            <w:vAlign w:val="bottom"/>
            <w:shd w:val="clear" w:color="auto" w:fill="E5F1F8"/>
          </w:tcPr>
          <w:p>
            <w:pPr>
              <w:jc w:val="center"/>
              <w:ind w:right="55"/>
              <w:spacing w:after="0" w:line="189" w:lineRule="exact"/>
              <w:rPr>
                <w:sz w:val="20"/>
                <w:szCs w:val="20"/>
                <w:color w:val="auto"/>
              </w:rPr>
            </w:pPr>
            <w:r>
              <w:rPr>
                <w:rFonts w:ascii="Calibri" w:cs="Calibri" w:eastAsia="Calibri" w:hAnsi="Calibri"/>
                <w:sz w:val="17"/>
                <w:szCs w:val="17"/>
                <w:color w:val="auto"/>
              </w:rPr>
              <w:t>410470</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320" w:type="dxa"/>
            <w:vAlign w:val="bottom"/>
            <w:shd w:val="clear" w:color="auto" w:fill="E5F1F8"/>
          </w:tcPr>
          <w:p>
            <w:pPr>
              <w:spacing w:after="0"/>
              <w:rPr>
                <w:sz w:val="16"/>
                <w:szCs w:val="16"/>
                <w:color w:val="auto"/>
              </w:rPr>
            </w:pPr>
          </w:p>
        </w:tc>
        <w:tc>
          <w:tcPr>
            <w:tcW w:w="8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Hondo</w:t>
            </w:r>
          </w:p>
        </w:tc>
        <w:tc>
          <w:tcPr>
            <w:tcW w:w="7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8</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Borders>
              <w:bottom w:val="single" w:sz="8" w:color="E5F1F8"/>
            </w:tcBorders>
            <w:shd w:val="clear" w:color="auto" w:fill="E5F1F8"/>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760" w:type="dxa"/>
            <w:vAlign w:val="bottom"/>
          </w:tcPr>
          <w:p>
            <w:pPr>
              <w:jc w:val="center"/>
              <w:ind w:right="55"/>
              <w:spacing w:after="0" w:line="189" w:lineRule="exact"/>
              <w:rPr>
                <w:sz w:val="20"/>
                <w:szCs w:val="20"/>
                <w:color w:val="auto"/>
              </w:rPr>
            </w:pPr>
            <w:r>
              <w:rPr>
                <w:rFonts w:ascii="Calibri" w:cs="Calibri" w:eastAsia="Calibri" w:hAnsi="Calibri"/>
                <w:sz w:val="17"/>
                <w:szCs w:val="17"/>
                <w:color w:val="auto"/>
              </w:rPr>
              <w:t>340006</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Hugo Quarry</w:t>
            </w:r>
          </w:p>
        </w:tc>
        <w:tc>
          <w:tcPr>
            <w:tcW w:w="7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1</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1720" w:type="dxa"/>
            <w:vAlign w:val="bottom"/>
            <w:shd w:val="clear" w:color="auto" w:fill="E5F1F8"/>
          </w:tcPr>
          <w:p>
            <w:pPr>
              <w:spacing w:after="0"/>
              <w:rPr>
                <w:sz w:val="16"/>
                <w:szCs w:val="16"/>
                <w:color w:val="auto"/>
              </w:rPr>
            </w:pPr>
          </w:p>
        </w:tc>
        <w:tc>
          <w:tcPr>
            <w:tcW w:w="760" w:type="dxa"/>
            <w:vAlign w:val="bottom"/>
            <w:shd w:val="clear" w:color="auto" w:fill="E5F1F8"/>
          </w:tcPr>
          <w:p>
            <w:pPr>
              <w:jc w:val="center"/>
              <w:ind w:right="55"/>
              <w:spacing w:after="0" w:line="189" w:lineRule="exact"/>
              <w:rPr>
                <w:sz w:val="20"/>
                <w:szCs w:val="20"/>
                <w:color w:val="auto"/>
              </w:rPr>
            </w:pPr>
            <w:r>
              <w:rPr>
                <w:rFonts w:ascii="Calibri" w:cs="Calibri" w:eastAsia="Calibri" w:hAnsi="Calibri"/>
                <w:sz w:val="17"/>
                <w:szCs w:val="17"/>
                <w:color w:val="auto"/>
              </w:rPr>
              <w:t>410282</w:t>
            </w:r>
          </w:p>
        </w:tc>
        <w:tc>
          <w:tcPr>
            <w:tcW w:w="52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320" w:type="dxa"/>
            <w:vAlign w:val="bottom"/>
            <w:shd w:val="clear" w:color="auto" w:fill="E5F1F8"/>
          </w:tcPr>
          <w:p>
            <w:pPr>
              <w:spacing w:after="0"/>
              <w:rPr>
                <w:sz w:val="16"/>
                <w:szCs w:val="16"/>
                <w:color w:val="auto"/>
              </w:rPr>
            </w:pPr>
          </w:p>
        </w:tc>
        <w:tc>
          <w:tcPr>
            <w:tcW w:w="8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960" w:type="dxa"/>
            <w:vAlign w:val="bottom"/>
            <w:shd w:val="clear" w:color="auto" w:fill="E5F1F8"/>
          </w:tcPr>
          <w:p>
            <w:pPr>
              <w:spacing w:after="0"/>
              <w:rPr>
                <w:sz w:val="16"/>
                <w:szCs w:val="16"/>
                <w:color w:val="auto"/>
              </w:rPr>
            </w:pPr>
          </w:p>
        </w:tc>
      </w:tr>
      <w:tr>
        <w:trPr>
          <w:trHeight w:val="223"/>
        </w:trPr>
        <w:tc>
          <w:tcPr>
            <w:tcW w:w="172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Hunter Cement</w:t>
            </w:r>
          </w:p>
        </w:tc>
        <w:tc>
          <w:tcPr>
            <w:tcW w:w="760" w:type="dxa"/>
            <w:vAlign w:val="bottom"/>
            <w:tcBorders>
              <w:bottom w:val="single" w:sz="8" w:color="E5F1F8"/>
            </w:tcBorders>
            <w:shd w:val="clear" w:color="auto" w:fill="E5F1F8"/>
          </w:tcPr>
          <w:p>
            <w:pPr>
              <w:jc w:val="center"/>
              <w:ind w:right="35"/>
              <w:spacing w:after="0" w:line="205" w:lineRule="exact"/>
              <w:rPr>
                <w:sz w:val="20"/>
                <w:szCs w:val="20"/>
                <w:color w:val="auto"/>
              </w:rPr>
            </w:pPr>
            <w:r>
              <w:rPr>
                <w:rFonts w:ascii="Calibri" w:cs="Calibri" w:eastAsia="Calibri" w:hAnsi="Calibri"/>
                <w:sz w:val="17"/>
                <w:szCs w:val="17"/>
                <w:color w:val="auto"/>
                <w:w w:val="92"/>
              </w:rPr>
              <w:t>0</w:t>
            </w:r>
          </w:p>
        </w:tc>
        <w:tc>
          <w:tcPr>
            <w:tcW w:w="52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color w:val="auto"/>
              </w:rPr>
              <w:t>1</w:t>
            </w:r>
          </w:p>
        </w:tc>
        <w:tc>
          <w:tcPr>
            <w:tcW w:w="66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Borders>
              <w:bottom w:val="single" w:sz="8" w:color="E5F1F8"/>
            </w:tcBorders>
            <w:shd w:val="clear" w:color="auto" w:fill="E5F1F8"/>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Borders>
              <w:bottom w:val="single" w:sz="8" w:color="E5F1F8"/>
            </w:tcBorders>
            <w:shd w:val="clear" w:color="auto" w:fill="E5F1F8"/>
          </w:tcPr>
          <w:p>
            <w:pPr>
              <w:jc w:val="right"/>
              <w:ind w:right="195"/>
              <w:spacing w:after="0" w:line="205" w:lineRule="exact"/>
              <w:rPr>
                <w:sz w:val="20"/>
                <w:szCs w:val="20"/>
                <w:color w:val="auto"/>
              </w:rPr>
            </w:pPr>
            <w:r>
              <w:rPr>
                <w:rFonts w:ascii="Calibri" w:cs="Calibri" w:eastAsia="Calibri" w:hAnsi="Calibri"/>
                <w:sz w:val="17"/>
                <w:szCs w:val="17"/>
                <w:b w:val="1"/>
                <w:bCs w:val="1"/>
                <w:color w:val="auto"/>
              </w:rPr>
              <w:t>2,532</w:t>
            </w:r>
          </w:p>
        </w:tc>
        <w:tc>
          <w:tcPr>
            <w:tcW w:w="760" w:type="dxa"/>
            <w:vAlign w:val="bottom"/>
            <w:tcBorders>
              <w:bottom w:val="single" w:sz="8" w:color="E5F1F8"/>
            </w:tcBorders>
            <w:shd w:val="clear" w:color="auto" w:fill="E5F1F8"/>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Borders>
              <w:bottom w:val="single" w:sz="8" w:color="E5F1F8"/>
            </w:tcBorders>
            <w:shd w:val="clear" w:color="auto" w:fill="E5F1F8"/>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Borders>
              <w:bottom w:val="single" w:sz="8" w:color="E5F1F8"/>
            </w:tcBorders>
            <w:shd w:val="clear" w:color="auto" w:fill="E5F1F8"/>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Borders>
              <w:bottom w:val="single" w:sz="8" w:color="E5F1F8"/>
            </w:tcBorders>
            <w:shd w:val="clear" w:color="auto" w:fill="E5F1F8"/>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20" w:type="dxa"/>
            <w:vAlign w:val="bottom"/>
          </w:tcPr>
          <w:p>
            <w:pPr>
              <w:spacing w:after="0"/>
              <w:rPr>
                <w:sz w:val="16"/>
                <w:szCs w:val="16"/>
                <w:color w:val="auto"/>
              </w:rPr>
            </w:pPr>
          </w:p>
        </w:tc>
        <w:tc>
          <w:tcPr>
            <w:tcW w:w="760" w:type="dxa"/>
            <w:vAlign w:val="bottom"/>
          </w:tcPr>
          <w:p>
            <w:pPr>
              <w:jc w:val="center"/>
              <w:ind w:right="55"/>
              <w:spacing w:after="0" w:line="189" w:lineRule="exact"/>
              <w:rPr>
                <w:sz w:val="20"/>
                <w:szCs w:val="20"/>
                <w:color w:val="auto"/>
              </w:rPr>
            </w:pPr>
            <w:r>
              <w:rPr>
                <w:rFonts w:ascii="Calibri" w:cs="Calibri" w:eastAsia="Calibri" w:hAnsi="Calibri"/>
                <w:sz w:val="17"/>
                <w:szCs w:val="17"/>
                <w:color w:val="auto"/>
              </w:rPr>
              <w:t>410523</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1720" w:type="dxa"/>
            <w:vAlign w:val="bottom"/>
          </w:tcPr>
          <w:p>
            <w:pPr>
              <w:ind w:left="20"/>
              <w:spacing w:after="0" w:line="205" w:lineRule="exact"/>
              <w:rPr>
                <w:sz w:val="20"/>
                <w:szCs w:val="20"/>
                <w:color w:val="auto"/>
              </w:rPr>
            </w:pPr>
            <w:r>
              <w:rPr>
                <w:rFonts w:ascii="Calibri" w:cs="Calibri" w:eastAsia="Calibri" w:hAnsi="Calibri"/>
                <w:sz w:val="17"/>
                <w:szCs w:val="17"/>
                <w:color w:val="auto"/>
              </w:rPr>
              <w:t>Hunter Stone</w:t>
            </w:r>
          </w:p>
        </w:tc>
        <w:tc>
          <w:tcPr>
            <w:tcW w:w="760" w:type="dxa"/>
            <w:vAlign w:val="bottom"/>
          </w:tcPr>
          <w:p>
            <w:pPr>
              <w:jc w:val="center"/>
              <w:ind w:right="35"/>
              <w:spacing w:after="0" w:line="205" w:lineRule="exact"/>
              <w:rPr>
                <w:sz w:val="20"/>
                <w:szCs w:val="20"/>
                <w:color w:val="auto"/>
              </w:rPr>
            </w:pPr>
            <w:r>
              <w:rPr>
                <w:rFonts w:ascii="Calibri" w:cs="Calibri" w:eastAsia="Calibri" w:hAnsi="Calibri"/>
                <w:sz w:val="17"/>
                <w:szCs w:val="17"/>
                <w:color w:val="auto"/>
                <w:w w:val="92"/>
              </w:rPr>
              <w:t>0</w:t>
            </w:r>
          </w:p>
        </w:tc>
        <w:tc>
          <w:tcPr>
            <w:tcW w:w="520" w:type="dxa"/>
            <w:vAlign w:val="bottom"/>
          </w:tcPr>
          <w:p>
            <w:pPr>
              <w:jc w:val="right"/>
              <w:ind w:right="195"/>
              <w:spacing w:after="0" w:line="205" w:lineRule="exact"/>
              <w:rPr>
                <w:sz w:val="20"/>
                <w:szCs w:val="20"/>
                <w:color w:val="auto"/>
              </w:rPr>
            </w:pPr>
            <w:r>
              <w:rPr>
                <w:rFonts w:ascii="Calibri" w:cs="Calibri" w:eastAsia="Calibri" w:hAnsi="Calibri"/>
                <w:sz w:val="17"/>
                <w:szCs w:val="17"/>
                <w:color w:val="auto"/>
              </w:rPr>
              <w:t>0</w:t>
            </w:r>
          </w:p>
        </w:tc>
        <w:tc>
          <w:tcPr>
            <w:tcW w:w="66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5"/>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0</w:t>
            </w:r>
          </w:p>
        </w:tc>
        <w:tc>
          <w:tcPr>
            <w:tcW w:w="320" w:type="dxa"/>
            <w:vAlign w:val="bottom"/>
          </w:tcPr>
          <w:p>
            <w:pPr>
              <w:jc w:val="right"/>
              <w:ind w:right="15"/>
              <w:spacing w:after="0" w:line="205" w:lineRule="exact"/>
              <w:rPr>
                <w:sz w:val="20"/>
                <w:szCs w:val="20"/>
                <w:color w:val="auto"/>
              </w:rPr>
            </w:pPr>
            <w:r>
              <w:rPr>
                <w:rFonts w:ascii="Calibri" w:cs="Calibri" w:eastAsia="Calibri" w:hAnsi="Calibri"/>
                <w:sz w:val="17"/>
                <w:szCs w:val="17"/>
                <w:b w:val="1"/>
                <w:bCs w:val="1"/>
                <w:color w:val="auto"/>
              </w:rPr>
              <w:t>$</w:t>
            </w:r>
          </w:p>
        </w:tc>
        <w:tc>
          <w:tcPr>
            <w:tcW w:w="800" w:type="dxa"/>
            <w:vAlign w:val="bottom"/>
          </w:tcPr>
          <w:p>
            <w:pPr>
              <w:jc w:val="right"/>
              <w:ind w:right="195"/>
              <w:spacing w:after="0" w:line="205" w:lineRule="exact"/>
              <w:rPr>
                <w:sz w:val="20"/>
                <w:szCs w:val="20"/>
                <w:color w:val="auto"/>
              </w:rPr>
            </w:pPr>
            <w:r>
              <w:rPr>
                <w:rFonts w:ascii="Calibri" w:cs="Calibri" w:eastAsia="Calibri" w:hAnsi="Calibri"/>
                <w:sz w:val="17"/>
                <w:szCs w:val="17"/>
                <w:b w:val="1"/>
                <w:bCs w:val="1"/>
                <w:color w:val="auto"/>
              </w:rPr>
              <w:t>—</w:t>
            </w:r>
          </w:p>
        </w:tc>
        <w:tc>
          <w:tcPr>
            <w:tcW w:w="760" w:type="dxa"/>
            <w:vAlign w:val="bottom"/>
          </w:tcPr>
          <w:p>
            <w:pPr>
              <w:jc w:val="right"/>
              <w:ind w:right="295"/>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6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680" w:type="dxa"/>
            <w:vAlign w:val="bottom"/>
          </w:tcPr>
          <w:p>
            <w:pPr>
              <w:jc w:val="right"/>
              <w:ind w:right="215"/>
              <w:spacing w:after="0" w:line="205" w:lineRule="exact"/>
              <w:rPr>
                <w:sz w:val="20"/>
                <w:szCs w:val="20"/>
                <w:color w:val="auto"/>
              </w:rPr>
            </w:pPr>
            <w:r>
              <w:rPr>
                <w:rFonts w:ascii="Calibri" w:cs="Calibri" w:eastAsia="Calibri" w:hAnsi="Calibri"/>
                <w:sz w:val="17"/>
                <w:szCs w:val="17"/>
                <w:color w:val="auto"/>
              </w:rPr>
              <w:t>0</w:t>
            </w:r>
          </w:p>
        </w:tc>
        <w:tc>
          <w:tcPr>
            <w:tcW w:w="540" w:type="dxa"/>
            <w:vAlign w:val="bottom"/>
          </w:tcPr>
          <w:p>
            <w:pPr>
              <w:jc w:val="right"/>
              <w:ind w:right="75"/>
              <w:spacing w:after="0" w:line="205" w:lineRule="exact"/>
              <w:rPr>
                <w:sz w:val="20"/>
                <w:szCs w:val="20"/>
                <w:color w:val="auto"/>
              </w:rPr>
            </w:pPr>
            <w:r>
              <w:rPr>
                <w:rFonts w:ascii="Calibri" w:cs="Calibri" w:eastAsia="Calibri" w:hAnsi="Calibri"/>
                <w:sz w:val="17"/>
                <w:szCs w:val="17"/>
                <w:color w:val="auto"/>
              </w:rPr>
              <w:t>0</w:t>
            </w:r>
          </w:p>
        </w:tc>
        <w:tc>
          <w:tcPr>
            <w:tcW w:w="960" w:type="dxa"/>
            <w:vAlign w:val="bottom"/>
          </w:tcPr>
          <w:p>
            <w:pPr>
              <w:jc w:val="center"/>
              <w:ind w:left="7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31"/>
        </w:trPr>
        <w:tc>
          <w:tcPr>
            <w:tcW w:w="1720" w:type="dxa"/>
            <w:vAlign w:val="bottom"/>
            <w:shd w:val="clear" w:color="auto" w:fill="E5F1F8"/>
          </w:tcPr>
          <w:p>
            <w:pPr>
              <w:spacing w:after="0"/>
              <w:rPr>
                <w:sz w:val="11"/>
                <w:szCs w:val="11"/>
                <w:color w:val="auto"/>
              </w:rPr>
            </w:pPr>
          </w:p>
        </w:tc>
        <w:tc>
          <w:tcPr>
            <w:tcW w:w="760" w:type="dxa"/>
            <w:vAlign w:val="bottom"/>
            <w:shd w:val="clear" w:color="auto" w:fill="E5F1F8"/>
          </w:tcPr>
          <w:p>
            <w:pPr>
              <w:spacing w:after="0"/>
              <w:rPr>
                <w:sz w:val="11"/>
                <w:szCs w:val="11"/>
                <w:color w:val="auto"/>
              </w:rPr>
            </w:pPr>
          </w:p>
        </w:tc>
        <w:tc>
          <w:tcPr>
            <w:tcW w:w="520" w:type="dxa"/>
            <w:vAlign w:val="bottom"/>
            <w:shd w:val="clear" w:color="auto" w:fill="E5F1F8"/>
          </w:tcPr>
          <w:p>
            <w:pPr>
              <w:spacing w:after="0"/>
              <w:rPr>
                <w:sz w:val="11"/>
                <w:szCs w:val="11"/>
                <w:color w:val="auto"/>
              </w:rPr>
            </w:pPr>
          </w:p>
        </w:tc>
        <w:tc>
          <w:tcPr>
            <w:tcW w:w="660" w:type="dxa"/>
            <w:vAlign w:val="bottom"/>
            <w:shd w:val="clear" w:color="auto" w:fill="E5F1F8"/>
          </w:tcPr>
          <w:p>
            <w:pPr>
              <w:spacing w:after="0"/>
              <w:rPr>
                <w:sz w:val="11"/>
                <w:szCs w:val="11"/>
                <w:color w:val="auto"/>
              </w:rPr>
            </w:pPr>
          </w:p>
        </w:tc>
        <w:tc>
          <w:tcPr>
            <w:tcW w:w="700" w:type="dxa"/>
            <w:vAlign w:val="bottom"/>
            <w:shd w:val="clear" w:color="auto" w:fill="E5F1F8"/>
          </w:tcPr>
          <w:p>
            <w:pPr>
              <w:spacing w:after="0"/>
              <w:rPr>
                <w:sz w:val="11"/>
                <w:szCs w:val="11"/>
                <w:color w:val="auto"/>
              </w:rPr>
            </w:pPr>
          </w:p>
        </w:tc>
        <w:tc>
          <w:tcPr>
            <w:tcW w:w="720" w:type="dxa"/>
            <w:vAlign w:val="bottom"/>
            <w:shd w:val="clear" w:color="auto" w:fill="E5F1F8"/>
          </w:tcPr>
          <w:p>
            <w:pPr>
              <w:spacing w:after="0"/>
              <w:rPr>
                <w:sz w:val="11"/>
                <w:szCs w:val="11"/>
                <w:color w:val="auto"/>
              </w:rPr>
            </w:pPr>
          </w:p>
        </w:tc>
        <w:tc>
          <w:tcPr>
            <w:tcW w:w="500" w:type="dxa"/>
            <w:vAlign w:val="bottom"/>
            <w:shd w:val="clear" w:color="auto" w:fill="E5F1F8"/>
          </w:tcPr>
          <w:p>
            <w:pPr>
              <w:spacing w:after="0"/>
              <w:rPr>
                <w:sz w:val="11"/>
                <w:szCs w:val="11"/>
                <w:color w:val="auto"/>
              </w:rPr>
            </w:pPr>
          </w:p>
        </w:tc>
        <w:tc>
          <w:tcPr>
            <w:tcW w:w="320" w:type="dxa"/>
            <w:vAlign w:val="bottom"/>
            <w:shd w:val="clear" w:color="auto" w:fill="E5F1F8"/>
          </w:tcPr>
          <w:p>
            <w:pPr>
              <w:spacing w:after="0"/>
              <w:rPr>
                <w:sz w:val="11"/>
                <w:szCs w:val="11"/>
                <w:color w:val="auto"/>
              </w:rPr>
            </w:pPr>
          </w:p>
        </w:tc>
        <w:tc>
          <w:tcPr>
            <w:tcW w:w="800" w:type="dxa"/>
            <w:vAlign w:val="bottom"/>
            <w:shd w:val="clear" w:color="auto" w:fill="E5F1F8"/>
          </w:tcPr>
          <w:p>
            <w:pPr>
              <w:spacing w:after="0"/>
              <w:rPr>
                <w:sz w:val="11"/>
                <w:szCs w:val="11"/>
                <w:color w:val="auto"/>
              </w:rPr>
            </w:pPr>
          </w:p>
        </w:tc>
        <w:tc>
          <w:tcPr>
            <w:tcW w:w="760" w:type="dxa"/>
            <w:vAlign w:val="bottom"/>
            <w:shd w:val="clear" w:color="auto" w:fill="E5F1F8"/>
          </w:tcPr>
          <w:p>
            <w:pPr>
              <w:spacing w:after="0"/>
              <w:rPr>
                <w:sz w:val="11"/>
                <w:szCs w:val="11"/>
                <w:color w:val="auto"/>
              </w:rPr>
            </w:pPr>
          </w:p>
        </w:tc>
        <w:tc>
          <w:tcPr>
            <w:tcW w:w="840" w:type="dxa"/>
            <w:vAlign w:val="bottom"/>
            <w:shd w:val="clear" w:color="auto" w:fill="E5F1F8"/>
          </w:tcPr>
          <w:p>
            <w:pPr>
              <w:spacing w:after="0"/>
              <w:rPr>
                <w:sz w:val="11"/>
                <w:szCs w:val="11"/>
                <w:color w:val="auto"/>
              </w:rPr>
            </w:pPr>
          </w:p>
        </w:tc>
        <w:tc>
          <w:tcPr>
            <w:tcW w:w="760" w:type="dxa"/>
            <w:vAlign w:val="bottom"/>
            <w:shd w:val="clear" w:color="auto" w:fill="E5F1F8"/>
          </w:tcPr>
          <w:p>
            <w:pPr>
              <w:spacing w:after="0"/>
              <w:rPr>
                <w:sz w:val="11"/>
                <w:szCs w:val="11"/>
                <w:color w:val="auto"/>
              </w:rPr>
            </w:pPr>
          </w:p>
        </w:tc>
        <w:tc>
          <w:tcPr>
            <w:tcW w:w="680" w:type="dxa"/>
            <w:vAlign w:val="bottom"/>
            <w:shd w:val="clear" w:color="auto" w:fill="E5F1F8"/>
          </w:tcPr>
          <w:p>
            <w:pPr>
              <w:spacing w:after="0"/>
              <w:rPr>
                <w:sz w:val="11"/>
                <w:szCs w:val="11"/>
                <w:color w:val="auto"/>
              </w:rPr>
            </w:pPr>
          </w:p>
        </w:tc>
        <w:tc>
          <w:tcPr>
            <w:tcW w:w="540" w:type="dxa"/>
            <w:vAlign w:val="bottom"/>
            <w:shd w:val="clear" w:color="auto" w:fill="E5F1F8"/>
          </w:tcPr>
          <w:p>
            <w:pPr>
              <w:spacing w:after="0"/>
              <w:rPr>
                <w:sz w:val="11"/>
                <w:szCs w:val="11"/>
                <w:color w:val="auto"/>
              </w:rPr>
            </w:pPr>
          </w:p>
        </w:tc>
        <w:tc>
          <w:tcPr>
            <w:tcW w:w="960" w:type="dxa"/>
            <w:vAlign w:val="bottom"/>
            <w:shd w:val="clear" w:color="auto" w:fill="E5F1F8"/>
          </w:tcPr>
          <w:p>
            <w:pPr>
              <w:spacing w:after="0"/>
              <w:rPr>
                <w:sz w:val="11"/>
                <w:szCs w:val="11"/>
                <w:color w:val="auto"/>
              </w:rPr>
            </w:pPr>
          </w:p>
        </w:tc>
      </w:tr>
    </w:tbl>
    <w:p>
      <w:pPr>
        <w:sectPr>
          <w:pgSz w:w="11900" w:h="16900" w:orient="portrait"/>
          <w:cols w:equalWidth="0" w:num="1">
            <w:col w:w="11240"/>
          </w:cols>
          <w:pgMar w:left="320" w:top="112" w:right="339" w:bottom="0" w:gutter="0" w:footer="0" w:header="0"/>
        </w:sectPr>
      </w:pPr>
    </w:p>
    <w:bookmarkStart w:id="151" w:name="page152"/>
    <w:bookmarkEnd w:id="1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740" w:type="dxa"/>
            <w:vAlign w:val="bottom"/>
            <w:shd w:val="clear" w:color="auto" w:fill="E5F1F8"/>
          </w:tcPr>
          <w:p>
            <w:pPr>
              <w:ind w:left="20"/>
              <w:spacing w:after="0"/>
              <w:rPr>
                <w:sz w:val="20"/>
                <w:szCs w:val="20"/>
                <w:color w:val="auto"/>
              </w:rPr>
            </w:pPr>
            <w:r>
              <w:rPr>
                <w:rFonts w:ascii="Calibri" w:cs="Calibri" w:eastAsia="Calibri" w:hAnsi="Calibri"/>
                <w:sz w:val="17"/>
                <w:szCs w:val="17"/>
                <w:color w:val="auto"/>
              </w:rPr>
              <w:t>Idabel Quarry</w:t>
            </w:r>
          </w:p>
        </w:tc>
        <w:tc>
          <w:tcPr>
            <w:tcW w:w="600" w:type="dxa"/>
            <w:vAlign w:val="bottom"/>
            <w:shd w:val="clear" w:color="auto" w:fill="E5F1F8"/>
          </w:tcPr>
          <w:p>
            <w:pPr>
              <w:jc w:val="right"/>
              <w:spacing w:after="0"/>
              <w:rPr>
                <w:sz w:val="20"/>
                <w:szCs w:val="20"/>
                <w:color w:val="auto"/>
              </w:rPr>
            </w:pPr>
            <w:r>
              <w:rPr>
                <w:rFonts w:ascii="Calibri" w:cs="Calibri" w:eastAsia="Calibri" w:hAnsi="Calibri"/>
                <w:sz w:val="17"/>
                <w:szCs w:val="17"/>
                <w:color w:val="auto"/>
              </w:rPr>
              <w:t>340050</w:t>
            </w:r>
          </w:p>
        </w:tc>
        <w:tc>
          <w:tcPr>
            <w:tcW w:w="660" w:type="dxa"/>
            <w:vAlign w:val="bottom"/>
            <w:shd w:val="clear" w:color="auto" w:fill="E5F1F8"/>
          </w:tcPr>
          <w:p>
            <w:pPr>
              <w:jc w:val="right"/>
              <w:ind w:right="195"/>
              <w:spacing w:after="0"/>
              <w:rPr>
                <w:sz w:val="20"/>
                <w:szCs w:val="20"/>
                <w:color w:val="auto"/>
              </w:rPr>
            </w:pPr>
            <w:r>
              <w:rPr>
                <w:rFonts w:ascii="Calibri" w:cs="Calibri" w:eastAsia="Calibri" w:hAnsi="Calibri"/>
                <w:sz w:val="17"/>
                <w:szCs w:val="17"/>
                <w:color w:val="auto"/>
              </w:rPr>
              <w:t>0</w:t>
            </w:r>
          </w:p>
        </w:tc>
        <w:tc>
          <w:tcPr>
            <w:tcW w:w="660" w:type="dxa"/>
            <w:vAlign w:val="bottom"/>
            <w:shd w:val="clear" w:color="auto" w:fill="E5F1F8"/>
          </w:tcPr>
          <w:p>
            <w:pPr>
              <w:jc w:val="right"/>
              <w:ind w:right="215"/>
              <w:spacing w:after="0"/>
              <w:rPr>
                <w:sz w:val="20"/>
                <w:szCs w:val="20"/>
                <w:color w:val="auto"/>
              </w:rPr>
            </w:pPr>
            <w:r>
              <w:rPr>
                <w:rFonts w:ascii="Calibri" w:cs="Calibri" w:eastAsia="Calibri" w:hAnsi="Calibri"/>
                <w:sz w:val="17"/>
                <w:szCs w:val="17"/>
                <w:color w:val="auto"/>
              </w:rPr>
              <w:t>0</w:t>
            </w:r>
          </w:p>
        </w:tc>
        <w:tc>
          <w:tcPr>
            <w:tcW w:w="700" w:type="dxa"/>
            <w:vAlign w:val="bottom"/>
            <w:shd w:val="clear" w:color="auto" w:fill="E5F1F8"/>
          </w:tcPr>
          <w:p>
            <w:pPr>
              <w:jc w:val="right"/>
              <w:ind w:right="255"/>
              <w:spacing w:after="0"/>
              <w:rPr>
                <w:sz w:val="20"/>
                <w:szCs w:val="20"/>
                <w:color w:val="auto"/>
              </w:rPr>
            </w:pPr>
            <w:r>
              <w:rPr>
                <w:rFonts w:ascii="Calibri" w:cs="Calibri" w:eastAsia="Calibri" w:hAnsi="Calibri"/>
                <w:sz w:val="17"/>
                <w:szCs w:val="17"/>
                <w:color w:val="auto"/>
              </w:rPr>
              <w:t>0</w:t>
            </w:r>
          </w:p>
        </w:tc>
        <w:tc>
          <w:tcPr>
            <w:tcW w:w="720" w:type="dxa"/>
            <w:vAlign w:val="bottom"/>
            <w:shd w:val="clear" w:color="auto" w:fill="E5F1F8"/>
          </w:tcPr>
          <w:p>
            <w:pPr>
              <w:jc w:val="right"/>
              <w:ind w:right="215"/>
              <w:spacing w:after="0"/>
              <w:rPr>
                <w:sz w:val="20"/>
                <w:szCs w:val="20"/>
                <w:color w:val="auto"/>
              </w:rPr>
            </w:pPr>
            <w:r>
              <w:rPr>
                <w:rFonts w:ascii="Calibri" w:cs="Calibri" w:eastAsia="Calibri" w:hAnsi="Calibri"/>
                <w:sz w:val="17"/>
                <w:szCs w:val="17"/>
                <w:color w:val="auto"/>
              </w:rPr>
              <w:t>0</w:t>
            </w:r>
          </w:p>
        </w:tc>
        <w:tc>
          <w:tcPr>
            <w:tcW w:w="500" w:type="dxa"/>
            <w:vAlign w:val="bottom"/>
            <w:shd w:val="clear" w:color="auto" w:fill="E5F1F8"/>
          </w:tcPr>
          <w:p>
            <w:pPr>
              <w:jc w:val="right"/>
              <w:ind w:right="35"/>
              <w:spacing w:after="0"/>
              <w:rPr>
                <w:sz w:val="20"/>
                <w:szCs w:val="20"/>
                <w:color w:val="auto"/>
              </w:rPr>
            </w:pPr>
            <w:r>
              <w:rPr>
                <w:rFonts w:ascii="Calibri" w:cs="Calibri" w:eastAsia="Calibri" w:hAnsi="Calibri"/>
                <w:sz w:val="17"/>
                <w:szCs w:val="17"/>
                <w:color w:val="auto"/>
              </w:rPr>
              <w:t>0</w:t>
            </w:r>
          </w:p>
        </w:tc>
        <w:tc>
          <w:tcPr>
            <w:tcW w:w="400" w:type="dxa"/>
            <w:vAlign w:val="bottom"/>
            <w:shd w:val="clear" w:color="auto" w:fill="E5F1F8"/>
          </w:tcPr>
          <w:p>
            <w:pPr>
              <w:jc w:val="right"/>
              <w:ind w:right="95"/>
              <w:spacing w:after="0"/>
              <w:rPr>
                <w:sz w:val="20"/>
                <w:szCs w:val="20"/>
                <w:color w:val="auto"/>
              </w:rPr>
            </w:pPr>
            <w:r>
              <w:rPr>
                <w:rFonts w:ascii="Calibri" w:cs="Calibri" w:eastAsia="Calibri" w:hAnsi="Calibri"/>
                <w:sz w:val="17"/>
                <w:szCs w:val="17"/>
                <w:b w:val="1"/>
                <w:bCs w:val="1"/>
                <w:color w:val="auto"/>
              </w:rPr>
              <w:t>$</w:t>
            </w:r>
          </w:p>
        </w:tc>
        <w:tc>
          <w:tcPr>
            <w:tcW w:w="720" w:type="dxa"/>
            <w:vAlign w:val="bottom"/>
            <w:shd w:val="clear" w:color="auto" w:fill="E5F1F8"/>
          </w:tcPr>
          <w:p>
            <w:pPr>
              <w:jc w:val="right"/>
              <w:ind w:right="195"/>
              <w:spacing w:after="0"/>
              <w:rPr>
                <w:sz w:val="20"/>
                <w:szCs w:val="20"/>
                <w:color w:val="auto"/>
              </w:rPr>
            </w:pPr>
            <w:r>
              <w:rPr>
                <w:rFonts w:ascii="Calibri" w:cs="Calibri" w:eastAsia="Calibri" w:hAnsi="Calibri"/>
                <w:sz w:val="17"/>
                <w:szCs w:val="17"/>
                <w:b w:val="1"/>
                <w:bCs w:val="1"/>
                <w:color w:val="auto"/>
              </w:rPr>
              <w:t>155</w:t>
            </w:r>
          </w:p>
        </w:tc>
        <w:tc>
          <w:tcPr>
            <w:tcW w:w="760" w:type="dxa"/>
            <w:vAlign w:val="bottom"/>
            <w:shd w:val="clear" w:color="auto" w:fill="E5F1F8"/>
          </w:tcPr>
          <w:p>
            <w:pPr>
              <w:jc w:val="right"/>
              <w:ind w:right="295"/>
              <w:spacing w:after="0"/>
              <w:rPr>
                <w:sz w:val="20"/>
                <w:szCs w:val="20"/>
                <w:color w:val="auto"/>
              </w:rPr>
            </w:pPr>
            <w:r>
              <w:rPr>
                <w:rFonts w:ascii="Calibri" w:cs="Calibri" w:eastAsia="Calibri" w:hAnsi="Calibri"/>
                <w:sz w:val="17"/>
                <w:szCs w:val="17"/>
                <w:color w:val="auto"/>
              </w:rPr>
              <w:t>0</w:t>
            </w:r>
          </w:p>
        </w:tc>
        <w:tc>
          <w:tcPr>
            <w:tcW w:w="840" w:type="dxa"/>
            <w:vAlign w:val="bottom"/>
            <w:shd w:val="clear" w:color="auto" w:fill="E5F1F8"/>
          </w:tcPr>
          <w:p>
            <w:pPr>
              <w:ind w:left="360"/>
              <w:spacing w:after="0"/>
              <w:rPr>
                <w:sz w:val="20"/>
                <w:szCs w:val="20"/>
                <w:color w:val="auto"/>
              </w:rPr>
            </w:pPr>
            <w:r>
              <w:rPr>
                <w:rFonts w:ascii="Calibri" w:cs="Calibri" w:eastAsia="Calibri" w:hAnsi="Calibri"/>
                <w:sz w:val="17"/>
                <w:szCs w:val="17"/>
                <w:color w:val="auto"/>
              </w:rPr>
              <w:t>no</w:t>
            </w:r>
          </w:p>
        </w:tc>
        <w:tc>
          <w:tcPr>
            <w:tcW w:w="760" w:type="dxa"/>
            <w:vAlign w:val="bottom"/>
            <w:shd w:val="clear" w:color="auto" w:fill="E5F1F8"/>
          </w:tcPr>
          <w:p>
            <w:pPr>
              <w:ind w:left="300"/>
              <w:spacing w:after="0"/>
              <w:rPr>
                <w:sz w:val="20"/>
                <w:szCs w:val="20"/>
                <w:color w:val="auto"/>
              </w:rPr>
            </w:pPr>
            <w:r>
              <w:rPr>
                <w:rFonts w:ascii="Calibri" w:cs="Calibri" w:eastAsia="Calibri" w:hAnsi="Calibri"/>
                <w:sz w:val="17"/>
                <w:szCs w:val="17"/>
                <w:color w:val="auto"/>
              </w:rPr>
              <w:t>no</w:t>
            </w:r>
          </w:p>
        </w:tc>
        <w:tc>
          <w:tcPr>
            <w:tcW w:w="680" w:type="dxa"/>
            <w:vAlign w:val="bottom"/>
            <w:shd w:val="clear" w:color="auto" w:fill="E5F1F8"/>
          </w:tcPr>
          <w:p>
            <w:pPr>
              <w:jc w:val="right"/>
              <w:ind w:right="215"/>
              <w:spacing w:after="0"/>
              <w:rPr>
                <w:sz w:val="20"/>
                <w:szCs w:val="20"/>
                <w:color w:val="auto"/>
              </w:rPr>
            </w:pPr>
            <w:r>
              <w:rPr>
                <w:rFonts w:ascii="Calibri" w:cs="Calibri" w:eastAsia="Calibri" w:hAnsi="Calibri"/>
                <w:sz w:val="17"/>
                <w:szCs w:val="17"/>
                <w:color w:val="auto"/>
              </w:rPr>
              <w:t>0</w:t>
            </w:r>
          </w:p>
        </w:tc>
        <w:tc>
          <w:tcPr>
            <w:tcW w:w="720" w:type="dxa"/>
            <w:vAlign w:val="bottom"/>
            <w:shd w:val="clear" w:color="auto" w:fill="E5F1F8"/>
          </w:tcPr>
          <w:p>
            <w:pPr>
              <w:jc w:val="right"/>
              <w:ind w:right="255"/>
              <w:spacing w:after="0"/>
              <w:rPr>
                <w:sz w:val="20"/>
                <w:szCs w:val="20"/>
                <w:color w:val="auto"/>
              </w:rPr>
            </w:pPr>
            <w:r>
              <w:rPr>
                <w:rFonts w:ascii="Calibri" w:cs="Calibri" w:eastAsia="Calibri" w:hAnsi="Calibri"/>
                <w:sz w:val="17"/>
                <w:szCs w:val="17"/>
                <w:color w:val="auto"/>
              </w:rPr>
              <w:t>0</w:t>
            </w:r>
          </w:p>
        </w:tc>
        <w:tc>
          <w:tcPr>
            <w:tcW w:w="780" w:type="dxa"/>
            <w:vAlign w:val="bottom"/>
            <w:shd w:val="clear" w:color="auto" w:fill="E5F1F8"/>
          </w:tcPr>
          <w:p>
            <w:pPr>
              <w:jc w:val="right"/>
              <w:ind w:right="275"/>
              <w:spacing w:after="0"/>
              <w:rPr>
                <w:sz w:val="20"/>
                <w:szCs w:val="20"/>
                <w:color w:val="auto"/>
              </w:rPr>
            </w:pPr>
            <w:r>
              <w:rPr>
                <w:rFonts w:ascii="Calibri" w:cs="Calibri" w:eastAsia="Calibri" w:hAnsi="Calibri"/>
                <w:sz w:val="17"/>
                <w:szCs w:val="17"/>
                <w:color w:val="auto"/>
              </w:rPr>
              <w:t>0</w:t>
            </w:r>
          </w:p>
        </w:tc>
      </w:tr>
      <w:tr>
        <w:trPr>
          <w:trHeight w:val="250"/>
        </w:trPr>
        <w:tc>
          <w:tcPr>
            <w:tcW w:w="1740" w:type="dxa"/>
            <w:vAlign w:val="bottom"/>
            <w:tcBorders>
              <w:bottom w:val="single" w:sz="8" w:color="E5F1F8"/>
            </w:tcBorders>
            <w:shd w:val="clear" w:color="auto" w:fill="E5F1F8"/>
          </w:tcPr>
          <w:p>
            <w:pPr>
              <w:spacing w:after="0"/>
              <w:rPr>
                <w:sz w:val="21"/>
                <w:szCs w:val="21"/>
                <w:color w:val="auto"/>
              </w:rPr>
            </w:pPr>
          </w:p>
        </w:tc>
        <w:tc>
          <w:tcPr>
            <w:tcW w:w="600" w:type="dxa"/>
            <w:vAlign w:val="bottom"/>
            <w:tcBorders>
              <w:bottom w:val="single" w:sz="8" w:color="E5F1F8"/>
            </w:tcBorders>
            <w:shd w:val="clear" w:color="auto" w:fill="E5F1F8"/>
          </w:tcPr>
          <w:p>
            <w:pPr>
              <w:jc w:val="right"/>
              <w:ind w:right="175"/>
              <w:spacing w:after="0" w:line="205" w:lineRule="exact"/>
              <w:rPr>
                <w:sz w:val="20"/>
                <w:szCs w:val="20"/>
                <w:color w:val="auto"/>
              </w:rPr>
            </w:pPr>
            <w:r>
              <w:rPr>
                <w:rFonts w:ascii="Calibri" w:cs="Calibri" w:eastAsia="Calibri" w:hAnsi="Calibri"/>
                <w:sz w:val="17"/>
                <w:szCs w:val="17"/>
                <w:color w:val="auto"/>
              </w:rPr>
              <w:t>7</w:t>
            </w:r>
          </w:p>
        </w:tc>
        <w:tc>
          <w:tcPr>
            <w:tcW w:w="660" w:type="dxa"/>
            <w:vAlign w:val="bottom"/>
            <w:tcBorders>
              <w:bottom w:val="single" w:sz="8" w:color="E5F1F8"/>
            </w:tcBorders>
            <w:shd w:val="clear" w:color="auto" w:fill="E5F1F8"/>
          </w:tcPr>
          <w:p>
            <w:pPr>
              <w:spacing w:after="0"/>
              <w:rPr>
                <w:sz w:val="21"/>
                <w:szCs w:val="21"/>
                <w:color w:val="auto"/>
              </w:rPr>
            </w:pPr>
          </w:p>
        </w:tc>
        <w:tc>
          <w:tcPr>
            <w:tcW w:w="660" w:type="dxa"/>
            <w:vAlign w:val="bottom"/>
            <w:tcBorders>
              <w:bottom w:val="single" w:sz="8" w:color="E5F1F8"/>
            </w:tcBorders>
            <w:shd w:val="clear" w:color="auto" w:fill="E5F1F8"/>
          </w:tcPr>
          <w:p>
            <w:pPr>
              <w:spacing w:after="0"/>
              <w:rPr>
                <w:sz w:val="21"/>
                <w:szCs w:val="21"/>
                <w:color w:val="auto"/>
              </w:rPr>
            </w:pPr>
          </w:p>
        </w:tc>
        <w:tc>
          <w:tcPr>
            <w:tcW w:w="700" w:type="dxa"/>
            <w:vAlign w:val="bottom"/>
            <w:tcBorders>
              <w:bottom w:val="single" w:sz="8" w:color="E5F1F8"/>
            </w:tcBorders>
            <w:shd w:val="clear" w:color="auto" w:fill="E5F1F8"/>
          </w:tcPr>
          <w:p>
            <w:pPr>
              <w:spacing w:after="0"/>
              <w:rPr>
                <w:sz w:val="21"/>
                <w:szCs w:val="21"/>
                <w:color w:val="auto"/>
              </w:rPr>
            </w:pPr>
          </w:p>
        </w:tc>
        <w:tc>
          <w:tcPr>
            <w:tcW w:w="720" w:type="dxa"/>
            <w:vAlign w:val="bottom"/>
            <w:tcBorders>
              <w:bottom w:val="single" w:sz="8" w:color="E5F1F8"/>
            </w:tcBorders>
            <w:shd w:val="clear" w:color="auto" w:fill="E5F1F8"/>
          </w:tcPr>
          <w:p>
            <w:pPr>
              <w:spacing w:after="0"/>
              <w:rPr>
                <w:sz w:val="21"/>
                <w:szCs w:val="21"/>
                <w:color w:val="auto"/>
              </w:rPr>
            </w:pPr>
          </w:p>
        </w:tc>
        <w:tc>
          <w:tcPr>
            <w:tcW w:w="500" w:type="dxa"/>
            <w:vAlign w:val="bottom"/>
            <w:tcBorders>
              <w:bottom w:val="single" w:sz="8" w:color="E5F1F8"/>
            </w:tcBorders>
            <w:shd w:val="clear" w:color="auto" w:fill="E5F1F8"/>
          </w:tcPr>
          <w:p>
            <w:pPr>
              <w:spacing w:after="0"/>
              <w:rPr>
                <w:sz w:val="21"/>
                <w:szCs w:val="21"/>
                <w:color w:val="auto"/>
              </w:rPr>
            </w:pPr>
          </w:p>
        </w:tc>
        <w:tc>
          <w:tcPr>
            <w:tcW w:w="400" w:type="dxa"/>
            <w:vAlign w:val="bottom"/>
            <w:tcBorders>
              <w:bottom w:val="single" w:sz="8" w:color="E5F1F8"/>
            </w:tcBorders>
            <w:shd w:val="clear" w:color="auto" w:fill="E5F1F8"/>
          </w:tcPr>
          <w:p>
            <w:pPr>
              <w:spacing w:after="0"/>
              <w:rPr>
                <w:sz w:val="21"/>
                <w:szCs w:val="21"/>
                <w:color w:val="auto"/>
              </w:rPr>
            </w:pPr>
          </w:p>
        </w:tc>
        <w:tc>
          <w:tcPr>
            <w:tcW w:w="720" w:type="dxa"/>
            <w:vAlign w:val="bottom"/>
            <w:tcBorders>
              <w:bottom w:val="single" w:sz="8" w:color="E5F1F8"/>
            </w:tcBorders>
            <w:shd w:val="clear" w:color="auto" w:fill="E5F1F8"/>
          </w:tcPr>
          <w:p>
            <w:pPr>
              <w:spacing w:after="0"/>
              <w:rPr>
                <w:sz w:val="21"/>
                <w:szCs w:val="21"/>
                <w:color w:val="auto"/>
              </w:rPr>
            </w:pPr>
          </w:p>
        </w:tc>
        <w:tc>
          <w:tcPr>
            <w:tcW w:w="760" w:type="dxa"/>
            <w:vAlign w:val="bottom"/>
            <w:tcBorders>
              <w:bottom w:val="single" w:sz="8" w:color="E5F1F8"/>
            </w:tcBorders>
            <w:shd w:val="clear" w:color="auto" w:fill="E5F1F8"/>
          </w:tcPr>
          <w:p>
            <w:pPr>
              <w:spacing w:after="0"/>
              <w:rPr>
                <w:sz w:val="21"/>
                <w:szCs w:val="21"/>
                <w:color w:val="auto"/>
              </w:rPr>
            </w:pPr>
          </w:p>
        </w:tc>
        <w:tc>
          <w:tcPr>
            <w:tcW w:w="840" w:type="dxa"/>
            <w:vAlign w:val="bottom"/>
            <w:tcBorders>
              <w:bottom w:val="single" w:sz="8" w:color="E5F1F8"/>
            </w:tcBorders>
            <w:shd w:val="clear" w:color="auto" w:fill="E5F1F8"/>
          </w:tcPr>
          <w:p>
            <w:pPr>
              <w:spacing w:after="0"/>
              <w:rPr>
                <w:sz w:val="21"/>
                <w:szCs w:val="21"/>
                <w:color w:val="auto"/>
              </w:rPr>
            </w:pPr>
          </w:p>
        </w:tc>
        <w:tc>
          <w:tcPr>
            <w:tcW w:w="760" w:type="dxa"/>
            <w:vAlign w:val="bottom"/>
            <w:tcBorders>
              <w:bottom w:val="single" w:sz="8" w:color="E5F1F8"/>
            </w:tcBorders>
            <w:shd w:val="clear" w:color="auto" w:fill="E5F1F8"/>
          </w:tcPr>
          <w:p>
            <w:pPr>
              <w:spacing w:after="0"/>
              <w:rPr>
                <w:sz w:val="21"/>
                <w:szCs w:val="21"/>
                <w:color w:val="auto"/>
              </w:rPr>
            </w:pPr>
          </w:p>
        </w:tc>
        <w:tc>
          <w:tcPr>
            <w:tcW w:w="680" w:type="dxa"/>
            <w:vAlign w:val="bottom"/>
            <w:tcBorders>
              <w:bottom w:val="single" w:sz="8" w:color="E5F1F8"/>
            </w:tcBorders>
            <w:shd w:val="clear" w:color="auto" w:fill="E5F1F8"/>
          </w:tcPr>
          <w:p>
            <w:pPr>
              <w:spacing w:after="0"/>
              <w:rPr>
                <w:sz w:val="21"/>
                <w:szCs w:val="21"/>
                <w:color w:val="auto"/>
              </w:rPr>
            </w:pPr>
          </w:p>
        </w:tc>
        <w:tc>
          <w:tcPr>
            <w:tcW w:w="720" w:type="dxa"/>
            <w:vAlign w:val="bottom"/>
            <w:tcBorders>
              <w:bottom w:val="single" w:sz="8" w:color="E5F1F8"/>
            </w:tcBorders>
            <w:shd w:val="clear" w:color="auto" w:fill="E5F1F8"/>
          </w:tcPr>
          <w:p>
            <w:pPr>
              <w:spacing w:after="0"/>
              <w:rPr>
                <w:sz w:val="21"/>
                <w:szCs w:val="21"/>
                <w:color w:val="auto"/>
              </w:rPr>
            </w:pPr>
          </w:p>
        </w:tc>
        <w:tc>
          <w:tcPr>
            <w:tcW w:w="780" w:type="dxa"/>
            <w:vAlign w:val="bottom"/>
            <w:tcBorders>
              <w:bottom w:val="single" w:sz="8" w:color="E5F1F8"/>
            </w:tcBorders>
            <w:shd w:val="clear" w:color="auto" w:fill="E5F1F8"/>
          </w:tcPr>
          <w:p>
            <w:pPr>
              <w:spacing w:after="0"/>
              <w:rPr>
                <w:sz w:val="21"/>
                <w:szCs w:val="21"/>
                <w:color w:val="auto"/>
              </w:rPr>
            </w:pPr>
          </w:p>
        </w:tc>
      </w:tr>
      <w:tr>
        <w:trPr>
          <w:trHeight w:val="88"/>
        </w:trPr>
        <w:tc>
          <w:tcPr>
            <w:tcW w:w="17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0" w:right="3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20"/>
        </w:trPr>
        <w:tc>
          <w:tcPr>
            <w:tcW w:w="1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ind w:left="140"/>
              <w:spacing w:after="0"/>
              <w:rPr>
                <w:sz w:val="20"/>
                <w:szCs w:val="20"/>
                <w:color w:val="auto"/>
              </w:rPr>
            </w:pPr>
            <w:r>
              <w:rPr>
                <w:rFonts w:ascii="Calibri" w:cs="Calibri" w:eastAsia="Calibri" w:hAnsi="Calibri"/>
                <w:sz w:val="18"/>
                <w:szCs w:val="18"/>
                <w:color w:val="auto"/>
                <w:w w:val="94"/>
              </w:rPr>
              <w:t>Appendix 1</w:t>
            </w:r>
          </w:p>
        </w:tc>
      </w:tr>
      <w:tr>
        <w:trPr>
          <w:trHeight w:val="212"/>
        </w:trPr>
        <w:tc>
          <w:tcPr>
            <w:tcW w:w="1740" w:type="dxa"/>
            <w:vAlign w:val="bottom"/>
          </w:tcPr>
          <w:p>
            <w:pPr>
              <w:spacing w:after="0"/>
              <w:rPr>
                <w:sz w:val="18"/>
                <w:szCs w:val="18"/>
                <w:color w:val="auto"/>
              </w:rPr>
            </w:pPr>
          </w:p>
        </w:tc>
        <w:tc>
          <w:tcPr>
            <w:tcW w:w="700" w:type="dxa"/>
            <w:vAlign w:val="bottom"/>
          </w:tcPr>
          <w:p>
            <w:pPr>
              <w:jc w:val="center"/>
              <w:ind w:right="34"/>
              <w:spacing w:after="0"/>
              <w:rPr>
                <w:sz w:val="20"/>
                <w:szCs w:val="20"/>
                <w:color w:val="auto"/>
              </w:rPr>
            </w:pPr>
            <w:r>
              <w:rPr>
                <w:rFonts w:ascii="Calibri" w:cs="Calibri" w:eastAsia="Calibri" w:hAnsi="Calibri"/>
                <w:sz w:val="17"/>
                <w:szCs w:val="17"/>
                <w:color w:val="auto"/>
              </w:rPr>
              <w:t>030158</w:t>
            </w: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Jones Mill Quarry</w:t>
            </w:r>
          </w:p>
        </w:tc>
        <w:tc>
          <w:tcPr>
            <w:tcW w:w="700" w:type="dxa"/>
            <w:vAlign w:val="bottom"/>
          </w:tcPr>
          <w:p>
            <w:pPr>
              <w:jc w:val="center"/>
              <w:ind w:right="14"/>
              <w:spacing w:after="0" w:line="205" w:lineRule="exact"/>
              <w:rPr>
                <w:sz w:val="20"/>
                <w:szCs w:val="20"/>
                <w:color w:val="auto"/>
              </w:rPr>
            </w:pPr>
            <w:r>
              <w:rPr>
                <w:rFonts w:ascii="Calibri" w:cs="Calibri" w:eastAsia="Calibri" w:hAnsi="Calibri"/>
                <w:sz w:val="17"/>
                <w:szCs w:val="17"/>
                <w:color w:val="auto"/>
                <w:w w:val="92"/>
              </w:rPr>
              <w:t>6</w:t>
            </w:r>
          </w:p>
        </w:tc>
        <w:tc>
          <w:tcPr>
            <w:tcW w:w="620" w:type="dxa"/>
            <w:vAlign w:val="bottom"/>
          </w:tcPr>
          <w:p>
            <w:pPr>
              <w:jc w:val="center"/>
              <w:ind w:right="54"/>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4"/>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4"/>
              <w:spacing w:after="0" w:line="205" w:lineRule="exact"/>
              <w:rPr>
                <w:sz w:val="20"/>
                <w:szCs w:val="20"/>
                <w:color w:val="auto"/>
              </w:rPr>
            </w:pPr>
            <w:r>
              <w:rPr>
                <w:rFonts w:ascii="Calibri" w:cs="Calibri" w:eastAsia="Calibri" w:hAnsi="Calibri"/>
                <w:sz w:val="17"/>
                <w:szCs w:val="17"/>
                <w:color w:val="auto"/>
              </w:rPr>
              <w:t>0</w:t>
            </w:r>
          </w:p>
        </w:tc>
        <w:tc>
          <w:tcPr>
            <w:tcW w:w="24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62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266</w:t>
            </w:r>
          </w:p>
        </w:tc>
        <w:tc>
          <w:tcPr>
            <w:tcW w:w="1020" w:type="dxa"/>
            <w:vAlign w:val="bottom"/>
            <w:gridSpan w:val="2"/>
          </w:tcPr>
          <w:p>
            <w:pPr>
              <w:jc w:val="right"/>
              <w:ind w:right="290"/>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4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7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560" w:type="dxa"/>
            <w:vAlign w:val="bottom"/>
          </w:tcPr>
          <w:p>
            <w:pPr>
              <w:jc w:val="center"/>
              <w:ind w:left="14"/>
              <w:spacing w:after="0" w:line="205" w:lineRule="exact"/>
              <w:rPr>
                <w:sz w:val="20"/>
                <w:szCs w:val="20"/>
                <w:color w:val="auto"/>
              </w:rPr>
            </w:pPr>
            <w:r>
              <w:rPr>
                <w:rFonts w:ascii="Calibri" w:cs="Calibri" w:eastAsia="Calibri" w:hAnsi="Calibri"/>
                <w:sz w:val="17"/>
                <w:szCs w:val="17"/>
                <w:color w:val="auto"/>
              </w:rPr>
              <w:t>0</w:t>
            </w:r>
          </w:p>
        </w:tc>
        <w:tc>
          <w:tcPr>
            <w:tcW w:w="940" w:type="dxa"/>
            <w:vAlign w:val="bottom"/>
          </w:tcPr>
          <w:p>
            <w:pPr>
              <w:jc w:val="center"/>
              <w:ind w:left="5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189"/>
        </w:trPr>
        <w:tc>
          <w:tcPr>
            <w:tcW w:w="1740" w:type="dxa"/>
            <w:vAlign w:val="bottom"/>
            <w:shd w:val="clear" w:color="auto" w:fill="E5F1F8"/>
          </w:tcPr>
          <w:p>
            <w:pPr>
              <w:spacing w:after="0"/>
              <w:rPr>
                <w:sz w:val="16"/>
                <w:szCs w:val="16"/>
                <w:color w:val="auto"/>
              </w:rPr>
            </w:pPr>
          </w:p>
        </w:tc>
        <w:tc>
          <w:tcPr>
            <w:tcW w:w="700" w:type="dxa"/>
            <w:vAlign w:val="bottom"/>
            <w:shd w:val="clear" w:color="auto" w:fill="E5F1F8"/>
          </w:tcPr>
          <w:p>
            <w:pPr>
              <w:jc w:val="center"/>
              <w:ind w:right="34"/>
              <w:spacing w:after="0" w:line="189" w:lineRule="exact"/>
              <w:rPr>
                <w:sz w:val="20"/>
                <w:szCs w:val="20"/>
                <w:color w:val="auto"/>
              </w:rPr>
            </w:pPr>
            <w:r>
              <w:rPr>
                <w:rFonts w:ascii="Calibri" w:cs="Calibri" w:eastAsia="Calibri" w:hAnsi="Calibri"/>
                <w:sz w:val="17"/>
                <w:szCs w:val="17"/>
                <w:color w:val="auto"/>
              </w:rPr>
              <w:t>410504</w:t>
            </w:r>
          </w:p>
        </w:tc>
        <w:tc>
          <w:tcPr>
            <w:tcW w:w="6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40" w:type="dxa"/>
            <w:vAlign w:val="bottom"/>
            <w:shd w:val="clear" w:color="auto" w:fill="E5F1F8"/>
          </w:tcPr>
          <w:p>
            <w:pPr>
              <w:spacing w:after="0"/>
              <w:rPr>
                <w:sz w:val="16"/>
                <w:szCs w:val="16"/>
                <w:color w:val="auto"/>
              </w:rPr>
            </w:pPr>
          </w:p>
        </w:tc>
        <w:tc>
          <w:tcPr>
            <w:tcW w:w="620" w:type="dxa"/>
            <w:vAlign w:val="bottom"/>
            <w:shd w:val="clear" w:color="auto" w:fill="E5F1F8"/>
          </w:tcPr>
          <w:p>
            <w:pPr>
              <w:spacing w:after="0"/>
              <w:rPr>
                <w:sz w:val="16"/>
                <w:szCs w:val="16"/>
                <w:color w:val="auto"/>
              </w:rPr>
            </w:pPr>
          </w:p>
        </w:tc>
        <w:tc>
          <w:tcPr>
            <w:tcW w:w="10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560" w:type="dxa"/>
            <w:vAlign w:val="bottom"/>
            <w:shd w:val="clear" w:color="auto" w:fill="E5F1F8"/>
          </w:tcPr>
          <w:p>
            <w:pPr>
              <w:spacing w:after="0"/>
              <w:rPr>
                <w:sz w:val="16"/>
                <w:szCs w:val="16"/>
                <w:color w:val="auto"/>
              </w:rPr>
            </w:pPr>
          </w:p>
        </w:tc>
        <w:tc>
          <w:tcPr>
            <w:tcW w:w="94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Koontz McCombs Pit</w:t>
            </w:r>
          </w:p>
        </w:tc>
        <w:tc>
          <w:tcPr>
            <w:tcW w:w="700" w:type="dxa"/>
            <w:vAlign w:val="bottom"/>
            <w:tcBorders>
              <w:bottom w:val="single" w:sz="8" w:color="E5F1F8"/>
            </w:tcBorders>
            <w:shd w:val="clear" w:color="auto" w:fill="E5F1F8"/>
          </w:tcPr>
          <w:p>
            <w:pPr>
              <w:jc w:val="center"/>
              <w:ind w:right="14"/>
              <w:spacing w:after="0" w:line="205" w:lineRule="exact"/>
              <w:rPr>
                <w:sz w:val="20"/>
                <w:szCs w:val="20"/>
                <w:color w:val="auto"/>
              </w:rPr>
            </w:pPr>
            <w:r>
              <w:rPr>
                <w:rFonts w:ascii="Calibri" w:cs="Calibri" w:eastAsia="Calibri" w:hAnsi="Calibri"/>
                <w:sz w:val="17"/>
                <w:szCs w:val="17"/>
                <w:color w:val="auto"/>
                <w:w w:val="92"/>
              </w:rPr>
              <w:t>8</w:t>
            </w:r>
          </w:p>
        </w:tc>
        <w:tc>
          <w:tcPr>
            <w:tcW w:w="620" w:type="dxa"/>
            <w:vAlign w:val="bottom"/>
            <w:tcBorders>
              <w:bottom w:val="single" w:sz="8" w:color="E5F1F8"/>
            </w:tcBorders>
            <w:shd w:val="clear" w:color="auto" w:fill="E5F1F8"/>
          </w:tcPr>
          <w:p>
            <w:pPr>
              <w:jc w:val="center"/>
              <w:ind w:right="54"/>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Borders>
              <w:bottom w:val="single" w:sz="8" w:color="E5F1F8"/>
            </w:tcBorders>
            <w:shd w:val="clear" w:color="auto" w:fill="E5F1F8"/>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4"/>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4"/>
              <w:spacing w:after="0" w:line="205" w:lineRule="exact"/>
              <w:rPr>
                <w:sz w:val="20"/>
                <w:szCs w:val="20"/>
                <w:color w:val="auto"/>
              </w:rPr>
            </w:pPr>
            <w:r>
              <w:rPr>
                <w:rFonts w:ascii="Calibri" w:cs="Calibri" w:eastAsia="Calibri" w:hAnsi="Calibri"/>
                <w:sz w:val="17"/>
                <w:szCs w:val="17"/>
                <w:color w:val="auto"/>
              </w:rPr>
              <w:t>0</w:t>
            </w:r>
          </w:p>
        </w:tc>
        <w:tc>
          <w:tcPr>
            <w:tcW w:w="24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62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1020" w:type="dxa"/>
            <w:vAlign w:val="bottom"/>
            <w:tcBorders>
              <w:bottom w:val="single" w:sz="8" w:color="E5F1F8"/>
            </w:tcBorders>
            <w:gridSpan w:val="2"/>
            <w:shd w:val="clear" w:color="auto" w:fill="E5F1F8"/>
          </w:tcPr>
          <w:p>
            <w:pPr>
              <w:jc w:val="right"/>
              <w:ind w:right="290"/>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4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7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560" w:type="dxa"/>
            <w:vAlign w:val="bottom"/>
            <w:tcBorders>
              <w:bottom w:val="single" w:sz="8" w:color="E5F1F8"/>
            </w:tcBorders>
            <w:shd w:val="clear" w:color="auto" w:fill="E5F1F8"/>
          </w:tcPr>
          <w:p>
            <w:pPr>
              <w:jc w:val="center"/>
              <w:ind w:left="14"/>
              <w:spacing w:after="0" w:line="205" w:lineRule="exact"/>
              <w:rPr>
                <w:sz w:val="20"/>
                <w:szCs w:val="20"/>
                <w:color w:val="auto"/>
              </w:rPr>
            </w:pPr>
            <w:r>
              <w:rPr>
                <w:rFonts w:ascii="Calibri" w:cs="Calibri" w:eastAsia="Calibri" w:hAnsi="Calibri"/>
                <w:sz w:val="17"/>
                <w:szCs w:val="17"/>
                <w:color w:val="auto"/>
              </w:rPr>
              <w:t>0</w:t>
            </w:r>
          </w:p>
        </w:tc>
        <w:tc>
          <w:tcPr>
            <w:tcW w:w="940" w:type="dxa"/>
            <w:vAlign w:val="bottom"/>
            <w:tcBorders>
              <w:bottom w:val="single" w:sz="8" w:color="E5F1F8"/>
            </w:tcBorders>
            <w:shd w:val="clear" w:color="auto" w:fill="E5F1F8"/>
          </w:tcPr>
          <w:p>
            <w:pPr>
              <w:jc w:val="center"/>
              <w:ind w:left="5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40" w:type="dxa"/>
            <w:vAlign w:val="bottom"/>
          </w:tcPr>
          <w:p>
            <w:pPr>
              <w:spacing w:after="0"/>
              <w:rPr>
                <w:sz w:val="16"/>
                <w:szCs w:val="16"/>
                <w:color w:val="auto"/>
              </w:rPr>
            </w:pPr>
          </w:p>
        </w:tc>
        <w:tc>
          <w:tcPr>
            <w:tcW w:w="700" w:type="dxa"/>
            <w:vAlign w:val="bottom"/>
          </w:tcPr>
          <w:p>
            <w:pPr>
              <w:jc w:val="center"/>
              <w:ind w:right="34"/>
              <w:spacing w:after="0" w:line="189" w:lineRule="exact"/>
              <w:rPr>
                <w:sz w:val="20"/>
                <w:szCs w:val="20"/>
                <w:color w:val="auto"/>
              </w:rPr>
            </w:pPr>
            <w:r>
              <w:rPr>
                <w:rFonts w:ascii="Calibri" w:cs="Calibri" w:eastAsia="Calibri" w:hAnsi="Calibri"/>
                <w:sz w:val="17"/>
                <w:szCs w:val="17"/>
                <w:color w:val="auto"/>
              </w:rPr>
              <w:t>410526</w:t>
            </w: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Liberty Ranch Sand</w:t>
            </w:r>
          </w:p>
        </w:tc>
        <w:tc>
          <w:tcPr>
            <w:tcW w:w="700" w:type="dxa"/>
            <w:vAlign w:val="bottom"/>
          </w:tcPr>
          <w:p>
            <w:pPr>
              <w:jc w:val="center"/>
              <w:ind w:right="14"/>
              <w:spacing w:after="0" w:line="205" w:lineRule="exact"/>
              <w:rPr>
                <w:sz w:val="20"/>
                <w:szCs w:val="20"/>
                <w:color w:val="auto"/>
              </w:rPr>
            </w:pPr>
            <w:r>
              <w:rPr>
                <w:rFonts w:ascii="Calibri" w:cs="Calibri" w:eastAsia="Calibri" w:hAnsi="Calibri"/>
                <w:sz w:val="17"/>
                <w:szCs w:val="17"/>
                <w:color w:val="auto"/>
                <w:w w:val="92"/>
              </w:rPr>
              <w:t>8</w:t>
            </w:r>
          </w:p>
        </w:tc>
        <w:tc>
          <w:tcPr>
            <w:tcW w:w="620" w:type="dxa"/>
            <w:vAlign w:val="bottom"/>
          </w:tcPr>
          <w:p>
            <w:pPr>
              <w:jc w:val="center"/>
              <w:ind w:right="54"/>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4"/>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4"/>
              <w:spacing w:after="0" w:line="205" w:lineRule="exact"/>
              <w:rPr>
                <w:sz w:val="20"/>
                <w:szCs w:val="20"/>
                <w:color w:val="auto"/>
              </w:rPr>
            </w:pPr>
            <w:r>
              <w:rPr>
                <w:rFonts w:ascii="Calibri" w:cs="Calibri" w:eastAsia="Calibri" w:hAnsi="Calibri"/>
                <w:sz w:val="17"/>
                <w:szCs w:val="17"/>
                <w:color w:val="auto"/>
              </w:rPr>
              <w:t>0</w:t>
            </w:r>
          </w:p>
        </w:tc>
        <w:tc>
          <w:tcPr>
            <w:tcW w:w="24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62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266</w:t>
            </w:r>
          </w:p>
        </w:tc>
        <w:tc>
          <w:tcPr>
            <w:tcW w:w="1020" w:type="dxa"/>
            <w:vAlign w:val="bottom"/>
            <w:gridSpan w:val="2"/>
          </w:tcPr>
          <w:p>
            <w:pPr>
              <w:jc w:val="right"/>
              <w:ind w:right="290"/>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4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7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1</w:t>
            </w:r>
          </w:p>
        </w:tc>
        <w:tc>
          <w:tcPr>
            <w:tcW w:w="560" w:type="dxa"/>
            <w:vAlign w:val="bottom"/>
          </w:tcPr>
          <w:p>
            <w:pPr>
              <w:jc w:val="center"/>
              <w:ind w:left="14"/>
              <w:spacing w:after="0" w:line="205" w:lineRule="exact"/>
              <w:rPr>
                <w:sz w:val="20"/>
                <w:szCs w:val="20"/>
                <w:color w:val="auto"/>
              </w:rPr>
            </w:pPr>
            <w:r>
              <w:rPr>
                <w:rFonts w:ascii="Calibri" w:cs="Calibri" w:eastAsia="Calibri" w:hAnsi="Calibri"/>
                <w:sz w:val="17"/>
                <w:szCs w:val="17"/>
                <w:color w:val="auto"/>
              </w:rPr>
              <w:t>1</w:t>
            </w:r>
          </w:p>
        </w:tc>
        <w:tc>
          <w:tcPr>
            <w:tcW w:w="940" w:type="dxa"/>
            <w:vAlign w:val="bottom"/>
          </w:tcPr>
          <w:p>
            <w:pPr>
              <w:jc w:val="center"/>
              <w:ind w:left="5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189"/>
        </w:trPr>
        <w:tc>
          <w:tcPr>
            <w:tcW w:w="1740" w:type="dxa"/>
            <w:vAlign w:val="bottom"/>
            <w:shd w:val="clear" w:color="auto" w:fill="E5F1F8"/>
          </w:tcPr>
          <w:p>
            <w:pPr>
              <w:spacing w:after="0"/>
              <w:rPr>
                <w:sz w:val="16"/>
                <w:szCs w:val="16"/>
                <w:color w:val="auto"/>
              </w:rPr>
            </w:pPr>
          </w:p>
        </w:tc>
        <w:tc>
          <w:tcPr>
            <w:tcW w:w="700" w:type="dxa"/>
            <w:vAlign w:val="bottom"/>
            <w:shd w:val="clear" w:color="auto" w:fill="E5F1F8"/>
          </w:tcPr>
          <w:p>
            <w:pPr>
              <w:jc w:val="center"/>
              <w:ind w:right="34"/>
              <w:spacing w:after="0" w:line="189" w:lineRule="exact"/>
              <w:rPr>
                <w:sz w:val="20"/>
                <w:szCs w:val="20"/>
                <w:color w:val="auto"/>
              </w:rPr>
            </w:pPr>
            <w:r>
              <w:rPr>
                <w:rFonts w:ascii="Calibri" w:cs="Calibri" w:eastAsia="Calibri" w:hAnsi="Calibri"/>
                <w:sz w:val="17"/>
                <w:szCs w:val="17"/>
                <w:color w:val="auto"/>
              </w:rPr>
              <w:t>410517</w:t>
            </w:r>
          </w:p>
        </w:tc>
        <w:tc>
          <w:tcPr>
            <w:tcW w:w="6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40" w:type="dxa"/>
            <w:vAlign w:val="bottom"/>
            <w:shd w:val="clear" w:color="auto" w:fill="E5F1F8"/>
          </w:tcPr>
          <w:p>
            <w:pPr>
              <w:spacing w:after="0"/>
              <w:rPr>
                <w:sz w:val="16"/>
                <w:szCs w:val="16"/>
                <w:color w:val="auto"/>
              </w:rPr>
            </w:pPr>
          </w:p>
        </w:tc>
        <w:tc>
          <w:tcPr>
            <w:tcW w:w="620" w:type="dxa"/>
            <w:vAlign w:val="bottom"/>
            <w:shd w:val="clear" w:color="auto" w:fill="E5F1F8"/>
          </w:tcPr>
          <w:p>
            <w:pPr>
              <w:spacing w:after="0"/>
              <w:rPr>
                <w:sz w:val="16"/>
                <w:szCs w:val="16"/>
                <w:color w:val="auto"/>
              </w:rPr>
            </w:pPr>
          </w:p>
        </w:tc>
        <w:tc>
          <w:tcPr>
            <w:tcW w:w="10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560" w:type="dxa"/>
            <w:vAlign w:val="bottom"/>
            <w:shd w:val="clear" w:color="auto" w:fill="E5F1F8"/>
          </w:tcPr>
          <w:p>
            <w:pPr>
              <w:spacing w:after="0"/>
              <w:rPr>
                <w:sz w:val="16"/>
                <w:szCs w:val="16"/>
                <w:color w:val="auto"/>
              </w:rPr>
            </w:pPr>
          </w:p>
        </w:tc>
        <w:tc>
          <w:tcPr>
            <w:tcW w:w="94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Medina Rock Rail</w:t>
            </w:r>
          </w:p>
        </w:tc>
        <w:tc>
          <w:tcPr>
            <w:tcW w:w="700" w:type="dxa"/>
            <w:vAlign w:val="bottom"/>
            <w:tcBorders>
              <w:bottom w:val="single" w:sz="8" w:color="E5F1F8"/>
            </w:tcBorders>
            <w:shd w:val="clear" w:color="auto" w:fill="E5F1F8"/>
          </w:tcPr>
          <w:p>
            <w:pPr>
              <w:jc w:val="center"/>
              <w:ind w:right="14"/>
              <w:spacing w:after="0" w:line="205" w:lineRule="exact"/>
              <w:rPr>
                <w:sz w:val="20"/>
                <w:szCs w:val="20"/>
                <w:color w:val="auto"/>
              </w:rPr>
            </w:pPr>
            <w:r>
              <w:rPr>
                <w:rFonts w:ascii="Calibri" w:cs="Calibri" w:eastAsia="Calibri" w:hAnsi="Calibri"/>
                <w:sz w:val="17"/>
                <w:szCs w:val="17"/>
                <w:color w:val="auto"/>
                <w:w w:val="92"/>
              </w:rPr>
              <w:t>0</w:t>
            </w:r>
          </w:p>
        </w:tc>
        <w:tc>
          <w:tcPr>
            <w:tcW w:w="620" w:type="dxa"/>
            <w:vAlign w:val="bottom"/>
            <w:tcBorders>
              <w:bottom w:val="single" w:sz="8" w:color="E5F1F8"/>
            </w:tcBorders>
            <w:shd w:val="clear" w:color="auto" w:fill="E5F1F8"/>
          </w:tcPr>
          <w:p>
            <w:pPr>
              <w:jc w:val="center"/>
              <w:ind w:right="54"/>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Borders>
              <w:bottom w:val="single" w:sz="8" w:color="E5F1F8"/>
            </w:tcBorders>
            <w:shd w:val="clear" w:color="auto" w:fill="E5F1F8"/>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4"/>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4"/>
              <w:spacing w:after="0" w:line="205" w:lineRule="exact"/>
              <w:rPr>
                <w:sz w:val="20"/>
                <w:szCs w:val="20"/>
                <w:color w:val="auto"/>
              </w:rPr>
            </w:pPr>
            <w:r>
              <w:rPr>
                <w:rFonts w:ascii="Calibri" w:cs="Calibri" w:eastAsia="Calibri" w:hAnsi="Calibri"/>
                <w:sz w:val="17"/>
                <w:szCs w:val="17"/>
                <w:color w:val="auto"/>
              </w:rPr>
              <w:t>0</w:t>
            </w:r>
          </w:p>
        </w:tc>
        <w:tc>
          <w:tcPr>
            <w:tcW w:w="24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62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798</w:t>
            </w:r>
          </w:p>
        </w:tc>
        <w:tc>
          <w:tcPr>
            <w:tcW w:w="1020" w:type="dxa"/>
            <w:vAlign w:val="bottom"/>
            <w:tcBorders>
              <w:bottom w:val="single" w:sz="8" w:color="E5F1F8"/>
            </w:tcBorders>
            <w:gridSpan w:val="2"/>
            <w:shd w:val="clear" w:color="auto" w:fill="E5F1F8"/>
          </w:tcPr>
          <w:p>
            <w:pPr>
              <w:jc w:val="right"/>
              <w:ind w:right="290"/>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4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7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560" w:type="dxa"/>
            <w:vAlign w:val="bottom"/>
            <w:tcBorders>
              <w:bottom w:val="single" w:sz="8" w:color="E5F1F8"/>
            </w:tcBorders>
            <w:shd w:val="clear" w:color="auto" w:fill="E5F1F8"/>
          </w:tcPr>
          <w:p>
            <w:pPr>
              <w:jc w:val="center"/>
              <w:ind w:left="14"/>
              <w:spacing w:after="0" w:line="205" w:lineRule="exact"/>
              <w:rPr>
                <w:sz w:val="20"/>
                <w:szCs w:val="20"/>
                <w:color w:val="auto"/>
              </w:rPr>
            </w:pPr>
            <w:r>
              <w:rPr>
                <w:rFonts w:ascii="Calibri" w:cs="Calibri" w:eastAsia="Calibri" w:hAnsi="Calibri"/>
                <w:sz w:val="17"/>
                <w:szCs w:val="17"/>
                <w:color w:val="auto"/>
              </w:rPr>
              <w:t>0</w:t>
            </w:r>
          </w:p>
        </w:tc>
        <w:tc>
          <w:tcPr>
            <w:tcW w:w="940" w:type="dxa"/>
            <w:vAlign w:val="bottom"/>
            <w:tcBorders>
              <w:bottom w:val="single" w:sz="8" w:color="E5F1F8"/>
            </w:tcBorders>
            <w:shd w:val="clear" w:color="auto" w:fill="E5F1F8"/>
          </w:tcPr>
          <w:p>
            <w:pPr>
              <w:jc w:val="center"/>
              <w:ind w:left="5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40" w:type="dxa"/>
            <w:vAlign w:val="bottom"/>
          </w:tcPr>
          <w:p>
            <w:pPr>
              <w:spacing w:after="0"/>
              <w:rPr>
                <w:sz w:val="16"/>
                <w:szCs w:val="16"/>
                <w:color w:val="auto"/>
              </w:rPr>
            </w:pPr>
          </w:p>
        </w:tc>
        <w:tc>
          <w:tcPr>
            <w:tcW w:w="700" w:type="dxa"/>
            <w:vAlign w:val="bottom"/>
          </w:tcPr>
          <w:p>
            <w:pPr>
              <w:jc w:val="center"/>
              <w:ind w:right="34"/>
              <w:spacing w:after="0" w:line="189" w:lineRule="exact"/>
              <w:rPr>
                <w:sz w:val="20"/>
                <w:szCs w:val="20"/>
                <w:color w:val="auto"/>
              </w:rPr>
            </w:pPr>
            <w:r>
              <w:rPr>
                <w:rFonts w:ascii="Calibri" w:cs="Calibri" w:eastAsia="Calibri" w:hAnsi="Calibri"/>
                <w:sz w:val="17"/>
                <w:szCs w:val="17"/>
                <w:color w:val="auto"/>
              </w:rPr>
              <w:t>410007</w:t>
            </w: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Midlothian Cement</w:t>
            </w:r>
          </w:p>
        </w:tc>
        <w:tc>
          <w:tcPr>
            <w:tcW w:w="700" w:type="dxa"/>
            <w:vAlign w:val="bottom"/>
          </w:tcPr>
          <w:p>
            <w:pPr>
              <w:jc w:val="center"/>
              <w:ind w:right="14"/>
              <w:spacing w:after="0" w:line="205" w:lineRule="exact"/>
              <w:rPr>
                <w:sz w:val="20"/>
                <w:szCs w:val="20"/>
                <w:color w:val="auto"/>
              </w:rPr>
            </w:pPr>
            <w:r>
              <w:rPr>
                <w:rFonts w:ascii="Calibri" w:cs="Calibri" w:eastAsia="Calibri" w:hAnsi="Calibri"/>
                <w:sz w:val="17"/>
                <w:szCs w:val="17"/>
                <w:color w:val="auto"/>
                <w:w w:val="92"/>
              </w:rPr>
              <w:t>1</w:t>
            </w:r>
          </w:p>
        </w:tc>
        <w:tc>
          <w:tcPr>
            <w:tcW w:w="620" w:type="dxa"/>
            <w:vAlign w:val="bottom"/>
          </w:tcPr>
          <w:p>
            <w:pPr>
              <w:jc w:val="center"/>
              <w:ind w:right="54"/>
              <w:spacing w:after="0" w:line="205" w:lineRule="exact"/>
              <w:rPr>
                <w:sz w:val="20"/>
                <w:szCs w:val="20"/>
                <w:color w:val="auto"/>
              </w:rPr>
            </w:pPr>
            <w:r>
              <w:rPr>
                <w:rFonts w:ascii="Calibri" w:cs="Calibri" w:eastAsia="Calibri" w:hAnsi="Calibri"/>
                <w:sz w:val="17"/>
                <w:szCs w:val="17"/>
                <w:color w:val="auto"/>
                <w:w w:val="92"/>
              </w:rPr>
              <w:t>5</w:t>
            </w:r>
          </w:p>
        </w:tc>
        <w:tc>
          <w:tcPr>
            <w:tcW w:w="600" w:type="dxa"/>
            <w:vAlign w:val="bottom"/>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4"/>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4"/>
              <w:spacing w:after="0" w:line="205" w:lineRule="exact"/>
              <w:rPr>
                <w:sz w:val="20"/>
                <w:szCs w:val="20"/>
                <w:color w:val="auto"/>
              </w:rPr>
            </w:pPr>
            <w:r>
              <w:rPr>
                <w:rFonts w:ascii="Calibri" w:cs="Calibri" w:eastAsia="Calibri" w:hAnsi="Calibri"/>
                <w:sz w:val="17"/>
                <w:szCs w:val="17"/>
                <w:color w:val="auto"/>
              </w:rPr>
              <w:t>0</w:t>
            </w:r>
          </w:p>
        </w:tc>
        <w:tc>
          <w:tcPr>
            <w:tcW w:w="24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62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10,600</w:t>
            </w:r>
          </w:p>
        </w:tc>
        <w:tc>
          <w:tcPr>
            <w:tcW w:w="1020" w:type="dxa"/>
            <w:vAlign w:val="bottom"/>
            <w:gridSpan w:val="2"/>
          </w:tcPr>
          <w:p>
            <w:pPr>
              <w:jc w:val="right"/>
              <w:ind w:right="290"/>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4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7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560" w:type="dxa"/>
            <w:vAlign w:val="bottom"/>
          </w:tcPr>
          <w:p>
            <w:pPr>
              <w:jc w:val="center"/>
              <w:ind w:left="14"/>
              <w:spacing w:after="0" w:line="205" w:lineRule="exact"/>
              <w:rPr>
                <w:sz w:val="20"/>
                <w:szCs w:val="20"/>
                <w:color w:val="auto"/>
              </w:rPr>
            </w:pPr>
            <w:r>
              <w:rPr>
                <w:rFonts w:ascii="Calibri" w:cs="Calibri" w:eastAsia="Calibri" w:hAnsi="Calibri"/>
                <w:sz w:val="17"/>
                <w:szCs w:val="17"/>
                <w:color w:val="auto"/>
              </w:rPr>
              <w:t>0</w:t>
            </w:r>
          </w:p>
        </w:tc>
        <w:tc>
          <w:tcPr>
            <w:tcW w:w="940" w:type="dxa"/>
            <w:vAlign w:val="bottom"/>
          </w:tcPr>
          <w:p>
            <w:pPr>
              <w:jc w:val="center"/>
              <w:ind w:left="5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189"/>
        </w:trPr>
        <w:tc>
          <w:tcPr>
            <w:tcW w:w="1740" w:type="dxa"/>
            <w:vAlign w:val="bottom"/>
            <w:shd w:val="clear" w:color="auto" w:fill="E5F1F8"/>
          </w:tcPr>
          <w:p>
            <w:pPr>
              <w:spacing w:after="0"/>
              <w:rPr>
                <w:sz w:val="16"/>
                <w:szCs w:val="16"/>
                <w:color w:val="auto"/>
              </w:rPr>
            </w:pPr>
          </w:p>
        </w:tc>
        <w:tc>
          <w:tcPr>
            <w:tcW w:w="700" w:type="dxa"/>
            <w:vAlign w:val="bottom"/>
            <w:shd w:val="clear" w:color="auto" w:fill="E5F1F8"/>
          </w:tcPr>
          <w:p>
            <w:pPr>
              <w:jc w:val="center"/>
              <w:ind w:right="34"/>
              <w:spacing w:after="0" w:line="189" w:lineRule="exact"/>
              <w:rPr>
                <w:sz w:val="20"/>
                <w:szCs w:val="20"/>
                <w:color w:val="auto"/>
              </w:rPr>
            </w:pPr>
            <w:r>
              <w:rPr>
                <w:rFonts w:ascii="Calibri" w:cs="Calibri" w:eastAsia="Calibri" w:hAnsi="Calibri"/>
                <w:sz w:val="17"/>
                <w:szCs w:val="17"/>
                <w:color w:val="auto"/>
              </w:rPr>
              <w:t>340185</w:t>
            </w:r>
          </w:p>
        </w:tc>
        <w:tc>
          <w:tcPr>
            <w:tcW w:w="6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40" w:type="dxa"/>
            <w:vAlign w:val="bottom"/>
            <w:shd w:val="clear" w:color="auto" w:fill="E5F1F8"/>
          </w:tcPr>
          <w:p>
            <w:pPr>
              <w:spacing w:after="0"/>
              <w:rPr>
                <w:sz w:val="16"/>
                <w:szCs w:val="16"/>
                <w:color w:val="auto"/>
              </w:rPr>
            </w:pPr>
          </w:p>
        </w:tc>
        <w:tc>
          <w:tcPr>
            <w:tcW w:w="620" w:type="dxa"/>
            <w:vAlign w:val="bottom"/>
            <w:shd w:val="clear" w:color="auto" w:fill="E5F1F8"/>
          </w:tcPr>
          <w:p>
            <w:pPr>
              <w:spacing w:after="0"/>
              <w:rPr>
                <w:sz w:val="16"/>
                <w:szCs w:val="16"/>
                <w:color w:val="auto"/>
              </w:rPr>
            </w:pPr>
          </w:p>
        </w:tc>
        <w:tc>
          <w:tcPr>
            <w:tcW w:w="10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560" w:type="dxa"/>
            <w:vAlign w:val="bottom"/>
            <w:shd w:val="clear" w:color="auto" w:fill="E5F1F8"/>
          </w:tcPr>
          <w:p>
            <w:pPr>
              <w:spacing w:after="0"/>
              <w:rPr>
                <w:sz w:val="16"/>
                <w:szCs w:val="16"/>
                <w:color w:val="auto"/>
              </w:rPr>
            </w:pPr>
          </w:p>
        </w:tc>
        <w:tc>
          <w:tcPr>
            <w:tcW w:w="94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Mill Creek Limestone</w:t>
            </w:r>
          </w:p>
        </w:tc>
        <w:tc>
          <w:tcPr>
            <w:tcW w:w="700" w:type="dxa"/>
            <w:vAlign w:val="bottom"/>
            <w:tcBorders>
              <w:bottom w:val="single" w:sz="8" w:color="E5F1F8"/>
            </w:tcBorders>
            <w:shd w:val="clear" w:color="auto" w:fill="E5F1F8"/>
          </w:tcPr>
          <w:p>
            <w:pPr>
              <w:jc w:val="center"/>
              <w:ind w:right="14"/>
              <w:spacing w:after="0" w:line="205" w:lineRule="exact"/>
              <w:rPr>
                <w:sz w:val="20"/>
                <w:szCs w:val="20"/>
                <w:color w:val="auto"/>
              </w:rPr>
            </w:pPr>
            <w:r>
              <w:rPr>
                <w:rFonts w:ascii="Calibri" w:cs="Calibri" w:eastAsia="Calibri" w:hAnsi="Calibri"/>
                <w:sz w:val="17"/>
                <w:szCs w:val="17"/>
                <w:color w:val="auto"/>
                <w:w w:val="92"/>
              </w:rPr>
              <w:t>9</w:t>
            </w:r>
          </w:p>
        </w:tc>
        <w:tc>
          <w:tcPr>
            <w:tcW w:w="620" w:type="dxa"/>
            <w:vAlign w:val="bottom"/>
            <w:tcBorders>
              <w:bottom w:val="single" w:sz="8" w:color="E5F1F8"/>
            </w:tcBorders>
            <w:shd w:val="clear" w:color="auto" w:fill="E5F1F8"/>
          </w:tcPr>
          <w:p>
            <w:pPr>
              <w:jc w:val="center"/>
              <w:ind w:right="54"/>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Borders>
              <w:bottom w:val="single" w:sz="8" w:color="E5F1F8"/>
            </w:tcBorders>
            <w:shd w:val="clear" w:color="auto" w:fill="E5F1F8"/>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4"/>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4"/>
              <w:spacing w:after="0" w:line="205" w:lineRule="exact"/>
              <w:rPr>
                <w:sz w:val="20"/>
                <w:szCs w:val="20"/>
                <w:color w:val="auto"/>
              </w:rPr>
            </w:pPr>
            <w:r>
              <w:rPr>
                <w:rFonts w:ascii="Calibri" w:cs="Calibri" w:eastAsia="Calibri" w:hAnsi="Calibri"/>
                <w:sz w:val="17"/>
                <w:szCs w:val="17"/>
                <w:color w:val="auto"/>
              </w:rPr>
              <w:t>0</w:t>
            </w:r>
          </w:p>
        </w:tc>
        <w:tc>
          <w:tcPr>
            <w:tcW w:w="24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62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1,032</w:t>
            </w:r>
          </w:p>
        </w:tc>
        <w:tc>
          <w:tcPr>
            <w:tcW w:w="1020" w:type="dxa"/>
            <w:vAlign w:val="bottom"/>
            <w:tcBorders>
              <w:bottom w:val="single" w:sz="8" w:color="E5F1F8"/>
            </w:tcBorders>
            <w:gridSpan w:val="2"/>
            <w:shd w:val="clear" w:color="auto" w:fill="E5F1F8"/>
          </w:tcPr>
          <w:p>
            <w:pPr>
              <w:jc w:val="right"/>
              <w:ind w:right="290"/>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4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7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560" w:type="dxa"/>
            <w:vAlign w:val="bottom"/>
            <w:tcBorders>
              <w:bottom w:val="single" w:sz="8" w:color="E5F1F8"/>
            </w:tcBorders>
            <w:shd w:val="clear" w:color="auto" w:fill="E5F1F8"/>
          </w:tcPr>
          <w:p>
            <w:pPr>
              <w:jc w:val="center"/>
              <w:ind w:left="14"/>
              <w:spacing w:after="0" w:line="205" w:lineRule="exact"/>
              <w:rPr>
                <w:sz w:val="20"/>
                <w:szCs w:val="20"/>
                <w:color w:val="auto"/>
              </w:rPr>
            </w:pPr>
            <w:r>
              <w:rPr>
                <w:rFonts w:ascii="Calibri" w:cs="Calibri" w:eastAsia="Calibri" w:hAnsi="Calibri"/>
                <w:sz w:val="17"/>
                <w:szCs w:val="17"/>
                <w:color w:val="auto"/>
              </w:rPr>
              <w:t>0</w:t>
            </w:r>
          </w:p>
        </w:tc>
        <w:tc>
          <w:tcPr>
            <w:tcW w:w="940" w:type="dxa"/>
            <w:vAlign w:val="bottom"/>
            <w:tcBorders>
              <w:bottom w:val="single" w:sz="8" w:color="E5F1F8"/>
            </w:tcBorders>
            <w:shd w:val="clear" w:color="auto" w:fill="E5F1F8"/>
          </w:tcPr>
          <w:p>
            <w:pPr>
              <w:jc w:val="center"/>
              <w:ind w:left="5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40" w:type="dxa"/>
            <w:vAlign w:val="bottom"/>
          </w:tcPr>
          <w:p>
            <w:pPr>
              <w:spacing w:after="0"/>
              <w:rPr>
                <w:sz w:val="16"/>
                <w:szCs w:val="16"/>
                <w:color w:val="auto"/>
              </w:rPr>
            </w:pPr>
          </w:p>
        </w:tc>
        <w:tc>
          <w:tcPr>
            <w:tcW w:w="700" w:type="dxa"/>
            <w:vAlign w:val="bottom"/>
          </w:tcPr>
          <w:p>
            <w:pPr>
              <w:jc w:val="center"/>
              <w:ind w:right="34"/>
              <w:spacing w:after="0" w:line="189" w:lineRule="exact"/>
              <w:rPr>
                <w:sz w:val="20"/>
                <w:szCs w:val="20"/>
                <w:color w:val="auto"/>
              </w:rPr>
            </w:pPr>
            <w:r>
              <w:rPr>
                <w:rFonts w:ascii="Calibri" w:cs="Calibri" w:eastAsia="Calibri" w:hAnsi="Calibri"/>
                <w:sz w:val="17"/>
                <w:szCs w:val="17"/>
                <w:color w:val="auto"/>
              </w:rPr>
              <w:t>340128</w:t>
            </w: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Mill Creek Quarry</w:t>
            </w:r>
          </w:p>
        </w:tc>
        <w:tc>
          <w:tcPr>
            <w:tcW w:w="700" w:type="dxa"/>
            <w:vAlign w:val="bottom"/>
          </w:tcPr>
          <w:p>
            <w:pPr>
              <w:jc w:val="center"/>
              <w:ind w:right="14"/>
              <w:spacing w:after="0" w:line="205" w:lineRule="exact"/>
              <w:rPr>
                <w:sz w:val="20"/>
                <w:szCs w:val="20"/>
                <w:color w:val="auto"/>
              </w:rPr>
            </w:pPr>
            <w:r>
              <w:rPr>
                <w:rFonts w:ascii="Calibri" w:cs="Calibri" w:eastAsia="Calibri" w:hAnsi="Calibri"/>
                <w:sz w:val="17"/>
                <w:szCs w:val="17"/>
                <w:color w:val="auto"/>
                <w:w w:val="92"/>
              </w:rPr>
              <w:t>5</w:t>
            </w:r>
          </w:p>
        </w:tc>
        <w:tc>
          <w:tcPr>
            <w:tcW w:w="620" w:type="dxa"/>
            <w:vAlign w:val="bottom"/>
          </w:tcPr>
          <w:p>
            <w:pPr>
              <w:jc w:val="center"/>
              <w:ind w:right="54"/>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4"/>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4"/>
              <w:spacing w:after="0" w:line="205" w:lineRule="exact"/>
              <w:rPr>
                <w:sz w:val="20"/>
                <w:szCs w:val="20"/>
                <w:color w:val="auto"/>
              </w:rPr>
            </w:pPr>
            <w:r>
              <w:rPr>
                <w:rFonts w:ascii="Calibri" w:cs="Calibri" w:eastAsia="Calibri" w:hAnsi="Calibri"/>
                <w:sz w:val="17"/>
                <w:szCs w:val="17"/>
                <w:color w:val="auto"/>
              </w:rPr>
              <w:t>0</w:t>
            </w:r>
          </w:p>
        </w:tc>
        <w:tc>
          <w:tcPr>
            <w:tcW w:w="24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62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133</w:t>
            </w:r>
          </w:p>
        </w:tc>
        <w:tc>
          <w:tcPr>
            <w:tcW w:w="1020" w:type="dxa"/>
            <w:vAlign w:val="bottom"/>
            <w:gridSpan w:val="2"/>
          </w:tcPr>
          <w:p>
            <w:pPr>
              <w:jc w:val="right"/>
              <w:ind w:right="290"/>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4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7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560" w:type="dxa"/>
            <w:vAlign w:val="bottom"/>
          </w:tcPr>
          <w:p>
            <w:pPr>
              <w:jc w:val="center"/>
              <w:ind w:left="14"/>
              <w:spacing w:after="0" w:line="205" w:lineRule="exact"/>
              <w:rPr>
                <w:sz w:val="20"/>
                <w:szCs w:val="20"/>
                <w:color w:val="auto"/>
              </w:rPr>
            </w:pPr>
            <w:r>
              <w:rPr>
                <w:rFonts w:ascii="Calibri" w:cs="Calibri" w:eastAsia="Calibri" w:hAnsi="Calibri"/>
                <w:sz w:val="17"/>
                <w:szCs w:val="17"/>
                <w:color w:val="auto"/>
              </w:rPr>
              <w:t>0</w:t>
            </w:r>
          </w:p>
        </w:tc>
        <w:tc>
          <w:tcPr>
            <w:tcW w:w="940" w:type="dxa"/>
            <w:vAlign w:val="bottom"/>
          </w:tcPr>
          <w:p>
            <w:pPr>
              <w:jc w:val="center"/>
              <w:ind w:left="5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189"/>
        </w:trPr>
        <w:tc>
          <w:tcPr>
            <w:tcW w:w="1740" w:type="dxa"/>
            <w:vAlign w:val="bottom"/>
            <w:shd w:val="clear" w:color="auto" w:fill="E5F1F8"/>
          </w:tcPr>
          <w:p>
            <w:pPr>
              <w:spacing w:after="0"/>
              <w:rPr>
                <w:sz w:val="16"/>
                <w:szCs w:val="16"/>
                <w:color w:val="auto"/>
              </w:rPr>
            </w:pPr>
          </w:p>
        </w:tc>
        <w:tc>
          <w:tcPr>
            <w:tcW w:w="700" w:type="dxa"/>
            <w:vAlign w:val="bottom"/>
            <w:shd w:val="clear" w:color="auto" w:fill="E5F1F8"/>
          </w:tcPr>
          <w:p>
            <w:pPr>
              <w:jc w:val="center"/>
              <w:ind w:right="34"/>
              <w:spacing w:after="0" w:line="189" w:lineRule="exact"/>
              <w:rPr>
                <w:sz w:val="20"/>
                <w:szCs w:val="20"/>
                <w:color w:val="auto"/>
              </w:rPr>
            </w:pPr>
            <w:r>
              <w:rPr>
                <w:rFonts w:ascii="Calibri" w:cs="Calibri" w:eastAsia="Calibri" w:hAnsi="Calibri"/>
                <w:sz w:val="17"/>
                <w:szCs w:val="17"/>
                <w:color w:val="auto"/>
              </w:rPr>
              <w:t>410438</w:t>
            </w:r>
          </w:p>
        </w:tc>
        <w:tc>
          <w:tcPr>
            <w:tcW w:w="6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40" w:type="dxa"/>
            <w:vAlign w:val="bottom"/>
            <w:shd w:val="clear" w:color="auto" w:fill="E5F1F8"/>
          </w:tcPr>
          <w:p>
            <w:pPr>
              <w:spacing w:after="0"/>
              <w:rPr>
                <w:sz w:val="16"/>
                <w:szCs w:val="16"/>
                <w:color w:val="auto"/>
              </w:rPr>
            </w:pPr>
          </w:p>
        </w:tc>
        <w:tc>
          <w:tcPr>
            <w:tcW w:w="620" w:type="dxa"/>
            <w:vAlign w:val="bottom"/>
            <w:shd w:val="clear" w:color="auto" w:fill="E5F1F8"/>
          </w:tcPr>
          <w:p>
            <w:pPr>
              <w:spacing w:after="0"/>
              <w:rPr>
                <w:sz w:val="16"/>
                <w:szCs w:val="16"/>
                <w:color w:val="auto"/>
              </w:rPr>
            </w:pPr>
          </w:p>
        </w:tc>
        <w:tc>
          <w:tcPr>
            <w:tcW w:w="10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560" w:type="dxa"/>
            <w:vAlign w:val="bottom"/>
            <w:shd w:val="clear" w:color="auto" w:fill="E5F1F8"/>
          </w:tcPr>
          <w:p>
            <w:pPr>
              <w:spacing w:after="0"/>
              <w:rPr>
                <w:sz w:val="16"/>
                <w:szCs w:val="16"/>
                <w:color w:val="auto"/>
              </w:rPr>
            </w:pPr>
          </w:p>
        </w:tc>
        <w:tc>
          <w:tcPr>
            <w:tcW w:w="94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North Austn Quarry</w:t>
            </w:r>
          </w:p>
        </w:tc>
        <w:tc>
          <w:tcPr>
            <w:tcW w:w="700" w:type="dxa"/>
            <w:vAlign w:val="bottom"/>
            <w:tcBorders>
              <w:bottom w:val="single" w:sz="8" w:color="E5F1F8"/>
            </w:tcBorders>
            <w:shd w:val="clear" w:color="auto" w:fill="E5F1F8"/>
          </w:tcPr>
          <w:p>
            <w:pPr>
              <w:jc w:val="center"/>
              <w:ind w:right="14"/>
              <w:spacing w:after="0" w:line="205" w:lineRule="exact"/>
              <w:rPr>
                <w:sz w:val="20"/>
                <w:szCs w:val="20"/>
                <w:color w:val="auto"/>
              </w:rPr>
            </w:pPr>
            <w:r>
              <w:rPr>
                <w:rFonts w:ascii="Calibri" w:cs="Calibri" w:eastAsia="Calibri" w:hAnsi="Calibri"/>
                <w:sz w:val="17"/>
                <w:szCs w:val="17"/>
                <w:color w:val="auto"/>
                <w:w w:val="92"/>
              </w:rPr>
              <w:t>0</w:t>
            </w:r>
          </w:p>
        </w:tc>
        <w:tc>
          <w:tcPr>
            <w:tcW w:w="620" w:type="dxa"/>
            <w:vAlign w:val="bottom"/>
            <w:tcBorders>
              <w:bottom w:val="single" w:sz="8" w:color="E5F1F8"/>
            </w:tcBorders>
            <w:shd w:val="clear" w:color="auto" w:fill="E5F1F8"/>
          </w:tcPr>
          <w:p>
            <w:pPr>
              <w:jc w:val="center"/>
              <w:ind w:right="54"/>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Borders>
              <w:bottom w:val="single" w:sz="8" w:color="E5F1F8"/>
            </w:tcBorders>
            <w:shd w:val="clear" w:color="auto" w:fill="E5F1F8"/>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4"/>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4"/>
              <w:spacing w:after="0" w:line="205" w:lineRule="exact"/>
              <w:rPr>
                <w:sz w:val="20"/>
                <w:szCs w:val="20"/>
                <w:color w:val="auto"/>
              </w:rPr>
            </w:pPr>
            <w:r>
              <w:rPr>
                <w:rFonts w:ascii="Calibri" w:cs="Calibri" w:eastAsia="Calibri" w:hAnsi="Calibri"/>
                <w:sz w:val="17"/>
                <w:szCs w:val="17"/>
                <w:color w:val="auto"/>
              </w:rPr>
              <w:t>0</w:t>
            </w:r>
          </w:p>
        </w:tc>
        <w:tc>
          <w:tcPr>
            <w:tcW w:w="24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62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399</w:t>
            </w:r>
          </w:p>
        </w:tc>
        <w:tc>
          <w:tcPr>
            <w:tcW w:w="1020" w:type="dxa"/>
            <w:vAlign w:val="bottom"/>
            <w:tcBorders>
              <w:bottom w:val="single" w:sz="8" w:color="E5F1F8"/>
            </w:tcBorders>
            <w:gridSpan w:val="2"/>
            <w:shd w:val="clear" w:color="auto" w:fill="E5F1F8"/>
          </w:tcPr>
          <w:p>
            <w:pPr>
              <w:jc w:val="right"/>
              <w:ind w:right="290"/>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4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7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560" w:type="dxa"/>
            <w:vAlign w:val="bottom"/>
            <w:tcBorders>
              <w:bottom w:val="single" w:sz="8" w:color="E5F1F8"/>
            </w:tcBorders>
            <w:shd w:val="clear" w:color="auto" w:fill="E5F1F8"/>
          </w:tcPr>
          <w:p>
            <w:pPr>
              <w:jc w:val="center"/>
              <w:ind w:left="14"/>
              <w:spacing w:after="0" w:line="205" w:lineRule="exact"/>
              <w:rPr>
                <w:sz w:val="20"/>
                <w:szCs w:val="20"/>
                <w:color w:val="auto"/>
              </w:rPr>
            </w:pPr>
            <w:r>
              <w:rPr>
                <w:rFonts w:ascii="Calibri" w:cs="Calibri" w:eastAsia="Calibri" w:hAnsi="Calibri"/>
                <w:sz w:val="17"/>
                <w:szCs w:val="17"/>
                <w:color w:val="auto"/>
              </w:rPr>
              <w:t>0</w:t>
            </w:r>
          </w:p>
        </w:tc>
        <w:tc>
          <w:tcPr>
            <w:tcW w:w="940" w:type="dxa"/>
            <w:vAlign w:val="bottom"/>
            <w:tcBorders>
              <w:bottom w:val="single" w:sz="8" w:color="E5F1F8"/>
            </w:tcBorders>
            <w:shd w:val="clear" w:color="auto" w:fill="E5F1F8"/>
          </w:tcPr>
          <w:p>
            <w:pPr>
              <w:jc w:val="center"/>
              <w:ind w:left="5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40" w:type="dxa"/>
            <w:vAlign w:val="bottom"/>
          </w:tcPr>
          <w:p>
            <w:pPr>
              <w:spacing w:after="0"/>
              <w:rPr>
                <w:sz w:val="16"/>
                <w:szCs w:val="16"/>
                <w:color w:val="auto"/>
              </w:rPr>
            </w:pPr>
          </w:p>
        </w:tc>
        <w:tc>
          <w:tcPr>
            <w:tcW w:w="700" w:type="dxa"/>
            <w:vAlign w:val="bottom"/>
          </w:tcPr>
          <w:p>
            <w:pPr>
              <w:jc w:val="center"/>
              <w:ind w:right="34"/>
              <w:spacing w:after="0" w:line="189" w:lineRule="exact"/>
              <w:rPr>
                <w:sz w:val="20"/>
                <w:szCs w:val="20"/>
                <w:color w:val="auto"/>
              </w:rPr>
            </w:pPr>
            <w:r>
              <w:rPr>
                <w:rFonts w:ascii="Calibri" w:cs="Calibri" w:eastAsia="Calibri" w:hAnsi="Calibri"/>
                <w:sz w:val="17"/>
                <w:szCs w:val="17"/>
                <w:color w:val="auto"/>
              </w:rPr>
              <w:t>160141</w:t>
            </w: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Perryville Aggregates</w:t>
            </w:r>
          </w:p>
        </w:tc>
        <w:tc>
          <w:tcPr>
            <w:tcW w:w="700" w:type="dxa"/>
            <w:vAlign w:val="bottom"/>
          </w:tcPr>
          <w:p>
            <w:pPr>
              <w:jc w:val="center"/>
              <w:ind w:right="14"/>
              <w:spacing w:after="0" w:line="205" w:lineRule="exact"/>
              <w:rPr>
                <w:sz w:val="20"/>
                <w:szCs w:val="20"/>
                <w:color w:val="auto"/>
              </w:rPr>
            </w:pPr>
            <w:r>
              <w:rPr>
                <w:rFonts w:ascii="Calibri" w:cs="Calibri" w:eastAsia="Calibri" w:hAnsi="Calibri"/>
                <w:sz w:val="17"/>
                <w:szCs w:val="17"/>
                <w:color w:val="auto"/>
                <w:w w:val="92"/>
              </w:rPr>
              <w:t>7</w:t>
            </w:r>
          </w:p>
        </w:tc>
        <w:tc>
          <w:tcPr>
            <w:tcW w:w="620" w:type="dxa"/>
            <w:vAlign w:val="bottom"/>
          </w:tcPr>
          <w:p>
            <w:pPr>
              <w:jc w:val="center"/>
              <w:ind w:right="54"/>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4"/>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4"/>
              <w:spacing w:after="0" w:line="205" w:lineRule="exact"/>
              <w:rPr>
                <w:sz w:val="20"/>
                <w:szCs w:val="20"/>
                <w:color w:val="auto"/>
              </w:rPr>
            </w:pPr>
            <w:r>
              <w:rPr>
                <w:rFonts w:ascii="Calibri" w:cs="Calibri" w:eastAsia="Calibri" w:hAnsi="Calibri"/>
                <w:sz w:val="17"/>
                <w:szCs w:val="17"/>
                <w:color w:val="auto"/>
              </w:rPr>
              <w:t>0</w:t>
            </w:r>
          </w:p>
        </w:tc>
        <w:tc>
          <w:tcPr>
            <w:tcW w:w="24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62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1020" w:type="dxa"/>
            <w:vAlign w:val="bottom"/>
            <w:gridSpan w:val="2"/>
          </w:tcPr>
          <w:p>
            <w:pPr>
              <w:jc w:val="right"/>
              <w:ind w:right="290"/>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4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7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560" w:type="dxa"/>
            <w:vAlign w:val="bottom"/>
          </w:tcPr>
          <w:p>
            <w:pPr>
              <w:jc w:val="center"/>
              <w:ind w:left="14"/>
              <w:spacing w:after="0" w:line="205" w:lineRule="exact"/>
              <w:rPr>
                <w:sz w:val="20"/>
                <w:szCs w:val="20"/>
                <w:color w:val="auto"/>
              </w:rPr>
            </w:pPr>
            <w:r>
              <w:rPr>
                <w:rFonts w:ascii="Calibri" w:cs="Calibri" w:eastAsia="Calibri" w:hAnsi="Calibri"/>
                <w:sz w:val="17"/>
                <w:szCs w:val="17"/>
                <w:color w:val="auto"/>
              </w:rPr>
              <w:t>0</w:t>
            </w:r>
          </w:p>
        </w:tc>
        <w:tc>
          <w:tcPr>
            <w:tcW w:w="940" w:type="dxa"/>
            <w:vAlign w:val="bottom"/>
          </w:tcPr>
          <w:p>
            <w:pPr>
              <w:jc w:val="center"/>
              <w:ind w:left="5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189"/>
        </w:trPr>
        <w:tc>
          <w:tcPr>
            <w:tcW w:w="1740" w:type="dxa"/>
            <w:vAlign w:val="bottom"/>
            <w:shd w:val="clear" w:color="auto" w:fill="E5F1F8"/>
          </w:tcPr>
          <w:p>
            <w:pPr>
              <w:spacing w:after="0"/>
              <w:rPr>
                <w:sz w:val="16"/>
                <w:szCs w:val="16"/>
                <w:color w:val="auto"/>
              </w:rPr>
            </w:pPr>
          </w:p>
        </w:tc>
        <w:tc>
          <w:tcPr>
            <w:tcW w:w="700" w:type="dxa"/>
            <w:vAlign w:val="bottom"/>
            <w:shd w:val="clear" w:color="auto" w:fill="E5F1F8"/>
          </w:tcPr>
          <w:p>
            <w:pPr>
              <w:jc w:val="center"/>
              <w:ind w:right="34"/>
              <w:spacing w:after="0" w:line="189" w:lineRule="exact"/>
              <w:rPr>
                <w:sz w:val="20"/>
                <w:szCs w:val="20"/>
                <w:color w:val="auto"/>
              </w:rPr>
            </w:pPr>
            <w:r>
              <w:rPr>
                <w:rFonts w:ascii="Calibri" w:cs="Calibri" w:eastAsia="Calibri" w:hAnsi="Calibri"/>
                <w:sz w:val="17"/>
                <w:szCs w:val="17"/>
                <w:color w:val="auto"/>
              </w:rPr>
              <w:t>410134</w:t>
            </w:r>
          </w:p>
        </w:tc>
        <w:tc>
          <w:tcPr>
            <w:tcW w:w="6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40" w:type="dxa"/>
            <w:vAlign w:val="bottom"/>
            <w:shd w:val="clear" w:color="auto" w:fill="E5F1F8"/>
          </w:tcPr>
          <w:p>
            <w:pPr>
              <w:spacing w:after="0"/>
              <w:rPr>
                <w:sz w:val="16"/>
                <w:szCs w:val="16"/>
                <w:color w:val="auto"/>
              </w:rPr>
            </w:pPr>
          </w:p>
        </w:tc>
        <w:tc>
          <w:tcPr>
            <w:tcW w:w="620" w:type="dxa"/>
            <w:vAlign w:val="bottom"/>
            <w:shd w:val="clear" w:color="auto" w:fill="E5F1F8"/>
          </w:tcPr>
          <w:p>
            <w:pPr>
              <w:spacing w:after="0"/>
              <w:rPr>
                <w:sz w:val="16"/>
                <w:szCs w:val="16"/>
                <w:color w:val="auto"/>
              </w:rPr>
            </w:pPr>
          </w:p>
        </w:tc>
        <w:tc>
          <w:tcPr>
            <w:tcW w:w="10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560" w:type="dxa"/>
            <w:vAlign w:val="bottom"/>
            <w:shd w:val="clear" w:color="auto" w:fill="E5F1F8"/>
          </w:tcPr>
          <w:p>
            <w:pPr>
              <w:spacing w:after="0"/>
              <w:rPr>
                <w:sz w:val="16"/>
                <w:szCs w:val="16"/>
                <w:color w:val="auto"/>
              </w:rPr>
            </w:pPr>
          </w:p>
        </w:tc>
        <w:tc>
          <w:tcPr>
            <w:tcW w:w="94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Poteet Sand</w:t>
            </w:r>
          </w:p>
        </w:tc>
        <w:tc>
          <w:tcPr>
            <w:tcW w:w="700" w:type="dxa"/>
            <w:vAlign w:val="bottom"/>
            <w:tcBorders>
              <w:bottom w:val="single" w:sz="8" w:color="E5F1F8"/>
            </w:tcBorders>
            <w:shd w:val="clear" w:color="auto" w:fill="E5F1F8"/>
          </w:tcPr>
          <w:p>
            <w:pPr>
              <w:jc w:val="center"/>
              <w:ind w:right="14"/>
              <w:spacing w:after="0" w:line="205" w:lineRule="exact"/>
              <w:rPr>
                <w:sz w:val="20"/>
                <w:szCs w:val="20"/>
                <w:color w:val="auto"/>
              </w:rPr>
            </w:pPr>
            <w:r>
              <w:rPr>
                <w:rFonts w:ascii="Calibri" w:cs="Calibri" w:eastAsia="Calibri" w:hAnsi="Calibri"/>
                <w:sz w:val="17"/>
                <w:szCs w:val="17"/>
                <w:color w:val="auto"/>
                <w:w w:val="92"/>
              </w:rPr>
              <w:t>2</w:t>
            </w:r>
          </w:p>
        </w:tc>
        <w:tc>
          <w:tcPr>
            <w:tcW w:w="620" w:type="dxa"/>
            <w:vAlign w:val="bottom"/>
            <w:tcBorders>
              <w:bottom w:val="single" w:sz="8" w:color="E5F1F8"/>
            </w:tcBorders>
            <w:shd w:val="clear" w:color="auto" w:fill="E5F1F8"/>
          </w:tcPr>
          <w:p>
            <w:pPr>
              <w:jc w:val="center"/>
              <w:ind w:right="54"/>
              <w:spacing w:after="0" w:line="205" w:lineRule="exact"/>
              <w:rPr>
                <w:sz w:val="20"/>
                <w:szCs w:val="20"/>
                <w:color w:val="auto"/>
              </w:rPr>
            </w:pPr>
            <w:r>
              <w:rPr>
                <w:rFonts w:ascii="Calibri" w:cs="Calibri" w:eastAsia="Calibri" w:hAnsi="Calibri"/>
                <w:sz w:val="17"/>
                <w:szCs w:val="17"/>
                <w:color w:val="auto"/>
                <w:w w:val="92"/>
              </w:rPr>
              <w:t>1</w:t>
            </w:r>
          </w:p>
        </w:tc>
        <w:tc>
          <w:tcPr>
            <w:tcW w:w="600" w:type="dxa"/>
            <w:vAlign w:val="bottom"/>
            <w:tcBorders>
              <w:bottom w:val="single" w:sz="8" w:color="E5F1F8"/>
            </w:tcBorders>
            <w:shd w:val="clear" w:color="auto" w:fill="E5F1F8"/>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4"/>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4"/>
              <w:spacing w:after="0" w:line="205" w:lineRule="exact"/>
              <w:rPr>
                <w:sz w:val="20"/>
                <w:szCs w:val="20"/>
                <w:color w:val="auto"/>
              </w:rPr>
            </w:pPr>
            <w:r>
              <w:rPr>
                <w:rFonts w:ascii="Calibri" w:cs="Calibri" w:eastAsia="Calibri" w:hAnsi="Calibri"/>
                <w:sz w:val="17"/>
                <w:szCs w:val="17"/>
                <w:color w:val="auto"/>
              </w:rPr>
              <w:t>0</w:t>
            </w:r>
          </w:p>
        </w:tc>
        <w:tc>
          <w:tcPr>
            <w:tcW w:w="24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62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770</w:t>
            </w:r>
          </w:p>
        </w:tc>
        <w:tc>
          <w:tcPr>
            <w:tcW w:w="1020" w:type="dxa"/>
            <w:vAlign w:val="bottom"/>
            <w:tcBorders>
              <w:bottom w:val="single" w:sz="8" w:color="E5F1F8"/>
            </w:tcBorders>
            <w:gridSpan w:val="2"/>
            <w:shd w:val="clear" w:color="auto" w:fill="E5F1F8"/>
          </w:tcPr>
          <w:p>
            <w:pPr>
              <w:jc w:val="right"/>
              <w:ind w:right="290"/>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4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7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560" w:type="dxa"/>
            <w:vAlign w:val="bottom"/>
            <w:tcBorders>
              <w:bottom w:val="single" w:sz="8" w:color="E5F1F8"/>
            </w:tcBorders>
            <w:shd w:val="clear" w:color="auto" w:fill="E5F1F8"/>
          </w:tcPr>
          <w:p>
            <w:pPr>
              <w:jc w:val="center"/>
              <w:ind w:left="14"/>
              <w:spacing w:after="0" w:line="205" w:lineRule="exact"/>
              <w:rPr>
                <w:sz w:val="20"/>
                <w:szCs w:val="20"/>
                <w:color w:val="auto"/>
              </w:rPr>
            </w:pPr>
            <w:r>
              <w:rPr>
                <w:rFonts w:ascii="Calibri" w:cs="Calibri" w:eastAsia="Calibri" w:hAnsi="Calibri"/>
                <w:sz w:val="17"/>
                <w:szCs w:val="17"/>
                <w:color w:val="auto"/>
              </w:rPr>
              <w:t>0</w:t>
            </w:r>
          </w:p>
        </w:tc>
        <w:tc>
          <w:tcPr>
            <w:tcW w:w="940" w:type="dxa"/>
            <w:vAlign w:val="bottom"/>
            <w:tcBorders>
              <w:bottom w:val="single" w:sz="8" w:color="E5F1F8"/>
            </w:tcBorders>
            <w:shd w:val="clear" w:color="auto" w:fill="E5F1F8"/>
          </w:tcPr>
          <w:p>
            <w:pPr>
              <w:jc w:val="center"/>
              <w:ind w:left="5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40" w:type="dxa"/>
            <w:vAlign w:val="bottom"/>
          </w:tcPr>
          <w:p>
            <w:pPr>
              <w:spacing w:after="0"/>
              <w:rPr>
                <w:sz w:val="16"/>
                <w:szCs w:val="16"/>
                <w:color w:val="auto"/>
              </w:rPr>
            </w:pPr>
          </w:p>
        </w:tc>
        <w:tc>
          <w:tcPr>
            <w:tcW w:w="700" w:type="dxa"/>
            <w:vAlign w:val="bottom"/>
          </w:tcPr>
          <w:p>
            <w:pPr>
              <w:jc w:val="center"/>
              <w:ind w:right="34"/>
              <w:spacing w:after="0" w:line="189" w:lineRule="exact"/>
              <w:rPr>
                <w:sz w:val="20"/>
                <w:szCs w:val="20"/>
                <w:color w:val="auto"/>
              </w:rPr>
            </w:pPr>
            <w:r>
              <w:rPr>
                <w:rFonts w:ascii="Calibri" w:cs="Calibri" w:eastAsia="Calibri" w:hAnsi="Calibri"/>
                <w:sz w:val="17"/>
                <w:szCs w:val="17"/>
                <w:color w:val="auto"/>
              </w:rPr>
              <w:t>040003</w:t>
            </w: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Redding Cement</w:t>
            </w:r>
          </w:p>
        </w:tc>
        <w:tc>
          <w:tcPr>
            <w:tcW w:w="700" w:type="dxa"/>
            <w:vAlign w:val="bottom"/>
          </w:tcPr>
          <w:p>
            <w:pPr>
              <w:jc w:val="center"/>
              <w:ind w:right="14"/>
              <w:spacing w:after="0" w:line="205" w:lineRule="exact"/>
              <w:rPr>
                <w:sz w:val="20"/>
                <w:szCs w:val="20"/>
                <w:color w:val="auto"/>
              </w:rPr>
            </w:pPr>
            <w:r>
              <w:rPr>
                <w:rFonts w:ascii="Calibri" w:cs="Calibri" w:eastAsia="Calibri" w:hAnsi="Calibri"/>
                <w:sz w:val="17"/>
                <w:szCs w:val="17"/>
                <w:color w:val="auto"/>
                <w:w w:val="92"/>
              </w:rPr>
              <w:t>4</w:t>
            </w:r>
          </w:p>
        </w:tc>
        <w:tc>
          <w:tcPr>
            <w:tcW w:w="620" w:type="dxa"/>
            <w:vAlign w:val="bottom"/>
          </w:tcPr>
          <w:p>
            <w:pPr>
              <w:jc w:val="center"/>
              <w:ind w:right="54"/>
              <w:spacing w:after="0" w:line="205" w:lineRule="exact"/>
              <w:rPr>
                <w:sz w:val="20"/>
                <w:szCs w:val="20"/>
                <w:color w:val="auto"/>
              </w:rPr>
            </w:pPr>
            <w:r>
              <w:rPr>
                <w:rFonts w:ascii="Calibri" w:cs="Calibri" w:eastAsia="Calibri" w:hAnsi="Calibri"/>
                <w:sz w:val="17"/>
                <w:szCs w:val="17"/>
                <w:color w:val="auto"/>
                <w:w w:val="92"/>
              </w:rPr>
              <w:t>1</w:t>
            </w:r>
          </w:p>
        </w:tc>
        <w:tc>
          <w:tcPr>
            <w:tcW w:w="600" w:type="dxa"/>
            <w:vAlign w:val="bottom"/>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4"/>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4"/>
              <w:spacing w:after="0" w:line="205" w:lineRule="exact"/>
              <w:rPr>
                <w:sz w:val="20"/>
                <w:szCs w:val="20"/>
                <w:color w:val="auto"/>
              </w:rPr>
            </w:pPr>
            <w:r>
              <w:rPr>
                <w:rFonts w:ascii="Calibri" w:cs="Calibri" w:eastAsia="Calibri" w:hAnsi="Calibri"/>
                <w:sz w:val="17"/>
                <w:szCs w:val="17"/>
                <w:color w:val="auto"/>
              </w:rPr>
              <w:t>0</w:t>
            </w:r>
          </w:p>
        </w:tc>
        <w:tc>
          <w:tcPr>
            <w:tcW w:w="24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62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13,765</w:t>
            </w:r>
          </w:p>
        </w:tc>
        <w:tc>
          <w:tcPr>
            <w:tcW w:w="1020" w:type="dxa"/>
            <w:vAlign w:val="bottom"/>
            <w:gridSpan w:val="2"/>
          </w:tcPr>
          <w:p>
            <w:pPr>
              <w:jc w:val="right"/>
              <w:ind w:right="290"/>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4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7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560" w:type="dxa"/>
            <w:vAlign w:val="bottom"/>
          </w:tcPr>
          <w:p>
            <w:pPr>
              <w:jc w:val="center"/>
              <w:ind w:left="14"/>
              <w:spacing w:after="0" w:line="205" w:lineRule="exact"/>
              <w:rPr>
                <w:sz w:val="20"/>
                <w:szCs w:val="20"/>
                <w:color w:val="auto"/>
              </w:rPr>
            </w:pPr>
            <w:r>
              <w:rPr>
                <w:rFonts w:ascii="Calibri" w:cs="Calibri" w:eastAsia="Calibri" w:hAnsi="Calibri"/>
                <w:sz w:val="17"/>
                <w:szCs w:val="17"/>
                <w:color w:val="auto"/>
              </w:rPr>
              <w:t>0</w:t>
            </w:r>
          </w:p>
        </w:tc>
        <w:tc>
          <w:tcPr>
            <w:tcW w:w="940" w:type="dxa"/>
            <w:vAlign w:val="bottom"/>
          </w:tcPr>
          <w:p>
            <w:pPr>
              <w:jc w:val="center"/>
              <w:ind w:left="5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189"/>
        </w:trPr>
        <w:tc>
          <w:tcPr>
            <w:tcW w:w="1740" w:type="dxa"/>
            <w:vAlign w:val="bottom"/>
            <w:shd w:val="clear" w:color="auto" w:fill="E5F1F8"/>
          </w:tcPr>
          <w:p>
            <w:pPr>
              <w:spacing w:after="0"/>
              <w:rPr>
                <w:sz w:val="16"/>
                <w:szCs w:val="16"/>
                <w:color w:val="auto"/>
              </w:rPr>
            </w:pPr>
          </w:p>
        </w:tc>
        <w:tc>
          <w:tcPr>
            <w:tcW w:w="700" w:type="dxa"/>
            <w:vAlign w:val="bottom"/>
            <w:shd w:val="clear" w:color="auto" w:fill="E5F1F8"/>
          </w:tcPr>
          <w:p>
            <w:pPr>
              <w:jc w:val="center"/>
              <w:ind w:right="34"/>
              <w:spacing w:after="0" w:line="189" w:lineRule="exact"/>
              <w:rPr>
                <w:sz w:val="20"/>
                <w:szCs w:val="20"/>
                <w:color w:val="auto"/>
              </w:rPr>
            </w:pPr>
            <w:r>
              <w:rPr>
                <w:rFonts w:ascii="Calibri" w:cs="Calibri" w:eastAsia="Calibri" w:hAnsi="Calibri"/>
                <w:sz w:val="17"/>
                <w:szCs w:val="17"/>
                <w:color w:val="auto"/>
              </w:rPr>
              <w:t>410359</w:t>
            </w:r>
          </w:p>
        </w:tc>
        <w:tc>
          <w:tcPr>
            <w:tcW w:w="6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40" w:type="dxa"/>
            <w:vAlign w:val="bottom"/>
            <w:shd w:val="clear" w:color="auto" w:fill="E5F1F8"/>
          </w:tcPr>
          <w:p>
            <w:pPr>
              <w:spacing w:after="0"/>
              <w:rPr>
                <w:sz w:val="16"/>
                <w:szCs w:val="16"/>
                <w:color w:val="auto"/>
              </w:rPr>
            </w:pPr>
          </w:p>
        </w:tc>
        <w:tc>
          <w:tcPr>
            <w:tcW w:w="620" w:type="dxa"/>
            <w:vAlign w:val="bottom"/>
            <w:shd w:val="clear" w:color="auto" w:fill="E5F1F8"/>
          </w:tcPr>
          <w:p>
            <w:pPr>
              <w:spacing w:after="0"/>
              <w:rPr>
                <w:sz w:val="16"/>
                <w:szCs w:val="16"/>
                <w:color w:val="auto"/>
              </w:rPr>
            </w:pPr>
          </w:p>
        </w:tc>
        <w:tc>
          <w:tcPr>
            <w:tcW w:w="10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560" w:type="dxa"/>
            <w:vAlign w:val="bottom"/>
            <w:shd w:val="clear" w:color="auto" w:fill="E5F1F8"/>
          </w:tcPr>
          <w:p>
            <w:pPr>
              <w:spacing w:after="0"/>
              <w:rPr>
                <w:sz w:val="16"/>
                <w:szCs w:val="16"/>
                <w:color w:val="auto"/>
              </w:rPr>
            </w:pPr>
          </w:p>
        </w:tc>
        <w:tc>
          <w:tcPr>
            <w:tcW w:w="94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Rio Medina</w:t>
            </w:r>
          </w:p>
        </w:tc>
        <w:tc>
          <w:tcPr>
            <w:tcW w:w="700" w:type="dxa"/>
            <w:vAlign w:val="bottom"/>
            <w:tcBorders>
              <w:bottom w:val="single" w:sz="8" w:color="E5F1F8"/>
            </w:tcBorders>
            <w:shd w:val="clear" w:color="auto" w:fill="E5F1F8"/>
          </w:tcPr>
          <w:p>
            <w:pPr>
              <w:jc w:val="center"/>
              <w:ind w:right="14"/>
              <w:spacing w:after="0" w:line="205" w:lineRule="exact"/>
              <w:rPr>
                <w:sz w:val="20"/>
                <w:szCs w:val="20"/>
                <w:color w:val="auto"/>
              </w:rPr>
            </w:pPr>
            <w:r>
              <w:rPr>
                <w:rFonts w:ascii="Calibri" w:cs="Calibri" w:eastAsia="Calibri" w:hAnsi="Calibri"/>
                <w:sz w:val="17"/>
                <w:szCs w:val="17"/>
                <w:color w:val="auto"/>
                <w:w w:val="92"/>
              </w:rPr>
              <w:t>4</w:t>
            </w:r>
          </w:p>
        </w:tc>
        <w:tc>
          <w:tcPr>
            <w:tcW w:w="620" w:type="dxa"/>
            <w:vAlign w:val="bottom"/>
            <w:tcBorders>
              <w:bottom w:val="single" w:sz="8" w:color="E5F1F8"/>
            </w:tcBorders>
            <w:shd w:val="clear" w:color="auto" w:fill="E5F1F8"/>
          </w:tcPr>
          <w:p>
            <w:pPr>
              <w:jc w:val="center"/>
              <w:ind w:right="54"/>
              <w:spacing w:after="0" w:line="205" w:lineRule="exact"/>
              <w:rPr>
                <w:sz w:val="20"/>
                <w:szCs w:val="20"/>
                <w:color w:val="auto"/>
              </w:rPr>
            </w:pPr>
            <w:r>
              <w:rPr>
                <w:rFonts w:ascii="Calibri" w:cs="Calibri" w:eastAsia="Calibri" w:hAnsi="Calibri"/>
                <w:sz w:val="17"/>
                <w:szCs w:val="17"/>
                <w:color w:val="auto"/>
                <w:w w:val="92"/>
              </w:rPr>
              <w:t>1</w:t>
            </w:r>
          </w:p>
        </w:tc>
        <w:tc>
          <w:tcPr>
            <w:tcW w:w="600" w:type="dxa"/>
            <w:vAlign w:val="bottom"/>
            <w:tcBorders>
              <w:bottom w:val="single" w:sz="8" w:color="E5F1F8"/>
            </w:tcBorders>
            <w:shd w:val="clear" w:color="auto" w:fill="E5F1F8"/>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4"/>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4"/>
              <w:spacing w:after="0" w:line="205" w:lineRule="exact"/>
              <w:rPr>
                <w:sz w:val="20"/>
                <w:szCs w:val="20"/>
                <w:color w:val="auto"/>
              </w:rPr>
            </w:pPr>
            <w:r>
              <w:rPr>
                <w:rFonts w:ascii="Calibri" w:cs="Calibri" w:eastAsia="Calibri" w:hAnsi="Calibri"/>
                <w:sz w:val="17"/>
                <w:szCs w:val="17"/>
                <w:color w:val="auto"/>
              </w:rPr>
              <w:t>0</w:t>
            </w:r>
          </w:p>
        </w:tc>
        <w:tc>
          <w:tcPr>
            <w:tcW w:w="24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62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429</w:t>
            </w:r>
          </w:p>
        </w:tc>
        <w:tc>
          <w:tcPr>
            <w:tcW w:w="1020" w:type="dxa"/>
            <w:vAlign w:val="bottom"/>
            <w:tcBorders>
              <w:bottom w:val="single" w:sz="8" w:color="E5F1F8"/>
            </w:tcBorders>
            <w:gridSpan w:val="2"/>
            <w:shd w:val="clear" w:color="auto" w:fill="E5F1F8"/>
          </w:tcPr>
          <w:p>
            <w:pPr>
              <w:jc w:val="right"/>
              <w:ind w:right="290"/>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4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7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560" w:type="dxa"/>
            <w:vAlign w:val="bottom"/>
            <w:tcBorders>
              <w:bottom w:val="single" w:sz="8" w:color="E5F1F8"/>
            </w:tcBorders>
            <w:shd w:val="clear" w:color="auto" w:fill="E5F1F8"/>
          </w:tcPr>
          <w:p>
            <w:pPr>
              <w:jc w:val="center"/>
              <w:ind w:left="14"/>
              <w:spacing w:after="0" w:line="205" w:lineRule="exact"/>
              <w:rPr>
                <w:sz w:val="20"/>
                <w:szCs w:val="20"/>
                <w:color w:val="auto"/>
              </w:rPr>
            </w:pPr>
            <w:r>
              <w:rPr>
                <w:rFonts w:ascii="Calibri" w:cs="Calibri" w:eastAsia="Calibri" w:hAnsi="Calibri"/>
                <w:sz w:val="17"/>
                <w:szCs w:val="17"/>
                <w:color w:val="auto"/>
              </w:rPr>
              <w:t>0</w:t>
            </w:r>
          </w:p>
        </w:tc>
        <w:tc>
          <w:tcPr>
            <w:tcW w:w="940" w:type="dxa"/>
            <w:vAlign w:val="bottom"/>
            <w:tcBorders>
              <w:bottom w:val="single" w:sz="8" w:color="E5F1F8"/>
            </w:tcBorders>
            <w:shd w:val="clear" w:color="auto" w:fill="E5F1F8"/>
          </w:tcPr>
          <w:p>
            <w:pPr>
              <w:jc w:val="center"/>
              <w:ind w:left="5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40" w:type="dxa"/>
            <w:vAlign w:val="bottom"/>
          </w:tcPr>
          <w:p>
            <w:pPr>
              <w:spacing w:after="0"/>
              <w:rPr>
                <w:sz w:val="16"/>
                <w:szCs w:val="16"/>
                <w:color w:val="auto"/>
              </w:rPr>
            </w:pPr>
          </w:p>
        </w:tc>
        <w:tc>
          <w:tcPr>
            <w:tcW w:w="700" w:type="dxa"/>
            <w:vAlign w:val="bottom"/>
          </w:tcPr>
          <w:p>
            <w:pPr>
              <w:jc w:val="center"/>
              <w:ind w:right="34"/>
              <w:spacing w:after="0" w:line="189" w:lineRule="exact"/>
              <w:rPr>
                <w:sz w:val="20"/>
                <w:szCs w:val="20"/>
                <w:color w:val="auto"/>
              </w:rPr>
            </w:pPr>
            <w:r>
              <w:rPr>
                <w:rFonts w:ascii="Calibri" w:cs="Calibri" w:eastAsia="Calibri" w:hAnsi="Calibri"/>
                <w:sz w:val="17"/>
                <w:szCs w:val="17"/>
                <w:color w:val="auto"/>
              </w:rPr>
              <w:t>410133</w:t>
            </w: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San Pedro Quarry</w:t>
            </w:r>
          </w:p>
        </w:tc>
        <w:tc>
          <w:tcPr>
            <w:tcW w:w="700" w:type="dxa"/>
            <w:vAlign w:val="bottom"/>
          </w:tcPr>
          <w:p>
            <w:pPr>
              <w:jc w:val="center"/>
              <w:ind w:right="14"/>
              <w:spacing w:after="0" w:line="205" w:lineRule="exact"/>
              <w:rPr>
                <w:sz w:val="20"/>
                <w:szCs w:val="20"/>
                <w:color w:val="auto"/>
              </w:rPr>
            </w:pPr>
            <w:r>
              <w:rPr>
                <w:rFonts w:ascii="Calibri" w:cs="Calibri" w:eastAsia="Calibri" w:hAnsi="Calibri"/>
                <w:sz w:val="17"/>
                <w:szCs w:val="17"/>
                <w:color w:val="auto"/>
                <w:w w:val="92"/>
              </w:rPr>
              <w:t>7</w:t>
            </w:r>
          </w:p>
        </w:tc>
        <w:tc>
          <w:tcPr>
            <w:tcW w:w="620" w:type="dxa"/>
            <w:vAlign w:val="bottom"/>
          </w:tcPr>
          <w:p>
            <w:pPr>
              <w:jc w:val="center"/>
              <w:ind w:right="54"/>
              <w:spacing w:after="0" w:line="205" w:lineRule="exact"/>
              <w:rPr>
                <w:sz w:val="20"/>
                <w:szCs w:val="20"/>
                <w:color w:val="auto"/>
              </w:rPr>
            </w:pPr>
            <w:r>
              <w:rPr>
                <w:rFonts w:ascii="Calibri" w:cs="Calibri" w:eastAsia="Calibri" w:hAnsi="Calibri"/>
                <w:sz w:val="17"/>
                <w:szCs w:val="17"/>
                <w:color w:val="auto"/>
                <w:w w:val="92"/>
              </w:rPr>
              <w:t>1</w:t>
            </w:r>
          </w:p>
        </w:tc>
        <w:tc>
          <w:tcPr>
            <w:tcW w:w="600" w:type="dxa"/>
            <w:vAlign w:val="bottom"/>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4"/>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4"/>
              <w:spacing w:after="0" w:line="205" w:lineRule="exact"/>
              <w:rPr>
                <w:sz w:val="20"/>
                <w:szCs w:val="20"/>
                <w:color w:val="auto"/>
              </w:rPr>
            </w:pPr>
            <w:r>
              <w:rPr>
                <w:rFonts w:ascii="Calibri" w:cs="Calibri" w:eastAsia="Calibri" w:hAnsi="Calibri"/>
                <w:sz w:val="17"/>
                <w:szCs w:val="17"/>
                <w:color w:val="auto"/>
              </w:rPr>
              <w:t>0</w:t>
            </w:r>
          </w:p>
        </w:tc>
        <w:tc>
          <w:tcPr>
            <w:tcW w:w="24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62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406</w:t>
            </w:r>
          </w:p>
        </w:tc>
        <w:tc>
          <w:tcPr>
            <w:tcW w:w="1020" w:type="dxa"/>
            <w:vAlign w:val="bottom"/>
            <w:gridSpan w:val="2"/>
          </w:tcPr>
          <w:p>
            <w:pPr>
              <w:jc w:val="right"/>
              <w:ind w:right="290"/>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4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7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560" w:type="dxa"/>
            <w:vAlign w:val="bottom"/>
          </w:tcPr>
          <w:p>
            <w:pPr>
              <w:jc w:val="center"/>
              <w:ind w:left="14"/>
              <w:spacing w:after="0" w:line="205" w:lineRule="exact"/>
              <w:rPr>
                <w:sz w:val="20"/>
                <w:szCs w:val="20"/>
                <w:color w:val="auto"/>
              </w:rPr>
            </w:pPr>
            <w:r>
              <w:rPr>
                <w:rFonts w:ascii="Calibri" w:cs="Calibri" w:eastAsia="Calibri" w:hAnsi="Calibri"/>
                <w:sz w:val="17"/>
                <w:szCs w:val="17"/>
                <w:color w:val="auto"/>
              </w:rPr>
              <w:t>0</w:t>
            </w:r>
          </w:p>
        </w:tc>
        <w:tc>
          <w:tcPr>
            <w:tcW w:w="940" w:type="dxa"/>
            <w:vAlign w:val="bottom"/>
          </w:tcPr>
          <w:p>
            <w:pPr>
              <w:jc w:val="center"/>
              <w:ind w:left="5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189"/>
        </w:trPr>
        <w:tc>
          <w:tcPr>
            <w:tcW w:w="1740" w:type="dxa"/>
            <w:vAlign w:val="bottom"/>
            <w:shd w:val="clear" w:color="auto" w:fill="E5F1F8"/>
          </w:tcPr>
          <w:p>
            <w:pPr>
              <w:spacing w:after="0"/>
              <w:rPr>
                <w:sz w:val="16"/>
                <w:szCs w:val="16"/>
                <w:color w:val="auto"/>
              </w:rPr>
            </w:pPr>
          </w:p>
        </w:tc>
        <w:tc>
          <w:tcPr>
            <w:tcW w:w="700" w:type="dxa"/>
            <w:vAlign w:val="bottom"/>
            <w:shd w:val="clear" w:color="auto" w:fill="E5F1F8"/>
          </w:tcPr>
          <w:p>
            <w:pPr>
              <w:jc w:val="center"/>
              <w:ind w:right="34"/>
              <w:spacing w:after="0" w:line="189" w:lineRule="exact"/>
              <w:rPr>
                <w:sz w:val="20"/>
                <w:szCs w:val="20"/>
                <w:color w:val="auto"/>
              </w:rPr>
            </w:pPr>
            <w:r>
              <w:rPr>
                <w:rFonts w:ascii="Calibri" w:cs="Calibri" w:eastAsia="Calibri" w:hAnsi="Calibri"/>
                <w:sz w:val="17"/>
                <w:szCs w:val="17"/>
                <w:color w:val="auto"/>
              </w:rPr>
              <w:t>340180</w:t>
            </w:r>
          </w:p>
        </w:tc>
        <w:tc>
          <w:tcPr>
            <w:tcW w:w="6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40" w:type="dxa"/>
            <w:vAlign w:val="bottom"/>
            <w:shd w:val="clear" w:color="auto" w:fill="E5F1F8"/>
          </w:tcPr>
          <w:p>
            <w:pPr>
              <w:spacing w:after="0"/>
              <w:rPr>
                <w:sz w:val="16"/>
                <w:szCs w:val="16"/>
                <w:color w:val="auto"/>
              </w:rPr>
            </w:pPr>
          </w:p>
        </w:tc>
        <w:tc>
          <w:tcPr>
            <w:tcW w:w="620" w:type="dxa"/>
            <w:vAlign w:val="bottom"/>
            <w:shd w:val="clear" w:color="auto" w:fill="E5F1F8"/>
          </w:tcPr>
          <w:p>
            <w:pPr>
              <w:spacing w:after="0"/>
              <w:rPr>
                <w:sz w:val="16"/>
                <w:szCs w:val="16"/>
                <w:color w:val="auto"/>
              </w:rPr>
            </w:pPr>
          </w:p>
        </w:tc>
        <w:tc>
          <w:tcPr>
            <w:tcW w:w="10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560" w:type="dxa"/>
            <w:vAlign w:val="bottom"/>
            <w:shd w:val="clear" w:color="auto" w:fill="E5F1F8"/>
          </w:tcPr>
          <w:p>
            <w:pPr>
              <w:spacing w:after="0"/>
              <w:rPr>
                <w:sz w:val="16"/>
                <w:szCs w:val="16"/>
                <w:color w:val="auto"/>
              </w:rPr>
            </w:pPr>
          </w:p>
        </w:tc>
        <w:tc>
          <w:tcPr>
            <w:tcW w:w="94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Sawyer East Quarry</w:t>
            </w:r>
          </w:p>
        </w:tc>
        <w:tc>
          <w:tcPr>
            <w:tcW w:w="700" w:type="dxa"/>
            <w:vAlign w:val="bottom"/>
            <w:tcBorders>
              <w:bottom w:val="single" w:sz="8" w:color="E5F1F8"/>
            </w:tcBorders>
            <w:shd w:val="clear" w:color="auto" w:fill="E5F1F8"/>
          </w:tcPr>
          <w:p>
            <w:pPr>
              <w:jc w:val="center"/>
              <w:ind w:right="14"/>
              <w:spacing w:after="0" w:line="205" w:lineRule="exact"/>
              <w:rPr>
                <w:sz w:val="20"/>
                <w:szCs w:val="20"/>
                <w:color w:val="auto"/>
              </w:rPr>
            </w:pPr>
            <w:r>
              <w:rPr>
                <w:rFonts w:ascii="Calibri" w:cs="Calibri" w:eastAsia="Calibri" w:hAnsi="Calibri"/>
                <w:sz w:val="17"/>
                <w:szCs w:val="17"/>
                <w:color w:val="auto"/>
                <w:w w:val="92"/>
              </w:rPr>
              <w:t>9</w:t>
            </w:r>
          </w:p>
        </w:tc>
        <w:tc>
          <w:tcPr>
            <w:tcW w:w="620" w:type="dxa"/>
            <w:vAlign w:val="bottom"/>
            <w:tcBorders>
              <w:bottom w:val="single" w:sz="8" w:color="E5F1F8"/>
            </w:tcBorders>
            <w:shd w:val="clear" w:color="auto" w:fill="E5F1F8"/>
          </w:tcPr>
          <w:p>
            <w:pPr>
              <w:jc w:val="center"/>
              <w:ind w:right="54"/>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Borders>
              <w:bottom w:val="single" w:sz="8" w:color="E5F1F8"/>
            </w:tcBorders>
            <w:shd w:val="clear" w:color="auto" w:fill="E5F1F8"/>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4"/>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4"/>
              <w:spacing w:after="0" w:line="205" w:lineRule="exact"/>
              <w:rPr>
                <w:sz w:val="20"/>
                <w:szCs w:val="20"/>
                <w:color w:val="auto"/>
              </w:rPr>
            </w:pPr>
            <w:r>
              <w:rPr>
                <w:rFonts w:ascii="Calibri" w:cs="Calibri" w:eastAsia="Calibri" w:hAnsi="Calibri"/>
                <w:sz w:val="17"/>
                <w:szCs w:val="17"/>
                <w:color w:val="auto"/>
              </w:rPr>
              <w:t>0</w:t>
            </w:r>
          </w:p>
        </w:tc>
        <w:tc>
          <w:tcPr>
            <w:tcW w:w="24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62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266</w:t>
            </w:r>
          </w:p>
        </w:tc>
        <w:tc>
          <w:tcPr>
            <w:tcW w:w="1020" w:type="dxa"/>
            <w:vAlign w:val="bottom"/>
            <w:tcBorders>
              <w:bottom w:val="single" w:sz="8" w:color="E5F1F8"/>
            </w:tcBorders>
            <w:gridSpan w:val="2"/>
            <w:shd w:val="clear" w:color="auto" w:fill="E5F1F8"/>
          </w:tcPr>
          <w:p>
            <w:pPr>
              <w:jc w:val="right"/>
              <w:ind w:right="290"/>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4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7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560" w:type="dxa"/>
            <w:vAlign w:val="bottom"/>
            <w:tcBorders>
              <w:bottom w:val="single" w:sz="8" w:color="E5F1F8"/>
            </w:tcBorders>
            <w:shd w:val="clear" w:color="auto" w:fill="E5F1F8"/>
          </w:tcPr>
          <w:p>
            <w:pPr>
              <w:jc w:val="center"/>
              <w:ind w:left="14"/>
              <w:spacing w:after="0" w:line="205" w:lineRule="exact"/>
              <w:rPr>
                <w:sz w:val="20"/>
                <w:szCs w:val="20"/>
                <w:color w:val="auto"/>
              </w:rPr>
            </w:pPr>
            <w:r>
              <w:rPr>
                <w:rFonts w:ascii="Calibri" w:cs="Calibri" w:eastAsia="Calibri" w:hAnsi="Calibri"/>
                <w:sz w:val="17"/>
                <w:szCs w:val="17"/>
                <w:color w:val="auto"/>
              </w:rPr>
              <w:t>0</w:t>
            </w:r>
          </w:p>
        </w:tc>
        <w:tc>
          <w:tcPr>
            <w:tcW w:w="940" w:type="dxa"/>
            <w:vAlign w:val="bottom"/>
            <w:tcBorders>
              <w:bottom w:val="single" w:sz="8" w:color="E5F1F8"/>
            </w:tcBorders>
            <w:shd w:val="clear" w:color="auto" w:fill="E5F1F8"/>
          </w:tcPr>
          <w:p>
            <w:pPr>
              <w:jc w:val="center"/>
              <w:ind w:left="5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40" w:type="dxa"/>
            <w:vAlign w:val="bottom"/>
          </w:tcPr>
          <w:p>
            <w:pPr>
              <w:spacing w:after="0"/>
              <w:rPr>
                <w:sz w:val="16"/>
                <w:szCs w:val="16"/>
                <w:color w:val="auto"/>
              </w:rPr>
            </w:pPr>
          </w:p>
        </w:tc>
        <w:tc>
          <w:tcPr>
            <w:tcW w:w="700" w:type="dxa"/>
            <w:vAlign w:val="bottom"/>
          </w:tcPr>
          <w:p>
            <w:pPr>
              <w:jc w:val="center"/>
              <w:ind w:right="34"/>
              <w:spacing w:after="0" w:line="189" w:lineRule="exact"/>
              <w:rPr>
                <w:sz w:val="20"/>
                <w:szCs w:val="20"/>
                <w:color w:val="auto"/>
              </w:rPr>
            </w:pPr>
            <w:r>
              <w:rPr>
                <w:rFonts w:ascii="Calibri" w:cs="Calibri" w:eastAsia="Calibri" w:hAnsi="Calibri"/>
                <w:sz w:val="17"/>
                <w:szCs w:val="17"/>
                <w:color w:val="auto"/>
              </w:rPr>
              <w:t>340163</w:t>
            </w: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Sawyer Quarry</w:t>
            </w:r>
          </w:p>
        </w:tc>
        <w:tc>
          <w:tcPr>
            <w:tcW w:w="700" w:type="dxa"/>
            <w:vAlign w:val="bottom"/>
          </w:tcPr>
          <w:p>
            <w:pPr>
              <w:jc w:val="center"/>
              <w:ind w:right="14"/>
              <w:spacing w:after="0" w:line="205" w:lineRule="exact"/>
              <w:rPr>
                <w:sz w:val="20"/>
                <w:szCs w:val="20"/>
                <w:color w:val="auto"/>
              </w:rPr>
            </w:pPr>
            <w:r>
              <w:rPr>
                <w:rFonts w:ascii="Calibri" w:cs="Calibri" w:eastAsia="Calibri" w:hAnsi="Calibri"/>
                <w:sz w:val="17"/>
                <w:szCs w:val="17"/>
                <w:color w:val="auto"/>
                <w:w w:val="92"/>
              </w:rPr>
              <w:t>4</w:t>
            </w:r>
          </w:p>
        </w:tc>
        <w:tc>
          <w:tcPr>
            <w:tcW w:w="620" w:type="dxa"/>
            <w:vAlign w:val="bottom"/>
          </w:tcPr>
          <w:p>
            <w:pPr>
              <w:jc w:val="center"/>
              <w:ind w:right="54"/>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4"/>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4"/>
              <w:spacing w:after="0" w:line="205" w:lineRule="exact"/>
              <w:rPr>
                <w:sz w:val="20"/>
                <w:szCs w:val="20"/>
                <w:color w:val="auto"/>
              </w:rPr>
            </w:pPr>
            <w:r>
              <w:rPr>
                <w:rFonts w:ascii="Calibri" w:cs="Calibri" w:eastAsia="Calibri" w:hAnsi="Calibri"/>
                <w:sz w:val="17"/>
                <w:szCs w:val="17"/>
                <w:color w:val="auto"/>
              </w:rPr>
              <w:t>0</w:t>
            </w:r>
          </w:p>
        </w:tc>
        <w:tc>
          <w:tcPr>
            <w:tcW w:w="24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62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266</w:t>
            </w:r>
          </w:p>
        </w:tc>
        <w:tc>
          <w:tcPr>
            <w:tcW w:w="1020" w:type="dxa"/>
            <w:vAlign w:val="bottom"/>
            <w:gridSpan w:val="2"/>
          </w:tcPr>
          <w:p>
            <w:pPr>
              <w:jc w:val="right"/>
              <w:ind w:right="290"/>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4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7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560" w:type="dxa"/>
            <w:vAlign w:val="bottom"/>
          </w:tcPr>
          <w:p>
            <w:pPr>
              <w:jc w:val="center"/>
              <w:ind w:left="14"/>
              <w:spacing w:after="0" w:line="205" w:lineRule="exact"/>
              <w:rPr>
                <w:sz w:val="20"/>
                <w:szCs w:val="20"/>
                <w:color w:val="auto"/>
              </w:rPr>
            </w:pPr>
            <w:r>
              <w:rPr>
                <w:rFonts w:ascii="Calibri" w:cs="Calibri" w:eastAsia="Calibri" w:hAnsi="Calibri"/>
                <w:sz w:val="17"/>
                <w:szCs w:val="17"/>
                <w:color w:val="auto"/>
              </w:rPr>
              <w:t>0</w:t>
            </w:r>
          </w:p>
        </w:tc>
        <w:tc>
          <w:tcPr>
            <w:tcW w:w="940" w:type="dxa"/>
            <w:vAlign w:val="bottom"/>
          </w:tcPr>
          <w:p>
            <w:pPr>
              <w:jc w:val="center"/>
              <w:ind w:left="5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189"/>
        </w:trPr>
        <w:tc>
          <w:tcPr>
            <w:tcW w:w="1740" w:type="dxa"/>
            <w:vAlign w:val="bottom"/>
            <w:shd w:val="clear" w:color="auto" w:fill="E5F1F8"/>
          </w:tcPr>
          <w:p>
            <w:pPr>
              <w:spacing w:after="0"/>
              <w:rPr>
                <w:sz w:val="16"/>
                <w:szCs w:val="16"/>
                <w:color w:val="auto"/>
              </w:rPr>
            </w:pPr>
          </w:p>
        </w:tc>
        <w:tc>
          <w:tcPr>
            <w:tcW w:w="700" w:type="dxa"/>
            <w:vAlign w:val="bottom"/>
            <w:shd w:val="clear" w:color="auto" w:fill="E5F1F8"/>
          </w:tcPr>
          <w:p>
            <w:pPr>
              <w:jc w:val="center"/>
              <w:ind w:right="34"/>
              <w:spacing w:after="0" w:line="189" w:lineRule="exact"/>
              <w:rPr>
                <w:sz w:val="20"/>
                <w:szCs w:val="20"/>
                <w:color w:val="auto"/>
              </w:rPr>
            </w:pPr>
            <w:r>
              <w:rPr>
                <w:rFonts w:ascii="Calibri" w:cs="Calibri" w:eastAsia="Calibri" w:hAnsi="Calibri"/>
                <w:sz w:val="17"/>
                <w:szCs w:val="17"/>
                <w:color w:val="auto"/>
              </w:rPr>
              <w:t>410410</w:t>
            </w:r>
          </w:p>
        </w:tc>
        <w:tc>
          <w:tcPr>
            <w:tcW w:w="6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40" w:type="dxa"/>
            <w:vAlign w:val="bottom"/>
            <w:shd w:val="clear" w:color="auto" w:fill="E5F1F8"/>
          </w:tcPr>
          <w:p>
            <w:pPr>
              <w:spacing w:after="0"/>
              <w:rPr>
                <w:sz w:val="16"/>
                <w:szCs w:val="16"/>
                <w:color w:val="auto"/>
              </w:rPr>
            </w:pPr>
          </w:p>
        </w:tc>
        <w:tc>
          <w:tcPr>
            <w:tcW w:w="620" w:type="dxa"/>
            <w:vAlign w:val="bottom"/>
            <w:shd w:val="clear" w:color="auto" w:fill="E5F1F8"/>
          </w:tcPr>
          <w:p>
            <w:pPr>
              <w:spacing w:after="0"/>
              <w:rPr>
                <w:sz w:val="16"/>
                <w:szCs w:val="16"/>
                <w:color w:val="auto"/>
              </w:rPr>
            </w:pPr>
          </w:p>
        </w:tc>
        <w:tc>
          <w:tcPr>
            <w:tcW w:w="10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560" w:type="dxa"/>
            <w:vAlign w:val="bottom"/>
            <w:shd w:val="clear" w:color="auto" w:fill="E5F1F8"/>
          </w:tcPr>
          <w:p>
            <w:pPr>
              <w:spacing w:after="0"/>
              <w:rPr>
                <w:sz w:val="16"/>
                <w:szCs w:val="16"/>
                <w:color w:val="auto"/>
              </w:rPr>
            </w:pPr>
          </w:p>
        </w:tc>
        <w:tc>
          <w:tcPr>
            <w:tcW w:w="94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Smithson Valley Quarry</w:t>
            </w:r>
          </w:p>
        </w:tc>
        <w:tc>
          <w:tcPr>
            <w:tcW w:w="700" w:type="dxa"/>
            <w:vAlign w:val="bottom"/>
            <w:tcBorders>
              <w:bottom w:val="single" w:sz="8" w:color="E5F1F8"/>
            </w:tcBorders>
            <w:shd w:val="clear" w:color="auto" w:fill="E5F1F8"/>
          </w:tcPr>
          <w:p>
            <w:pPr>
              <w:jc w:val="center"/>
              <w:ind w:right="14"/>
              <w:spacing w:after="0" w:line="205" w:lineRule="exact"/>
              <w:rPr>
                <w:sz w:val="20"/>
                <w:szCs w:val="20"/>
                <w:color w:val="auto"/>
              </w:rPr>
            </w:pPr>
            <w:r>
              <w:rPr>
                <w:rFonts w:ascii="Calibri" w:cs="Calibri" w:eastAsia="Calibri" w:hAnsi="Calibri"/>
                <w:sz w:val="17"/>
                <w:szCs w:val="17"/>
                <w:color w:val="auto"/>
                <w:w w:val="92"/>
              </w:rPr>
              <w:t>8</w:t>
            </w:r>
          </w:p>
        </w:tc>
        <w:tc>
          <w:tcPr>
            <w:tcW w:w="620" w:type="dxa"/>
            <w:vAlign w:val="bottom"/>
            <w:tcBorders>
              <w:bottom w:val="single" w:sz="8" w:color="E5F1F8"/>
            </w:tcBorders>
            <w:shd w:val="clear" w:color="auto" w:fill="E5F1F8"/>
          </w:tcPr>
          <w:p>
            <w:pPr>
              <w:jc w:val="center"/>
              <w:ind w:right="54"/>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Borders>
              <w:bottom w:val="single" w:sz="8" w:color="E5F1F8"/>
            </w:tcBorders>
            <w:shd w:val="clear" w:color="auto" w:fill="E5F1F8"/>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4"/>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4"/>
              <w:spacing w:after="0" w:line="205" w:lineRule="exact"/>
              <w:rPr>
                <w:sz w:val="20"/>
                <w:szCs w:val="20"/>
                <w:color w:val="auto"/>
              </w:rPr>
            </w:pPr>
            <w:r>
              <w:rPr>
                <w:rFonts w:ascii="Calibri" w:cs="Calibri" w:eastAsia="Calibri" w:hAnsi="Calibri"/>
                <w:sz w:val="17"/>
                <w:szCs w:val="17"/>
                <w:color w:val="auto"/>
              </w:rPr>
              <w:t>0</w:t>
            </w:r>
          </w:p>
        </w:tc>
        <w:tc>
          <w:tcPr>
            <w:tcW w:w="24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62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266</w:t>
            </w:r>
          </w:p>
        </w:tc>
        <w:tc>
          <w:tcPr>
            <w:tcW w:w="1020" w:type="dxa"/>
            <w:vAlign w:val="bottom"/>
            <w:tcBorders>
              <w:bottom w:val="single" w:sz="8" w:color="E5F1F8"/>
            </w:tcBorders>
            <w:gridSpan w:val="2"/>
            <w:shd w:val="clear" w:color="auto" w:fill="E5F1F8"/>
          </w:tcPr>
          <w:p>
            <w:pPr>
              <w:jc w:val="right"/>
              <w:ind w:right="290"/>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4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7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560" w:type="dxa"/>
            <w:vAlign w:val="bottom"/>
            <w:tcBorders>
              <w:bottom w:val="single" w:sz="8" w:color="E5F1F8"/>
            </w:tcBorders>
            <w:shd w:val="clear" w:color="auto" w:fill="E5F1F8"/>
          </w:tcPr>
          <w:p>
            <w:pPr>
              <w:jc w:val="center"/>
              <w:ind w:left="14"/>
              <w:spacing w:after="0" w:line="205" w:lineRule="exact"/>
              <w:rPr>
                <w:sz w:val="20"/>
                <w:szCs w:val="20"/>
                <w:color w:val="auto"/>
              </w:rPr>
            </w:pPr>
            <w:r>
              <w:rPr>
                <w:rFonts w:ascii="Calibri" w:cs="Calibri" w:eastAsia="Calibri" w:hAnsi="Calibri"/>
                <w:sz w:val="17"/>
                <w:szCs w:val="17"/>
                <w:color w:val="auto"/>
              </w:rPr>
              <w:t>0</w:t>
            </w:r>
          </w:p>
        </w:tc>
        <w:tc>
          <w:tcPr>
            <w:tcW w:w="940" w:type="dxa"/>
            <w:vAlign w:val="bottom"/>
            <w:tcBorders>
              <w:bottom w:val="single" w:sz="8" w:color="E5F1F8"/>
            </w:tcBorders>
            <w:shd w:val="clear" w:color="auto" w:fill="E5F1F8"/>
          </w:tcPr>
          <w:p>
            <w:pPr>
              <w:jc w:val="center"/>
              <w:ind w:left="5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40" w:type="dxa"/>
            <w:vAlign w:val="bottom"/>
          </w:tcPr>
          <w:p>
            <w:pPr>
              <w:spacing w:after="0"/>
              <w:rPr>
                <w:sz w:val="16"/>
                <w:szCs w:val="16"/>
                <w:color w:val="auto"/>
              </w:rPr>
            </w:pPr>
          </w:p>
        </w:tc>
        <w:tc>
          <w:tcPr>
            <w:tcW w:w="700" w:type="dxa"/>
            <w:vAlign w:val="bottom"/>
          </w:tcPr>
          <w:p>
            <w:pPr>
              <w:jc w:val="center"/>
              <w:ind w:right="34"/>
              <w:spacing w:after="0" w:line="189" w:lineRule="exact"/>
              <w:rPr>
                <w:sz w:val="20"/>
                <w:szCs w:val="20"/>
                <w:color w:val="auto"/>
              </w:rPr>
            </w:pPr>
            <w:r>
              <w:rPr>
                <w:rFonts w:ascii="Calibri" w:cs="Calibri" w:eastAsia="Calibri" w:hAnsi="Calibri"/>
                <w:sz w:val="17"/>
                <w:szCs w:val="17"/>
                <w:color w:val="auto"/>
              </w:rPr>
              <w:t>340165</w:t>
            </w: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Snyder Quarry</w:t>
            </w:r>
          </w:p>
        </w:tc>
        <w:tc>
          <w:tcPr>
            <w:tcW w:w="700" w:type="dxa"/>
            <w:vAlign w:val="bottom"/>
          </w:tcPr>
          <w:p>
            <w:pPr>
              <w:jc w:val="center"/>
              <w:ind w:right="14"/>
              <w:spacing w:after="0" w:line="205" w:lineRule="exact"/>
              <w:rPr>
                <w:sz w:val="20"/>
                <w:szCs w:val="20"/>
                <w:color w:val="auto"/>
              </w:rPr>
            </w:pPr>
            <w:r>
              <w:rPr>
                <w:rFonts w:ascii="Calibri" w:cs="Calibri" w:eastAsia="Calibri" w:hAnsi="Calibri"/>
                <w:sz w:val="17"/>
                <w:szCs w:val="17"/>
                <w:color w:val="auto"/>
                <w:w w:val="92"/>
              </w:rPr>
              <w:t>1</w:t>
            </w:r>
          </w:p>
        </w:tc>
        <w:tc>
          <w:tcPr>
            <w:tcW w:w="620" w:type="dxa"/>
            <w:vAlign w:val="bottom"/>
          </w:tcPr>
          <w:p>
            <w:pPr>
              <w:jc w:val="center"/>
              <w:ind w:right="54"/>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4"/>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4"/>
              <w:spacing w:after="0" w:line="205" w:lineRule="exact"/>
              <w:rPr>
                <w:sz w:val="20"/>
                <w:szCs w:val="20"/>
                <w:color w:val="auto"/>
              </w:rPr>
            </w:pPr>
            <w:r>
              <w:rPr>
                <w:rFonts w:ascii="Calibri" w:cs="Calibri" w:eastAsia="Calibri" w:hAnsi="Calibri"/>
                <w:sz w:val="17"/>
                <w:szCs w:val="17"/>
                <w:color w:val="auto"/>
              </w:rPr>
              <w:t>0</w:t>
            </w:r>
          </w:p>
        </w:tc>
        <w:tc>
          <w:tcPr>
            <w:tcW w:w="24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62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133</w:t>
            </w:r>
          </w:p>
        </w:tc>
        <w:tc>
          <w:tcPr>
            <w:tcW w:w="1020" w:type="dxa"/>
            <w:vAlign w:val="bottom"/>
            <w:gridSpan w:val="2"/>
          </w:tcPr>
          <w:p>
            <w:pPr>
              <w:jc w:val="right"/>
              <w:ind w:right="290"/>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4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7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560" w:type="dxa"/>
            <w:vAlign w:val="bottom"/>
          </w:tcPr>
          <w:p>
            <w:pPr>
              <w:jc w:val="center"/>
              <w:ind w:left="14"/>
              <w:spacing w:after="0" w:line="205" w:lineRule="exact"/>
              <w:rPr>
                <w:sz w:val="20"/>
                <w:szCs w:val="20"/>
                <w:color w:val="auto"/>
              </w:rPr>
            </w:pPr>
            <w:r>
              <w:rPr>
                <w:rFonts w:ascii="Calibri" w:cs="Calibri" w:eastAsia="Calibri" w:hAnsi="Calibri"/>
                <w:sz w:val="17"/>
                <w:szCs w:val="17"/>
                <w:color w:val="auto"/>
              </w:rPr>
              <w:t>0</w:t>
            </w:r>
          </w:p>
        </w:tc>
        <w:tc>
          <w:tcPr>
            <w:tcW w:w="940" w:type="dxa"/>
            <w:vAlign w:val="bottom"/>
          </w:tcPr>
          <w:p>
            <w:pPr>
              <w:jc w:val="center"/>
              <w:ind w:left="5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189"/>
        </w:trPr>
        <w:tc>
          <w:tcPr>
            <w:tcW w:w="1740" w:type="dxa"/>
            <w:vAlign w:val="bottom"/>
            <w:shd w:val="clear" w:color="auto" w:fill="E5F1F8"/>
          </w:tcPr>
          <w:p>
            <w:pPr>
              <w:spacing w:after="0"/>
              <w:rPr>
                <w:sz w:val="16"/>
                <w:szCs w:val="16"/>
                <w:color w:val="auto"/>
              </w:rPr>
            </w:pPr>
          </w:p>
        </w:tc>
        <w:tc>
          <w:tcPr>
            <w:tcW w:w="700" w:type="dxa"/>
            <w:vAlign w:val="bottom"/>
            <w:shd w:val="clear" w:color="auto" w:fill="E5F1F8"/>
          </w:tcPr>
          <w:p>
            <w:pPr>
              <w:jc w:val="center"/>
              <w:ind w:right="34"/>
              <w:spacing w:after="0" w:line="189" w:lineRule="exact"/>
              <w:rPr>
                <w:sz w:val="20"/>
                <w:szCs w:val="20"/>
                <w:color w:val="auto"/>
              </w:rPr>
            </w:pPr>
            <w:r>
              <w:rPr>
                <w:rFonts w:ascii="Calibri" w:cs="Calibri" w:eastAsia="Calibri" w:hAnsi="Calibri"/>
                <w:sz w:val="17"/>
                <w:szCs w:val="17"/>
                <w:color w:val="auto"/>
              </w:rPr>
              <w:t>040019</w:t>
            </w:r>
          </w:p>
        </w:tc>
        <w:tc>
          <w:tcPr>
            <w:tcW w:w="6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40" w:type="dxa"/>
            <w:vAlign w:val="bottom"/>
            <w:shd w:val="clear" w:color="auto" w:fill="E5F1F8"/>
          </w:tcPr>
          <w:p>
            <w:pPr>
              <w:spacing w:after="0"/>
              <w:rPr>
                <w:sz w:val="16"/>
                <w:szCs w:val="16"/>
                <w:color w:val="auto"/>
              </w:rPr>
            </w:pPr>
          </w:p>
        </w:tc>
        <w:tc>
          <w:tcPr>
            <w:tcW w:w="620" w:type="dxa"/>
            <w:vAlign w:val="bottom"/>
            <w:shd w:val="clear" w:color="auto" w:fill="E5F1F8"/>
          </w:tcPr>
          <w:p>
            <w:pPr>
              <w:spacing w:after="0"/>
              <w:rPr>
                <w:sz w:val="16"/>
                <w:szCs w:val="16"/>
                <w:color w:val="auto"/>
              </w:rPr>
            </w:pPr>
          </w:p>
        </w:tc>
        <w:tc>
          <w:tcPr>
            <w:tcW w:w="10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560" w:type="dxa"/>
            <w:vAlign w:val="bottom"/>
            <w:shd w:val="clear" w:color="auto" w:fill="E5F1F8"/>
          </w:tcPr>
          <w:p>
            <w:pPr>
              <w:spacing w:after="0"/>
              <w:rPr>
                <w:sz w:val="16"/>
                <w:szCs w:val="16"/>
                <w:color w:val="auto"/>
              </w:rPr>
            </w:pPr>
          </w:p>
        </w:tc>
        <w:tc>
          <w:tcPr>
            <w:tcW w:w="94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Tehachapi Cement</w:t>
            </w:r>
          </w:p>
        </w:tc>
        <w:tc>
          <w:tcPr>
            <w:tcW w:w="700" w:type="dxa"/>
            <w:vAlign w:val="bottom"/>
            <w:tcBorders>
              <w:bottom w:val="single" w:sz="8" w:color="E5F1F8"/>
            </w:tcBorders>
            <w:shd w:val="clear" w:color="auto" w:fill="E5F1F8"/>
          </w:tcPr>
          <w:p>
            <w:pPr>
              <w:jc w:val="center"/>
              <w:ind w:right="14"/>
              <w:spacing w:after="0" w:line="205" w:lineRule="exact"/>
              <w:rPr>
                <w:sz w:val="20"/>
                <w:szCs w:val="20"/>
                <w:color w:val="auto"/>
              </w:rPr>
            </w:pPr>
            <w:r>
              <w:rPr>
                <w:rFonts w:ascii="Calibri" w:cs="Calibri" w:eastAsia="Calibri" w:hAnsi="Calibri"/>
                <w:sz w:val="17"/>
                <w:szCs w:val="17"/>
                <w:color w:val="auto"/>
                <w:w w:val="92"/>
              </w:rPr>
              <w:t>6</w:t>
            </w:r>
          </w:p>
        </w:tc>
        <w:tc>
          <w:tcPr>
            <w:tcW w:w="620" w:type="dxa"/>
            <w:vAlign w:val="bottom"/>
            <w:tcBorders>
              <w:bottom w:val="single" w:sz="8" w:color="E5F1F8"/>
            </w:tcBorders>
            <w:shd w:val="clear" w:color="auto" w:fill="E5F1F8"/>
          </w:tcPr>
          <w:p>
            <w:pPr>
              <w:jc w:val="center"/>
              <w:ind w:right="54"/>
              <w:spacing w:after="0" w:line="205" w:lineRule="exact"/>
              <w:rPr>
                <w:sz w:val="20"/>
                <w:szCs w:val="20"/>
                <w:color w:val="auto"/>
              </w:rPr>
            </w:pPr>
            <w:r>
              <w:rPr>
                <w:rFonts w:ascii="Calibri" w:cs="Calibri" w:eastAsia="Calibri" w:hAnsi="Calibri"/>
                <w:sz w:val="17"/>
                <w:szCs w:val="17"/>
                <w:color w:val="auto"/>
                <w:w w:val="92"/>
              </w:rPr>
              <w:t>5</w:t>
            </w:r>
          </w:p>
        </w:tc>
        <w:tc>
          <w:tcPr>
            <w:tcW w:w="600" w:type="dxa"/>
            <w:vAlign w:val="bottom"/>
            <w:tcBorders>
              <w:bottom w:val="single" w:sz="8" w:color="E5F1F8"/>
            </w:tcBorders>
            <w:shd w:val="clear" w:color="auto" w:fill="E5F1F8"/>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4"/>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4"/>
              <w:spacing w:after="0" w:line="205" w:lineRule="exact"/>
              <w:rPr>
                <w:sz w:val="20"/>
                <w:szCs w:val="20"/>
                <w:color w:val="auto"/>
              </w:rPr>
            </w:pPr>
            <w:r>
              <w:rPr>
                <w:rFonts w:ascii="Calibri" w:cs="Calibri" w:eastAsia="Calibri" w:hAnsi="Calibri"/>
                <w:sz w:val="17"/>
                <w:szCs w:val="17"/>
                <w:color w:val="auto"/>
              </w:rPr>
              <w:t>0</w:t>
            </w:r>
          </w:p>
        </w:tc>
        <w:tc>
          <w:tcPr>
            <w:tcW w:w="24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62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5,684</w:t>
            </w:r>
          </w:p>
        </w:tc>
        <w:tc>
          <w:tcPr>
            <w:tcW w:w="1020" w:type="dxa"/>
            <w:vAlign w:val="bottom"/>
            <w:tcBorders>
              <w:bottom w:val="single" w:sz="8" w:color="E5F1F8"/>
            </w:tcBorders>
            <w:gridSpan w:val="2"/>
            <w:shd w:val="clear" w:color="auto" w:fill="E5F1F8"/>
          </w:tcPr>
          <w:p>
            <w:pPr>
              <w:jc w:val="right"/>
              <w:ind w:right="290"/>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4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7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560" w:type="dxa"/>
            <w:vAlign w:val="bottom"/>
            <w:tcBorders>
              <w:bottom w:val="single" w:sz="8" w:color="E5F1F8"/>
            </w:tcBorders>
            <w:shd w:val="clear" w:color="auto" w:fill="E5F1F8"/>
          </w:tcPr>
          <w:p>
            <w:pPr>
              <w:jc w:val="center"/>
              <w:ind w:left="14"/>
              <w:spacing w:after="0" w:line="205" w:lineRule="exact"/>
              <w:rPr>
                <w:sz w:val="20"/>
                <w:szCs w:val="20"/>
                <w:color w:val="auto"/>
              </w:rPr>
            </w:pPr>
            <w:r>
              <w:rPr>
                <w:rFonts w:ascii="Calibri" w:cs="Calibri" w:eastAsia="Calibri" w:hAnsi="Calibri"/>
                <w:sz w:val="17"/>
                <w:szCs w:val="17"/>
                <w:color w:val="auto"/>
              </w:rPr>
              <w:t>0</w:t>
            </w:r>
          </w:p>
        </w:tc>
        <w:tc>
          <w:tcPr>
            <w:tcW w:w="940" w:type="dxa"/>
            <w:vAlign w:val="bottom"/>
            <w:tcBorders>
              <w:bottom w:val="single" w:sz="8" w:color="E5F1F8"/>
            </w:tcBorders>
            <w:shd w:val="clear" w:color="auto" w:fill="E5F1F8"/>
          </w:tcPr>
          <w:p>
            <w:pPr>
              <w:jc w:val="center"/>
              <w:ind w:left="5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40" w:type="dxa"/>
            <w:vAlign w:val="bottom"/>
          </w:tcPr>
          <w:p>
            <w:pPr>
              <w:spacing w:after="0"/>
              <w:rPr>
                <w:sz w:val="16"/>
                <w:szCs w:val="16"/>
                <w:color w:val="auto"/>
              </w:rPr>
            </w:pPr>
          </w:p>
        </w:tc>
        <w:tc>
          <w:tcPr>
            <w:tcW w:w="700" w:type="dxa"/>
            <w:vAlign w:val="bottom"/>
          </w:tcPr>
          <w:p>
            <w:pPr>
              <w:jc w:val="center"/>
              <w:ind w:right="34"/>
              <w:spacing w:after="0" w:line="189" w:lineRule="exact"/>
              <w:rPr>
                <w:sz w:val="20"/>
                <w:szCs w:val="20"/>
                <w:color w:val="auto"/>
              </w:rPr>
            </w:pPr>
            <w:r>
              <w:rPr>
                <w:rFonts w:ascii="Calibri" w:cs="Calibri" w:eastAsia="Calibri" w:hAnsi="Calibri"/>
                <w:sz w:val="17"/>
                <w:szCs w:val="17"/>
                <w:color w:val="auto"/>
              </w:rPr>
              <w:t>410285</w:t>
            </w: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Tin Top SG</w:t>
            </w:r>
          </w:p>
        </w:tc>
        <w:tc>
          <w:tcPr>
            <w:tcW w:w="700" w:type="dxa"/>
            <w:vAlign w:val="bottom"/>
          </w:tcPr>
          <w:p>
            <w:pPr>
              <w:jc w:val="center"/>
              <w:ind w:right="14"/>
              <w:spacing w:after="0" w:line="205" w:lineRule="exact"/>
              <w:rPr>
                <w:sz w:val="20"/>
                <w:szCs w:val="20"/>
                <w:color w:val="auto"/>
              </w:rPr>
            </w:pPr>
            <w:r>
              <w:rPr>
                <w:rFonts w:ascii="Calibri" w:cs="Calibri" w:eastAsia="Calibri" w:hAnsi="Calibri"/>
                <w:sz w:val="17"/>
                <w:szCs w:val="17"/>
                <w:color w:val="auto"/>
                <w:w w:val="92"/>
              </w:rPr>
              <w:t>2</w:t>
            </w:r>
          </w:p>
        </w:tc>
        <w:tc>
          <w:tcPr>
            <w:tcW w:w="620" w:type="dxa"/>
            <w:vAlign w:val="bottom"/>
          </w:tcPr>
          <w:p>
            <w:pPr>
              <w:jc w:val="center"/>
              <w:ind w:right="54"/>
              <w:spacing w:after="0" w:line="205" w:lineRule="exact"/>
              <w:rPr>
                <w:sz w:val="20"/>
                <w:szCs w:val="20"/>
                <w:color w:val="auto"/>
              </w:rPr>
            </w:pPr>
            <w:r>
              <w:rPr>
                <w:rFonts w:ascii="Calibri" w:cs="Calibri" w:eastAsia="Calibri" w:hAnsi="Calibri"/>
                <w:sz w:val="17"/>
                <w:szCs w:val="17"/>
                <w:color w:val="auto"/>
                <w:w w:val="92"/>
              </w:rPr>
              <w:t>1</w:t>
            </w:r>
          </w:p>
        </w:tc>
        <w:tc>
          <w:tcPr>
            <w:tcW w:w="600" w:type="dxa"/>
            <w:vAlign w:val="bottom"/>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4"/>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4"/>
              <w:spacing w:after="0" w:line="205" w:lineRule="exact"/>
              <w:rPr>
                <w:sz w:val="20"/>
                <w:szCs w:val="20"/>
                <w:color w:val="auto"/>
              </w:rPr>
            </w:pPr>
            <w:r>
              <w:rPr>
                <w:rFonts w:ascii="Calibri" w:cs="Calibri" w:eastAsia="Calibri" w:hAnsi="Calibri"/>
                <w:sz w:val="17"/>
                <w:szCs w:val="17"/>
                <w:color w:val="auto"/>
              </w:rPr>
              <w:t>1</w:t>
            </w:r>
          </w:p>
        </w:tc>
        <w:tc>
          <w:tcPr>
            <w:tcW w:w="24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62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2,557</w:t>
            </w:r>
          </w:p>
        </w:tc>
        <w:tc>
          <w:tcPr>
            <w:tcW w:w="1020" w:type="dxa"/>
            <w:vAlign w:val="bottom"/>
            <w:gridSpan w:val="2"/>
          </w:tcPr>
          <w:p>
            <w:pPr>
              <w:jc w:val="right"/>
              <w:ind w:right="290"/>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4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7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1</w:t>
            </w:r>
          </w:p>
        </w:tc>
        <w:tc>
          <w:tcPr>
            <w:tcW w:w="560" w:type="dxa"/>
            <w:vAlign w:val="bottom"/>
          </w:tcPr>
          <w:p>
            <w:pPr>
              <w:jc w:val="center"/>
              <w:ind w:left="14"/>
              <w:spacing w:after="0" w:line="205" w:lineRule="exact"/>
              <w:rPr>
                <w:sz w:val="20"/>
                <w:szCs w:val="20"/>
                <w:color w:val="auto"/>
              </w:rPr>
            </w:pPr>
            <w:r>
              <w:rPr>
                <w:rFonts w:ascii="Calibri" w:cs="Calibri" w:eastAsia="Calibri" w:hAnsi="Calibri"/>
                <w:sz w:val="17"/>
                <w:szCs w:val="17"/>
                <w:color w:val="auto"/>
              </w:rPr>
              <w:t>1</w:t>
            </w:r>
          </w:p>
        </w:tc>
        <w:tc>
          <w:tcPr>
            <w:tcW w:w="940" w:type="dxa"/>
            <w:vAlign w:val="bottom"/>
          </w:tcPr>
          <w:p>
            <w:pPr>
              <w:jc w:val="center"/>
              <w:ind w:left="5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189"/>
        </w:trPr>
        <w:tc>
          <w:tcPr>
            <w:tcW w:w="1740" w:type="dxa"/>
            <w:vAlign w:val="bottom"/>
            <w:shd w:val="clear" w:color="auto" w:fill="E5F1F8"/>
          </w:tcPr>
          <w:p>
            <w:pPr>
              <w:spacing w:after="0"/>
              <w:rPr>
                <w:sz w:val="16"/>
                <w:szCs w:val="16"/>
                <w:color w:val="auto"/>
              </w:rPr>
            </w:pPr>
          </w:p>
        </w:tc>
        <w:tc>
          <w:tcPr>
            <w:tcW w:w="700" w:type="dxa"/>
            <w:vAlign w:val="bottom"/>
            <w:shd w:val="clear" w:color="auto" w:fill="E5F1F8"/>
          </w:tcPr>
          <w:p>
            <w:pPr>
              <w:jc w:val="center"/>
              <w:ind w:right="34"/>
              <w:spacing w:after="0" w:line="189" w:lineRule="exact"/>
              <w:rPr>
                <w:sz w:val="20"/>
                <w:szCs w:val="20"/>
                <w:color w:val="auto"/>
              </w:rPr>
            </w:pPr>
            <w:r>
              <w:rPr>
                <w:rFonts w:ascii="Calibri" w:cs="Calibri" w:eastAsia="Calibri" w:hAnsi="Calibri"/>
                <w:sz w:val="17"/>
                <w:szCs w:val="17"/>
                <w:color w:val="auto"/>
              </w:rPr>
              <w:t>340204</w:t>
            </w:r>
          </w:p>
        </w:tc>
        <w:tc>
          <w:tcPr>
            <w:tcW w:w="6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40" w:type="dxa"/>
            <w:vAlign w:val="bottom"/>
            <w:shd w:val="clear" w:color="auto" w:fill="E5F1F8"/>
          </w:tcPr>
          <w:p>
            <w:pPr>
              <w:spacing w:after="0"/>
              <w:rPr>
                <w:sz w:val="16"/>
                <w:szCs w:val="16"/>
                <w:color w:val="auto"/>
              </w:rPr>
            </w:pPr>
          </w:p>
        </w:tc>
        <w:tc>
          <w:tcPr>
            <w:tcW w:w="620" w:type="dxa"/>
            <w:vAlign w:val="bottom"/>
            <w:shd w:val="clear" w:color="auto" w:fill="E5F1F8"/>
          </w:tcPr>
          <w:p>
            <w:pPr>
              <w:spacing w:after="0"/>
              <w:rPr>
                <w:sz w:val="16"/>
                <w:szCs w:val="16"/>
                <w:color w:val="auto"/>
              </w:rPr>
            </w:pPr>
          </w:p>
        </w:tc>
        <w:tc>
          <w:tcPr>
            <w:tcW w:w="10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560" w:type="dxa"/>
            <w:vAlign w:val="bottom"/>
            <w:shd w:val="clear" w:color="auto" w:fill="E5F1F8"/>
          </w:tcPr>
          <w:p>
            <w:pPr>
              <w:spacing w:after="0"/>
              <w:rPr>
                <w:sz w:val="16"/>
                <w:szCs w:val="16"/>
                <w:color w:val="auto"/>
              </w:rPr>
            </w:pPr>
          </w:p>
        </w:tc>
        <w:tc>
          <w:tcPr>
            <w:tcW w:w="94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Washita Quarry</w:t>
            </w:r>
          </w:p>
        </w:tc>
        <w:tc>
          <w:tcPr>
            <w:tcW w:w="700" w:type="dxa"/>
            <w:vAlign w:val="bottom"/>
            <w:tcBorders>
              <w:bottom w:val="single" w:sz="8" w:color="E5F1F8"/>
            </w:tcBorders>
            <w:shd w:val="clear" w:color="auto" w:fill="E5F1F8"/>
          </w:tcPr>
          <w:p>
            <w:pPr>
              <w:jc w:val="center"/>
              <w:ind w:right="14"/>
              <w:spacing w:after="0" w:line="205" w:lineRule="exact"/>
              <w:rPr>
                <w:sz w:val="20"/>
                <w:szCs w:val="20"/>
                <w:color w:val="auto"/>
              </w:rPr>
            </w:pPr>
            <w:r>
              <w:rPr>
                <w:rFonts w:ascii="Calibri" w:cs="Calibri" w:eastAsia="Calibri" w:hAnsi="Calibri"/>
                <w:sz w:val="17"/>
                <w:szCs w:val="17"/>
                <w:color w:val="auto"/>
                <w:w w:val="92"/>
              </w:rPr>
              <w:t>9</w:t>
            </w:r>
          </w:p>
        </w:tc>
        <w:tc>
          <w:tcPr>
            <w:tcW w:w="620" w:type="dxa"/>
            <w:vAlign w:val="bottom"/>
            <w:tcBorders>
              <w:bottom w:val="single" w:sz="8" w:color="E5F1F8"/>
            </w:tcBorders>
            <w:shd w:val="clear" w:color="auto" w:fill="E5F1F8"/>
          </w:tcPr>
          <w:p>
            <w:pPr>
              <w:jc w:val="center"/>
              <w:ind w:right="54"/>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Borders>
              <w:bottom w:val="single" w:sz="8" w:color="E5F1F8"/>
            </w:tcBorders>
            <w:shd w:val="clear" w:color="auto" w:fill="E5F1F8"/>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4"/>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4"/>
              <w:spacing w:after="0" w:line="205" w:lineRule="exact"/>
              <w:rPr>
                <w:sz w:val="20"/>
                <w:szCs w:val="20"/>
                <w:color w:val="auto"/>
              </w:rPr>
            </w:pPr>
            <w:r>
              <w:rPr>
                <w:rFonts w:ascii="Calibri" w:cs="Calibri" w:eastAsia="Calibri" w:hAnsi="Calibri"/>
                <w:sz w:val="17"/>
                <w:szCs w:val="17"/>
                <w:color w:val="auto"/>
              </w:rPr>
              <w:t>0</w:t>
            </w:r>
          </w:p>
        </w:tc>
        <w:tc>
          <w:tcPr>
            <w:tcW w:w="24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62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266</w:t>
            </w:r>
          </w:p>
        </w:tc>
        <w:tc>
          <w:tcPr>
            <w:tcW w:w="1020" w:type="dxa"/>
            <w:vAlign w:val="bottom"/>
            <w:tcBorders>
              <w:bottom w:val="single" w:sz="8" w:color="E5F1F8"/>
            </w:tcBorders>
            <w:gridSpan w:val="2"/>
            <w:shd w:val="clear" w:color="auto" w:fill="E5F1F8"/>
          </w:tcPr>
          <w:p>
            <w:pPr>
              <w:jc w:val="right"/>
              <w:ind w:right="290"/>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4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7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560" w:type="dxa"/>
            <w:vAlign w:val="bottom"/>
            <w:tcBorders>
              <w:bottom w:val="single" w:sz="8" w:color="E5F1F8"/>
            </w:tcBorders>
            <w:shd w:val="clear" w:color="auto" w:fill="E5F1F8"/>
          </w:tcPr>
          <w:p>
            <w:pPr>
              <w:jc w:val="center"/>
              <w:ind w:left="14"/>
              <w:spacing w:after="0" w:line="205" w:lineRule="exact"/>
              <w:rPr>
                <w:sz w:val="20"/>
                <w:szCs w:val="20"/>
                <w:color w:val="auto"/>
              </w:rPr>
            </w:pPr>
            <w:r>
              <w:rPr>
                <w:rFonts w:ascii="Calibri" w:cs="Calibri" w:eastAsia="Calibri" w:hAnsi="Calibri"/>
                <w:sz w:val="17"/>
                <w:szCs w:val="17"/>
                <w:color w:val="auto"/>
              </w:rPr>
              <w:t>0</w:t>
            </w:r>
          </w:p>
        </w:tc>
        <w:tc>
          <w:tcPr>
            <w:tcW w:w="940" w:type="dxa"/>
            <w:vAlign w:val="bottom"/>
            <w:tcBorders>
              <w:bottom w:val="single" w:sz="8" w:color="E5F1F8"/>
            </w:tcBorders>
            <w:shd w:val="clear" w:color="auto" w:fill="E5F1F8"/>
          </w:tcPr>
          <w:p>
            <w:pPr>
              <w:jc w:val="center"/>
              <w:ind w:left="5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40" w:type="dxa"/>
            <w:vAlign w:val="bottom"/>
          </w:tcPr>
          <w:p>
            <w:pPr>
              <w:spacing w:after="0"/>
              <w:rPr>
                <w:sz w:val="16"/>
                <w:szCs w:val="16"/>
                <w:color w:val="auto"/>
              </w:rPr>
            </w:pPr>
          </w:p>
        </w:tc>
        <w:tc>
          <w:tcPr>
            <w:tcW w:w="700" w:type="dxa"/>
            <w:vAlign w:val="bottom"/>
          </w:tcPr>
          <w:p>
            <w:pPr>
              <w:jc w:val="center"/>
              <w:ind w:right="34"/>
              <w:spacing w:after="0" w:line="189" w:lineRule="exact"/>
              <w:rPr>
                <w:sz w:val="20"/>
                <w:szCs w:val="20"/>
                <w:color w:val="auto"/>
              </w:rPr>
            </w:pPr>
            <w:r>
              <w:rPr>
                <w:rFonts w:ascii="Calibri" w:cs="Calibri" w:eastAsia="Calibri" w:hAnsi="Calibri"/>
                <w:sz w:val="17"/>
                <w:szCs w:val="17"/>
                <w:color w:val="auto"/>
              </w:rPr>
              <w:t>410436</w:t>
            </w: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Webberville</w:t>
            </w:r>
          </w:p>
        </w:tc>
        <w:tc>
          <w:tcPr>
            <w:tcW w:w="700" w:type="dxa"/>
            <w:vAlign w:val="bottom"/>
          </w:tcPr>
          <w:p>
            <w:pPr>
              <w:jc w:val="center"/>
              <w:ind w:right="14"/>
              <w:spacing w:after="0" w:line="205" w:lineRule="exact"/>
              <w:rPr>
                <w:sz w:val="20"/>
                <w:szCs w:val="20"/>
                <w:color w:val="auto"/>
              </w:rPr>
            </w:pPr>
            <w:r>
              <w:rPr>
                <w:rFonts w:ascii="Calibri" w:cs="Calibri" w:eastAsia="Calibri" w:hAnsi="Calibri"/>
                <w:sz w:val="17"/>
                <w:szCs w:val="17"/>
                <w:color w:val="auto"/>
                <w:w w:val="92"/>
              </w:rPr>
              <w:t>3</w:t>
            </w:r>
          </w:p>
        </w:tc>
        <w:tc>
          <w:tcPr>
            <w:tcW w:w="620" w:type="dxa"/>
            <w:vAlign w:val="bottom"/>
          </w:tcPr>
          <w:p>
            <w:pPr>
              <w:jc w:val="center"/>
              <w:ind w:right="54"/>
              <w:spacing w:after="0" w:line="205" w:lineRule="exact"/>
              <w:rPr>
                <w:sz w:val="20"/>
                <w:szCs w:val="20"/>
                <w:color w:val="auto"/>
              </w:rPr>
            </w:pPr>
            <w:r>
              <w:rPr>
                <w:rFonts w:ascii="Calibri" w:cs="Calibri" w:eastAsia="Calibri" w:hAnsi="Calibri"/>
                <w:sz w:val="17"/>
                <w:szCs w:val="17"/>
                <w:color w:val="auto"/>
                <w:w w:val="92"/>
              </w:rPr>
              <w:t>1</w:t>
            </w:r>
          </w:p>
        </w:tc>
        <w:tc>
          <w:tcPr>
            <w:tcW w:w="600" w:type="dxa"/>
            <w:vAlign w:val="bottom"/>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4"/>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4"/>
              <w:spacing w:after="0" w:line="205" w:lineRule="exact"/>
              <w:rPr>
                <w:sz w:val="20"/>
                <w:szCs w:val="20"/>
                <w:color w:val="auto"/>
              </w:rPr>
            </w:pPr>
            <w:r>
              <w:rPr>
                <w:rFonts w:ascii="Calibri" w:cs="Calibri" w:eastAsia="Calibri" w:hAnsi="Calibri"/>
                <w:sz w:val="17"/>
                <w:szCs w:val="17"/>
                <w:color w:val="auto"/>
              </w:rPr>
              <w:t>0</w:t>
            </w:r>
          </w:p>
        </w:tc>
        <w:tc>
          <w:tcPr>
            <w:tcW w:w="24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62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747</w:t>
            </w:r>
          </w:p>
        </w:tc>
        <w:tc>
          <w:tcPr>
            <w:tcW w:w="1020" w:type="dxa"/>
            <w:vAlign w:val="bottom"/>
            <w:gridSpan w:val="2"/>
          </w:tcPr>
          <w:p>
            <w:pPr>
              <w:jc w:val="right"/>
              <w:ind w:right="290"/>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4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7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560" w:type="dxa"/>
            <w:vAlign w:val="bottom"/>
          </w:tcPr>
          <w:p>
            <w:pPr>
              <w:jc w:val="center"/>
              <w:ind w:left="14"/>
              <w:spacing w:after="0" w:line="205" w:lineRule="exact"/>
              <w:rPr>
                <w:sz w:val="20"/>
                <w:szCs w:val="20"/>
                <w:color w:val="auto"/>
              </w:rPr>
            </w:pPr>
            <w:r>
              <w:rPr>
                <w:rFonts w:ascii="Calibri" w:cs="Calibri" w:eastAsia="Calibri" w:hAnsi="Calibri"/>
                <w:sz w:val="17"/>
                <w:szCs w:val="17"/>
                <w:color w:val="auto"/>
              </w:rPr>
              <w:t>0</w:t>
            </w:r>
          </w:p>
        </w:tc>
        <w:tc>
          <w:tcPr>
            <w:tcW w:w="940" w:type="dxa"/>
            <w:vAlign w:val="bottom"/>
          </w:tcPr>
          <w:p>
            <w:pPr>
              <w:jc w:val="center"/>
              <w:ind w:left="5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189"/>
        </w:trPr>
        <w:tc>
          <w:tcPr>
            <w:tcW w:w="1740" w:type="dxa"/>
            <w:vAlign w:val="bottom"/>
            <w:shd w:val="clear" w:color="auto" w:fill="E5F1F8"/>
          </w:tcPr>
          <w:p>
            <w:pPr>
              <w:spacing w:after="0"/>
              <w:rPr>
                <w:sz w:val="16"/>
                <w:szCs w:val="16"/>
                <w:color w:val="auto"/>
              </w:rPr>
            </w:pPr>
          </w:p>
        </w:tc>
        <w:tc>
          <w:tcPr>
            <w:tcW w:w="700" w:type="dxa"/>
            <w:vAlign w:val="bottom"/>
            <w:shd w:val="clear" w:color="auto" w:fill="E5F1F8"/>
          </w:tcPr>
          <w:p>
            <w:pPr>
              <w:jc w:val="center"/>
              <w:ind w:right="34"/>
              <w:spacing w:after="0" w:line="189" w:lineRule="exact"/>
              <w:rPr>
                <w:sz w:val="20"/>
                <w:szCs w:val="20"/>
                <w:color w:val="auto"/>
              </w:rPr>
            </w:pPr>
            <w:r>
              <w:rPr>
                <w:rFonts w:ascii="Calibri" w:cs="Calibri" w:eastAsia="Calibri" w:hAnsi="Calibri"/>
                <w:sz w:val="17"/>
                <w:szCs w:val="17"/>
                <w:color w:val="auto"/>
              </w:rPr>
              <w:t>160107</w:t>
            </w:r>
          </w:p>
        </w:tc>
        <w:tc>
          <w:tcPr>
            <w:tcW w:w="6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500" w:type="dxa"/>
            <w:vAlign w:val="bottom"/>
            <w:shd w:val="clear" w:color="auto" w:fill="E5F1F8"/>
          </w:tcPr>
          <w:p>
            <w:pPr>
              <w:spacing w:after="0"/>
              <w:rPr>
                <w:sz w:val="16"/>
                <w:szCs w:val="16"/>
                <w:color w:val="auto"/>
              </w:rPr>
            </w:pPr>
          </w:p>
        </w:tc>
        <w:tc>
          <w:tcPr>
            <w:tcW w:w="240" w:type="dxa"/>
            <w:vAlign w:val="bottom"/>
            <w:shd w:val="clear" w:color="auto" w:fill="E5F1F8"/>
          </w:tcPr>
          <w:p>
            <w:pPr>
              <w:spacing w:after="0"/>
              <w:rPr>
                <w:sz w:val="16"/>
                <w:szCs w:val="16"/>
                <w:color w:val="auto"/>
              </w:rPr>
            </w:pPr>
          </w:p>
        </w:tc>
        <w:tc>
          <w:tcPr>
            <w:tcW w:w="620" w:type="dxa"/>
            <w:vAlign w:val="bottom"/>
            <w:shd w:val="clear" w:color="auto" w:fill="E5F1F8"/>
          </w:tcPr>
          <w:p>
            <w:pPr>
              <w:spacing w:after="0"/>
              <w:rPr>
                <w:sz w:val="16"/>
                <w:szCs w:val="16"/>
                <w:color w:val="auto"/>
              </w:rPr>
            </w:pPr>
          </w:p>
        </w:tc>
        <w:tc>
          <w:tcPr>
            <w:tcW w:w="10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560" w:type="dxa"/>
            <w:vAlign w:val="bottom"/>
            <w:shd w:val="clear" w:color="auto" w:fill="E5F1F8"/>
          </w:tcPr>
          <w:p>
            <w:pPr>
              <w:spacing w:after="0"/>
              <w:rPr>
                <w:sz w:val="16"/>
                <w:szCs w:val="16"/>
                <w:color w:val="auto"/>
              </w:rPr>
            </w:pPr>
          </w:p>
        </w:tc>
        <w:tc>
          <w:tcPr>
            <w:tcW w:w="940" w:type="dxa"/>
            <w:vAlign w:val="bottom"/>
            <w:shd w:val="clear" w:color="auto" w:fill="E5F1F8"/>
          </w:tcPr>
          <w:p>
            <w:pPr>
              <w:spacing w:after="0"/>
              <w:rPr>
                <w:sz w:val="16"/>
                <w:szCs w:val="16"/>
                <w:color w:val="auto"/>
              </w:rPr>
            </w:pPr>
          </w:p>
        </w:tc>
      </w:tr>
      <w:tr>
        <w:trPr>
          <w:trHeight w:val="223"/>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Woodworth Aggregates</w:t>
            </w:r>
          </w:p>
        </w:tc>
        <w:tc>
          <w:tcPr>
            <w:tcW w:w="700" w:type="dxa"/>
            <w:vAlign w:val="bottom"/>
            <w:tcBorders>
              <w:bottom w:val="single" w:sz="8" w:color="E5F1F8"/>
            </w:tcBorders>
            <w:shd w:val="clear" w:color="auto" w:fill="E5F1F8"/>
          </w:tcPr>
          <w:p>
            <w:pPr>
              <w:jc w:val="center"/>
              <w:ind w:right="14"/>
              <w:spacing w:after="0" w:line="205" w:lineRule="exact"/>
              <w:rPr>
                <w:sz w:val="20"/>
                <w:szCs w:val="20"/>
                <w:color w:val="auto"/>
              </w:rPr>
            </w:pPr>
            <w:r>
              <w:rPr>
                <w:rFonts w:ascii="Calibri" w:cs="Calibri" w:eastAsia="Calibri" w:hAnsi="Calibri"/>
                <w:sz w:val="17"/>
                <w:szCs w:val="17"/>
                <w:color w:val="auto"/>
                <w:w w:val="92"/>
              </w:rPr>
              <w:t>0</w:t>
            </w:r>
          </w:p>
        </w:tc>
        <w:tc>
          <w:tcPr>
            <w:tcW w:w="620" w:type="dxa"/>
            <w:vAlign w:val="bottom"/>
            <w:tcBorders>
              <w:bottom w:val="single" w:sz="8" w:color="E5F1F8"/>
            </w:tcBorders>
            <w:shd w:val="clear" w:color="auto" w:fill="E5F1F8"/>
          </w:tcPr>
          <w:p>
            <w:pPr>
              <w:jc w:val="center"/>
              <w:ind w:right="54"/>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Borders>
              <w:bottom w:val="single" w:sz="8" w:color="E5F1F8"/>
            </w:tcBorders>
            <w:shd w:val="clear" w:color="auto" w:fill="E5F1F8"/>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4"/>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4"/>
              <w:spacing w:after="0" w:line="205" w:lineRule="exact"/>
              <w:rPr>
                <w:sz w:val="20"/>
                <w:szCs w:val="20"/>
                <w:color w:val="auto"/>
              </w:rPr>
            </w:pPr>
            <w:r>
              <w:rPr>
                <w:rFonts w:ascii="Calibri" w:cs="Calibri" w:eastAsia="Calibri" w:hAnsi="Calibri"/>
                <w:sz w:val="17"/>
                <w:szCs w:val="17"/>
                <w:color w:val="auto"/>
              </w:rPr>
              <w:t>0</w:t>
            </w:r>
          </w:p>
        </w:tc>
        <w:tc>
          <w:tcPr>
            <w:tcW w:w="24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62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1020" w:type="dxa"/>
            <w:vAlign w:val="bottom"/>
            <w:tcBorders>
              <w:bottom w:val="single" w:sz="8" w:color="E5F1F8"/>
            </w:tcBorders>
            <w:gridSpan w:val="2"/>
            <w:shd w:val="clear" w:color="auto" w:fill="E5F1F8"/>
          </w:tcPr>
          <w:p>
            <w:pPr>
              <w:jc w:val="right"/>
              <w:ind w:right="290"/>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4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7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560" w:type="dxa"/>
            <w:vAlign w:val="bottom"/>
            <w:tcBorders>
              <w:bottom w:val="single" w:sz="8" w:color="E5F1F8"/>
            </w:tcBorders>
            <w:shd w:val="clear" w:color="auto" w:fill="E5F1F8"/>
          </w:tcPr>
          <w:p>
            <w:pPr>
              <w:jc w:val="center"/>
              <w:ind w:left="14"/>
              <w:spacing w:after="0" w:line="205" w:lineRule="exact"/>
              <w:rPr>
                <w:sz w:val="20"/>
                <w:szCs w:val="20"/>
                <w:color w:val="auto"/>
              </w:rPr>
            </w:pPr>
            <w:r>
              <w:rPr>
                <w:rFonts w:ascii="Calibri" w:cs="Calibri" w:eastAsia="Calibri" w:hAnsi="Calibri"/>
                <w:sz w:val="17"/>
                <w:szCs w:val="17"/>
                <w:color w:val="auto"/>
              </w:rPr>
              <w:t>0</w:t>
            </w:r>
          </w:p>
        </w:tc>
        <w:tc>
          <w:tcPr>
            <w:tcW w:w="940" w:type="dxa"/>
            <w:vAlign w:val="bottom"/>
            <w:tcBorders>
              <w:bottom w:val="single" w:sz="8" w:color="E5F1F8"/>
            </w:tcBorders>
            <w:shd w:val="clear" w:color="auto" w:fill="E5F1F8"/>
          </w:tcPr>
          <w:p>
            <w:pPr>
              <w:jc w:val="center"/>
              <w:ind w:left="54"/>
              <w:spacing w:after="0" w:line="205" w:lineRule="exact"/>
              <w:rPr>
                <w:sz w:val="20"/>
                <w:szCs w:val="20"/>
                <w:color w:val="auto"/>
              </w:rPr>
            </w:pPr>
            <w:r>
              <w:rPr>
                <w:rFonts w:ascii="Calibri" w:cs="Calibri" w:eastAsia="Calibri" w:hAnsi="Calibri"/>
                <w:sz w:val="17"/>
                <w:szCs w:val="17"/>
                <w:color w:val="auto"/>
                <w:w w:val="92"/>
              </w:rPr>
              <w:t>0</w:t>
            </w:r>
          </w:p>
        </w:tc>
      </w:tr>
      <w:tr>
        <w:trPr>
          <w:trHeight w:val="189"/>
        </w:trPr>
        <w:tc>
          <w:tcPr>
            <w:tcW w:w="1740" w:type="dxa"/>
            <w:vAlign w:val="bottom"/>
          </w:tcPr>
          <w:p>
            <w:pPr>
              <w:ind w:left="20"/>
              <w:spacing w:after="0" w:line="189" w:lineRule="exact"/>
              <w:rPr>
                <w:sz w:val="20"/>
                <w:szCs w:val="20"/>
                <w:color w:val="auto"/>
              </w:rPr>
            </w:pPr>
            <w:r>
              <w:rPr>
                <w:rFonts w:ascii="Calibri" w:cs="Calibri" w:eastAsia="Calibri" w:hAnsi="Calibri"/>
                <w:sz w:val="17"/>
                <w:szCs w:val="17"/>
                <w:color w:val="auto"/>
              </w:rPr>
              <w:t>Geology and</w:t>
            </w: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4"/>
        </w:trPr>
        <w:tc>
          <w:tcPr>
            <w:tcW w:w="1740" w:type="dxa"/>
            <w:vAlign w:val="bottom"/>
          </w:tcPr>
          <w:p>
            <w:pPr>
              <w:ind w:left="20"/>
              <w:spacing w:after="0" w:line="205" w:lineRule="exact"/>
              <w:rPr>
                <w:sz w:val="20"/>
                <w:szCs w:val="20"/>
                <w:color w:val="auto"/>
              </w:rPr>
            </w:pPr>
            <w:r>
              <w:rPr>
                <w:rFonts w:ascii="Calibri" w:cs="Calibri" w:eastAsia="Calibri" w:hAnsi="Calibri"/>
                <w:sz w:val="17"/>
                <w:szCs w:val="17"/>
                <w:color w:val="auto"/>
              </w:rPr>
              <w:t>Exploraton</w:t>
            </w:r>
          </w:p>
        </w:tc>
        <w:tc>
          <w:tcPr>
            <w:tcW w:w="700" w:type="dxa"/>
            <w:vAlign w:val="bottom"/>
          </w:tcPr>
          <w:p>
            <w:pPr>
              <w:jc w:val="center"/>
              <w:ind w:right="14"/>
              <w:spacing w:after="0" w:line="205" w:lineRule="exact"/>
              <w:rPr>
                <w:sz w:val="20"/>
                <w:szCs w:val="20"/>
                <w:color w:val="auto"/>
              </w:rPr>
            </w:pPr>
            <w:r>
              <w:rPr>
                <w:rFonts w:ascii="Calibri" w:cs="Calibri" w:eastAsia="Calibri" w:hAnsi="Calibri"/>
                <w:sz w:val="17"/>
                <w:szCs w:val="17"/>
                <w:color w:val="auto"/>
              </w:rPr>
              <w:t>B7137</w:t>
            </w:r>
          </w:p>
        </w:tc>
        <w:tc>
          <w:tcPr>
            <w:tcW w:w="620" w:type="dxa"/>
            <w:vAlign w:val="bottom"/>
          </w:tcPr>
          <w:p>
            <w:pPr>
              <w:jc w:val="center"/>
              <w:ind w:right="54"/>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Pr>
          <w:p>
            <w:pPr>
              <w:jc w:val="right"/>
              <w:ind w:right="254"/>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Pr>
          <w:p>
            <w:pPr>
              <w:jc w:val="right"/>
              <w:ind w:right="34"/>
              <w:spacing w:after="0" w:line="205" w:lineRule="exact"/>
              <w:rPr>
                <w:sz w:val="20"/>
                <w:szCs w:val="20"/>
                <w:color w:val="auto"/>
              </w:rPr>
            </w:pPr>
            <w:r>
              <w:rPr>
                <w:rFonts w:ascii="Calibri" w:cs="Calibri" w:eastAsia="Calibri" w:hAnsi="Calibri"/>
                <w:sz w:val="17"/>
                <w:szCs w:val="17"/>
                <w:color w:val="auto"/>
              </w:rPr>
              <w:t>0</w:t>
            </w:r>
          </w:p>
        </w:tc>
        <w:tc>
          <w:tcPr>
            <w:tcW w:w="24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620" w:type="dxa"/>
            <w:vAlign w:val="bottom"/>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1020" w:type="dxa"/>
            <w:vAlign w:val="bottom"/>
            <w:gridSpan w:val="2"/>
          </w:tcPr>
          <w:p>
            <w:pPr>
              <w:jc w:val="right"/>
              <w:ind w:right="290"/>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Pr>
          <w:p>
            <w:pPr>
              <w:ind w:left="360"/>
              <w:spacing w:after="0" w:line="205" w:lineRule="exact"/>
              <w:rPr>
                <w:sz w:val="20"/>
                <w:szCs w:val="20"/>
                <w:color w:val="auto"/>
              </w:rPr>
            </w:pPr>
            <w:r>
              <w:rPr>
                <w:rFonts w:ascii="Calibri" w:cs="Calibri" w:eastAsia="Calibri" w:hAnsi="Calibri"/>
                <w:sz w:val="17"/>
                <w:szCs w:val="17"/>
                <w:color w:val="auto"/>
              </w:rPr>
              <w:t>no</w:t>
            </w:r>
          </w:p>
        </w:tc>
        <w:tc>
          <w:tcPr>
            <w:tcW w:w="740" w:type="dxa"/>
            <w:vAlign w:val="bottom"/>
          </w:tcPr>
          <w:p>
            <w:pPr>
              <w:ind w:left="300"/>
              <w:spacing w:after="0" w:line="205" w:lineRule="exact"/>
              <w:rPr>
                <w:sz w:val="20"/>
                <w:szCs w:val="20"/>
                <w:color w:val="auto"/>
              </w:rPr>
            </w:pPr>
            <w:r>
              <w:rPr>
                <w:rFonts w:ascii="Calibri" w:cs="Calibri" w:eastAsia="Calibri" w:hAnsi="Calibri"/>
                <w:sz w:val="17"/>
                <w:szCs w:val="17"/>
                <w:color w:val="auto"/>
              </w:rPr>
              <w:t>no</w:t>
            </w:r>
          </w:p>
        </w:tc>
        <w:tc>
          <w:tcPr>
            <w:tcW w:w="7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560" w:type="dxa"/>
            <w:vAlign w:val="bottom"/>
          </w:tcPr>
          <w:p>
            <w:pPr>
              <w:jc w:val="center"/>
              <w:ind w:left="14"/>
              <w:spacing w:after="0" w:line="205" w:lineRule="exact"/>
              <w:rPr>
                <w:sz w:val="20"/>
                <w:szCs w:val="20"/>
                <w:color w:val="auto"/>
              </w:rPr>
            </w:pPr>
            <w:r>
              <w:rPr>
                <w:rFonts w:ascii="Calibri" w:cs="Calibri" w:eastAsia="Calibri" w:hAnsi="Calibri"/>
                <w:sz w:val="17"/>
                <w:szCs w:val="17"/>
                <w:color w:val="auto"/>
              </w:rPr>
              <w:t>0</w:t>
            </w:r>
          </w:p>
        </w:tc>
        <w:tc>
          <w:tcPr>
            <w:tcW w:w="940" w:type="dxa"/>
            <w:vAlign w:val="bottom"/>
          </w:tcPr>
          <w:p>
            <w:pPr>
              <w:jc w:val="center"/>
              <w:ind w:left="54"/>
              <w:spacing w:after="0" w:line="205" w:lineRule="exact"/>
              <w:rPr>
                <w:sz w:val="20"/>
                <w:szCs w:val="20"/>
                <w:color w:val="auto"/>
              </w:rPr>
            </w:pPr>
            <w:r>
              <w:rPr>
                <w:rFonts w:ascii="Calibri" w:cs="Calibri" w:eastAsia="Calibri" w:hAnsi="Calibri"/>
                <w:sz w:val="17"/>
                <w:szCs w:val="17"/>
                <w:color w:val="auto"/>
                <w:w w:val="92"/>
              </w:rPr>
              <w:t>0</w:t>
            </w:r>
          </w:p>
        </w:tc>
      </w:tr>
      <w:tr>
        <w:trPr>
          <w:trHeight w:val="39"/>
        </w:trPr>
        <w:tc>
          <w:tcPr>
            <w:tcW w:w="1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10"/>
        </w:trPr>
        <w:tc>
          <w:tcPr>
            <w:tcW w:w="1740" w:type="dxa"/>
            <w:vAlign w:val="bottom"/>
            <w:tcBorders>
              <w:bottom w:val="single" w:sz="8" w:color="E5F1F8"/>
            </w:tcBorders>
            <w:shd w:val="clear" w:color="auto" w:fill="E5F1F8"/>
          </w:tcPr>
          <w:p>
            <w:pPr>
              <w:ind w:left="20"/>
              <w:spacing w:after="0" w:line="205" w:lineRule="exact"/>
              <w:rPr>
                <w:sz w:val="20"/>
                <w:szCs w:val="20"/>
                <w:color w:val="auto"/>
              </w:rPr>
            </w:pPr>
            <w:r>
              <w:rPr>
                <w:rFonts w:ascii="Calibri" w:cs="Calibri" w:eastAsia="Calibri" w:hAnsi="Calibri"/>
                <w:sz w:val="17"/>
                <w:szCs w:val="17"/>
                <w:color w:val="auto"/>
              </w:rPr>
              <w:t>Salisbury Shop</w:t>
            </w:r>
          </w:p>
        </w:tc>
        <w:tc>
          <w:tcPr>
            <w:tcW w:w="700" w:type="dxa"/>
            <w:vAlign w:val="bottom"/>
            <w:tcBorders>
              <w:bottom w:val="single" w:sz="8" w:color="E5F1F8"/>
            </w:tcBorders>
            <w:shd w:val="clear" w:color="auto" w:fill="E5F1F8"/>
          </w:tcPr>
          <w:p>
            <w:pPr>
              <w:jc w:val="center"/>
              <w:ind w:right="14"/>
              <w:spacing w:after="0" w:line="205" w:lineRule="exact"/>
              <w:rPr>
                <w:sz w:val="20"/>
                <w:szCs w:val="20"/>
                <w:color w:val="auto"/>
              </w:rPr>
            </w:pPr>
            <w:r>
              <w:rPr>
                <w:rFonts w:ascii="Calibri" w:cs="Calibri" w:eastAsia="Calibri" w:hAnsi="Calibri"/>
                <w:sz w:val="17"/>
                <w:szCs w:val="17"/>
                <w:color w:val="auto"/>
              </w:rPr>
              <w:t>B9338</w:t>
            </w:r>
          </w:p>
        </w:tc>
        <w:tc>
          <w:tcPr>
            <w:tcW w:w="620" w:type="dxa"/>
            <w:vAlign w:val="bottom"/>
            <w:tcBorders>
              <w:bottom w:val="single" w:sz="8" w:color="E5F1F8"/>
            </w:tcBorders>
            <w:shd w:val="clear" w:color="auto" w:fill="E5F1F8"/>
          </w:tcPr>
          <w:p>
            <w:pPr>
              <w:jc w:val="center"/>
              <w:ind w:right="54"/>
              <w:spacing w:after="0" w:line="205" w:lineRule="exact"/>
              <w:rPr>
                <w:sz w:val="20"/>
                <w:szCs w:val="20"/>
                <w:color w:val="auto"/>
              </w:rPr>
            </w:pPr>
            <w:r>
              <w:rPr>
                <w:rFonts w:ascii="Calibri" w:cs="Calibri" w:eastAsia="Calibri" w:hAnsi="Calibri"/>
                <w:sz w:val="17"/>
                <w:szCs w:val="17"/>
                <w:color w:val="auto"/>
                <w:w w:val="92"/>
              </w:rPr>
              <w:t>0</w:t>
            </w:r>
          </w:p>
        </w:tc>
        <w:tc>
          <w:tcPr>
            <w:tcW w:w="600" w:type="dxa"/>
            <w:vAlign w:val="bottom"/>
            <w:tcBorders>
              <w:bottom w:val="single" w:sz="8" w:color="E5F1F8"/>
            </w:tcBorders>
            <w:shd w:val="clear" w:color="auto" w:fill="E5F1F8"/>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700" w:type="dxa"/>
            <w:vAlign w:val="bottom"/>
            <w:tcBorders>
              <w:bottom w:val="single" w:sz="8" w:color="E5F1F8"/>
            </w:tcBorders>
            <w:shd w:val="clear" w:color="auto" w:fill="E5F1F8"/>
          </w:tcPr>
          <w:p>
            <w:pPr>
              <w:jc w:val="right"/>
              <w:ind w:right="254"/>
              <w:spacing w:after="0" w:line="205" w:lineRule="exact"/>
              <w:rPr>
                <w:sz w:val="20"/>
                <w:szCs w:val="20"/>
                <w:color w:val="auto"/>
              </w:rPr>
            </w:pPr>
            <w:r>
              <w:rPr>
                <w:rFonts w:ascii="Calibri" w:cs="Calibri" w:eastAsia="Calibri" w:hAnsi="Calibri"/>
                <w:sz w:val="17"/>
                <w:szCs w:val="17"/>
                <w:color w:val="auto"/>
              </w:rPr>
              <w:t>0</w:t>
            </w:r>
          </w:p>
        </w:tc>
        <w:tc>
          <w:tcPr>
            <w:tcW w:w="720" w:type="dxa"/>
            <w:vAlign w:val="bottom"/>
            <w:tcBorders>
              <w:bottom w:val="single" w:sz="8" w:color="E5F1F8"/>
            </w:tcBorders>
            <w:shd w:val="clear" w:color="auto" w:fill="E5F1F8"/>
          </w:tcPr>
          <w:p>
            <w:pPr>
              <w:jc w:val="right"/>
              <w:ind w:right="214"/>
              <w:spacing w:after="0" w:line="205" w:lineRule="exact"/>
              <w:rPr>
                <w:sz w:val="20"/>
                <w:szCs w:val="20"/>
                <w:color w:val="auto"/>
              </w:rPr>
            </w:pPr>
            <w:r>
              <w:rPr>
                <w:rFonts w:ascii="Calibri" w:cs="Calibri" w:eastAsia="Calibri" w:hAnsi="Calibri"/>
                <w:sz w:val="17"/>
                <w:szCs w:val="17"/>
                <w:color w:val="auto"/>
              </w:rPr>
              <w:t>0</w:t>
            </w:r>
          </w:p>
        </w:tc>
        <w:tc>
          <w:tcPr>
            <w:tcW w:w="500" w:type="dxa"/>
            <w:vAlign w:val="bottom"/>
            <w:tcBorders>
              <w:bottom w:val="single" w:sz="8" w:color="E5F1F8"/>
            </w:tcBorders>
            <w:shd w:val="clear" w:color="auto" w:fill="E5F1F8"/>
          </w:tcPr>
          <w:p>
            <w:pPr>
              <w:jc w:val="right"/>
              <w:ind w:right="34"/>
              <w:spacing w:after="0" w:line="205" w:lineRule="exact"/>
              <w:rPr>
                <w:sz w:val="20"/>
                <w:szCs w:val="20"/>
                <w:color w:val="auto"/>
              </w:rPr>
            </w:pPr>
            <w:r>
              <w:rPr>
                <w:rFonts w:ascii="Calibri" w:cs="Calibri" w:eastAsia="Calibri" w:hAnsi="Calibri"/>
                <w:sz w:val="17"/>
                <w:szCs w:val="17"/>
                <w:color w:val="auto"/>
              </w:rPr>
              <w:t>0</w:t>
            </w:r>
          </w:p>
        </w:tc>
        <w:tc>
          <w:tcPr>
            <w:tcW w:w="24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620" w:type="dxa"/>
            <w:vAlign w:val="bottom"/>
            <w:tcBorders>
              <w:bottom w:val="single" w:sz="8" w:color="E5F1F8"/>
            </w:tcBorders>
            <w:shd w:val="clear" w:color="auto" w:fill="E5F1F8"/>
          </w:tcPr>
          <w:p>
            <w:pPr>
              <w:jc w:val="right"/>
              <w:spacing w:after="0" w:line="205" w:lineRule="exact"/>
              <w:rPr>
                <w:sz w:val="20"/>
                <w:szCs w:val="20"/>
                <w:color w:val="auto"/>
              </w:rPr>
            </w:pPr>
            <w:r>
              <w:rPr>
                <w:rFonts w:ascii="Calibri" w:cs="Calibri" w:eastAsia="Calibri" w:hAnsi="Calibri"/>
                <w:sz w:val="17"/>
                <w:szCs w:val="17"/>
                <w:b w:val="1"/>
                <w:bCs w:val="1"/>
                <w:color w:val="auto"/>
              </w:rPr>
              <w:t>—</w:t>
            </w:r>
          </w:p>
        </w:tc>
        <w:tc>
          <w:tcPr>
            <w:tcW w:w="1020" w:type="dxa"/>
            <w:vAlign w:val="bottom"/>
            <w:tcBorders>
              <w:bottom w:val="single" w:sz="8" w:color="E5F1F8"/>
            </w:tcBorders>
            <w:gridSpan w:val="2"/>
            <w:shd w:val="clear" w:color="auto" w:fill="E5F1F8"/>
          </w:tcPr>
          <w:p>
            <w:pPr>
              <w:jc w:val="right"/>
              <w:ind w:right="290"/>
              <w:spacing w:after="0" w:line="205" w:lineRule="exact"/>
              <w:rPr>
                <w:sz w:val="20"/>
                <w:szCs w:val="20"/>
                <w:color w:val="auto"/>
              </w:rPr>
            </w:pPr>
            <w:r>
              <w:rPr>
                <w:rFonts w:ascii="Calibri" w:cs="Calibri" w:eastAsia="Calibri" w:hAnsi="Calibri"/>
                <w:sz w:val="17"/>
                <w:szCs w:val="17"/>
                <w:color w:val="auto"/>
              </w:rPr>
              <w:t>0</w:t>
            </w:r>
          </w:p>
        </w:tc>
        <w:tc>
          <w:tcPr>
            <w:tcW w:w="840" w:type="dxa"/>
            <w:vAlign w:val="bottom"/>
            <w:tcBorders>
              <w:bottom w:val="single" w:sz="8" w:color="E5F1F8"/>
            </w:tcBorders>
            <w:shd w:val="clear" w:color="auto" w:fill="E5F1F8"/>
          </w:tcPr>
          <w:p>
            <w:pPr>
              <w:ind w:left="360"/>
              <w:spacing w:after="0" w:line="205" w:lineRule="exact"/>
              <w:rPr>
                <w:sz w:val="20"/>
                <w:szCs w:val="20"/>
                <w:color w:val="auto"/>
              </w:rPr>
            </w:pPr>
            <w:r>
              <w:rPr>
                <w:rFonts w:ascii="Calibri" w:cs="Calibri" w:eastAsia="Calibri" w:hAnsi="Calibri"/>
                <w:sz w:val="17"/>
                <w:szCs w:val="17"/>
                <w:color w:val="auto"/>
              </w:rPr>
              <w:t>no</w:t>
            </w:r>
          </w:p>
        </w:tc>
        <w:tc>
          <w:tcPr>
            <w:tcW w:w="740" w:type="dxa"/>
            <w:vAlign w:val="bottom"/>
            <w:tcBorders>
              <w:bottom w:val="single" w:sz="8" w:color="E5F1F8"/>
            </w:tcBorders>
            <w:shd w:val="clear" w:color="auto" w:fill="E5F1F8"/>
          </w:tcPr>
          <w:p>
            <w:pPr>
              <w:ind w:left="300"/>
              <w:spacing w:after="0" w:line="205" w:lineRule="exact"/>
              <w:rPr>
                <w:sz w:val="20"/>
                <w:szCs w:val="20"/>
                <w:color w:val="auto"/>
              </w:rPr>
            </w:pPr>
            <w:r>
              <w:rPr>
                <w:rFonts w:ascii="Calibri" w:cs="Calibri" w:eastAsia="Calibri" w:hAnsi="Calibri"/>
                <w:sz w:val="17"/>
                <w:szCs w:val="17"/>
                <w:color w:val="auto"/>
              </w:rPr>
              <w:t>no</w:t>
            </w:r>
          </w:p>
        </w:tc>
        <w:tc>
          <w:tcPr>
            <w:tcW w:w="700" w:type="dxa"/>
            <w:vAlign w:val="bottom"/>
            <w:tcBorders>
              <w:bottom w:val="single" w:sz="8" w:color="E5F1F8"/>
            </w:tcBorders>
            <w:shd w:val="clear" w:color="auto" w:fill="E5F1F8"/>
          </w:tcPr>
          <w:p>
            <w:pPr>
              <w:jc w:val="center"/>
              <w:spacing w:after="0" w:line="205" w:lineRule="exact"/>
              <w:rPr>
                <w:sz w:val="20"/>
                <w:szCs w:val="20"/>
                <w:color w:val="auto"/>
              </w:rPr>
            </w:pPr>
            <w:r>
              <w:rPr>
                <w:rFonts w:ascii="Calibri" w:cs="Calibri" w:eastAsia="Calibri" w:hAnsi="Calibri"/>
                <w:sz w:val="17"/>
                <w:szCs w:val="17"/>
                <w:color w:val="auto"/>
                <w:w w:val="92"/>
              </w:rPr>
              <w:t>0</w:t>
            </w:r>
          </w:p>
        </w:tc>
        <w:tc>
          <w:tcPr>
            <w:tcW w:w="560" w:type="dxa"/>
            <w:vAlign w:val="bottom"/>
            <w:tcBorders>
              <w:bottom w:val="single" w:sz="8" w:color="E5F1F8"/>
            </w:tcBorders>
            <w:shd w:val="clear" w:color="auto" w:fill="E5F1F8"/>
          </w:tcPr>
          <w:p>
            <w:pPr>
              <w:jc w:val="center"/>
              <w:ind w:left="14"/>
              <w:spacing w:after="0" w:line="205" w:lineRule="exact"/>
              <w:rPr>
                <w:sz w:val="20"/>
                <w:szCs w:val="20"/>
                <w:color w:val="auto"/>
              </w:rPr>
            </w:pPr>
            <w:r>
              <w:rPr>
                <w:rFonts w:ascii="Calibri" w:cs="Calibri" w:eastAsia="Calibri" w:hAnsi="Calibri"/>
                <w:sz w:val="17"/>
                <w:szCs w:val="17"/>
                <w:color w:val="auto"/>
              </w:rPr>
              <w:t>0</w:t>
            </w:r>
          </w:p>
        </w:tc>
        <w:tc>
          <w:tcPr>
            <w:tcW w:w="940" w:type="dxa"/>
            <w:vAlign w:val="bottom"/>
            <w:tcBorders>
              <w:bottom w:val="single" w:sz="8" w:color="E5F1F8"/>
            </w:tcBorders>
            <w:shd w:val="clear" w:color="auto" w:fill="E5F1F8"/>
          </w:tcPr>
          <w:p>
            <w:pPr>
              <w:jc w:val="center"/>
              <w:ind w:left="54"/>
              <w:spacing w:after="0" w:line="205" w:lineRule="exact"/>
              <w:rPr>
                <w:sz w:val="20"/>
                <w:szCs w:val="20"/>
                <w:color w:val="auto"/>
              </w:rPr>
            </w:pPr>
            <w:r>
              <w:rPr>
                <w:rFonts w:ascii="Calibri" w:cs="Calibri" w:eastAsia="Calibri" w:hAnsi="Calibri"/>
                <w:sz w:val="17"/>
                <w:szCs w:val="17"/>
                <w:color w:val="auto"/>
                <w:w w:val="92"/>
              </w:rPr>
              <w:t>0</w:t>
            </w:r>
          </w:p>
        </w:tc>
      </w:tr>
      <w:tr>
        <w:trPr>
          <w:trHeight w:val="207"/>
        </w:trPr>
        <w:tc>
          <w:tcPr>
            <w:tcW w:w="1740" w:type="dxa"/>
            <w:vAlign w:val="bottom"/>
          </w:tcPr>
          <w:p>
            <w:pPr>
              <w:spacing w:after="0"/>
              <w:rPr>
                <w:sz w:val="18"/>
                <w:szCs w:val="18"/>
                <w:color w:val="auto"/>
              </w:rPr>
            </w:pPr>
          </w:p>
        </w:tc>
        <w:tc>
          <w:tcPr>
            <w:tcW w:w="700" w:type="dxa"/>
            <w:vAlign w:val="bottom"/>
          </w:tcPr>
          <w:p>
            <w:pPr>
              <w:jc w:val="center"/>
              <w:ind w:right="34"/>
              <w:spacing w:after="0" w:line="207" w:lineRule="exact"/>
              <w:rPr>
                <w:sz w:val="20"/>
                <w:szCs w:val="20"/>
                <w:color w:val="auto"/>
              </w:rPr>
            </w:pPr>
            <w:r>
              <w:rPr>
                <w:rFonts w:ascii="Calibri" w:cs="Calibri" w:eastAsia="Calibri" w:hAnsi="Calibri"/>
                <w:sz w:val="18"/>
                <w:szCs w:val="18"/>
                <w:color w:val="auto"/>
                <w:w w:val="98"/>
              </w:rPr>
              <w:t>330015</w:t>
            </w: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5"/>
        </w:trPr>
        <w:tc>
          <w:tcPr>
            <w:tcW w:w="1740" w:type="dxa"/>
            <w:vAlign w:val="bottom"/>
          </w:tcPr>
          <w:p>
            <w:pPr>
              <w:ind w:left="20"/>
              <w:spacing w:after="0" w:line="215" w:lineRule="exact"/>
              <w:rPr>
                <w:sz w:val="20"/>
                <w:szCs w:val="20"/>
                <w:color w:val="auto"/>
              </w:rPr>
            </w:pPr>
            <w:r>
              <w:rPr>
                <w:rFonts w:ascii="Calibri" w:cs="Calibri" w:eastAsia="Calibri" w:hAnsi="Calibri"/>
                <w:sz w:val="18"/>
                <w:szCs w:val="18"/>
                <w:color w:val="auto"/>
              </w:rPr>
              <w:t>Woodville  Stone</w:t>
            </w:r>
          </w:p>
        </w:tc>
        <w:tc>
          <w:tcPr>
            <w:tcW w:w="700" w:type="dxa"/>
            <w:vAlign w:val="bottom"/>
          </w:tcPr>
          <w:p>
            <w:pPr>
              <w:jc w:val="center"/>
              <w:ind w:right="14"/>
              <w:spacing w:after="0" w:line="215" w:lineRule="exact"/>
              <w:rPr>
                <w:sz w:val="20"/>
                <w:szCs w:val="20"/>
                <w:color w:val="auto"/>
              </w:rPr>
            </w:pPr>
            <w:r>
              <w:rPr>
                <w:rFonts w:ascii="Calibri" w:cs="Calibri" w:eastAsia="Calibri" w:hAnsi="Calibri"/>
                <w:sz w:val="18"/>
                <w:szCs w:val="18"/>
                <w:color w:val="auto"/>
                <w:w w:val="87"/>
              </w:rPr>
              <w:t>6</w:t>
            </w:r>
          </w:p>
        </w:tc>
        <w:tc>
          <w:tcPr>
            <w:tcW w:w="620" w:type="dxa"/>
            <w:vAlign w:val="bottom"/>
          </w:tcPr>
          <w:p>
            <w:pPr>
              <w:jc w:val="center"/>
              <w:ind w:right="34"/>
              <w:spacing w:after="0" w:line="215" w:lineRule="exact"/>
              <w:rPr>
                <w:sz w:val="20"/>
                <w:szCs w:val="20"/>
                <w:color w:val="auto"/>
              </w:rPr>
            </w:pPr>
            <w:r>
              <w:rPr>
                <w:rFonts w:ascii="Calibri" w:cs="Calibri" w:eastAsia="Calibri" w:hAnsi="Calibri"/>
                <w:sz w:val="18"/>
                <w:szCs w:val="18"/>
                <w:color w:val="auto"/>
              </w:rPr>
              <w:t>5</w:t>
            </w:r>
          </w:p>
        </w:tc>
        <w:tc>
          <w:tcPr>
            <w:tcW w:w="600" w:type="dxa"/>
            <w:vAlign w:val="bottom"/>
          </w:tcPr>
          <w:p>
            <w:pPr>
              <w:jc w:val="right"/>
              <w:ind w:right="214"/>
              <w:spacing w:after="0" w:line="215" w:lineRule="exact"/>
              <w:rPr>
                <w:sz w:val="20"/>
                <w:szCs w:val="20"/>
                <w:color w:val="auto"/>
              </w:rPr>
            </w:pPr>
            <w:r>
              <w:rPr>
                <w:rFonts w:ascii="Calibri" w:cs="Calibri" w:eastAsia="Calibri" w:hAnsi="Calibri"/>
                <w:sz w:val="18"/>
                <w:szCs w:val="18"/>
                <w:color w:val="auto"/>
              </w:rPr>
              <w:t>0</w:t>
            </w:r>
          </w:p>
        </w:tc>
        <w:tc>
          <w:tcPr>
            <w:tcW w:w="700" w:type="dxa"/>
            <w:vAlign w:val="bottom"/>
          </w:tcPr>
          <w:p>
            <w:pPr>
              <w:jc w:val="right"/>
              <w:ind w:right="234"/>
              <w:spacing w:after="0" w:line="215" w:lineRule="exact"/>
              <w:rPr>
                <w:sz w:val="20"/>
                <w:szCs w:val="20"/>
                <w:color w:val="auto"/>
              </w:rPr>
            </w:pPr>
            <w:r>
              <w:rPr>
                <w:rFonts w:ascii="Calibri" w:cs="Calibri" w:eastAsia="Calibri" w:hAnsi="Calibri"/>
                <w:sz w:val="18"/>
                <w:szCs w:val="18"/>
                <w:color w:val="auto"/>
              </w:rPr>
              <w:t>0</w:t>
            </w:r>
          </w:p>
        </w:tc>
        <w:tc>
          <w:tcPr>
            <w:tcW w:w="720" w:type="dxa"/>
            <w:vAlign w:val="bottom"/>
          </w:tcPr>
          <w:p>
            <w:pPr>
              <w:jc w:val="right"/>
              <w:ind w:right="214"/>
              <w:spacing w:after="0" w:line="215" w:lineRule="exact"/>
              <w:rPr>
                <w:sz w:val="20"/>
                <w:szCs w:val="20"/>
                <w:color w:val="auto"/>
              </w:rPr>
            </w:pPr>
            <w:r>
              <w:rPr>
                <w:rFonts w:ascii="Calibri" w:cs="Calibri" w:eastAsia="Calibri" w:hAnsi="Calibri"/>
                <w:sz w:val="18"/>
                <w:szCs w:val="18"/>
                <w:color w:val="auto"/>
              </w:rPr>
              <w:t>0</w:t>
            </w:r>
          </w:p>
        </w:tc>
        <w:tc>
          <w:tcPr>
            <w:tcW w:w="500" w:type="dxa"/>
            <w:vAlign w:val="bottom"/>
          </w:tcPr>
          <w:p>
            <w:pPr>
              <w:jc w:val="right"/>
              <w:ind w:right="34"/>
              <w:spacing w:after="0" w:line="215" w:lineRule="exact"/>
              <w:rPr>
                <w:sz w:val="20"/>
                <w:szCs w:val="20"/>
                <w:color w:val="auto"/>
              </w:rPr>
            </w:pPr>
            <w:r>
              <w:rPr>
                <w:rFonts w:ascii="Calibri" w:cs="Calibri" w:eastAsia="Calibri" w:hAnsi="Calibri"/>
                <w:sz w:val="18"/>
                <w:szCs w:val="18"/>
                <w:color w:val="auto"/>
              </w:rPr>
              <w:t>0</w:t>
            </w:r>
          </w:p>
        </w:tc>
        <w:tc>
          <w:tcPr>
            <w:tcW w:w="240" w:type="dxa"/>
            <w:vAlign w:val="bottom"/>
          </w:tcPr>
          <w:p>
            <w:pPr>
              <w:jc w:val="right"/>
              <w:spacing w:after="0"/>
              <w:rPr>
                <w:sz w:val="20"/>
                <w:szCs w:val="20"/>
                <w:color w:val="auto"/>
              </w:rPr>
            </w:pPr>
            <w:r>
              <w:rPr>
                <w:rFonts w:ascii="Calibri" w:cs="Calibri" w:eastAsia="Calibri" w:hAnsi="Calibri"/>
                <w:sz w:val="17"/>
                <w:szCs w:val="17"/>
                <w:b w:val="1"/>
                <w:bCs w:val="1"/>
                <w:color w:val="auto"/>
              </w:rPr>
              <w:t>$</w:t>
            </w:r>
          </w:p>
        </w:tc>
        <w:tc>
          <w:tcPr>
            <w:tcW w:w="620" w:type="dxa"/>
            <w:vAlign w:val="bottom"/>
          </w:tcPr>
          <w:p>
            <w:pPr>
              <w:jc w:val="right"/>
              <w:spacing w:after="0"/>
              <w:rPr>
                <w:sz w:val="20"/>
                <w:szCs w:val="20"/>
                <w:color w:val="auto"/>
              </w:rPr>
            </w:pPr>
            <w:r>
              <w:rPr>
                <w:rFonts w:ascii="Calibri" w:cs="Calibri" w:eastAsia="Calibri" w:hAnsi="Calibri"/>
                <w:sz w:val="17"/>
                <w:szCs w:val="17"/>
                <w:b w:val="1"/>
                <w:bCs w:val="1"/>
                <w:color w:val="auto"/>
              </w:rPr>
              <w:t>14,296</w:t>
            </w:r>
          </w:p>
        </w:tc>
        <w:tc>
          <w:tcPr>
            <w:tcW w:w="1020" w:type="dxa"/>
            <w:vAlign w:val="bottom"/>
            <w:gridSpan w:val="2"/>
          </w:tcPr>
          <w:p>
            <w:pPr>
              <w:jc w:val="right"/>
              <w:ind w:right="29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4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7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560" w:type="dxa"/>
            <w:vAlign w:val="bottom"/>
          </w:tcPr>
          <w:p>
            <w:pPr>
              <w:jc w:val="center"/>
              <w:ind w:left="14"/>
              <w:spacing w:after="0" w:line="215" w:lineRule="exact"/>
              <w:rPr>
                <w:sz w:val="20"/>
                <w:szCs w:val="20"/>
                <w:color w:val="auto"/>
              </w:rPr>
            </w:pPr>
            <w:r>
              <w:rPr>
                <w:rFonts w:ascii="Calibri" w:cs="Calibri" w:eastAsia="Calibri" w:hAnsi="Calibri"/>
                <w:sz w:val="18"/>
                <w:szCs w:val="18"/>
                <w:color w:val="auto"/>
              </w:rPr>
              <w:t>0</w:t>
            </w:r>
          </w:p>
        </w:tc>
        <w:tc>
          <w:tcPr>
            <w:tcW w:w="940" w:type="dxa"/>
            <w:vAlign w:val="bottom"/>
          </w:tcPr>
          <w:p>
            <w:pPr>
              <w:jc w:val="center"/>
              <w:ind w:left="54"/>
              <w:spacing w:after="0" w:line="215" w:lineRule="exact"/>
              <w:rPr>
                <w:sz w:val="20"/>
                <w:szCs w:val="20"/>
                <w:color w:val="auto"/>
              </w:rPr>
            </w:pPr>
            <w:r>
              <w:rPr>
                <w:rFonts w:ascii="Calibri" w:cs="Calibri" w:eastAsia="Calibri" w:hAnsi="Calibri"/>
                <w:sz w:val="18"/>
                <w:szCs w:val="18"/>
                <w:color w:val="auto"/>
                <w:w w:val="87"/>
              </w:rPr>
              <w:t>4</w:t>
            </w:r>
          </w:p>
        </w:tc>
      </w:tr>
      <w:tr>
        <w:trPr>
          <w:trHeight w:val="37"/>
        </w:trPr>
        <w:tc>
          <w:tcPr>
            <w:tcW w:w="17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08"/>
        </w:trPr>
        <w:tc>
          <w:tcPr>
            <w:tcW w:w="1740" w:type="dxa"/>
            <w:vAlign w:val="bottom"/>
            <w:shd w:val="clear" w:color="auto" w:fill="E5F1F8"/>
          </w:tcPr>
          <w:p>
            <w:pPr>
              <w:ind w:left="20"/>
              <w:spacing w:after="0" w:line="208" w:lineRule="exact"/>
              <w:rPr>
                <w:sz w:val="20"/>
                <w:szCs w:val="20"/>
                <w:color w:val="auto"/>
              </w:rPr>
            </w:pPr>
            <w:r>
              <w:rPr>
                <w:rFonts w:ascii="Calibri" w:cs="Calibri" w:eastAsia="Calibri" w:hAnsi="Calibri"/>
                <w:sz w:val="18"/>
                <w:szCs w:val="18"/>
                <w:b w:val="1"/>
                <w:bCs w:val="1"/>
                <w:color w:val="auto"/>
              </w:rPr>
              <w:t>TOTAL</w:t>
            </w:r>
          </w:p>
        </w:tc>
        <w:tc>
          <w:tcPr>
            <w:tcW w:w="700" w:type="dxa"/>
            <w:vAlign w:val="bottom"/>
            <w:shd w:val="clear" w:color="auto" w:fill="E5F1F8"/>
          </w:tcPr>
          <w:p>
            <w:pPr>
              <w:spacing w:after="0"/>
              <w:rPr>
                <w:sz w:val="18"/>
                <w:szCs w:val="18"/>
                <w:color w:val="auto"/>
              </w:rPr>
            </w:pPr>
          </w:p>
        </w:tc>
        <w:tc>
          <w:tcPr>
            <w:tcW w:w="620" w:type="dxa"/>
            <w:vAlign w:val="bottom"/>
            <w:shd w:val="clear" w:color="auto" w:fill="E5F1F8"/>
          </w:tcPr>
          <w:p>
            <w:pPr>
              <w:jc w:val="center"/>
              <w:ind w:right="34"/>
              <w:spacing w:after="0" w:line="208" w:lineRule="exact"/>
              <w:rPr>
                <w:sz w:val="20"/>
                <w:szCs w:val="20"/>
                <w:color w:val="auto"/>
              </w:rPr>
            </w:pPr>
            <w:r>
              <w:rPr>
                <w:rFonts w:ascii="Calibri" w:cs="Calibri" w:eastAsia="Calibri" w:hAnsi="Calibri"/>
                <w:sz w:val="18"/>
                <w:szCs w:val="18"/>
                <w:b w:val="1"/>
                <w:bCs w:val="1"/>
                <w:color w:val="auto"/>
                <w:w w:val="94"/>
              </w:rPr>
              <w:t>125</w:t>
            </w:r>
          </w:p>
        </w:tc>
        <w:tc>
          <w:tcPr>
            <w:tcW w:w="600" w:type="dxa"/>
            <w:vAlign w:val="bottom"/>
            <w:shd w:val="clear" w:color="auto" w:fill="E5F1F8"/>
          </w:tcPr>
          <w:p>
            <w:pPr>
              <w:jc w:val="right"/>
              <w:ind w:right="214"/>
              <w:spacing w:after="0" w:line="208" w:lineRule="exact"/>
              <w:rPr>
                <w:sz w:val="20"/>
                <w:szCs w:val="20"/>
                <w:color w:val="auto"/>
              </w:rPr>
            </w:pPr>
            <w:r>
              <w:rPr>
                <w:rFonts w:ascii="Calibri" w:cs="Calibri" w:eastAsia="Calibri" w:hAnsi="Calibri"/>
                <w:sz w:val="18"/>
                <w:szCs w:val="18"/>
                <w:b w:val="1"/>
                <w:bCs w:val="1"/>
                <w:color w:val="auto"/>
              </w:rPr>
              <w:t>0</w:t>
            </w:r>
          </w:p>
        </w:tc>
        <w:tc>
          <w:tcPr>
            <w:tcW w:w="700" w:type="dxa"/>
            <w:vAlign w:val="bottom"/>
            <w:shd w:val="clear" w:color="auto" w:fill="E5F1F8"/>
          </w:tcPr>
          <w:p>
            <w:pPr>
              <w:jc w:val="right"/>
              <w:ind w:right="234"/>
              <w:spacing w:after="0" w:line="208" w:lineRule="exact"/>
              <w:rPr>
                <w:sz w:val="20"/>
                <w:szCs w:val="20"/>
                <w:color w:val="auto"/>
              </w:rPr>
            </w:pPr>
            <w:r>
              <w:rPr>
                <w:rFonts w:ascii="Calibri" w:cs="Calibri" w:eastAsia="Calibri" w:hAnsi="Calibri"/>
                <w:sz w:val="18"/>
                <w:szCs w:val="18"/>
                <w:b w:val="1"/>
                <w:bCs w:val="1"/>
                <w:color w:val="auto"/>
              </w:rPr>
              <w:t>0</w:t>
            </w:r>
          </w:p>
        </w:tc>
        <w:tc>
          <w:tcPr>
            <w:tcW w:w="720" w:type="dxa"/>
            <w:vAlign w:val="bottom"/>
            <w:shd w:val="clear" w:color="auto" w:fill="E5F1F8"/>
          </w:tcPr>
          <w:p>
            <w:pPr>
              <w:jc w:val="right"/>
              <w:ind w:right="214"/>
              <w:spacing w:after="0" w:line="208" w:lineRule="exact"/>
              <w:rPr>
                <w:sz w:val="20"/>
                <w:szCs w:val="20"/>
                <w:color w:val="auto"/>
              </w:rPr>
            </w:pPr>
            <w:r>
              <w:rPr>
                <w:rFonts w:ascii="Calibri" w:cs="Calibri" w:eastAsia="Calibri" w:hAnsi="Calibri"/>
                <w:sz w:val="18"/>
                <w:szCs w:val="18"/>
                <w:b w:val="1"/>
                <w:bCs w:val="1"/>
                <w:color w:val="auto"/>
              </w:rPr>
              <w:t>0</w:t>
            </w:r>
          </w:p>
        </w:tc>
        <w:tc>
          <w:tcPr>
            <w:tcW w:w="500" w:type="dxa"/>
            <w:vAlign w:val="bottom"/>
            <w:shd w:val="clear" w:color="auto" w:fill="E5F1F8"/>
          </w:tcPr>
          <w:p>
            <w:pPr>
              <w:jc w:val="right"/>
              <w:ind w:right="34"/>
              <w:spacing w:after="0" w:line="208" w:lineRule="exact"/>
              <w:rPr>
                <w:sz w:val="20"/>
                <w:szCs w:val="20"/>
                <w:color w:val="auto"/>
              </w:rPr>
            </w:pPr>
            <w:r>
              <w:rPr>
                <w:rFonts w:ascii="Calibri" w:cs="Calibri" w:eastAsia="Calibri" w:hAnsi="Calibri"/>
                <w:sz w:val="18"/>
                <w:szCs w:val="18"/>
                <w:b w:val="1"/>
                <w:bCs w:val="1"/>
                <w:color w:val="auto"/>
              </w:rPr>
              <w:t>2</w:t>
            </w:r>
          </w:p>
        </w:tc>
        <w:tc>
          <w:tcPr>
            <w:tcW w:w="240" w:type="dxa"/>
            <w:vAlign w:val="bottom"/>
            <w:shd w:val="clear" w:color="auto" w:fill="E5F1F8"/>
          </w:tcPr>
          <w:p>
            <w:pPr>
              <w:jc w:val="right"/>
              <w:spacing w:after="0" w:line="208" w:lineRule="exact"/>
              <w:rPr>
                <w:sz w:val="20"/>
                <w:szCs w:val="20"/>
                <w:color w:val="auto"/>
              </w:rPr>
            </w:pPr>
            <w:r>
              <w:rPr>
                <w:rFonts w:ascii="Calibri" w:cs="Calibri" w:eastAsia="Calibri" w:hAnsi="Calibri"/>
                <w:sz w:val="18"/>
                <w:szCs w:val="18"/>
                <w:b w:val="1"/>
                <w:bCs w:val="1"/>
                <w:color w:val="auto"/>
              </w:rPr>
              <w:t>$</w:t>
            </w:r>
          </w:p>
        </w:tc>
        <w:tc>
          <w:tcPr>
            <w:tcW w:w="620" w:type="dxa"/>
            <w:vAlign w:val="bottom"/>
            <w:shd w:val="clear" w:color="auto" w:fill="E5F1F8"/>
          </w:tcPr>
          <w:p>
            <w:pPr>
              <w:jc w:val="right"/>
              <w:spacing w:after="0" w:line="208" w:lineRule="exact"/>
              <w:rPr>
                <w:sz w:val="20"/>
                <w:szCs w:val="20"/>
                <w:color w:val="auto"/>
              </w:rPr>
            </w:pPr>
            <w:r>
              <w:rPr>
                <w:rFonts w:ascii="Calibri" w:cs="Calibri" w:eastAsia="Calibri" w:hAnsi="Calibri"/>
                <w:sz w:val="18"/>
                <w:szCs w:val="18"/>
                <w:b w:val="1"/>
                <w:bCs w:val="1"/>
                <w:color w:val="auto"/>
                <w:w w:val="97"/>
              </w:rPr>
              <w:t>231,013</w:t>
            </w:r>
          </w:p>
        </w:tc>
        <w:tc>
          <w:tcPr>
            <w:tcW w:w="100" w:type="dxa"/>
            <w:vAlign w:val="bottom"/>
            <w:shd w:val="clear" w:color="auto" w:fill="E5F1F8"/>
          </w:tcPr>
          <w:p>
            <w:pPr>
              <w:spacing w:after="0"/>
              <w:rPr>
                <w:sz w:val="18"/>
                <w:szCs w:val="18"/>
                <w:color w:val="auto"/>
              </w:rPr>
            </w:pPr>
          </w:p>
        </w:tc>
        <w:tc>
          <w:tcPr>
            <w:tcW w:w="920" w:type="dxa"/>
            <w:vAlign w:val="bottom"/>
            <w:shd w:val="clear" w:color="auto" w:fill="E5F1F8"/>
          </w:tcPr>
          <w:p>
            <w:pPr>
              <w:jc w:val="right"/>
              <w:ind w:right="290"/>
              <w:spacing w:after="0" w:line="208" w:lineRule="exact"/>
              <w:rPr>
                <w:sz w:val="20"/>
                <w:szCs w:val="20"/>
                <w:color w:val="auto"/>
              </w:rPr>
            </w:pPr>
            <w:r>
              <w:rPr>
                <w:rFonts w:ascii="Calibri" w:cs="Calibri" w:eastAsia="Calibri" w:hAnsi="Calibri"/>
                <w:sz w:val="18"/>
                <w:szCs w:val="18"/>
                <w:b w:val="1"/>
                <w:bCs w:val="1"/>
                <w:color w:val="auto"/>
              </w:rPr>
              <w:t>0</w:t>
            </w:r>
          </w:p>
        </w:tc>
        <w:tc>
          <w:tcPr>
            <w:tcW w:w="840" w:type="dxa"/>
            <w:vAlign w:val="bottom"/>
            <w:shd w:val="clear" w:color="auto" w:fill="E5F1F8"/>
          </w:tcPr>
          <w:p>
            <w:pPr>
              <w:spacing w:after="0"/>
              <w:rPr>
                <w:sz w:val="18"/>
                <w:szCs w:val="18"/>
                <w:color w:val="auto"/>
              </w:rPr>
            </w:pPr>
          </w:p>
        </w:tc>
        <w:tc>
          <w:tcPr>
            <w:tcW w:w="740" w:type="dxa"/>
            <w:vAlign w:val="bottom"/>
            <w:shd w:val="clear" w:color="auto" w:fill="E5F1F8"/>
          </w:tcPr>
          <w:p>
            <w:pPr>
              <w:spacing w:after="0"/>
              <w:rPr>
                <w:sz w:val="18"/>
                <w:szCs w:val="18"/>
                <w:color w:val="auto"/>
              </w:rPr>
            </w:pPr>
          </w:p>
        </w:tc>
        <w:tc>
          <w:tcPr>
            <w:tcW w:w="700" w:type="dxa"/>
            <w:vAlign w:val="bottom"/>
            <w:shd w:val="clear" w:color="auto" w:fill="E5F1F8"/>
          </w:tcPr>
          <w:p>
            <w:pPr>
              <w:jc w:val="center"/>
              <w:spacing w:after="0" w:line="208" w:lineRule="exact"/>
              <w:rPr>
                <w:sz w:val="20"/>
                <w:szCs w:val="20"/>
                <w:color w:val="auto"/>
              </w:rPr>
            </w:pPr>
            <w:r>
              <w:rPr>
                <w:rFonts w:ascii="Calibri" w:cs="Calibri" w:eastAsia="Calibri" w:hAnsi="Calibri"/>
                <w:sz w:val="18"/>
                <w:szCs w:val="18"/>
                <w:b w:val="1"/>
                <w:bCs w:val="1"/>
                <w:color w:val="auto"/>
                <w:w w:val="98"/>
              </w:rPr>
              <w:t>11</w:t>
            </w:r>
          </w:p>
        </w:tc>
        <w:tc>
          <w:tcPr>
            <w:tcW w:w="560" w:type="dxa"/>
            <w:vAlign w:val="bottom"/>
            <w:shd w:val="clear" w:color="auto" w:fill="E5F1F8"/>
          </w:tcPr>
          <w:p>
            <w:pPr>
              <w:jc w:val="center"/>
              <w:ind w:left="14"/>
              <w:spacing w:after="0" w:line="208" w:lineRule="exact"/>
              <w:rPr>
                <w:sz w:val="20"/>
                <w:szCs w:val="20"/>
                <w:color w:val="auto"/>
              </w:rPr>
            </w:pPr>
            <w:r>
              <w:rPr>
                <w:rFonts w:ascii="Calibri" w:cs="Calibri" w:eastAsia="Calibri" w:hAnsi="Calibri"/>
                <w:sz w:val="18"/>
                <w:szCs w:val="18"/>
                <w:b w:val="1"/>
                <w:bCs w:val="1"/>
                <w:color w:val="auto"/>
                <w:w w:val="98"/>
              </w:rPr>
              <w:t>14</w:t>
            </w:r>
          </w:p>
        </w:tc>
        <w:tc>
          <w:tcPr>
            <w:tcW w:w="940" w:type="dxa"/>
            <w:vAlign w:val="bottom"/>
            <w:shd w:val="clear" w:color="auto" w:fill="E5F1F8"/>
          </w:tcPr>
          <w:p>
            <w:pPr>
              <w:jc w:val="center"/>
              <w:ind w:left="34"/>
              <w:spacing w:after="0" w:line="208" w:lineRule="exact"/>
              <w:rPr>
                <w:sz w:val="20"/>
                <w:szCs w:val="20"/>
                <w:color w:val="auto"/>
              </w:rPr>
            </w:pPr>
            <w:r>
              <w:rPr>
                <w:rFonts w:ascii="Calibri" w:cs="Calibri" w:eastAsia="Calibri" w:hAnsi="Calibri"/>
                <w:sz w:val="18"/>
                <w:szCs w:val="18"/>
                <w:b w:val="1"/>
                <w:bCs w:val="1"/>
                <w:color w:val="auto"/>
                <w:w w:val="98"/>
              </w:rPr>
              <w:t>20</w:t>
            </w:r>
          </w:p>
        </w:tc>
      </w:tr>
      <w:tr>
        <w:trPr>
          <w:trHeight w:val="28"/>
        </w:trPr>
        <w:tc>
          <w:tcPr>
            <w:tcW w:w="1740" w:type="dxa"/>
            <w:vAlign w:val="bottom"/>
            <w:shd w:val="clear" w:color="auto" w:fill="E5F1F8"/>
          </w:tcPr>
          <w:p>
            <w:pPr>
              <w:spacing w:after="0"/>
              <w:rPr>
                <w:sz w:val="2"/>
                <w:szCs w:val="2"/>
                <w:color w:val="auto"/>
              </w:rPr>
            </w:pPr>
          </w:p>
        </w:tc>
        <w:tc>
          <w:tcPr>
            <w:tcW w:w="700" w:type="dxa"/>
            <w:vAlign w:val="bottom"/>
            <w:shd w:val="clear" w:color="auto" w:fill="E5F1F8"/>
          </w:tcPr>
          <w:p>
            <w:pPr>
              <w:spacing w:after="0"/>
              <w:rPr>
                <w:sz w:val="2"/>
                <w:szCs w:val="2"/>
                <w:color w:val="auto"/>
              </w:rPr>
            </w:pPr>
          </w:p>
        </w:tc>
        <w:tc>
          <w:tcPr>
            <w:tcW w:w="620" w:type="dxa"/>
            <w:vAlign w:val="bottom"/>
            <w:shd w:val="clear" w:color="auto" w:fill="E5F1F8"/>
          </w:tcPr>
          <w:p>
            <w:pPr>
              <w:spacing w:after="0"/>
              <w:rPr>
                <w:sz w:val="2"/>
                <w:szCs w:val="2"/>
                <w:color w:val="auto"/>
              </w:rPr>
            </w:pPr>
          </w:p>
        </w:tc>
        <w:tc>
          <w:tcPr>
            <w:tcW w:w="600" w:type="dxa"/>
            <w:vAlign w:val="bottom"/>
            <w:shd w:val="clear" w:color="auto" w:fill="E5F1F8"/>
          </w:tcPr>
          <w:p>
            <w:pPr>
              <w:spacing w:after="0"/>
              <w:rPr>
                <w:sz w:val="2"/>
                <w:szCs w:val="2"/>
                <w:color w:val="auto"/>
              </w:rPr>
            </w:pPr>
          </w:p>
        </w:tc>
        <w:tc>
          <w:tcPr>
            <w:tcW w:w="700" w:type="dxa"/>
            <w:vAlign w:val="bottom"/>
            <w:shd w:val="clear" w:color="auto" w:fill="E5F1F8"/>
          </w:tcPr>
          <w:p>
            <w:pPr>
              <w:spacing w:after="0"/>
              <w:rPr>
                <w:sz w:val="2"/>
                <w:szCs w:val="2"/>
                <w:color w:val="auto"/>
              </w:rPr>
            </w:pPr>
          </w:p>
        </w:tc>
        <w:tc>
          <w:tcPr>
            <w:tcW w:w="720" w:type="dxa"/>
            <w:vAlign w:val="bottom"/>
            <w:shd w:val="clear" w:color="auto" w:fill="E5F1F8"/>
          </w:tcPr>
          <w:p>
            <w:pPr>
              <w:spacing w:after="0"/>
              <w:rPr>
                <w:sz w:val="2"/>
                <w:szCs w:val="2"/>
                <w:color w:val="auto"/>
              </w:rPr>
            </w:pPr>
          </w:p>
        </w:tc>
        <w:tc>
          <w:tcPr>
            <w:tcW w:w="500" w:type="dxa"/>
            <w:vAlign w:val="bottom"/>
            <w:shd w:val="clear" w:color="auto" w:fill="E5F1F8"/>
          </w:tcPr>
          <w:p>
            <w:pPr>
              <w:spacing w:after="0"/>
              <w:rPr>
                <w:sz w:val="2"/>
                <w:szCs w:val="2"/>
                <w:color w:val="auto"/>
              </w:rPr>
            </w:pPr>
          </w:p>
        </w:tc>
        <w:tc>
          <w:tcPr>
            <w:tcW w:w="240" w:type="dxa"/>
            <w:vAlign w:val="bottom"/>
            <w:shd w:val="clear" w:color="auto" w:fill="E5F1F8"/>
          </w:tcPr>
          <w:p>
            <w:pPr>
              <w:spacing w:after="0"/>
              <w:rPr>
                <w:sz w:val="2"/>
                <w:szCs w:val="2"/>
                <w:color w:val="auto"/>
              </w:rPr>
            </w:pPr>
          </w:p>
        </w:tc>
        <w:tc>
          <w:tcPr>
            <w:tcW w:w="620" w:type="dxa"/>
            <w:vAlign w:val="bottom"/>
            <w:shd w:val="clear" w:color="auto" w:fill="E5F1F8"/>
          </w:tcPr>
          <w:p>
            <w:pPr>
              <w:spacing w:after="0"/>
              <w:rPr>
                <w:sz w:val="2"/>
                <w:szCs w:val="2"/>
                <w:color w:val="auto"/>
              </w:rPr>
            </w:pPr>
          </w:p>
        </w:tc>
        <w:tc>
          <w:tcPr>
            <w:tcW w:w="100" w:type="dxa"/>
            <w:vAlign w:val="bottom"/>
            <w:shd w:val="clear" w:color="auto" w:fill="E5F1F8"/>
          </w:tcPr>
          <w:p>
            <w:pPr>
              <w:spacing w:after="0"/>
              <w:rPr>
                <w:sz w:val="2"/>
                <w:szCs w:val="2"/>
                <w:color w:val="auto"/>
              </w:rPr>
            </w:pPr>
          </w:p>
        </w:tc>
        <w:tc>
          <w:tcPr>
            <w:tcW w:w="920" w:type="dxa"/>
            <w:vAlign w:val="bottom"/>
            <w:shd w:val="clear" w:color="auto" w:fill="E5F1F8"/>
          </w:tcPr>
          <w:p>
            <w:pPr>
              <w:spacing w:after="0"/>
              <w:rPr>
                <w:sz w:val="2"/>
                <w:szCs w:val="2"/>
                <w:color w:val="auto"/>
              </w:rPr>
            </w:pPr>
          </w:p>
        </w:tc>
        <w:tc>
          <w:tcPr>
            <w:tcW w:w="840" w:type="dxa"/>
            <w:vAlign w:val="bottom"/>
            <w:shd w:val="clear" w:color="auto" w:fill="E5F1F8"/>
          </w:tcPr>
          <w:p>
            <w:pPr>
              <w:spacing w:after="0"/>
              <w:rPr>
                <w:sz w:val="2"/>
                <w:szCs w:val="2"/>
                <w:color w:val="auto"/>
              </w:rPr>
            </w:pPr>
          </w:p>
        </w:tc>
        <w:tc>
          <w:tcPr>
            <w:tcW w:w="740" w:type="dxa"/>
            <w:vAlign w:val="bottom"/>
            <w:shd w:val="clear" w:color="auto" w:fill="E5F1F8"/>
          </w:tcPr>
          <w:p>
            <w:pPr>
              <w:spacing w:after="0"/>
              <w:rPr>
                <w:sz w:val="2"/>
                <w:szCs w:val="2"/>
                <w:color w:val="auto"/>
              </w:rPr>
            </w:pPr>
          </w:p>
        </w:tc>
        <w:tc>
          <w:tcPr>
            <w:tcW w:w="700" w:type="dxa"/>
            <w:vAlign w:val="bottom"/>
            <w:shd w:val="clear" w:color="auto" w:fill="E5F1F8"/>
          </w:tcPr>
          <w:p>
            <w:pPr>
              <w:spacing w:after="0"/>
              <w:rPr>
                <w:sz w:val="2"/>
                <w:szCs w:val="2"/>
                <w:color w:val="auto"/>
              </w:rPr>
            </w:pPr>
          </w:p>
        </w:tc>
        <w:tc>
          <w:tcPr>
            <w:tcW w:w="560" w:type="dxa"/>
            <w:vAlign w:val="bottom"/>
            <w:shd w:val="clear" w:color="auto" w:fill="E5F1F8"/>
          </w:tcPr>
          <w:p>
            <w:pPr>
              <w:spacing w:after="0"/>
              <w:rPr>
                <w:sz w:val="2"/>
                <w:szCs w:val="2"/>
                <w:color w:val="auto"/>
              </w:rPr>
            </w:pPr>
          </w:p>
        </w:tc>
        <w:tc>
          <w:tcPr>
            <w:tcW w:w="940" w:type="dxa"/>
            <w:vAlign w:val="bottom"/>
            <w:shd w:val="clear" w:color="auto" w:fill="E5F1F8"/>
          </w:tcPr>
          <w:p>
            <w:pPr>
              <w:spacing w:after="0"/>
              <w:rPr>
                <w:sz w:val="2"/>
                <w:szCs w:val="2"/>
                <w:color w:val="auto"/>
              </w:rPr>
            </w:pPr>
          </w:p>
        </w:tc>
      </w:tr>
    </w:tbl>
    <w:p>
      <w:pPr>
        <w:spacing w:after="0" w:line="207" w:lineRule="exact"/>
        <w:rPr>
          <w:sz w:val="20"/>
          <w:szCs w:val="20"/>
          <w:color w:val="auto"/>
        </w:rPr>
      </w:pPr>
    </w:p>
    <w:p>
      <w:pPr>
        <w:jc w:val="both"/>
        <w:ind w:left="100" w:right="100"/>
        <w:spacing w:after="0" w:line="235" w:lineRule="auto"/>
        <w:rPr>
          <w:sz w:val="20"/>
          <w:szCs w:val="20"/>
          <w:color w:val="auto"/>
        </w:rPr>
      </w:pPr>
      <w:r>
        <w:rPr>
          <w:rFonts w:ascii="Calibri" w:cs="Calibri" w:eastAsia="Calibri" w:hAnsi="Calibri"/>
          <w:sz w:val="18"/>
          <w:szCs w:val="18"/>
          <w:color w:val="auto"/>
        </w:rPr>
        <w:t>*Of the 11 legal actons pending on December 31, 2022, one was a contest of citatons or orders referenced in Subpart B of CFR Part 2700, which includes contests of citatons and orders issued under Secton 104 of the Mine Act and contests of imminent danger orders under Secton 107 of the Mine Act, nine were contests of proposed penaltes referenced in Subpart C of 29 CFR Part 2700, which are administratve proceedings before the Commission challenging a civil penalty that MSHA has proposed for the violaton contained in a citaton or order, and one was a contest of an order issued under secton 103 (K) of the Mine Act.</w:t>
      </w:r>
    </w:p>
    <w:p>
      <w:pPr>
        <w:spacing w:after="0" w:line="274" w:lineRule="exact"/>
        <w:rPr>
          <w:sz w:val="20"/>
          <w:szCs w:val="20"/>
          <w:color w:val="auto"/>
        </w:rPr>
      </w:pPr>
    </w:p>
    <w:p>
      <w:pPr>
        <w:ind w:left="100" w:right="100" w:firstLine="5"/>
        <w:spacing w:after="0" w:line="235" w:lineRule="auto"/>
        <w:tabs>
          <w:tab w:leader="none" w:pos="317" w:val="left"/>
        </w:tabs>
        <w:numPr>
          <w:ilvl w:val="0"/>
          <w:numId w:val="49"/>
        </w:numPr>
        <w:rPr>
          <w:rFonts w:ascii="Calibri" w:cs="Calibri" w:eastAsia="Calibri" w:hAnsi="Calibri"/>
          <w:sz w:val="18"/>
          <w:szCs w:val="18"/>
          <w:color w:val="auto"/>
        </w:rPr>
      </w:pPr>
      <w:r>
        <w:rPr>
          <w:rFonts w:ascii="Calibri" w:cs="Calibri" w:eastAsia="Calibri" w:hAnsi="Calibri"/>
          <w:sz w:val="18"/>
          <w:szCs w:val="18"/>
          <w:color w:val="auto"/>
        </w:rPr>
        <w:t>The 107(a) Order issued at Fort Dodge Mine on June 6, 2022 was modifed on June 14, 2022 afer MSHA determined the order should have been issued to the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371475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3" w:name="page154"/>
    <w:bookmarkEnd w:id="1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
      <w:numFmt w:val="bullet"/>
      <w:start w:val="1"/>
    </w:lvl>
    <w:lvl w:ilvl="1">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lvl w:ilvl="1">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1."/>
      <w:numFmt w:val="decimal"/>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1."/>
      <w:numFmt w:val="decimal"/>
      <w:start w:val="1"/>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1."/>
      <w:numFmt w:val="lowerLetter"/>
      <w:start w:val="1"/>
    </w:lvl>
  </w:abstractNum>
  <w:abstractNum w:abstractNumId="34">
    <w:nsid w:val="70A64E2A"/>
    <w:multiLevelType w:val="hybridMultilevel"/>
    <w:lvl w:ilvl="0">
      <w:lvlJc w:val="left"/>
      <w:lvlText w:val="1"/>
      <w:numFmt w:val="bullet"/>
      <w:start w:val="1"/>
    </w:lvl>
  </w:abstractNum>
  <w:abstractNum w:abstractNumId="35">
    <w:nsid w:val="6A2342EC"/>
    <w:multiLevelType w:val="hybridMultilevel"/>
    <w:lvl w:ilvl="0">
      <w:lvlJc w:val="left"/>
      <w:lvlText w:val="%1"/>
      <w:numFmt w:val="decimal"/>
      <w:start w:val="12"/>
    </w:lvl>
  </w:abstractNum>
  <w:abstractNum w:abstractNumId="36">
    <w:nsid w:val="2A487CB0"/>
    <w:multiLevelType w:val="hybridMultilevel"/>
    <w:lvl w:ilvl="0">
      <w:lvlJc w:val="left"/>
      <w:lvlText w:val="%1"/>
      <w:numFmt w:val="decimal"/>
      <w:start w:val="22"/>
    </w:lvl>
  </w:abstractNum>
  <w:abstractNum w:abstractNumId="37">
    <w:nsid w:val="1D4ED43B"/>
    <w:multiLevelType w:val="hybridMultilevel"/>
    <w:lvl w:ilvl="0">
      <w:lvlJc w:val="left"/>
      <w:lvlText w:val="%1"/>
      <w:numFmt w:val="decimal"/>
      <w:start w:val="30"/>
    </w:lvl>
  </w:abstractNum>
  <w:abstractNum w:abstractNumId="38">
    <w:nsid w:val="725A06FB"/>
    <w:multiLevelType w:val="hybridMultilevel"/>
    <w:lvl w:ilvl="0">
      <w:lvlJc w:val="left"/>
      <w:lvlText w:val="%1"/>
      <w:numFmt w:val="decimal"/>
      <w:start w:val="43"/>
    </w:lvl>
  </w:abstractNum>
  <w:abstractNum w:abstractNumId="39">
    <w:nsid w:val="2CD89A32"/>
    <w:multiLevelType w:val="hybridMultilevel"/>
    <w:lvl w:ilvl="0">
      <w:lvlJc w:val="left"/>
      <w:lvlText w:val="%1"/>
      <w:numFmt w:val="decimal"/>
      <w:start w:val="55"/>
    </w:lvl>
  </w:abstractNum>
  <w:abstractNum w:abstractNumId="40">
    <w:nsid w:val="57E4CCAF"/>
    <w:multiLevelType w:val="hybridMultilevel"/>
    <w:lvl w:ilvl="0">
      <w:lvlJc w:val="left"/>
      <w:lvlText w:val="%1."/>
      <w:numFmt w:val="decimal"/>
      <w:start w:val="1"/>
    </w:lvl>
    <w:lvl w:ilvl="1">
      <w:lvlJc w:val="left"/>
      <w:lvlText w:val="(%2)"/>
      <w:numFmt w:val="lowerLetter"/>
      <w:start w:val="1"/>
    </w:lvl>
  </w:abstractNum>
  <w:abstractNum w:abstractNumId="41">
    <w:nsid w:val="7A6D8D3C"/>
    <w:multiLevelType w:val="hybridMultilevel"/>
    <w:lvl w:ilvl="0">
      <w:lvlJc w:val="left"/>
      <w:lvlText w:val="%1."/>
      <w:numFmt w:val="decimal"/>
      <w:start w:val="5"/>
    </w:lvl>
    <w:lvl w:ilvl="1">
      <w:lvlJc w:val="left"/>
      <w:lvlText w:val="(%2)"/>
      <w:numFmt w:val="lowerLetter"/>
      <w:start w:val="1"/>
    </w:lvl>
  </w:abstractNum>
  <w:abstractNum w:abstractNumId="42">
    <w:nsid w:val="4B588F54"/>
    <w:multiLevelType w:val="hybridMultilevel"/>
    <w:lvl w:ilvl="0">
      <w:lvlJc w:val="left"/>
      <w:lvlText w:val="%1."/>
      <w:numFmt w:val="decimal"/>
      <w:start w:val="1"/>
    </w:lvl>
    <w:lvl w:ilvl="1">
      <w:lvlJc w:val="left"/>
      <w:lvlText w:val="(%2)"/>
      <w:numFmt w:val="lowerLetter"/>
      <w:start w:val="1"/>
    </w:lvl>
  </w:abstractNum>
  <w:abstractNum w:abstractNumId="43">
    <w:nsid w:val="542289EC"/>
    <w:multiLevelType w:val="hybridMultilevel"/>
    <w:lvl w:ilvl="0">
      <w:lvlJc w:val="left"/>
      <w:lvlText w:val="%1."/>
      <w:numFmt w:val="decimal"/>
      <w:start w:val="5"/>
    </w:lvl>
    <w:lvl w:ilvl="1">
      <w:lvlJc w:val="left"/>
      <w:lvlText w:val="(%2)"/>
      <w:numFmt w:val="lowerLetter"/>
      <w:start w:val="1"/>
    </w:lvl>
  </w:abstractNum>
  <w:abstractNum w:abstractNumId="44">
    <w:nsid w:val="6DE91B18"/>
    <w:multiLevelType w:val="hybridMultilevel"/>
    <w:lvl w:ilvl="0">
      <w:lvlJc w:val="left"/>
      <w:lvlText w:val="(%1)"/>
      <w:numFmt w:val="decimal"/>
      <w:start w:val="1"/>
    </w:lvl>
  </w:abstractNum>
  <w:abstractNum w:abstractNumId="45">
    <w:nsid w:val="38437FDB"/>
    <w:multiLevelType w:val="hybridMultilevel"/>
    <w:lvl w:ilvl="0">
      <w:lvlJc w:val="left"/>
      <w:lvlText w:val="(%1)"/>
      <w:numFmt w:val="decimal"/>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jpe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jpeg"/><Relationship Id="rId24" Type="http://schemas.openxmlformats.org/officeDocument/2006/relationships/image" Target="media/image16.pn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jpeg"/><Relationship Id="rId31" Type="http://schemas.openxmlformats.org/officeDocument/2006/relationships/image" Target="media/image23.png"/><Relationship Id="rId32" Type="http://schemas.openxmlformats.org/officeDocument/2006/relationships/image" Target="media/image24.jpe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jpe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jpeg"/><Relationship Id="rId45" Type="http://schemas.openxmlformats.org/officeDocument/2006/relationships/image" Target="media/image37.png"/><Relationship Id="rId46" Type="http://schemas.openxmlformats.org/officeDocument/2006/relationships/image" Target="media/image38.jpeg"/><Relationship Id="rId47" Type="http://schemas.openxmlformats.org/officeDocument/2006/relationships/image" Target="media/image39.png"/><Relationship Id="rId48" Type="http://schemas.openxmlformats.org/officeDocument/2006/relationships/image" Target="media/image40.jpeg"/><Relationship Id="rId49" Type="http://schemas.openxmlformats.org/officeDocument/2006/relationships/image" Target="media/image41.png"/><Relationship Id="rId50" Type="http://schemas.openxmlformats.org/officeDocument/2006/relationships/image" Target="media/image42.jpeg"/><Relationship Id="rId51" Type="http://schemas.openxmlformats.org/officeDocument/2006/relationships/image" Target="media/image43.png"/><Relationship Id="rId52" Type="http://schemas.openxmlformats.org/officeDocument/2006/relationships/image" Target="media/image44.jpe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jpeg"/><Relationship Id="rId60" Type="http://schemas.openxmlformats.org/officeDocument/2006/relationships/image" Target="media/image52.png"/><Relationship Id="rId61" Type="http://schemas.openxmlformats.org/officeDocument/2006/relationships/image" Target="media/image53.jpeg"/><Relationship Id="rId62" Type="http://schemas.openxmlformats.org/officeDocument/2006/relationships/image" Target="media/image54.png"/><Relationship Id="rId63" Type="http://schemas.openxmlformats.org/officeDocument/2006/relationships/image" Target="media/image55.jpeg"/><Relationship Id="rId64" Type="http://schemas.openxmlformats.org/officeDocument/2006/relationships/image" Target="media/image56.png"/><Relationship Id="rId65" Type="http://schemas.openxmlformats.org/officeDocument/2006/relationships/image" Target="media/image57.jpeg"/><Relationship Id="rId66" Type="http://schemas.openxmlformats.org/officeDocument/2006/relationships/image" Target="media/image58.png"/><Relationship Id="rId67" Type="http://schemas.openxmlformats.org/officeDocument/2006/relationships/image" Target="media/image59.jpeg"/><Relationship Id="rId68" Type="http://schemas.openxmlformats.org/officeDocument/2006/relationships/image" Target="media/image60.png"/><Relationship Id="rId69" Type="http://schemas.openxmlformats.org/officeDocument/2006/relationships/image" Target="media/image61.jpeg"/><Relationship Id="rId70" Type="http://schemas.openxmlformats.org/officeDocument/2006/relationships/image" Target="media/image62.png"/><Relationship Id="rId71" Type="http://schemas.openxmlformats.org/officeDocument/2006/relationships/image" Target="media/image63.jpeg"/><Relationship Id="rId72" Type="http://schemas.openxmlformats.org/officeDocument/2006/relationships/image" Target="media/image64.png"/><Relationship Id="rId73" Type="http://schemas.openxmlformats.org/officeDocument/2006/relationships/image" Target="media/image65.jpeg"/><Relationship Id="rId74" Type="http://schemas.openxmlformats.org/officeDocument/2006/relationships/image" Target="media/image66.png"/><Relationship Id="rId75" Type="http://schemas.openxmlformats.org/officeDocument/2006/relationships/image" Target="media/image67.jpe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jpeg"/><Relationship Id="rId83" Type="http://schemas.openxmlformats.org/officeDocument/2006/relationships/image" Target="media/image75.png"/><Relationship Id="rId84" Type="http://schemas.openxmlformats.org/officeDocument/2006/relationships/image" Target="media/image76.jpeg"/><Relationship Id="rId85" Type="http://schemas.openxmlformats.org/officeDocument/2006/relationships/image" Target="media/image77.png"/><Relationship Id="rId86" Type="http://schemas.openxmlformats.org/officeDocument/2006/relationships/image" Target="media/image78.jpeg"/><Relationship Id="rId87" Type="http://schemas.openxmlformats.org/officeDocument/2006/relationships/image" Target="media/image79.png"/><Relationship Id="rId88" Type="http://schemas.openxmlformats.org/officeDocument/2006/relationships/image" Target="media/image80.jpeg"/><Relationship Id="rId89" Type="http://schemas.openxmlformats.org/officeDocument/2006/relationships/image" Target="media/image81.png"/><Relationship Id="rId90" Type="http://schemas.openxmlformats.org/officeDocument/2006/relationships/image" Target="media/image82.jpe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jpe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jpe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jpe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jpe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jpeg"/><Relationship Id="rId119" Type="http://schemas.openxmlformats.org/officeDocument/2006/relationships/image" Target="media/image111.png"/><Relationship Id="rId120" Type="http://schemas.openxmlformats.org/officeDocument/2006/relationships/image" Target="media/image112.jpeg"/><Relationship Id="rId121" Type="http://schemas.openxmlformats.org/officeDocument/2006/relationships/image" Target="media/image113.png"/><Relationship Id="rId122" Type="http://schemas.openxmlformats.org/officeDocument/2006/relationships/image" Target="media/image114.jpe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jpeg"/><Relationship Id="rId126" Type="http://schemas.openxmlformats.org/officeDocument/2006/relationships/image" Target="media/image118.png"/><Relationship Id="rId127" Type="http://schemas.openxmlformats.org/officeDocument/2006/relationships/image" Target="media/image119.jpeg"/><Relationship Id="rId128" Type="http://schemas.openxmlformats.org/officeDocument/2006/relationships/image" Target="media/image120.jpeg"/><Relationship Id="rId129" Type="http://schemas.openxmlformats.org/officeDocument/2006/relationships/image" Target="media/image121.png"/><Relationship Id="rId130" Type="http://schemas.openxmlformats.org/officeDocument/2006/relationships/image" Target="media/image122.jpeg"/><Relationship Id="rId131" Type="http://schemas.openxmlformats.org/officeDocument/2006/relationships/image" Target="media/image123.jpeg"/><Relationship Id="rId132" Type="http://schemas.openxmlformats.org/officeDocument/2006/relationships/image" Target="media/image124.png"/><Relationship Id="rId133" Type="http://schemas.openxmlformats.org/officeDocument/2006/relationships/image" Target="media/image125.jpeg"/><Relationship Id="rId134" Type="http://schemas.openxmlformats.org/officeDocument/2006/relationships/image" Target="media/image126.jpeg"/><Relationship Id="rId135" Type="http://schemas.openxmlformats.org/officeDocument/2006/relationships/image" Target="media/image127.png"/><Relationship Id="rId136" Type="http://schemas.openxmlformats.org/officeDocument/2006/relationships/image" Target="media/image128.jpeg"/><Relationship Id="rId137" Type="http://schemas.openxmlformats.org/officeDocument/2006/relationships/image" Target="media/image129.jpeg"/><Relationship Id="rId138" Type="http://schemas.openxmlformats.org/officeDocument/2006/relationships/image" Target="media/image130.png"/><Relationship Id="rId139" Type="http://schemas.openxmlformats.org/officeDocument/2006/relationships/image" Target="media/image131.jpeg"/><Relationship Id="rId140" Type="http://schemas.openxmlformats.org/officeDocument/2006/relationships/image" Target="media/image132.png"/><Relationship Id="rId141" Type="http://schemas.openxmlformats.org/officeDocument/2006/relationships/image" Target="media/image133.jpeg"/><Relationship Id="rId142" Type="http://schemas.openxmlformats.org/officeDocument/2006/relationships/image" Target="media/image134.png"/><Relationship Id="rId143" Type="http://schemas.openxmlformats.org/officeDocument/2006/relationships/image" Target="media/image135.jpeg"/><Relationship Id="rId144" Type="http://schemas.openxmlformats.org/officeDocument/2006/relationships/image" Target="media/image136.png"/><Relationship Id="rId145" Type="http://schemas.openxmlformats.org/officeDocument/2006/relationships/image" Target="media/image137.jpeg"/><Relationship Id="rId146" Type="http://schemas.openxmlformats.org/officeDocument/2006/relationships/image" Target="media/image138.jpeg"/><Relationship Id="rId147" Type="http://schemas.openxmlformats.org/officeDocument/2006/relationships/image" Target="media/image139.png"/><Relationship Id="rId148" Type="http://schemas.openxmlformats.org/officeDocument/2006/relationships/image" Target="media/image140.jpeg"/><Relationship Id="rId149" Type="http://schemas.openxmlformats.org/officeDocument/2006/relationships/image" Target="media/image141.jpeg"/><Relationship Id="rId150" Type="http://schemas.openxmlformats.org/officeDocument/2006/relationships/image" Target="media/image142.png"/><Relationship Id="rId151" Type="http://schemas.openxmlformats.org/officeDocument/2006/relationships/image" Target="media/image143.jpeg"/><Relationship Id="rId152" Type="http://schemas.openxmlformats.org/officeDocument/2006/relationships/image" Target="media/image144.jpeg"/><Relationship Id="rId153" Type="http://schemas.openxmlformats.org/officeDocument/2006/relationships/image" Target="media/image145.png"/><Relationship Id="rId154" Type="http://schemas.openxmlformats.org/officeDocument/2006/relationships/image" Target="media/image146.jpeg"/><Relationship Id="rId155" Type="http://schemas.openxmlformats.org/officeDocument/2006/relationships/image" Target="media/image147.png"/><Relationship Id="rId156" Type="http://schemas.openxmlformats.org/officeDocument/2006/relationships/image" Target="media/image148.jpeg"/><Relationship Id="rId157" Type="http://schemas.openxmlformats.org/officeDocument/2006/relationships/image" Target="media/image149.jpeg"/><Relationship Id="rId158" Type="http://schemas.openxmlformats.org/officeDocument/2006/relationships/image" Target="media/image150.png"/><Relationship Id="rId159" Type="http://schemas.openxmlformats.org/officeDocument/2006/relationships/image" Target="media/image151.jpeg"/><Relationship Id="rId160" Type="http://schemas.openxmlformats.org/officeDocument/2006/relationships/image" Target="media/image152.jpe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jpe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jpe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jpe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jpe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jpe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jpe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jpeg"/><Relationship Id="rId206" Type="http://schemas.openxmlformats.org/officeDocument/2006/relationships/image" Target="media/image198.png"/><Relationship Id="rId207" Type="http://schemas.openxmlformats.org/officeDocument/2006/relationships/image" Target="media/image199.jpeg"/><Relationship Id="rId208" Type="http://schemas.openxmlformats.org/officeDocument/2006/relationships/image" Target="media/image200.png"/><Relationship Id="rId209" Type="http://schemas.openxmlformats.org/officeDocument/2006/relationships/image" Target="media/image201.jpe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jpeg"/><Relationship Id="rId213" Type="http://schemas.openxmlformats.org/officeDocument/2006/relationships/image" Target="media/image205.png"/><Relationship Id="rId214" Type="http://schemas.openxmlformats.org/officeDocument/2006/relationships/image" Target="media/image206.jpeg"/><Relationship Id="rId215" Type="http://schemas.openxmlformats.org/officeDocument/2006/relationships/image" Target="media/image207.png"/><Relationship Id="rId216" Type="http://schemas.openxmlformats.org/officeDocument/2006/relationships/image" Target="media/image208.jpeg"/><Relationship Id="rId217" Type="http://schemas.openxmlformats.org/officeDocument/2006/relationships/image" Target="media/image209.png"/><Relationship Id="rId218" Type="http://schemas.openxmlformats.org/officeDocument/2006/relationships/image" Target="media/image210.jpeg"/><Relationship Id="rId219" Type="http://schemas.openxmlformats.org/officeDocument/2006/relationships/image" Target="media/image211.png"/><Relationship Id="rId220" Type="http://schemas.openxmlformats.org/officeDocument/2006/relationships/image" Target="media/image212.jpeg"/><Relationship Id="rId221" Type="http://schemas.openxmlformats.org/officeDocument/2006/relationships/image" Target="media/image213.png"/><Relationship Id="rId222" Type="http://schemas.openxmlformats.org/officeDocument/2006/relationships/image" Target="media/image214.jpeg"/><Relationship Id="rId223" Type="http://schemas.openxmlformats.org/officeDocument/2006/relationships/image" Target="media/image215.png"/><Relationship Id="rId224" Type="http://schemas.openxmlformats.org/officeDocument/2006/relationships/image" Target="media/image216.jpeg"/><Relationship Id="rId225" Type="http://schemas.openxmlformats.org/officeDocument/2006/relationships/image" Target="media/image217.png"/><Relationship Id="rId226" Type="http://schemas.openxmlformats.org/officeDocument/2006/relationships/image" Target="media/image218.jpeg"/><Relationship Id="rId227" Type="http://schemas.openxmlformats.org/officeDocument/2006/relationships/image" Target="media/image219.png"/><Relationship Id="rId228" Type="http://schemas.openxmlformats.org/officeDocument/2006/relationships/image" Target="media/image220.jpeg"/><Relationship Id="rId229" Type="http://schemas.openxmlformats.org/officeDocument/2006/relationships/image" Target="media/image221.png"/><Relationship Id="rId230" Type="http://schemas.openxmlformats.org/officeDocument/2006/relationships/image" Target="media/image222.jpeg"/><Relationship Id="rId231" Type="http://schemas.openxmlformats.org/officeDocument/2006/relationships/image" Target="media/image223.png"/><Relationship Id="rId232" Type="http://schemas.openxmlformats.org/officeDocument/2006/relationships/image" Target="media/image224.jpe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jpeg"/><Relationship Id="rId238" Type="http://schemas.openxmlformats.org/officeDocument/2006/relationships/image" Target="media/image230.png"/><Relationship Id="rId239" Type="http://schemas.openxmlformats.org/officeDocument/2006/relationships/image" Target="media/image231.jpeg"/><Relationship Id="rId240" Type="http://schemas.openxmlformats.org/officeDocument/2006/relationships/image" Target="media/image232.png"/><Relationship Id="rId241" Type="http://schemas.openxmlformats.org/officeDocument/2006/relationships/image" Target="media/image233.jpeg"/><Relationship Id="rId242" Type="http://schemas.openxmlformats.org/officeDocument/2006/relationships/image" Target="media/image234.png"/><Relationship Id="rId243" Type="http://schemas.openxmlformats.org/officeDocument/2006/relationships/image" Target="media/image235.jpeg"/><Relationship Id="rId244" Type="http://schemas.openxmlformats.org/officeDocument/2006/relationships/image" Target="media/image236.png"/><Relationship Id="rId245" Type="http://schemas.openxmlformats.org/officeDocument/2006/relationships/image" Target="media/image237.jpeg"/><Relationship Id="rId246" Type="http://schemas.openxmlformats.org/officeDocument/2006/relationships/image" Target="media/image238.jpeg"/><Relationship Id="rId247" Type="http://schemas.openxmlformats.org/officeDocument/2006/relationships/image" Target="media/image239.jpeg"/><Relationship Id="rId248" Type="http://schemas.openxmlformats.org/officeDocument/2006/relationships/image" Target="media/image240.png"/><Relationship Id="rId249" Type="http://schemas.openxmlformats.org/officeDocument/2006/relationships/image" Target="media/image241.jpeg"/><Relationship Id="rId250" Type="http://schemas.openxmlformats.org/officeDocument/2006/relationships/image" Target="media/image242.png"/><Relationship Id="rId251" Type="http://schemas.openxmlformats.org/officeDocument/2006/relationships/image" Target="media/image243.jpeg"/><Relationship Id="rId252" Type="http://schemas.openxmlformats.org/officeDocument/2006/relationships/image" Target="media/image244.png"/><Relationship Id="rId253" Type="http://schemas.openxmlformats.org/officeDocument/2006/relationships/image" Target="media/image245.jpeg"/><Relationship Id="rId254" Type="http://schemas.openxmlformats.org/officeDocument/2006/relationships/image" Target="media/image246.png"/><Relationship Id="rId255" Type="http://schemas.openxmlformats.org/officeDocument/2006/relationships/image" Target="media/image247.jpeg"/><Relationship Id="rId256" Type="http://schemas.openxmlformats.org/officeDocument/2006/relationships/image" Target="media/image248.png"/><Relationship Id="rId257" Type="http://schemas.openxmlformats.org/officeDocument/2006/relationships/image" Target="media/image249.jpeg"/><Relationship Id="rId258" Type="http://schemas.openxmlformats.org/officeDocument/2006/relationships/image" Target="media/image250.png"/><Relationship Id="rId259" Type="http://schemas.openxmlformats.org/officeDocument/2006/relationships/image" Target="media/image251.jpe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jpeg"/><Relationship Id="rId263" Type="http://schemas.openxmlformats.org/officeDocument/2006/relationships/image" Target="media/image255.png"/><Relationship Id="rId264" Type="http://schemas.openxmlformats.org/officeDocument/2006/relationships/image" Target="media/image256.jpe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jpe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jpeg"/><Relationship Id="rId271" Type="http://schemas.openxmlformats.org/officeDocument/2006/relationships/image" Target="media/image263.png"/><Relationship Id="rId272" Type="http://schemas.openxmlformats.org/officeDocument/2006/relationships/image" Target="media/image264.jpeg"/><Relationship Id="rId273" Type="http://schemas.openxmlformats.org/officeDocument/2006/relationships/image" Target="media/image265.png"/><Relationship Id="rId274" Type="http://schemas.openxmlformats.org/officeDocument/2006/relationships/image" Target="media/image266.jpe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jpe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jpe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jpe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jpe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jpe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jpe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jpe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jpe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jpe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jpe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jpe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jpe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jpe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jpe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jpe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jpe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jpeg"/><Relationship Id="rId384" Type="http://schemas.openxmlformats.org/officeDocument/2006/relationships/image" Target="media/image376.png"/><Relationship Id="rId385" Type="http://schemas.openxmlformats.org/officeDocument/2006/relationships/image" Target="media/image377.pn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png"/><Relationship Id="rId389" Type="http://schemas.openxmlformats.org/officeDocument/2006/relationships/image" Target="media/image381.png"/><Relationship Id="rId390" Type="http://schemas.openxmlformats.org/officeDocument/2006/relationships/image" Target="media/image382.png"/><Relationship Id="rId391" Type="http://schemas.openxmlformats.org/officeDocument/2006/relationships/image" Target="media/image383.jpeg"/><Relationship Id="rId392" Type="http://schemas.openxmlformats.org/officeDocument/2006/relationships/image" Target="media/image384.png"/><Relationship Id="rId393" Type="http://schemas.openxmlformats.org/officeDocument/2006/relationships/image" Target="media/image385.png"/><Relationship Id="rId394" Type="http://schemas.openxmlformats.org/officeDocument/2006/relationships/image" Target="media/image386.png"/><Relationship Id="rId395" Type="http://schemas.openxmlformats.org/officeDocument/2006/relationships/image" Target="media/image387.png"/><Relationship Id="rId396" Type="http://schemas.openxmlformats.org/officeDocument/2006/relationships/image" Target="media/image388.png"/><Relationship Id="rId397" Type="http://schemas.openxmlformats.org/officeDocument/2006/relationships/image" Target="media/image389.png"/><Relationship Id="rId398" Type="http://schemas.openxmlformats.org/officeDocument/2006/relationships/image" Target="media/image390.png"/><Relationship Id="rId399" Type="http://schemas.openxmlformats.org/officeDocument/2006/relationships/image" Target="media/image391.png"/><Relationship Id="rId400" Type="http://schemas.openxmlformats.org/officeDocument/2006/relationships/image" Target="media/image392.png"/><Relationship Id="rId401" Type="http://schemas.openxmlformats.org/officeDocument/2006/relationships/image" Target="media/image393.jpeg"/><Relationship Id="rId402" Type="http://schemas.openxmlformats.org/officeDocument/2006/relationships/image" Target="media/image394.png"/><Relationship Id="rId403" Type="http://schemas.openxmlformats.org/officeDocument/2006/relationships/image" Target="media/image395.png"/><Relationship Id="rId404" Type="http://schemas.openxmlformats.org/officeDocument/2006/relationships/image" Target="media/image396.png"/><Relationship Id="rId405" Type="http://schemas.openxmlformats.org/officeDocument/2006/relationships/image" Target="media/image397.jpeg"/><Relationship Id="rId406" Type="http://schemas.openxmlformats.org/officeDocument/2006/relationships/image" Target="media/image398.png"/><Relationship Id="rId407" Type="http://schemas.openxmlformats.org/officeDocument/2006/relationships/image" Target="media/image399.png"/><Relationship Id="rId408" Type="http://schemas.openxmlformats.org/officeDocument/2006/relationships/image" Target="media/image400.png"/><Relationship Id="rId409" Type="http://schemas.openxmlformats.org/officeDocument/2006/relationships/image" Target="media/image401.jpeg"/><Relationship Id="rId410" Type="http://schemas.openxmlformats.org/officeDocument/2006/relationships/image" Target="media/image402.png"/><Relationship Id="rId411" Type="http://schemas.openxmlformats.org/officeDocument/2006/relationships/image" Target="media/image403.png"/><Relationship Id="rId412" Type="http://schemas.openxmlformats.org/officeDocument/2006/relationships/image" Target="media/image404.png"/><Relationship Id="rId413" Type="http://schemas.openxmlformats.org/officeDocument/2006/relationships/image" Target="media/image405.png"/><Relationship Id="rId414" Type="http://schemas.openxmlformats.org/officeDocument/2006/relationships/image" Target="media/image406.png"/><Relationship Id="rId415" Type="http://schemas.openxmlformats.org/officeDocument/2006/relationships/image" Target="media/image407.png"/><Relationship Id="rId416" Type="http://schemas.openxmlformats.org/officeDocument/2006/relationships/image" Target="media/image408.jpeg"/><Relationship Id="rId417" Type="http://schemas.openxmlformats.org/officeDocument/2006/relationships/image" Target="media/image409.png"/><Relationship Id="rId418" Type="http://schemas.openxmlformats.org/officeDocument/2006/relationships/image" Target="media/image410.png"/><Relationship Id="rId419" Type="http://schemas.openxmlformats.org/officeDocument/2006/relationships/image" Target="media/image411.png"/><Relationship Id="rId420" Type="http://schemas.openxmlformats.org/officeDocument/2006/relationships/image" Target="media/image412.png"/><Relationship Id="rId421" Type="http://schemas.openxmlformats.org/officeDocument/2006/relationships/image" Target="media/image413.png"/><Relationship Id="rId422" Type="http://schemas.openxmlformats.org/officeDocument/2006/relationships/image" Target="media/image414.png"/><Relationship Id="rId423" Type="http://schemas.openxmlformats.org/officeDocument/2006/relationships/image" Target="media/image415.png"/><Relationship Id="rId424" Type="http://schemas.openxmlformats.org/officeDocument/2006/relationships/image" Target="media/image416.png"/><Relationship Id="rId425" Type="http://schemas.openxmlformats.org/officeDocument/2006/relationships/image" Target="media/image417.png"/><Relationship Id="rId426" Type="http://schemas.openxmlformats.org/officeDocument/2006/relationships/image" Target="media/image418.jpeg"/><Relationship Id="rId427" Type="http://schemas.openxmlformats.org/officeDocument/2006/relationships/image" Target="media/image419.png"/><Relationship Id="rId428" Type="http://schemas.openxmlformats.org/officeDocument/2006/relationships/image" Target="media/image420.png"/><Relationship Id="rId429" Type="http://schemas.openxmlformats.org/officeDocument/2006/relationships/image" Target="media/image421.jpeg"/><Relationship Id="rId430" Type="http://schemas.openxmlformats.org/officeDocument/2006/relationships/image" Target="media/image422.png"/><Relationship Id="rId431" Type="http://schemas.openxmlformats.org/officeDocument/2006/relationships/image" Target="media/image423.png"/><Relationship Id="rId432" Type="http://schemas.openxmlformats.org/officeDocument/2006/relationships/image" Target="media/image424.png"/><Relationship Id="rId433" Type="http://schemas.openxmlformats.org/officeDocument/2006/relationships/image" Target="media/image425.png"/><Relationship Id="rId434" Type="http://schemas.openxmlformats.org/officeDocument/2006/relationships/image" Target="media/image426.jpeg"/><Relationship Id="rId435" Type="http://schemas.openxmlformats.org/officeDocument/2006/relationships/image" Target="media/image427.png"/><Relationship Id="rId436" Type="http://schemas.openxmlformats.org/officeDocument/2006/relationships/image" Target="media/image428.png"/><Relationship Id="rId437" Type="http://schemas.openxmlformats.org/officeDocument/2006/relationships/image" Target="media/image429.png"/><Relationship Id="rId438" Type="http://schemas.openxmlformats.org/officeDocument/2006/relationships/image" Target="media/image430.png"/><Relationship Id="rId439" Type="http://schemas.openxmlformats.org/officeDocument/2006/relationships/image" Target="media/image431.png"/><Relationship Id="rId440" Type="http://schemas.openxmlformats.org/officeDocument/2006/relationships/image" Target="media/image432.png"/><Relationship Id="rId441" Type="http://schemas.openxmlformats.org/officeDocument/2006/relationships/image" Target="media/image433.jpeg"/><Relationship Id="rId442" Type="http://schemas.openxmlformats.org/officeDocument/2006/relationships/image" Target="media/image434.png"/><Relationship Id="rId443" Type="http://schemas.openxmlformats.org/officeDocument/2006/relationships/image" Target="media/image435.png"/><Relationship Id="rId444" Type="http://schemas.openxmlformats.org/officeDocument/2006/relationships/image" Target="media/image436.png"/><Relationship Id="rId445" Type="http://schemas.openxmlformats.org/officeDocument/2006/relationships/image" Target="media/image437.png"/><Relationship Id="rId446" Type="http://schemas.openxmlformats.org/officeDocument/2006/relationships/image" Target="media/image438.png"/><Relationship Id="rId447" Type="http://schemas.openxmlformats.org/officeDocument/2006/relationships/image" Target="media/image439.png"/><Relationship Id="rId448" Type="http://schemas.openxmlformats.org/officeDocument/2006/relationships/image" Target="media/image440.png"/><Relationship Id="rId449" Type="http://schemas.openxmlformats.org/officeDocument/2006/relationships/image" Target="media/image441.jpeg"/><Relationship Id="rId450" Type="http://schemas.openxmlformats.org/officeDocument/2006/relationships/image" Target="media/image442.png"/><Relationship Id="rId451" Type="http://schemas.openxmlformats.org/officeDocument/2006/relationships/image" Target="media/image443.png"/><Relationship Id="rId452" Type="http://schemas.openxmlformats.org/officeDocument/2006/relationships/image" Target="media/image444.png"/><Relationship Id="rId453" Type="http://schemas.openxmlformats.org/officeDocument/2006/relationships/image" Target="media/image445.png"/><Relationship Id="rId454" Type="http://schemas.openxmlformats.org/officeDocument/2006/relationships/image" Target="media/image446.png"/><Relationship Id="rId455" Type="http://schemas.openxmlformats.org/officeDocument/2006/relationships/image" Target="media/image447.png"/><Relationship Id="rId456" Type="http://schemas.openxmlformats.org/officeDocument/2006/relationships/image" Target="media/image448.png"/><Relationship Id="rId457" Type="http://schemas.openxmlformats.org/officeDocument/2006/relationships/image" Target="media/image449.jpeg"/><Relationship Id="rId458" Type="http://schemas.openxmlformats.org/officeDocument/2006/relationships/image" Target="media/image450.png"/><Relationship Id="rId459" Type="http://schemas.openxmlformats.org/officeDocument/2006/relationships/image" Target="media/image451.png"/><Relationship Id="rId460" Type="http://schemas.openxmlformats.org/officeDocument/2006/relationships/image" Target="media/image452.png"/><Relationship Id="rId461" Type="http://schemas.openxmlformats.org/officeDocument/2006/relationships/image" Target="media/image453.png"/><Relationship Id="rId462" Type="http://schemas.openxmlformats.org/officeDocument/2006/relationships/image" Target="media/image454.png"/><Relationship Id="rId463" Type="http://schemas.openxmlformats.org/officeDocument/2006/relationships/image" Target="media/image455.jpeg"/><Relationship Id="rId464" Type="http://schemas.openxmlformats.org/officeDocument/2006/relationships/image" Target="media/image456.png"/><Relationship Id="rId465" Type="http://schemas.openxmlformats.org/officeDocument/2006/relationships/image" Target="media/image457.png"/><Relationship Id="rId466" Type="http://schemas.openxmlformats.org/officeDocument/2006/relationships/image" Target="media/image458.png"/><Relationship Id="rId467" Type="http://schemas.openxmlformats.org/officeDocument/2006/relationships/image" Target="media/image459.png"/><Relationship Id="rId468" Type="http://schemas.openxmlformats.org/officeDocument/2006/relationships/image" Target="media/image460.jpeg"/><Relationship Id="rId469" Type="http://schemas.openxmlformats.org/officeDocument/2006/relationships/image" Target="media/image461.png"/><Relationship Id="rId470" Type="http://schemas.openxmlformats.org/officeDocument/2006/relationships/image" Target="media/image462.jpeg"/><Relationship Id="rId471" Type="http://schemas.openxmlformats.org/officeDocument/2006/relationships/image" Target="media/image463.png"/><Relationship Id="rId472" Type="http://schemas.openxmlformats.org/officeDocument/2006/relationships/image" Target="media/image464.png"/><Relationship Id="rId473" Type="http://schemas.openxmlformats.org/officeDocument/2006/relationships/image" Target="media/image465.png"/><Relationship Id="rId474" Type="http://schemas.openxmlformats.org/officeDocument/2006/relationships/image" Target="media/image466.png"/><Relationship Id="rId475" Type="http://schemas.openxmlformats.org/officeDocument/2006/relationships/image" Target="media/image467.jpeg"/><Relationship Id="rId476" Type="http://schemas.openxmlformats.org/officeDocument/2006/relationships/image" Target="media/image468.png"/><Relationship Id="rId480" Type="http://schemas.openxmlformats.org/officeDocument/2006/relationships/image" Target="media/image469.png"/><Relationship Id="rId481" Type="http://schemas.openxmlformats.org/officeDocument/2006/relationships/image" Target="media/image470.png"/><Relationship Id="rId482" Type="http://schemas.openxmlformats.org/officeDocument/2006/relationships/image" Target="media/image471.jpeg"/><Relationship Id="rId492" Type="http://schemas.openxmlformats.org/officeDocument/2006/relationships/image" Target="media/image472.png"/><Relationship Id="rId493" Type="http://schemas.openxmlformats.org/officeDocument/2006/relationships/image" Target="media/image473.png"/><Relationship Id="rId494" Type="http://schemas.openxmlformats.org/officeDocument/2006/relationships/image" Target="media/image474.jpeg"/><Relationship Id="rId505" Type="http://schemas.openxmlformats.org/officeDocument/2006/relationships/image" Target="media/image475.png"/><Relationship Id="rId506" Type="http://schemas.openxmlformats.org/officeDocument/2006/relationships/image" Target="media/image476.png"/><Relationship Id="rId507" Type="http://schemas.openxmlformats.org/officeDocument/2006/relationships/image" Target="media/image477.jpeg"/><Relationship Id="rId520" Type="http://schemas.openxmlformats.org/officeDocument/2006/relationships/image" Target="media/image478.png"/><Relationship Id="rId521" Type="http://schemas.openxmlformats.org/officeDocument/2006/relationships/image" Target="media/image479.png"/><Relationship Id="rId522" Type="http://schemas.openxmlformats.org/officeDocument/2006/relationships/image" Target="media/image480.jpeg"/><Relationship Id="rId536" Type="http://schemas.openxmlformats.org/officeDocument/2006/relationships/image" Target="media/image481.png"/><Relationship Id="rId537" Type="http://schemas.openxmlformats.org/officeDocument/2006/relationships/image" Target="media/image482.png"/><Relationship Id="rId538" Type="http://schemas.openxmlformats.org/officeDocument/2006/relationships/image" Target="media/image483.jpeg"/><Relationship Id="rId539" Type="http://schemas.openxmlformats.org/officeDocument/2006/relationships/image" Target="media/image484.jpeg"/><Relationship Id="rId540" Type="http://schemas.openxmlformats.org/officeDocument/2006/relationships/image" Target="media/image485.png"/><Relationship Id="rId541" Type="http://schemas.openxmlformats.org/officeDocument/2006/relationships/image" Target="media/image486.png"/><Relationship Id="rId542" Type="http://schemas.openxmlformats.org/officeDocument/2006/relationships/image" Target="media/image487.png"/><Relationship Id="rId543" Type="http://schemas.openxmlformats.org/officeDocument/2006/relationships/image" Target="media/image488.png"/><Relationship Id="rId544" Type="http://schemas.openxmlformats.org/officeDocument/2006/relationships/image" Target="media/image489.png"/><Relationship Id="rId545" Type="http://schemas.openxmlformats.org/officeDocument/2006/relationships/image" Target="media/image490.png"/><Relationship Id="rId546" Type="http://schemas.openxmlformats.org/officeDocument/2006/relationships/image" Target="media/image491.png"/><Relationship Id="rId547" Type="http://schemas.openxmlformats.org/officeDocument/2006/relationships/image" Target="media/image492.png"/><Relationship Id="rId548" Type="http://schemas.openxmlformats.org/officeDocument/2006/relationships/image" Target="media/image493.png"/><Relationship Id="rId549" Type="http://schemas.openxmlformats.org/officeDocument/2006/relationships/image" Target="media/image494.png"/><Relationship Id="rId550" Type="http://schemas.openxmlformats.org/officeDocument/2006/relationships/image" Target="media/image495.png"/><Relationship Id="rId551" Type="http://schemas.openxmlformats.org/officeDocument/2006/relationships/image" Target="media/image496.jpeg"/><Relationship Id="rId552" Type="http://schemas.openxmlformats.org/officeDocument/2006/relationships/image" Target="media/image497.png"/><Relationship Id="rId553" Type="http://schemas.openxmlformats.org/officeDocument/2006/relationships/image" Target="media/image498.png"/><Relationship Id="rId554" Type="http://schemas.openxmlformats.org/officeDocument/2006/relationships/image" Target="media/image499.jpeg"/><Relationship Id="rId555" Type="http://schemas.openxmlformats.org/officeDocument/2006/relationships/image" Target="media/image500.png"/><Relationship Id="rId556" Type="http://schemas.openxmlformats.org/officeDocument/2006/relationships/image" Target="media/image501.png"/><Relationship Id="rId557" Type="http://schemas.openxmlformats.org/officeDocument/2006/relationships/image" Target="media/image502.png"/><Relationship Id="rId558" Type="http://schemas.openxmlformats.org/officeDocument/2006/relationships/image" Target="media/image503.jpeg"/><Relationship Id="rId559" Type="http://schemas.openxmlformats.org/officeDocument/2006/relationships/image" Target="media/image504.png"/><Relationship Id="rId560" Type="http://schemas.openxmlformats.org/officeDocument/2006/relationships/image" Target="media/image505.png"/><Relationship Id="rId561" Type="http://schemas.openxmlformats.org/officeDocument/2006/relationships/image" Target="media/image506.png"/><Relationship Id="rId562" Type="http://schemas.openxmlformats.org/officeDocument/2006/relationships/image" Target="media/image507.png"/><Relationship Id="rId563" Type="http://schemas.openxmlformats.org/officeDocument/2006/relationships/image" Target="media/image508.png"/><Relationship Id="rId564" Type="http://schemas.openxmlformats.org/officeDocument/2006/relationships/image" Target="media/image509.png"/><Relationship Id="rId565" Type="http://schemas.openxmlformats.org/officeDocument/2006/relationships/image" Target="media/image510.png"/><Relationship Id="rId566" Type="http://schemas.openxmlformats.org/officeDocument/2006/relationships/image" Target="media/image511.png"/><Relationship Id="rId567" Type="http://schemas.openxmlformats.org/officeDocument/2006/relationships/image" Target="media/image512.png"/><Relationship Id="rId568" Type="http://schemas.openxmlformats.org/officeDocument/2006/relationships/image" Target="media/image513.png"/><Relationship Id="rId569" Type="http://schemas.openxmlformats.org/officeDocument/2006/relationships/image" Target="media/image514.png"/><Relationship Id="rId570" Type="http://schemas.openxmlformats.org/officeDocument/2006/relationships/image" Target="media/image515.png"/><Relationship Id="rId571" Type="http://schemas.openxmlformats.org/officeDocument/2006/relationships/image" Target="media/image516.png"/><Relationship Id="rId572" Type="http://schemas.openxmlformats.org/officeDocument/2006/relationships/image" Target="media/image517.png"/><Relationship Id="rId573" Type="http://schemas.openxmlformats.org/officeDocument/2006/relationships/image" Target="media/image518.png"/><Relationship Id="rId574" Type="http://schemas.openxmlformats.org/officeDocument/2006/relationships/image" Target="media/image519.png"/><Relationship Id="rId575" Type="http://schemas.openxmlformats.org/officeDocument/2006/relationships/image" Target="media/image520.png"/><Relationship Id="rId576" Type="http://schemas.openxmlformats.org/officeDocument/2006/relationships/image" Target="media/image521.png"/><Relationship Id="rId577" Type="http://schemas.openxmlformats.org/officeDocument/2006/relationships/image" Target="media/image522.png"/><Relationship Id="rId578" Type="http://schemas.openxmlformats.org/officeDocument/2006/relationships/image" Target="media/image523.png"/><Relationship Id="rId579" Type="http://schemas.openxmlformats.org/officeDocument/2006/relationships/image" Target="media/image524.png"/><Relationship Id="rId580" Type="http://schemas.openxmlformats.org/officeDocument/2006/relationships/image" Target="media/image525.png"/><Relationship Id="rId581" Type="http://schemas.openxmlformats.org/officeDocument/2006/relationships/image" Target="media/image526.png"/><Relationship Id="rId582" Type="http://schemas.openxmlformats.org/officeDocument/2006/relationships/image" Target="media/image527.png"/><Relationship Id="rId583" Type="http://schemas.openxmlformats.org/officeDocument/2006/relationships/image" Target="media/image528.png"/><Relationship Id="rId584" Type="http://schemas.openxmlformats.org/officeDocument/2006/relationships/image" Target="media/image529.png"/><Relationship Id="rId585" Type="http://schemas.openxmlformats.org/officeDocument/2006/relationships/image" Target="media/image530.png"/><Relationship Id="rId586" Type="http://schemas.openxmlformats.org/officeDocument/2006/relationships/image" Target="media/image531.png"/><Relationship Id="rId587" Type="http://schemas.openxmlformats.org/officeDocument/2006/relationships/image" Target="media/image532.png"/><Relationship Id="rId588" Type="http://schemas.openxmlformats.org/officeDocument/2006/relationships/image" Target="media/image533.png"/><Relationship Id="rId589" Type="http://schemas.openxmlformats.org/officeDocument/2006/relationships/image" Target="media/image534.png"/><Relationship Id="rId590" Type="http://schemas.openxmlformats.org/officeDocument/2006/relationships/image" Target="media/image535.png"/><Relationship Id="rId15" Type="http://schemas.openxmlformats.org/officeDocument/2006/relationships/hyperlink" Target="https://www.sec.gov/ix?doc=/Archives/edgar/data/916076/000156459020005784/mlm-10k_20191231.htm" TargetMode="External"/><Relationship Id="rId477" Type="http://schemas.openxmlformats.org/officeDocument/2006/relationships/hyperlink" Target="https://www.sec.gov/Archives/edgar/data/916076/000119312517056282/d344578dex301.htm" TargetMode="External"/><Relationship Id="rId478" Type="http://schemas.openxmlformats.org/officeDocument/2006/relationships/hyperlink" Target="https://www.sec.gov/Archives/edgar/data/916076/000095017022025069/mlm-ex3_1.htm" TargetMode="External"/><Relationship Id="rId479" Type="http://schemas.openxmlformats.org/officeDocument/2006/relationships/hyperlink" Target="https://www.sec.gov/Archives/edgar/data/916076/000095014407003966/g07010exv4w1.htm" TargetMode="External"/><Relationship Id="rId483" Type="http://schemas.openxmlformats.org/officeDocument/2006/relationships/hyperlink" Target="https://www.sec.gov/Archives/edgar/data/916076/000095014407003966/g07010exv4w3.htm" TargetMode="External"/><Relationship Id="rId484" Type="http://schemas.openxmlformats.org/officeDocument/2006/relationships/hyperlink" Target="https://www.sec.gov/Archives/edgar/data/916076/000095015714000679/ex10-1.htm" TargetMode="External"/><Relationship Id="rId485" Type="http://schemas.openxmlformats.org/officeDocument/2006/relationships/hyperlink" Target="https://www.sec.gov/Archives/edgar/data/916076/000095015714000736/ex4-1.htm" TargetMode="External"/><Relationship Id="rId486" Type="http://schemas.openxmlformats.org/officeDocument/2006/relationships/hyperlink" Target="https://www.sec.gov/Archives/edgar/data/916076/000119312517178064/d401743dex41.htm" TargetMode="External"/><Relationship Id="rId487" Type="http://schemas.openxmlformats.org/officeDocument/2006/relationships/hyperlink" Target="https://www.sec.gov/Archives/edgar/data/916076/000119312517178064/d401743dex42.htm" TargetMode="External"/><Relationship Id="rId488" Type="http://schemas.openxmlformats.org/officeDocument/2006/relationships/hyperlink" Target="https://www.sec.gov/Archives/edgar/data/916076/000119312517374738/d499713dex42.htm" TargetMode="External"/><Relationship Id="rId489" Type="http://schemas.openxmlformats.org/officeDocument/2006/relationships/hyperlink" Target="https://www.sec.gov/Archives/edgar/data/916076/000095015720000377/ex4-2.htm" TargetMode="External"/><Relationship Id="rId490" Type="http://schemas.openxmlformats.org/officeDocument/2006/relationships/hyperlink" Target="https://www.sec.gov/Archives/edgar/data/916076/000095015721000738/ex4-2.htm" TargetMode="External"/><Relationship Id="rId491" Type="http://schemas.openxmlformats.org/officeDocument/2006/relationships/hyperlink" Target="https://www.sec.gov/Archives/edgar/data/916076/000156459020005784/mlm-ex417_265.htm" TargetMode="External"/><Relationship Id="rId495" Type="http://schemas.openxmlformats.org/officeDocument/2006/relationships/hyperlink" Target="https://www.sec.gov/Archives/edgar/data/916076/000095015721001282/ex10-1.htm" TargetMode="External"/><Relationship Id="rId496" Type="http://schemas.openxmlformats.org/officeDocument/2006/relationships/hyperlink" Target="https://www.sec.gov/Archives/edgar/data/916076/000095015722001348/ex10-1.htm" TargetMode="External"/><Relationship Id="rId497" Type="http://schemas.openxmlformats.org/officeDocument/2006/relationships/hyperlink" Target="https://www.sec.gov/Archives/edgar/data/916076/000119312513169367/d524115dex1001.htm" TargetMode="External"/><Relationship Id="rId498" Type="http://schemas.openxmlformats.org/officeDocument/2006/relationships/hyperlink" Target="https://www.sec.gov/Archives/edgar/data/916076/000095015714000705/ex10-1.htm" TargetMode="External"/><Relationship Id="rId499" Type="http://schemas.openxmlformats.org/officeDocument/2006/relationships/hyperlink" Target="https://www.sec.gov/Archives/edgar/data/916076/000119312514156286/d714228dex1001.htm" TargetMode="External"/><Relationship Id="rId500" Type="http://schemas.openxmlformats.org/officeDocument/2006/relationships/hyperlink" Target="https://www.sec.gov/Archives/edgar/data/916076/000119312514363178/d799882dex1001.htm" TargetMode="External"/><Relationship Id="rId501" Type="http://schemas.openxmlformats.org/officeDocument/2006/relationships/hyperlink" Target="https://www.sec.gov/Archives/edgar/data/916076/000156459016025538/mlm-ex1001_6.htm" TargetMode="External"/><Relationship Id="rId502" Type="http://schemas.openxmlformats.org/officeDocument/2006/relationships/hyperlink" Target="https://www.sec.gov/Archives/edgar/data/916076/000095015718000431/ex10-1.htm" TargetMode="External"/><Relationship Id="rId503" Type="http://schemas.openxmlformats.org/officeDocument/2006/relationships/hyperlink" Target="https://www.sec.gov/Archives/edgar/data/916076/000095015718001002/ex10-1.htm" TargetMode="External"/><Relationship Id="rId504" Type="http://schemas.openxmlformats.org/officeDocument/2006/relationships/hyperlink" Target="https://www.sec.gov/Archives/edgar/data/916076/000095015719001073/ex10-01.htm" TargetMode="External"/><Relationship Id="rId508" Type="http://schemas.openxmlformats.org/officeDocument/2006/relationships/hyperlink" Target="https://www.sec.gov/Archives/edgar/data/916076/000095015720001165/ex10-1.htm" TargetMode="External"/><Relationship Id="rId509" Type="http://schemas.openxmlformats.org/officeDocument/2006/relationships/hyperlink" Target="https://www.sec.gov/Archives/edgar/data/916076/000095015721001045/ex10-01.htm" TargetMode="External"/><Relationship Id="rId510" Type="http://schemas.openxmlformats.org/officeDocument/2006/relationships/hyperlink" Target="https://www.sec.gov/Archives/edgar/data/916076/000095015722001037/ex10-01.htm" TargetMode="External"/><Relationship Id="rId511" Type="http://schemas.openxmlformats.org/officeDocument/2006/relationships/hyperlink" Target="https://www.sec.gov/Archives/edgar/data/916076/000119312513169367/d524115dex1002.htm" TargetMode="External"/><Relationship Id="rId512" Type="http://schemas.openxmlformats.org/officeDocument/2006/relationships/hyperlink" Target="https://www.sec.gov/Archives/edgar/data/916076/000095014408006590/g14828k1exv10w1.htm" TargetMode="External"/><Relationship Id="rId513" Type="http://schemas.openxmlformats.org/officeDocument/2006/relationships/hyperlink" Target="https://www.sec.gov/Archives/edgar/data/916076/000119312514064999/d654417dex1005.htm" TargetMode="External"/><Relationship Id="rId514" Type="http://schemas.openxmlformats.org/officeDocument/2006/relationships/hyperlink" Target="https://www.sec.gov/Archives/edgar/data/916076/000095014409001377/g17638exv10w05.htm" TargetMode="External"/><Relationship Id="rId515" Type="http://schemas.openxmlformats.org/officeDocument/2006/relationships/hyperlink" Target="https://www.sec.gov/Archives/edgar/data/916076/000095014409001377/g17638exv10w06.htm" TargetMode="External"/><Relationship Id="rId516" Type="http://schemas.openxmlformats.org/officeDocument/2006/relationships/hyperlink" Target="https://www.sec.gov/Archives/edgar/data/916076/000156459016022616/mlm-ex1001_10.htm" TargetMode="External"/><Relationship Id="rId517" Type="http://schemas.openxmlformats.org/officeDocument/2006/relationships/hyperlink" Target="https://www.sec.gov/Archives/edgar/data/916076/000156459016022616/mlm-ex1002_8.htm" TargetMode="External"/><Relationship Id="rId518" Type="http://schemas.openxmlformats.org/officeDocument/2006/relationships/hyperlink" Target="https://www.sec.gov/Archives/edgar/data/916076/000095014401003808/g67160ex10-16.txt" TargetMode="External"/><Relationship Id="rId519" Type="http://schemas.openxmlformats.org/officeDocument/2006/relationships/hyperlink" Target="https://www.sec.gov/Archives/edgar/data/916076/000119312512337410/d367571dex10.htm" TargetMode="External"/><Relationship Id="rId523" Type="http://schemas.openxmlformats.org/officeDocument/2006/relationships/hyperlink" Target="https://www.sec.gov/Archives/edgar/data/916076/000095014409001377/g17638exv10w11.htm" TargetMode="External"/><Relationship Id="rId524" Type="http://schemas.openxmlformats.org/officeDocument/2006/relationships/hyperlink" Target="https://www.sec.gov/Archives/edgar/data/916076/000095014409001377/g17638exv10w13.htm" TargetMode="External"/><Relationship Id="rId525" Type="http://schemas.openxmlformats.org/officeDocument/2006/relationships/hyperlink" Target="https://www.sec.gov/Archives/edgar/data/916076/000119312514064999/d654417dex1014.htm" TargetMode="External"/><Relationship Id="rId526" Type="http://schemas.openxmlformats.org/officeDocument/2006/relationships/hyperlink" Target="https://www.sec.gov/Archives/edgar/data/916076/000119312515060008/d877241dex1019.htm" TargetMode="External"/><Relationship Id="rId527" Type="http://schemas.openxmlformats.org/officeDocument/2006/relationships/hyperlink" Target="https://www.sec.gov/Archives/edgar/data/916076/000156459017010260/mlm-ex1002_99.htm" TargetMode="External"/><Relationship Id="rId528" Type="http://schemas.openxmlformats.org/officeDocument/2006/relationships/hyperlink" Target="https://www.sec.gov/Archives/edgar/data/916076/000156459017014636/mlm-ex1001_243.htm" TargetMode="External"/><Relationship Id="rId529" Type="http://schemas.openxmlformats.org/officeDocument/2006/relationships/hyperlink" Target="https://www.sec.gov/Archives/edgar/data/916076/000095015718001227/ex10_1.htm" TargetMode="External"/><Relationship Id="rId530" Type="http://schemas.openxmlformats.org/officeDocument/2006/relationships/hyperlink" Target="https://www.sec.gov/Archives/edgar/data/916076/000095015718001227/ex10_2.htm" TargetMode="External"/><Relationship Id="rId531" Type="http://schemas.openxmlformats.org/officeDocument/2006/relationships/hyperlink" Target="https://www.sec.gov/Archives/edgar/data/916076/000095015718001227/ex10_3.htm" TargetMode="External"/><Relationship Id="rId532" Type="http://schemas.openxmlformats.org/officeDocument/2006/relationships/hyperlink" Target="https://www.sec.gov/Archives/edgar/data/916076/000119312519049961/d640896dex1027.htm" TargetMode="External"/><Relationship Id="rId533" Type="http://schemas.openxmlformats.org/officeDocument/2006/relationships/hyperlink" Target="https://www.sec.gov/Archives/edgar/data/916076/000119312520182492/d708540dex101.htm" TargetMode="External"/><Relationship Id="rId534" Type="http://schemas.openxmlformats.org/officeDocument/2006/relationships/hyperlink" Target="https://www.sec.gov/Archives/edgar/data/916076/000119312520182492/d708540dex102.htm" TargetMode="External"/><Relationship Id="rId535" Type="http://schemas.openxmlformats.org/officeDocument/2006/relationships/hyperlink" Target="https://www.sec.gov/Archives/edgar/data/916076/000156459019027408/mlm-ex1001_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2023-02-24T17:00:36Z</dcterms:created>
  <dcterms:modified xsi:type="dcterms:W3CDTF">2023-02-24T17:00:36Z</dcterms:modified>
</cp:coreProperties>
</file>