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WASHINGTON, D.C. 20549</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6"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3800" w:right="1300" w:hanging="3792"/>
        <w:spacing w:after="0" w:line="243" w:lineRule="auto"/>
        <w:tabs>
          <w:tab w:leader="none" w:pos="512" w:val="left"/>
        </w:tabs>
        <w:numPr>
          <w:ilvl w:val="0"/>
          <w:numId w:val="1"/>
        </w:numPr>
        <w:rPr>
          <w:rFonts w:ascii="MS PGothic" w:cs="MS PGothic" w:eastAsia="MS PGothic" w:hAnsi="MS PGothic"/>
          <w:sz w:val="18"/>
          <w:szCs w:val="18"/>
          <w:color w:val="auto"/>
        </w:rPr>
      </w:pPr>
      <w:r>
        <w:rPr>
          <w:rFonts w:ascii="Arial" w:cs="Arial" w:eastAsia="Arial" w:hAnsi="Arial"/>
          <w:sz w:val="19"/>
          <w:szCs w:val="19"/>
          <w:b w:val="1"/>
          <w:bCs w:val="1"/>
          <w:color w:val="auto"/>
        </w:rPr>
        <w:t>QUARTERLY REPORT PURSUANT TO SECTION 13 OR 15(d) OF THE SECURITIES EXCHANGE ACT OF 1934 For the quarterly period ended March 31, 2017</w:t>
      </w:r>
    </w:p>
    <w:p>
      <w:pPr>
        <w:spacing w:after="0" w:line="184"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40"/>
          </w:cols>
          <w:pgMar w:left="240" w:top="597" w:right="219" w:bottom="1440" w:gutter="0" w:footer="0" w:header="0"/>
        </w:sectPr>
      </w:pPr>
    </w:p>
    <w:p>
      <w:pPr>
        <w:spacing w:after="0" w:line="29" w:lineRule="exact"/>
        <w:rPr>
          <w:sz w:val="24"/>
          <w:szCs w:val="24"/>
          <w:color w:val="auto"/>
        </w:rPr>
      </w:pPr>
    </w:p>
    <w:p>
      <w:pPr>
        <w:jc w:val="right"/>
        <w:ind w:right="4400"/>
        <w:spacing w:after="0"/>
        <w:tabs>
          <w:tab w:leader="none" w:pos="180" w:val="left"/>
        </w:tabs>
        <w:rPr>
          <w:sz w:val="20"/>
          <w:szCs w:val="20"/>
          <w:color w:val="auto"/>
        </w:rPr>
      </w:pPr>
      <w:r>
        <w:rPr>
          <w:rFonts w:ascii="Arial" w:cs="Arial" w:eastAsia="Arial" w:hAnsi="Arial"/>
          <w:sz w:val="19"/>
          <w:szCs w:val="19"/>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jc w:val="right"/>
        <w:ind w:right="4360"/>
        <w:spacing w:after="0"/>
        <w:rPr>
          <w:sz w:val="20"/>
          <w:szCs w:val="20"/>
          <w:color w:val="auto"/>
        </w:rPr>
      </w:pPr>
      <w:r>
        <w:rPr>
          <w:rFonts w:ascii="Arial" w:cs="Arial" w:eastAsia="Arial" w:hAnsi="Arial"/>
          <w:sz w:val="19"/>
          <w:szCs w:val="19"/>
          <w:b w:val="1"/>
          <w:bCs w:val="1"/>
          <w:color w:val="auto"/>
        </w:rPr>
        <w:t>Commission File Number 1-12744</w:t>
      </w:r>
    </w:p>
    <w:p>
      <w:pPr>
        <w:sectPr>
          <w:pgSz w:w="11900" w:h="16838" w:orient="portrait"/>
          <w:cols w:equalWidth="0" w:num="1">
            <w:col w:w="11440"/>
          </w:cols>
          <w:pgMar w:left="240" w:top="597" w:right="219" w:bottom="1440" w:gutter="0" w:footer="0" w:header="0"/>
          <w:type w:val="continuous"/>
        </w:sectPr>
      </w:pPr>
    </w:p>
    <w:p>
      <w:pPr>
        <w:spacing w:after="0" w:line="70"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79" w:lineRule="exact"/>
        <w:rPr>
          <w:sz w:val="24"/>
          <w:szCs w:val="24"/>
          <w:color w:val="auto"/>
        </w:rPr>
      </w:pPr>
    </w:p>
    <w:tbl>
      <w:tblPr>
        <w:tblLayout w:type="fixed"/>
        <w:tblInd w:w="1240" w:type="dxa"/>
        <w:tblCellMar>
          <w:top w:w="0" w:type="dxa"/>
          <w:left w:w="0" w:type="dxa"/>
          <w:bottom w:w="0" w:type="dxa"/>
          <w:right w:w="0" w:type="dxa"/>
        </w:tblCellMar>
      </w:tblPr>
      <w:tr>
        <w:trPr>
          <w:trHeight w:val="201"/>
        </w:trPr>
        <w:tc>
          <w:tcPr>
            <w:tcW w:w="3340" w:type="dxa"/>
            <w:vAlign w:val="bottom"/>
          </w:tcPr>
          <w:p>
            <w:pPr>
              <w:jc w:val="center"/>
              <w:ind w:right="45"/>
              <w:spacing w:after="0" w:line="201" w:lineRule="exact"/>
              <w:rPr>
                <w:sz w:val="20"/>
                <w:szCs w:val="20"/>
                <w:color w:val="auto"/>
              </w:rPr>
            </w:pPr>
            <w:r>
              <w:rPr>
                <w:rFonts w:ascii="Arial" w:cs="Arial" w:eastAsia="Arial" w:hAnsi="Arial"/>
                <w:sz w:val="19"/>
                <w:szCs w:val="19"/>
                <w:b w:val="1"/>
                <w:bCs w:val="1"/>
                <w:color w:val="auto"/>
                <w:w w:val="93"/>
              </w:rPr>
              <w:t>North Carolina</w:t>
            </w:r>
          </w:p>
        </w:tc>
        <w:tc>
          <w:tcPr>
            <w:tcW w:w="2280" w:type="dxa"/>
            <w:vAlign w:val="bottom"/>
            <w:tcBorders>
              <w:top w:val="single" w:sz="8" w:color="auto"/>
            </w:tcBorders>
          </w:tcPr>
          <w:p>
            <w:pPr>
              <w:spacing w:after="0"/>
              <w:rPr>
                <w:sz w:val="17"/>
                <w:szCs w:val="17"/>
                <w:color w:val="auto"/>
              </w:rPr>
            </w:pPr>
          </w:p>
        </w:tc>
        <w:tc>
          <w:tcPr>
            <w:tcW w:w="2700" w:type="dxa"/>
            <w:vAlign w:val="bottom"/>
          </w:tcPr>
          <w:p>
            <w:pPr>
              <w:jc w:val="center"/>
              <w:ind w:left="725"/>
              <w:spacing w:after="0" w:line="201" w:lineRule="exact"/>
              <w:rPr>
                <w:sz w:val="20"/>
                <w:szCs w:val="20"/>
                <w:color w:val="auto"/>
              </w:rPr>
            </w:pPr>
            <w:r>
              <w:rPr>
                <w:rFonts w:ascii="Arial" w:cs="Arial" w:eastAsia="Arial" w:hAnsi="Arial"/>
                <w:sz w:val="19"/>
                <w:szCs w:val="19"/>
                <w:b w:val="1"/>
                <w:bCs w:val="1"/>
                <w:color w:val="auto"/>
                <w:w w:val="90"/>
              </w:rPr>
              <w:t>56-1848578</w:t>
            </w:r>
          </w:p>
        </w:tc>
      </w:tr>
      <w:tr>
        <w:trPr>
          <w:trHeight w:val="216"/>
        </w:trPr>
        <w:tc>
          <w:tcPr>
            <w:tcW w:w="3340" w:type="dxa"/>
            <w:vAlign w:val="bottom"/>
          </w:tcPr>
          <w:p>
            <w:pPr>
              <w:jc w:val="center"/>
              <w:ind w:right="105"/>
              <w:spacing w:after="0" w:line="216" w:lineRule="exact"/>
              <w:rPr>
                <w:sz w:val="20"/>
                <w:szCs w:val="20"/>
                <w:color w:val="auto"/>
              </w:rPr>
            </w:pPr>
            <w:r>
              <w:rPr>
                <w:rFonts w:ascii="Arial" w:cs="Arial" w:eastAsia="Arial" w:hAnsi="Arial"/>
                <w:sz w:val="19"/>
                <w:szCs w:val="19"/>
                <w:b w:val="1"/>
                <w:bCs w:val="1"/>
                <w:color w:val="auto"/>
                <w:w w:val="91"/>
              </w:rPr>
              <w:t>(State or other jurisdiction of</w:t>
            </w:r>
          </w:p>
        </w:tc>
        <w:tc>
          <w:tcPr>
            <w:tcW w:w="2280" w:type="dxa"/>
            <w:vAlign w:val="bottom"/>
          </w:tcPr>
          <w:p>
            <w:pPr>
              <w:spacing w:after="0"/>
              <w:rPr>
                <w:sz w:val="18"/>
                <w:szCs w:val="18"/>
                <w:color w:val="auto"/>
              </w:rPr>
            </w:pPr>
          </w:p>
        </w:tc>
        <w:tc>
          <w:tcPr>
            <w:tcW w:w="2700" w:type="dxa"/>
            <w:vAlign w:val="bottom"/>
          </w:tcPr>
          <w:p>
            <w:pPr>
              <w:jc w:val="center"/>
              <w:ind w:left="725"/>
              <w:spacing w:after="0" w:line="216" w:lineRule="exact"/>
              <w:rPr>
                <w:sz w:val="20"/>
                <w:szCs w:val="20"/>
                <w:color w:val="auto"/>
              </w:rPr>
            </w:pPr>
            <w:r>
              <w:rPr>
                <w:rFonts w:ascii="Arial" w:cs="Arial" w:eastAsia="Arial" w:hAnsi="Arial"/>
                <w:sz w:val="19"/>
                <w:szCs w:val="19"/>
                <w:b w:val="1"/>
                <w:bCs w:val="1"/>
                <w:color w:val="auto"/>
                <w:w w:val="93"/>
              </w:rPr>
              <w:t>(I.R.S. Employer</w:t>
            </w:r>
          </w:p>
        </w:tc>
      </w:tr>
      <w:tr>
        <w:trPr>
          <w:trHeight w:val="246"/>
        </w:trPr>
        <w:tc>
          <w:tcPr>
            <w:tcW w:w="3340" w:type="dxa"/>
            <w:vAlign w:val="bottom"/>
          </w:tcPr>
          <w:p>
            <w:pPr>
              <w:jc w:val="center"/>
              <w:ind w:right="105"/>
              <w:spacing w:after="0"/>
              <w:rPr>
                <w:sz w:val="20"/>
                <w:szCs w:val="20"/>
                <w:color w:val="auto"/>
              </w:rPr>
            </w:pPr>
            <w:r>
              <w:rPr>
                <w:rFonts w:ascii="Arial" w:cs="Arial" w:eastAsia="Arial" w:hAnsi="Arial"/>
                <w:sz w:val="19"/>
                <w:szCs w:val="19"/>
                <w:b w:val="1"/>
                <w:bCs w:val="1"/>
                <w:color w:val="auto"/>
                <w:w w:val="90"/>
              </w:rPr>
              <w:t>incorporation or organization)</w:t>
            </w:r>
          </w:p>
        </w:tc>
        <w:tc>
          <w:tcPr>
            <w:tcW w:w="2280" w:type="dxa"/>
            <w:vAlign w:val="bottom"/>
          </w:tcPr>
          <w:p>
            <w:pPr>
              <w:spacing w:after="0"/>
              <w:rPr>
                <w:sz w:val="21"/>
                <w:szCs w:val="21"/>
                <w:color w:val="auto"/>
              </w:rPr>
            </w:pPr>
          </w:p>
        </w:tc>
        <w:tc>
          <w:tcPr>
            <w:tcW w:w="2700" w:type="dxa"/>
            <w:vAlign w:val="bottom"/>
          </w:tcPr>
          <w:p>
            <w:pPr>
              <w:jc w:val="center"/>
              <w:ind w:left="725"/>
              <w:spacing w:after="0"/>
              <w:rPr>
                <w:sz w:val="20"/>
                <w:szCs w:val="20"/>
                <w:color w:val="auto"/>
              </w:rPr>
            </w:pPr>
            <w:r>
              <w:rPr>
                <w:rFonts w:ascii="Arial" w:cs="Arial" w:eastAsia="Arial" w:hAnsi="Arial"/>
                <w:sz w:val="19"/>
                <w:szCs w:val="19"/>
                <w:b w:val="1"/>
                <w:bCs w:val="1"/>
                <w:color w:val="auto"/>
                <w:w w:val="93"/>
              </w:rPr>
              <w:t>Identification Number)</w:t>
            </w:r>
          </w:p>
        </w:tc>
      </w:tr>
      <w:tr>
        <w:trPr>
          <w:trHeight w:val="415"/>
        </w:trPr>
        <w:tc>
          <w:tcPr>
            <w:tcW w:w="3340" w:type="dxa"/>
            <w:vAlign w:val="bottom"/>
          </w:tcPr>
          <w:p>
            <w:pPr>
              <w:jc w:val="center"/>
              <w:ind w:right="105"/>
              <w:spacing w:after="0"/>
              <w:rPr>
                <w:sz w:val="20"/>
                <w:szCs w:val="20"/>
                <w:color w:val="auto"/>
              </w:rPr>
            </w:pPr>
            <w:r>
              <w:rPr>
                <w:rFonts w:ascii="Arial" w:cs="Arial" w:eastAsia="Arial" w:hAnsi="Arial"/>
                <w:sz w:val="19"/>
                <w:szCs w:val="19"/>
                <w:b w:val="1"/>
                <w:bCs w:val="1"/>
                <w:color w:val="auto"/>
                <w:w w:val="92"/>
              </w:rPr>
              <w:t>2710 Wycliff Road, Raleigh, NC</w:t>
            </w:r>
          </w:p>
        </w:tc>
        <w:tc>
          <w:tcPr>
            <w:tcW w:w="4980" w:type="dxa"/>
            <w:vAlign w:val="bottom"/>
            <w:gridSpan w:val="2"/>
          </w:tcPr>
          <w:p>
            <w:pPr>
              <w:jc w:val="center"/>
              <w:ind w:left="3005"/>
              <w:spacing w:after="0"/>
              <w:rPr>
                <w:sz w:val="20"/>
                <w:szCs w:val="20"/>
                <w:color w:val="auto"/>
              </w:rPr>
            </w:pPr>
            <w:r>
              <w:rPr>
                <w:rFonts w:ascii="Arial" w:cs="Arial" w:eastAsia="Arial" w:hAnsi="Arial"/>
                <w:sz w:val="19"/>
                <w:szCs w:val="19"/>
                <w:b w:val="1"/>
                <w:bCs w:val="1"/>
                <w:color w:val="auto"/>
                <w:w w:val="90"/>
              </w:rPr>
              <w:t>27607-3033</w:t>
            </w:r>
          </w:p>
        </w:tc>
      </w:tr>
      <w:tr>
        <w:trPr>
          <w:trHeight w:val="238"/>
        </w:trPr>
        <w:tc>
          <w:tcPr>
            <w:tcW w:w="3340" w:type="dxa"/>
            <w:vAlign w:val="bottom"/>
          </w:tcPr>
          <w:p>
            <w:pPr>
              <w:jc w:val="center"/>
              <w:ind w:right="105"/>
              <w:spacing w:after="0"/>
              <w:rPr>
                <w:sz w:val="20"/>
                <w:szCs w:val="20"/>
                <w:color w:val="auto"/>
              </w:rPr>
            </w:pPr>
            <w:r>
              <w:rPr>
                <w:rFonts w:ascii="Arial" w:cs="Arial" w:eastAsia="Arial" w:hAnsi="Arial"/>
                <w:sz w:val="19"/>
                <w:szCs w:val="19"/>
                <w:b w:val="1"/>
                <w:bCs w:val="1"/>
                <w:color w:val="auto"/>
                <w:w w:val="88"/>
              </w:rPr>
              <w:t>(Address of principal executive offices)</w:t>
            </w:r>
          </w:p>
        </w:tc>
        <w:tc>
          <w:tcPr>
            <w:tcW w:w="2280" w:type="dxa"/>
            <w:vAlign w:val="bottom"/>
          </w:tcPr>
          <w:p>
            <w:pPr>
              <w:spacing w:after="0"/>
              <w:rPr>
                <w:sz w:val="20"/>
                <w:szCs w:val="20"/>
                <w:color w:val="auto"/>
              </w:rPr>
            </w:pPr>
          </w:p>
        </w:tc>
        <w:tc>
          <w:tcPr>
            <w:tcW w:w="2700" w:type="dxa"/>
            <w:vAlign w:val="bottom"/>
          </w:tcPr>
          <w:p>
            <w:pPr>
              <w:jc w:val="center"/>
              <w:ind w:left="725"/>
              <w:spacing w:after="0"/>
              <w:rPr>
                <w:sz w:val="20"/>
                <w:szCs w:val="20"/>
                <w:color w:val="auto"/>
              </w:rPr>
            </w:pPr>
            <w:r>
              <w:rPr>
                <w:rFonts w:ascii="Arial" w:cs="Arial" w:eastAsia="Arial" w:hAnsi="Arial"/>
                <w:sz w:val="19"/>
                <w:szCs w:val="19"/>
                <w:b w:val="1"/>
                <w:bCs w:val="1"/>
                <w:color w:val="auto"/>
                <w:w w:val="93"/>
              </w:rPr>
              <w:t>(Zip Code)</w:t>
            </w:r>
          </w:p>
        </w:tc>
      </w:tr>
    </w:tbl>
    <w:p>
      <w:pPr>
        <w:jc w:val="center"/>
        <w:ind w:right="20"/>
        <w:spacing w:after="0" w:line="237" w:lineRule="auto"/>
        <w:rPr>
          <w:sz w:val="20"/>
          <w:szCs w:val="20"/>
          <w:color w:val="auto"/>
        </w:rPr>
      </w:pPr>
      <w:r>
        <w:rPr>
          <w:rFonts w:ascii="Arial" w:cs="Arial" w:eastAsia="Arial" w:hAnsi="Arial"/>
          <w:sz w:val="19"/>
          <w:szCs w:val="19"/>
          <w:b w:val="1"/>
          <w:bCs w:val="1"/>
          <w:color w:val="auto"/>
        </w:rPr>
        <w:t>Registrant’s telephone number, including area code 919-781-4550</w:t>
      </w:r>
    </w:p>
    <w:p>
      <w:pPr>
        <w:jc w:val="center"/>
        <w:ind w:right="20"/>
        <w:spacing w:after="0" w:line="237" w:lineRule="auto"/>
        <w:rPr>
          <w:sz w:val="20"/>
          <w:szCs w:val="20"/>
          <w:color w:val="auto"/>
        </w:rPr>
      </w:pPr>
      <w:r>
        <w:rPr>
          <w:rFonts w:ascii="Arial" w:cs="Arial" w:eastAsia="Arial" w:hAnsi="Arial"/>
          <w:sz w:val="19"/>
          <w:szCs w:val="19"/>
          <w:b w:val="1"/>
          <w:bCs w:val="1"/>
          <w:color w:val="auto"/>
        </w:rPr>
        <w:t>Former name: None</w:t>
      </w:r>
    </w:p>
    <w:p>
      <w:pPr>
        <w:jc w:val="center"/>
        <w:ind w:right="20"/>
        <w:spacing w:after="0" w:line="238" w:lineRule="auto"/>
        <w:rPr>
          <w:sz w:val="20"/>
          <w:szCs w:val="20"/>
          <w:color w:val="auto"/>
        </w:rPr>
      </w:pPr>
      <w:r>
        <w:rPr>
          <w:rFonts w:ascii="Arial" w:cs="Arial" w:eastAsia="Arial" w:hAnsi="Arial"/>
          <w:sz w:val="19"/>
          <w:szCs w:val="19"/>
          <w:b w:val="1"/>
          <w:bCs w:val="1"/>
          <w:color w:val="auto"/>
        </w:rPr>
        <w:t>Former name, former address and former fiscal year, if changes since last report.</w:t>
      </w:r>
    </w:p>
    <w:p>
      <w:pPr>
        <w:jc w:val="both"/>
        <w:ind w:right="20"/>
        <w:spacing w:after="0" w:line="237"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20"/>
        <w:spacing w:after="0" w:line="217" w:lineRule="exact"/>
        <w:tabs>
          <w:tab w:leader="none" w:pos="18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8"/>
          <w:szCs w:val="18"/>
          <w:color w:val="auto"/>
        </w:rPr>
        <w:t>☑</w:t>
      </w:r>
      <w:r>
        <w:rPr>
          <w:rFonts w:ascii="Arial" w:cs="Arial" w:eastAsia="Arial" w:hAnsi="Arial"/>
          <w:sz w:val="19"/>
          <w:szCs w:val="19"/>
          <w:color w:val="auto"/>
        </w:rPr>
        <w:tab/>
        <w:t xml:space="preserve">No </w:t>
      </w:r>
      <w:r>
        <w:rPr>
          <w:rFonts w:ascii="MS PGothic" w:cs="MS PGothic" w:eastAsia="MS PGothic" w:hAnsi="MS PGothic"/>
          <w:sz w:val="18"/>
          <w:szCs w:val="18"/>
          <w:color w:val="auto"/>
        </w:rPr>
        <w:t>☐</w:t>
      </w:r>
    </w:p>
    <w:p>
      <w:pPr>
        <w:jc w:val="both"/>
        <w:ind w:right="20"/>
        <w:spacing w:after="0" w:line="237"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20"/>
        <w:spacing w:after="0" w:line="217" w:lineRule="exact"/>
        <w:tabs>
          <w:tab w:leader="none" w:pos="18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8"/>
          <w:szCs w:val="18"/>
          <w:color w:val="auto"/>
        </w:rPr>
        <w:t>☑</w:t>
      </w:r>
      <w:r>
        <w:rPr>
          <w:rFonts w:ascii="Arial" w:cs="Arial" w:eastAsia="Arial" w:hAnsi="Arial"/>
          <w:sz w:val="19"/>
          <w:szCs w:val="19"/>
          <w:color w:val="auto"/>
        </w:rPr>
        <w:tab/>
        <w:t xml:space="preserve">No </w:t>
      </w:r>
      <w:r>
        <w:rPr>
          <w:rFonts w:ascii="MS PGothic" w:cs="MS PGothic" w:eastAsia="MS PGothic" w:hAnsi="MS PGothic"/>
          <w:sz w:val="18"/>
          <w:szCs w:val="18"/>
          <w:color w:val="auto"/>
        </w:rPr>
        <w:t>☐</w:t>
      </w:r>
    </w:p>
    <w:p>
      <w:pPr>
        <w:jc w:val="both"/>
        <w:ind w:right="20"/>
        <w:spacing w:after="0"/>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800" w:type="dxa"/>
            <w:vAlign w:val="bottom"/>
          </w:tcPr>
          <w:p>
            <w:pPr>
              <w:ind w:left="60"/>
              <w:spacing w:after="0"/>
              <w:rPr>
                <w:sz w:val="20"/>
                <w:szCs w:val="20"/>
                <w:color w:val="auto"/>
              </w:rPr>
            </w:pPr>
            <w:r>
              <w:rPr>
                <w:rFonts w:ascii="Arial" w:cs="Arial" w:eastAsia="Arial" w:hAnsi="Arial"/>
                <w:sz w:val="19"/>
                <w:szCs w:val="19"/>
                <w:color w:val="auto"/>
              </w:rPr>
              <w:t>Large accelerated filer</w:t>
            </w:r>
          </w:p>
        </w:tc>
        <w:tc>
          <w:tcPr>
            <w:tcW w:w="2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020"/>
              <w:spacing w:after="0"/>
              <w:rPr>
                <w:sz w:val="20"/>
                <w:szCs w:val="20"/>
                <w:color w:val="auto"/>
              </w:rPr>
            </w:pPr>
            <w:r>
              <w:rPr>
                <w:rFonts w:ascii="Arial" w:cs="Arial" w:eastAsia="Arial" w:hAnsi="Arial"/>
                <w:sz w:val="19"/>
                <w:szCs w:val="19"/>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800" w:type="dxa"/>
            <w:vAlign w:val="bottom"/>
          </w:tcPr>
          <w:p>
            <w:pPr>
              <w:spacing w:after="0"/>
              <w:rPr>
                <w:sz w:val="20"/>
                <w:szCs w:val="20"/>
                <w:color w:val="auto"/>
              </w:rPr>
            </w:pPr>
            <w:r>
              <w:rPr>
                <w:rFonts w:ascii="Arial" w:cs="Arial" w:eastAsia="Arial" w:hAnsi="Arial"/>
                <w:sz w:val="19"/>
                <w:szCs w:val="19"/>
                <w:color w:val="auto"/>
              </w:rPr>
              <w:t>Non-accelerated filer</w:t>
            </w:r>
          </w:p>
        </w:tc>
        <w:tc>
          <w:tcPr>
            <w:tcW w:w="2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020"/>
              <w:spacing w:after="0"/>
              <w:rPr>
                <w:sz w:val="20"/>
                <w:szCs w:val="20"/>
                <w:color w:val="auto"/>
              </w:rPr>
            </w:pPr>
            <w:r>
              <w:rPr>
                <w:rFonts w:ascii="Arial" w:cs="Arial" w:eastAsia="Arial" w:hAnsi="Arial"/>
                <w:sz w:val="19"/>
                <w:szCs w:val="19"/>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800" w:type="dxa"/>
            <w:vAlign w:val="bottom"/>
          </w:tcPr>
          <w:p>
            <w:pPr>
              <w:spacing w:after="0"/>
              <w:rPr>
                <w:sz w:val="20"/>
                <w:szCs w:val="20"/>
                <w:color w:val="auto"/>
              </w:rPr>
            </w:pPr>
            <w:r>
              <w:rPr>
                <w:rFonts w:ascii="Arial" w:cs="Arial" w:eastAsia="Arial" w:hAnsi="Arial"/>
                <w:sz w:val="19"/>
                <w:szCs w:val="19"/>
                <w:color w:val="auto"/>
              </w:rPr>
              <w:t>Emerging growth company</w:t>
            </w:r>
          </w:p>
        </w:tc>
        <w:tc>
          <w:tcPr>
            <w:tcW w:w="2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74"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a shell company (as defined in Rule 12b-2 of the Exchange Act).</w:t>
      </w: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700" w:type="dxa"/>
            <w:vAlign w:val="bottom"/>
            <w:gridSpan w:val="2"/>
          </w:tcPr>
          <w:p>
            <w:pPr>
              <w:ind w:left="5060"/>
              <w:spacing w:after="0" w:line="214" w:lineRule="exact"/>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8"/>
                <w:szCs w:val="18"/>
                <w:color w:val="auto"/>
              </w:rPr>
              <w:t>☐</w:t>
            </w:r>
          </w:p>
        </w:tc>
        <w:tc>
          <w:tcPr>
            <w:tcW w:w="5700" w:type="dxa"/>
            <w:vAlign w:val="bottom"/>
            <w:gridSpan w:val="2"/>
          </w:tcPr>
          <w:p>
            <w:pPr>
              <w:ind w:left="80"/>
              <w:spacing w:after="0" w:line="214" w:lineRule="exact"/>
              <w:rPr>
                <w:sz w:val="20"/>
                <w:szCs w:val="20"/>
                <w:color w:val="auto"/>
              </w:rPr>
            </w:pPr>
            <w:r>
              <w:rPr>
                <w:rFonts w:ascii="Arial" w:cs="Arial" w:eastAsia="Arial" w:hAnsi="Arial"/>
                <w:sz w:val="19"/>
                <w:szCs w:val="19"/>
                <w:color w:val="auto"/>
              </w:rPr>
              <w:t xml:space="preserve">No  </w:t>
            </w:r>
            <w:r>
              <w:rPr>
                <w:rFonts w:ascii="MS PGothic" w:cs="MS PGothic" w:eastAsia="MS PGothic" w:hAnsi="MS PGothic"/>
                <w:sz w:val="18"/>
                <w:szCs w:val="18"/>
                <w:color w:val="auto"/>
              </w:rPr>
              <w:t>☑</w:t>
            </w:r>
          </w:p>
        </w:tc>
        <w:tc>
          <w:tcPr>
            <w:tcW w:w="20" w:type="dxa"/>
            <w:vAlign w:val="bottom"/>
          </w:tcPr>
          <w:p>
            <w:pPr>
              <w:spacing w:after="0"/>
              <w:rPr>
                <w:sz w:val="18"/>
                <w:szCs w:val="18"/>
                <w:color w:val="auto"/>
              </w:rPr>
            </w:pPr>
          </w:p>
        </w:tc>
      </w:tr>
      <w:tr>
        <w:trPr>
          <w:trHeight w:val="240"/>
        </w:trPr>
        <w:tc>
          <w:tcPr>
            <w:tcW w:w="11420" w:type="dxa"/>
            <w:vAlign w:val="bottom"/>
            <w:gridSpan w:val="5"/>
          </w:tcPr>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tc>
        <w:tc>
          <w:tcPr>
            <w:tcW w:w="20" w:type="dxa"/>
            <w:vAlign w:val="bottom"/>
          </w:tcPr>
          <w:p>
            <w:pPr>
              <w:spacing w:after="0"/>
              <w:rPr>
                <w:sz w:val="20"/>
                <w:szCs w:val="20"/>
                <w:color w:val="auto"/>
              </w:rPr>
            </w:pPr>
          </w:p>
        </w:tc>
      </w:tr>
      <w:tr>
        <w:trPr>
          <w:trHeight w:val="444"/>
        </w:trPr>
        <w:tc>
          <w:tcPr>
            <w:tcW w:w="20" w:type="dxa"/>
            <w:vAlign w:val="bottom"/>
          </w:tcPr>
          <w:p>
            <w:pPr>
              <w:spacing w:after="0"/>
              <w:rPr>
                <w:sz w:val="24"/>
                <w:szCs w:val="24"/>
                <w:color w:val="auto"/>
              </w:rPr>
            </w:pPr>
          </w:p>
        </w:tc>
        <w:tc>
          <w:tcPr>
            <w:tcW w:w="5700" w:type="dxa"/>
            <w:vAlign w:val="bottom"/>
            <w:gridSpan w:val="2"/>
          </w:tcPr>
          <w:p>
            <w:pPr>
              <w:jc w:val="center"/>
              <w:ind w:right="120"/>
              <w:spacing w:after="0"/>
              <w:rPr>
                <w:sz w:val="20"/>
                <w:szCs w:val="20"/>
                <w:color w:val="auto"/>
              </w:rPr>
            </w:pPr>
            <w:r>
              <w:rPr>
                <w:rFonts w:ascii="Arial" w:cs="Arial" w:eastAsia="Arial" w:hAnsi="Arial"/>
                <w:sz w:val="19"/>
                <w:szCs w:val="19"/>
                <w:b w:val="1"/>
                <w:bCs w:val="1"/>
                <w:color w:val="auto"/>
                <w:w w:val="82"/>
              </w:rPr>
              <w:t>Class</w:t>
            </w:r>
          </w:p>
        </w:tc>
        <w:tc>
          <w:tcPr>
            <w:tcW w:w="1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9"/>
                <w:szCs w:val="19"/>
                <w:b w:val="1"/>
                <w:bCs w:val="1"/>
                <w:color w:val="auto"/>
                <w:w w:val="90"/>
              </w:rPr>
              <w:t>Outstanding as of April 26, 2017</w:t>
            </w: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0"/>
              </w:rPr>
              <w:t>Common Stock, $0.01 par 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Borders>
              <w:top w:val="single" w:sz="8" w:color="auto"/>
            </w:tcBorders>
          </w:tcPr>
          <w:p>
            <w:pPr>
              <w:jc w:val="right"/>
              <w:ind w:right="2285"/>
              <w:spacing w:after="0"/>
              <w:rPr>
                <w:sz w:val="20"/>
                <w:szCs w:val="20"/>
                <w:color w:val="auto"/>
              </w:rPr>
            </w:pPr>
            <w:r>
              <w:rPr>
                <w:rFonts w:ascii="Arial" w:cs="Arial" w:eastAsia="Arial" w:hAnsi="Arial"/>
                <w:sz w:val="19"/>
                <w:szCs w:val="19"/>
                <w:color w:val="auto"/>
              </w:rPr>
              <w:t>62,781,593</w:t>
            </w:r>
          </w:p>
        </w:tc>
        <w:tc>
          <w:tcPr>
            <w:tcW w:w="20" w:type="dxa"/>
            <w:vAlign w:val="bottom"/>
          </w:tcPr>
          <w:p>
            <w:pPr>
              <w:spacing w:after="0"/>
              <w:rPr>
                <w:sz w:val="20"/>
                <w:szCs w:val="20"/>
                <w:color w:val="auto"/>
              </w:rPr>
            </w:pPr>
          </w:p>
        </w:tc>
      </w:tr>
      <w:tr>
        <w:trPr>
          <w:trHeight w:val="151"/>
        </w:trPr>
        <w:tc>
          <w:tcPr>
            <w:tcW w:w="20" w:type="dxa"/>
            <w:vAlign w:val="bottom"/>
          </w:tcPr>
          <w:p>
            <w:pPr>
              <w:spacing w:after="0"/>
              <w:rPr>
                <w:sz w:val="13"/>
                <w:szCs w:val="13"/>
                <w:color w:val="auto"/>
              </w:rPr>
            </w:pPr>
          </w:p>
        </w:tc>
        <w:tc>
          <w:tcPr>
            <w:tcW w:w="5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568"/>
        </w:trPr>
        <w:tc>
          <w:tcPr>
            <w:tcW w:w="20" w:type="dxa"/>
            <w:vAlign w:val="bottom"/>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97" w:right="21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770890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860" w:type="dxa"/>
            <w:vAlign w:val="bottom"/>
            <w:gridSpan w:val="19"/>
            <w:vMerge w:val="restart"/>
          </w:tcPr>
          <w:p>
            <w:pPr>
              <w:spacing w:after="0"/>
              <w:rPr>
                <w:sz w:val="20"/>
                <w:szCs w:val="20"/>
                <w:color w:val="auto"/>
              </w:rPr>
            </w:pPr>
            <w:r>
              <w:rPr>
                <w:rFonts w:ascii="Arial" w:cs="Arial" w:eastAsia="Arial" w:hAnsi="Arial"/>
                <w:sz w:val="20"/>
                <w:szCs w:val="20"/>
                <w:color w:val="auto"/>
              </w:rPr>
              <w:t>Part I. Financial Information:</w:t>
            </w:r>
          </w:p>
        </w:tc>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1"/>
              </w:rPr>
              <w:t>Page</w:t>
            </w:r>
          </w:p>
        </w:tc>
        <w:tc>
          <w:tcPr>
            <w:tcW w:w="0" w:type="dxa"/>
            <w:vAlign w:val="bottom"/>
          </w:tcPr>
          <w:p>
            <w:pPr>
              <w:spacing w:after="0"/>
              <w:rPr>
                <w:sz w:val="1"/>
                <w:szCs w:val="1"/>
                <w:color w:val="auto"/>
              </w:rPr>
            </w:pPr>
          </w:p>
        </w:tc>
      </w:tr>
      <w:tr>
        <w:trPr>
          <w:trHeight w:val="227"/>
        </w:trPr>
        <w:tc>
          <w:tcPr>
            <w:tcW w:w="10860" w:type="dxa"/>
            <w:vAlign w:val="bottom"/>
            <w:gridSpan w:val="19"/>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220" w:type="dxa"/>
            <w:vAlign w:val="bottom"/>
          </w:tcPr>
          <w:p>
            <w:pPr>
              <w:spacing w:after="0"/>
              <w:rPr>
                <w:sz w:val="24"/>
                <w:szCs w:val="24"/>
                <w:color w:val="auto"/>
              </w:rPr>
            </w:pPr>
          </w:p>
        </w:tc>
        <w:tc>
          <w:tcPr>
            <w:tcW w:w="10640" w:type="dxa"/>
            <w:vAlign w:val="bottom"/>
            <w:gridSpan w:val="18"/>
          </w:tcPr>
          <w:p>
            <w:pPr>
              <w:spacing w:after="0"/>
              <w:rPr>
                <w:rFonts w:ascii="Arial" w:cs="Arial" w:eastAsia="Arial" w:hAnsi="Arial"/>
                <w:sz w:val="20"/>
                <w:szCs w:val="20"/>
                <w:color w:val="0000EE"/>
              </w:rPr>
            </w:pPr>
            <w:hyperlink w:anchor="page4">
              <w:r>
                <w:rPr>
                  <w:rFonts w:ascii="Arial" w:cs="Arial" w:eastAsia="Arial" w:hAnsi="Arial"/>
                  <w:sz w:val="20"/>
                  <w:szCs w:val="20"/>
                  <w:color w:val="0000EE"/>
                </w:rPr>
                <w:t>Item 1. Financial Statements</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60" w:type="dxa"/>
            <w:vAlign w:val="bottom"/>
            <w:tcBorders>
              <w:bottom w:val="single" w:sz="8" w:color="0000EE"/>
            </w:tcBorders>
            <w:gridSpan w:val="13"/>
          </w:tcPr>
          <w:p>
            <w:pPr>
              <w:spacing w:after="0"/>
              <w:rPr>
                <w:rFonts w:ascii="Arial" w:cs="Arial" w:eastAsia="Arial" w:hAnsi="Arial"/>
                <w:sz w:val="20"/>
                <w:szCs w:val="20"/>
                <w:color w:val="0000EE"/>
                <w:w w:val="88"/>
              </w:rPr>
            </w:pPr>
            <w:hyperlink w:anchor="page4">
              <w:r>
                <w:rPr>
                  <w:rFonts w:ascii="Arial" w:cs="Arial" w:eastAsia="Arial" w:hAnsi="Arial"/>
                  <w:sz w:val="20"/>
                  <w:szCs w:val="20"/>
                  <w:color w:val="0000EE"/>
                  <w:w w:val="88"/>
                </w:rPr>
                <w:t>Consolidated Balance Sheets – March 31, 2017, December 31, 2016 and March 31, 2016</w:t>
              </w:r>
            </w:hyperlink>
          </w:p>
        </w:tc>
        <w:tc>
          <w:tcPr>
            <w:tcW w:w="336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66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20"/>
                <w:szCs w:val="20"/>
                <w:color w:val="0000EE"/>
                <w:w w:val="99"/>
              </w:rPr>
            </w:pPr>
            <w:hyperlink w:anchor="page5">
              <w:r>
                <w:rPr>
                  <w:rFonts w:ascii="Arial" w:cs="Arial" w:eastAsia="Arial" w:hAnsi="Arial"/>
                  <w:sz w:val="20"/>
                  <w:szCs w:val="20"/>
                  <w:color w:val="0000EE"/>
                  <w:w w:val="99"/>
                </w:rPr>
                <w:t>Consolidated Statements of Earnings and Comprehensive Earnings – Three Months Ended March 31, 2017 and 201</w:t>
              </w:r>
            </w:hyperlink>
            <w:r>
              <w:rPr>
                <w:rFonts w:ascii="Arial" w:cs="Arial" w:eastAsia="Arial" w:hAnsi="Arial"/>
                <w:sz w:val="20"/>
                <w:szCs w:val="20"/>
                <w:color w:val="000000"/>
                <w:w w:val="99"/>
              </w:rPr>
              <w:t>6</w:t>
            </w:r>
          </w:p>
        </w:tc>
        <w:tc>
          <w:tcPr>
            <w:tcW w:w="5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20" w:type="dxa"/>
            <w:vAlign w:val="bottom"/>
            <w:tcBorders>
              <w:top w:val="single" w:sz="8" w:color="0000EE"/>
              <w:bottom w:val="single" w:sz="8" w:color="0000EE"/>
            </w:tcBorders>
            <w:gridSpan w:val="14"/>
          </w:tcPr>
          <w:p>
            <w:pPr>
              <w:spacing w:after="0"/>
              <w:rPr>
                <w:rFonts w:ascii="Arial" w:cs="Arial" w:eastAsia="Arial" w:hAnsi="Arial"/>
                <w:sz w:val="20"/>
                <w:szCs w:val="20"/>
                <w:color w:val="0000EE"/>
                <w:w w:val="88"/>
              </w:rPr>
            </w:pPr>
            <w:hyperlink w:anchor="page6">
              <w:r>
                <w:rPr>
                  <w:rFonts w:ascii="Arial" w:cs="Arial" w:eastAsia="Arial" w:hAnsi="Arial"/>
                  <w:sz w:val="20"/>
                  <w:szCs w:val="20"/>
                  <w:color w:val="0000EE"/>
                  <w:w w:val="88"/>
                </w:rPr>
                <w:t>Consolidated Statements of Cash Flows – Three Months Ended March 31, 2017 and 2016</w:t>
              </w:r>
            </w:hyperlink>
          </w:p>
        </w:tc>
        <w:tc>
          <w:tcPr>
            <w:tcW w:w="2040" w:type="dxa"/>
            <w:vAlign w:val="bottom"/>
            <w:tcBorders>
              <w:top w:val="single" w:sz="8" w:color="0000EE"/>
            </w:tcBorders>
            <w:gridSpan w:val="2"/>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80" w:type="dxa"/>
            <w:vAlign w:val="bottom"/>
            <w:tcBorders>
              <w:bottom w:val="single" w:sz="8" w:color="0000EE"/>
            </w:tcBorders>
            <w:gridSpan w:val="12"/>
          </w:tcPr>
          <w:p>
            <w:pPr>
              <w:spacing w:after="0"/>
              <w:rPr>
                <w:rFonts w:ascii="Arial" w:cs="Arial" w:eastAsia="Arial" w:hAnsi="Arial"/>
                <w:sz w:val="20"/>
                <w:szCs w:val="20"/>
                <w:color w:val="0000EE"/>
                <w:w w:val="89"/>
              </w:rPr>
            </w:pPr>
            <w:hyperlink w:anchor="page7">
              <w:r>
                <w:rPr>
                  <w:rFonts w:ascii="Arial" w:cs="Arial" w:eastAsia="Arial" w:hAnsi="Arial"/>
                  <w:sz w:val="20"/>
                  <w:szCs w:val="20"/>
                  <w:color w:val="0000EE"/>
                  <w:w w:val="89"/>
                </w:rPr>
                <w:t>Consolidated Statement of Total Equity - Three Months Ended March 31, 2017</w:t>
              </w:r>
            </w:hyperlink>
          </w:p>
        </w:tc>
        <w:tc>
          <w:tcPr>
            <w:tcW w:w="414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20"/>
                <w:szCs w:val="20"/>
                <w:color w:val="0000EE"/>
              </w:rPr>
            </w:pPr>
            <w:hyperlink w:anchor="page8">
              <w:r>
                <w:rPr>
                  <w:rFonts w:ascii="Arial" w:cs="Arial" w:eastAsia="Arial" w:hAnsi="Arial"/>
                  <w:sz w:val="20"/>
                  <w:szCs w:val="20"/>
                  <w:color w:val="0000EE"/>
                </w:rPr>
                <w:t>Notes to Consolidated Financial Statements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20" w:type="dxa"/>
            <w:vAlign w:val="bottom"/>
          </w:tcPr>
          <w:p>
            <w:pPr>
              <w:spacing w:after="0"/>
              <w:rPr>
                <w:sz w:val="24"/>
                <w:szCs w:val="24"/>
                <w:color w:val="auto"/>
              </w:rPr>
            </w:pPr>
          </w:p>
        </w:tc>
        <w:tc>
          <w:tcPr>
            <w:tcW w:w="7720" w:type="dxa"/>
            <w:vAlign w:val="bottom"/>
            <w:tcBorders>
              <w:bottom w:val="single" w:sz="8" w:color="0000EE"/>
            </w:tcBorders>
            <w:gridSpan w:val="16"/>
          </w:tcPr>
          <w:p>
            <w:pPr>
              <w:spacing w:after="0"/>
              <w:rPr>
                <w:rFonts w:ascii="Arial" w:cs="Arial" w:eastAsia="Arial" w:hAnsi="Arial"/>
                <w:sz w:val="20"/>
                <w:szCs w:val="20"/>
                <w:color w:val="0000EE"/>
                <w:w w:val="90"/>
              </w:rPr>
            </w:pPr>
            <w:hyperlink w:anchor="page24">
              <w:r>
                <w:rPr>
                  <w:rFonts w:ascii="Arial" w:cs="Arial" w:eastAsia="Arial" w:hAnsi="Arial"/>
                  <w:sz w:val="20"/>
                  <w:szCs w:val="20"/>
                  <w:color w:val="0000EE"/>
                  <w:w w:val="90"/>
                </w:rPr>
                <w:t>Item 2. Management’s Discussion and Analysis of Financial Condition and Results of Operations</w:t>
              </w:r>
            </w:hyperlink>
          </w:p>
        </w:tc>
        <w:tc>
          <w:tcPr>
            <w:tcW w:w="292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5420" w:type="dxa"/>
            <w:vAlign w:val="bottom"/>
            <w:tcBorders>
              <w:bottom w:val="single" w:sz="8" w:color="0000EE"/>
            </w:tcBorders>
            <w:gridSpan w:val="12"/>
          </w:tcPr>
          <w:p>
            <w:pPr>
              <w:spacing w:after="0"/>
              <w:rPr>
                <w:rFonts w:ascii="Arial" w:cs="Arial" w:eastAsia="Arial" w:hAnsi="Arial"/>
                <w:sz w:val="20"/>
                <w:szCs w:val="20"/>
                <w:color w:val="0000EE"/>
                <w:w w:val="91"/>
              </w:rPr>
            </w:pPr>
            <w:hyperlink w:anchor="page39">
              <w:r>
                <w:rPr>
                  <w:rFonts w:ascii="Arial" w:cs="Arial" w:eastAsia="Arial" w:hAnsi="Arial"/>
                  <w:sz w:val="20"/>
                  <w:szCs w:val="20"/>
                  <w:color w:val="0000EE"/>
                  <w:w w:val="91"/>
                </w:rPr>
                <w:t>Item 3. Quantitative and Qualitative Disclosures About Market Risk</w:t>
              </w:r>
            </w:hyperlink>
          </w:p>
        </w:tc>
        <w:tc>
          <w:tcPr>
            <w:tcW w:w="522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10640" w:type="dxa"/>
            <w:vAlign w:val="bottom"/>
            <w:gridSpan w:val="18"/>
          </w:tcPr>
          <w:p>
            <w:pPr>
              <w:spacing w:after="0"/>
              <w:rPr>
                <w:rFonts w:ascii="Arial" w:cs="Arial" w:eastAsia="Arial" w:hAnsi="Arial"/>
                <w:sz w:val="20"/>
                <w:szCs w:val="20"/>
                <w:color w:val="0000EE"/>
              </w:rPr>
            </w:pPr>
            <w:hyperlink w:anchor="page40">
              <w:r>
                <w:rPr>
                  <w:rFonts w:ascii="Arial" w:cs="Arial" w:eastAsia="Arial" w:hAnsi="Arial"/>
                  <w:sz w:val="20"/>
                  <w:szCs w:val="20"/>
                  <w:color w:val="0000EE"/>
                </w:rPr>
                <w:t>Item 4. Controls and Procedures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10860" w:type="dxa"/>
            <w:vAlign w:val="bottom"/>
            <w:gridSpan w:val="19"/>
          </w:tcPr>
          <w:p>
            <w:pPr>
              <w:spacing w:after="0"/>
              <w:rPr>
                <w:sz w:val="20"/>
                <w:szCs w:val="20"/>
                <w:color w:val="auto"/>
              </w:rPr>
            </w:pPr>
            <w:r>
              <w:rPr>
                <w:rFonts w:ascii="Arial" w:cs="Arial" w:eastAsia="Arial" w:hAnsi="Arial"/>
                <w:sz w:val="20"/>
                <w:szCs w:val="20"/>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2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20"/>
                <w:szCs w:val="20"/>
                <w:color w:val="0000EE"/>
                <w:w w:val="91"/>
              </w:rPr>
            </w:pPr>
            <w:hyperlink w:anchor="page41">
              <w:r>
                <w:rPr>
                  <w:rFonts w:ascii="Arial" w:cs="Arial" w:eastAsia="Arial" w:hAnsi="Arial"/>
                  <w:sz w:val="20"/>
                  <w:szCs w:val="20"/>
                  <w:color w:val="0000EE"/>
                  <w:w w:val="91"/>
                </w:rPr>
                <w:t>Item 1.</w:t>
              </w:r>
            </w:hyperlink>
          </w:p>
        </w:tc>
        <w:tc>
          <w:tcPr>
            <w:tcW w:w="10060" w:type="dxa"/>
            <w:vAlign w:val="bottom"/>
            <w:gridSpan w:val="16"/>
          </w:tcPr>
          <w:p>
            <w:pPr>
              <w:ind w:left="40"/>
              <w:spacing w:after="0"/>
              <w:rPr>
                <w:rFonts w:ascii="Arial" w:cs="Arial" w:eastAsia="Arial" w:hAnsi="Arial"/>
                <w:sz w:val="20"/>
                <w:szCs w:val="20"/>
                <w:color w:val="0000EE"/>
              </w:rPr>
            </w:pPr>
            <w:hyperlink w:anchor="page41">
              <w:r>
                <w:rPr>
                  <w:rFonts w:ascii="Arial" w:cs="Arial" w:eastAsia="Arial" w:hAnsi="Arial"/>
                  <w:sz w:val="20"/>
                  <w:szCs w:val="20"/>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6"/>
          </w:tcPr>
          <w:p>
            <w:pPr>
              <w:spacing w:after="0"/>
              <w:rPr>
                <w:rFonts w:ascii="Arial" w:cs="Arial" w:eastAsia="Arial" w:hAnsi="Arial"/>
                <w:sz w:val="20"/>
                <w:szCs w:val="20"/>
                <w:color w:val="0000EE"/>
                <w:w w:val="90"/>
              </w:rPr>
            </w:pPr>
            <w:hyperlink w:anchor="page41">
              <w:r>
                <w:rPr>
                  <w:rFonts w:ascii="Arial" w:cs="Arial" w:eastAsia="Arial" w:hAnsi="Arial"/>
                  <w:sz w:val="20"/>
                  <w:szCs w:val="20"/>
                  <w:color w:val="0000EE"/>
                  <w:w w:val="90"/>
                </w:rPr>
                <w:t>Item 1A. Risk Factors</w:t>
              </w:r>
            </w:hyperlink>
          </w:p>
        </w:tc>
        <w:tc>
          <w:tcPr>
            <w:tcW w:w="320" w:type="dxa"/>
            <w:vAlign w:val="bottom"/>
            <w:tcBorders>
              <w:top w:val="single" w:sz="8" w:color="0000EE"/>
            </w:tcBorders>
          </w:tcPr>
          <w:p>
            <w:pPr>
              <w:spacing w:after="0"/>
              <w:rPr>
                <w:sz w:val="24"/>
                <w:szCs w:val="24"/>
                <w:color w:val="auto"/>
              </w:rPr>
            </w:pPr>
          </w:p>
        </w:tc>
        <w:tc>
          <w:tcPr>
            <w:tcW w:w="856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rFonts w:ascii="Arial" w:cs="Arial" w:eastAsia="Arial" w:hAnsi="Arial"/>
                <w:sz w:val="20"/>
                <w:szCs w:val="20"/>
                <w:color w:val="0000EE"/>
                <w:w w:val="91"/>
              </w:rPr>
            </w:pPr>
            <w:hyperlink w:anchor="page41">
              <w:r>
                <w:rPr>
                  <w:rFonts w:ascii="Arial" w:cs="Arial" w:eastAsia="Arial" w:hAnsi="Arial"/>
                  <w:sz w:val="20"/>
                  <w:szCs w:val="20"/>
                  <w:color w:val="0000EE"/>
                  <w:w w:val="91"/>
                </w:rPr>
                <w:t>Item 2.</w:t>
              </w:r>
            </w:hyperlink>
          </w:p>
        </w:tc>
        <w:tc>
          <w:tcPr>
            <w:tcW w:w="4820" w:type="dxa"/>
            <w:vAlign w:val="bottom"/>
            <w:tcBorders>
              <w:bottom w:val="single" w:sz="8" w:color="0000EE"/>
            </w:tcBorders>
            <w:gridSpan w:val="9"/>
          </w:tcPr>
          <w:p>
            <w:pPr>
              <w:ind w:left="40"/>
              <w:spacing w:after="0"/>
              <w:rPr>
                <w:rFonts w:ascii="Arial" w:cs="Arial" w:eastAsia="Arial" w:hAnsi="Arial"/>
                <w:sz w:val="20"/>
                <w:szCs w:val="20"/>
                <w:color w:val="0000EE"/>
                <w:w w:val="88"/>
              </w:rPr>
            </w:pPr>
            <w:hyperlink w:anchor="page41">
              <w:r>
                <w:rPr>
                  <w:rFonts w:ascii="Arial" w:cs="Arial" w:eastAsia="Arial" w:hAnsi="Arial"/>
                  <w:sz w:val="20"/>
                  <w:szCs w:val="20"/>
                  <w:color w:val="0000EE"/>
                  <w:w w:val="88"/>
                </w:rPr>
                <w:t>Unregistered Sales of Equity Securities and Use of Proceeds</w:t>
              </w:r>
            </w:hyperlink>
          </w:p>
        </w:tc>
        <w:tc>
          <w:tcPr>
            <w:tcW w:w="524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20"/>
                <w:szCs w:val="20"/>
                <w:color w:val="0000EE"/>
                <w:w w:val="91"/>
              </w:rPr>
            </w:pPr>
            <w:hyperlink w:anchor="page41">
              <w:r>
                <w:rPr>
                  <w:rFonts w:ascii="Arial" w:cs="Arial" w:eastAsia="Arial" w:hAnsi="Arial"/>
                  <w:sz w:val="20"/>
                  <w:szCs w:val="20"/>
                  <w:color w:val="0000EE"/>
                  <w:w w:val="91"/>
                </w:rPr>
                <w:t>Item 4.</w:t>
              </w:r>
            </w:hyperlink>
          </w:p>
        </w:tc>
        <w:tc>
          <w:tcPr>
            <w:tcW w:w="10060" w:type="dxa"/>
            <w:vAlign w:val="bottom"/>
            <w:gridSpan w:val="16"/>
          </w:tcPr>
          <w:p>
            <w:pPr>
              <w:ind w:left="40"/>
              <w:spacing w:after="0"/>
              <w:rPr>
                <w:rFonts w:ascii="Arial" w:cs="Arial" w:eastAsia="Arial" w:hAnsi="Arial"/>
                <w:sz w:val="20"/>
                <w:szCs w:val="20"/>
                <w:color w:val="0000EE"/>
              </w:rPr>
            </w:pPr>
            <w:hyperlink w:anchor="page41">
              <w:r>
                <w:rPr>
                  <w:rFonts w:ascii="Arial" w:cs="Arial" w:eastAsia="Arial" w:hAnsi="Arial"/>
                  <w:sz w:val="20"/>
                  <w:szCs w:val="20"/>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580" w:type="dxa"/>
            <w:vAlign w:val="bottom"/>
            <w:tcBorders>
              <w:top w:val="single" w:sz="8" w:color="0000EE"/>
              <w:bottom w:val="single" w:sz="8" w:color="0000EE"/>
            </w:tcBorders>
            <w:gridSpan w:val="2"/>
          </w:tcPr>
          <w:p>
            <w:pPr>
              <w:spacing w:after="0"/>
              <w:rPr>
                <w:rFonts w:ascii="Arial" w:cs="Arial" w:eastAsia="Arial" w:hAnsi="Arial"/>
                <w:sz w:val="20"/>
                <w:szCs w:val="20"/>
                <w:color w:val="0000EE"/>
                <w:w w:val="91"/>
              </w:rPr>
            </w:pPr>
            <w:hyperlink w:anchor="page42">
              <w:r>
                <w:rPr>
                  <w:rFonts w:ascii="Arial" w:cs="Arial" w:eastAsia="Arial" w:hAnsi="Arial"/>
                  <w:sz w:val="20"/>
                  <w:szCs w:val="20"/>
                  <w:color w:val="0000EE"/>
                  <w:w w:val="91"/>
                </w:rPr>
                <w:t>Item 6.</w:t>
              </w:r>
            </w:hyperlink>
          </w:p>
        </w:tc>
        <w:tc>
          <w:tcPr>
            <w:tcW w:w="700" w:type="dxa"/>
            <w:vAlign w:val="bottom"/>
            <w:tcBorders>
              <w:top w:val="single" w:sz="8" w:color="0000EE"/>
              <w:bottom w:val="single" w:sz="8" w:color="0000EE"/>
            </w:tcBorders>
            <w:gridSpan w:val="3"/>
          </w:tcPr>
          <w:p>
            <w:pPr>
              <w:ind w:left="40"/>
              <w:spacing w:after="0"/>
              <w:rPr>
                <w:rFonts w:ascii="Arial" w:cs="Arial" w:eastAsia="Arial" w:hAnsi="Arial"/>
                <w:sz w:val="20"/>
                <w:szCs w:val="20"/>
                <w:color w:val="0000EE"/>
                <w:w w:val="91"/>
              </w:rPr>
            </w:pPr>
            <w:hyperlink w:anchor="page42">
              <w:r>
                <w:rPr>
                  <w:rFonts w:ascii="Arial" w:cs="Arial" w:eastAsia="Arial" w:hAnsi="Arial"/>
                  <w:sz w:val="20"/>
                  <w:szCs w:val="20"/>
                  <w:color w:val="0000EE"/>
                  <w:w w:val="91"/>
                </w:rPr>
                <w:t>Exhibits</w:t>
              </w:r>
            </w:hyperlink>
          </w:p>
        </w:tc>
        <w:tc>
          <w:tcPr>
            <w:tcW w:w="1280" w:type="dxa"/>
            <w:vAlign w:val="bottom"/>
            <w:tcBorders>
              <w:top w:val="single" w:sz="8" w:color="0000EE"/>
            </w:tcBorders>
            <w:gridSpan w:val="4"/>
          </w:tcPr>
          <w:p>
            <w:pPr>
              <w:spacing w:after="0"/>
              <w:rPr>
                <w:sz w:val="24"/>
                <w:szCs w:val="24"/>
                <w:color w:val="auto"/>
              </w:rPr>
            </w:pPr>
          </w:p>
        </w:tc>
        <w:tc>
          <w:tcPr>
            <w:tcW w:w="808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439"/>
        </w:trPr>
        <w:tc>
          <w:tcPr>
            <w:tcW w:w="10860" w:type="dxa"/>
            <w:vAlign w:val="bottom"/>
            <w:gridSpan w:val="19"/>
          </w:tcPr>
          <w:p>
            <w:pPr>
              <w:spacing w:after="0"/>
              <w:rPr>
                <w:rFonts w:ascii="Arial" w:cs="Arial" w:eastAsia="Arial" w:hAnsi="Arial"/>
                <w:sz w:val="20"/>
                <w:szCs w:val="20"/>
                <w:color w:val="0000EE"/>
              </w:rPr>
            </w:pPr>
            <w:hyperlink w:anchor="page43">
              <w:r>
                <w:rPr>
                  <w:rFonts w:ascii="Arial" w:cs="Arial" w:eastAsia="Arial" w:hAnsi="Arial"/>
                  <w:sz w:val="20"/>
                  <w:szCs w:val="20"/>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0"/>
        </w:trPr>
        <w:tc>
          <w:tcPr>
            <w:tcW w:w="84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76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00" w:type="dxa"/>
            <w:vAlign w:val="bottom"/>
            <w:tcBorders>
              <w:bottom w:val="single" w:sz="8" w:color="0000EE"/>
            </w:tcBorders>
            <w:gridSpan w:val="5"/>
          </w:tcPr>
          <w:p>
            <w:pPr>
              <w:spacing w:after="0"/>
              <w:rPr>
                <w:rFonts w:ascii="Arial" w:cs="Arial" w:eastAsia="Arial" w:hAnsi="Arial"/>
                <w:sz w:val="20"/>
                <w:szCs w:val="20"/>
                <w:color w:val="0000EE"/>
                <w:w w:val="94"/>
              </w:rPr>
            </w:pPr>
            <w:hyperlink w:anchor="page44">
              <w:r>
                <w:rPr>
                  <w:rFonts w:ascii="Arial" w:cs="Arial" w:eastAsia="Arial" w:hAnsi="Arial"/>
                  <w:sz w:val="20"/>
                  <w:szCs w:val="20"/>
                  <w:color w:val="0000EE"/>
                  <w:w w:val="94"/>
                </w:rPr>
                <w:t>Exhibit Index</w:t>
              </w:r>
            </w:hyperlink>
          </w:p>
        </w:tc>
        <w:tc>
          <w:tcPr>
            <w:tcW w:w="976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6"/>
                <w:szCs w:val="16"/>
                <w:color w:val="auto"/>
              </w:rPr>
              <w:t>March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6"/>
                <w:szCs w:val="16"/>
                <w:color w:val="auto"/>
                <w:w w:val="89"/>
              </w:rPr>
              <w:t>December 31,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6"/>
                <w:szCs w:val="16"/>
                <w:color w:val="auto"/>
                <w:w w:val="92"/>
              </w:rPr>
              <w:t>March 31,</w:t>
            </w:r>
          </w:p>
        </w:tc>
        <w:tc>
          <w:tcPr>
            <w:tcW w:w="0" w:type="dxa"/>
            <w:vAlign w:val="bottom"/>
          </w:tcPr>
          <w:p>
            <w:pPr>
              <w:spacing w:after="0"/>
              <w:rPr>
                <w:sz w:val="1"/>
                <w:szCs w:val="1"/>
                <w:color w:val="auto"/>
              </w:rPr>
            </w:pPr>
          </w:p>
        </w:tc>
      </w:tr>
      <w:tr>
        <w:trPr>
          <w:trHeight w:val="219"/>
        </w:trPr>
        <w:tc>
          <w:tcPr>
            <w:tcW w:w="4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2017</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95"/>
              </w:rPr>
              <w:t>2016</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80" w:type="dxa"/>
            <w:vAlign w:val="bottom"/>
            <w:gridSpan w:val="8"/>
          </w:tcPr>
          <w:p>
            <w:pPr>
              <w:jc w:val="center"/>
              <w:ind w:left="799"/>
              <w:spacing w:after="0"/>
              <w:rPr>
                <w:sz w:val="20"/>
                <w:szCs w:val="20"/>
                <w:color w:val="auto"/>
              </w:rPr>
            </w:pPr>
            <w:r>
              <w:rPr>
                <w:rFonts w:ascii="Arial" w:cs="Arial" w:eastAsia="Arial" w:hAnsi="Arial"/>
                <w:sz w:val="16"/>
                <w:szCs w:val="16"/>
                <w:i w:val="1"/>
                <w:iCs w:val="1"/>
                <w:color w:val="auto"/>
                <w:w w:val="92"/>
              </w:rPr>
              <w:t>(Dollars in Thousands, Except Per Share Data)</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55,418</w:t>
            </w:r>
          </w:p>
        </w:tc>
        <w:tc>
          <w:tcPr>
            <w:tcW w:w="1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50,038</w:t>
            </w:r>
          </w:p>
        </w:tc>
        <w:tc>
          <w:tcPr>
            <w:tcW w:w="18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 net</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479,215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457,910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448,048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Inventories, net</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537,000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521,624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485,367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Other current assets</w:t>
            </w:r>
          </w:p>
        </w:tc>
        <w:tc>
          <w:tcPr>
            <w:tcW w:w="9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51,609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56,813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37,658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Total Current Assets</w:t>
            </w:r>
          </w:p>
        </w:tc>
        <w:tc>
          <w:tcPr>
            <w:tcW w:w="9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1,123,242</w:t>
            </w:r>
          </w:p>
        </w:tc>
        <w:tc>
          <w:tcPr>
            <w:tcW w:w="1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1,086,385</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998,315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6,211,813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6,115,530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5,778,368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Allowances for depreciation, depletion and amortization</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(2,744,168)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(2,692,135)</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(2,515,387)</w:t>
            </w:r>
          </w:p>
        </w:tc>
        <w:tc>
          <w:tcPr>
            <w:tcW w:w="0" w:type="dxa"/>
            <w:vAlign w:val="bottom"/>
          </w:tcPr>
          <w:p>
            <w:pPr>
              <w:spacing w:after="0"/>
              <w:rPr>
                <w:sz w:val="1"/>
                <w:szCs w:val="1"/>
                <w:color w:val="auto"/>
              </w:rPr>
            </w:pPr>
          </w:p>
        </w:tc>
      </w:tr>
      <w:tr>
        <w:trPr>
          <w:trHeight w:val="207"/>
        </w:trPr>
        <w:tc>
          <w:tcPr>
            <w:tcW w:w="4920" w:type="dxa"/>
            <w:vAlign w:val="bottom"/>
          </w:tcPr>
          <w:p>
            <w:pPr>
              <w:spacing w:after="0"/>
              <w:rPr>
                <w:sz w:val="20"/>
                <w:szCs w:val="20"/>
                <w:color w:val="auto"/>
              </w:rPr>
            </w:pPr>
            <w:r>
              <w:rPr>
                <w:rFonts w:ascii="Arial" w:cs="Arial" w:eastAsia="Arial" w:hAnsi="Arial"/>
                <w:sz w:val="16"/>
                <w:szCs w:val="16"/>
                <w:color w:val="auto"/>
              </w:rPr>
              <w:t>Net property, plant and equipment</w:t>
            </w:r>
          </w:p>
        </w:tc>
        <w:tc>
          <w:tcPr>
            <w:tcW w:w="9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3,467,645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3,423,395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3,262,981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2,159,398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2,159,337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2,135,295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Operating permits, net</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440,411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442,202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444,148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Other intangibles, net</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67,318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69,110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75,267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noncurrent assets</w:t>
            </w:r>
          </w:p>
        </w:tc>
        <w:tc>
          <w:tcPr>
            <w:tcW w:w="9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135,777</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120,476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142,281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Assets</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7,393,791</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7,300,905</w:t>
            </w:r>
          </w:p>
        </w:tc>
        <w:tc>
          <w:tcPr>
            <w:tcW w:w="1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7,058,287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9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9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920" w:type="dxa"/>
            <w:vAlign w:val="bottom"/>
          </w:tcPr>
          <w:p>
            <w:pPr>
              <w:spacing w:after="0"/>
              <w:rPr>
                <w:sz w:val="20"/>
                <w:szCs w:val="20"/>
                <w:color w:val="auto"/>
              </w:rPr>
            </w:pPr>
            <w:r>
              <w:rPr>
                <w:rFonts w:ascii="Arial" w:cs="Arial" w:eastAsia="Arial" w:hAnsi="Arial"/>
                <w:sz w:val="16"/>
                <w:szCs w:val="16"/>
                <w:color w:val="auto"/>
              </w:rPr>
              <w:t>Current Liabilities:</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188,399</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178,598</w:t>
            </w:r>
          </w:p>
        </w:tc>
        <w:tc>
          <w:tcPr>
            <w:tcW w:w="1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174,398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Accrued salaries, benefits and payroll taxes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22,760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47,428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Pension and postretirement benefits</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Accrued insurance and other taxes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49,535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60,093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Current maturities of long-term debt and short-term facilities</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290,048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177,430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Accrued interest</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23,649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16,837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Other current liabilities</w:t>
            </w:r>
          </w:p>
        </w:tc>
        <w:tc>
          <w:tcPr>
            <w:tcW w:w="9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49,031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54,303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Total Current Liabilities</w:t>
            </w:r>
          </w:p>
        </w:tc>
        <w:tc>
          <w:tcPr>
            <w:tcW w:w="9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631,558</w:t>
            </w:r>
          </w:p>
        </w:tc>
        <w:tc>
          <w:tcPr>
            <w:tcW w:w="1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546,588</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492,131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Long-term debt</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1,556,246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1,506,153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1,575,327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Pension, postretirement and postemployment benefits</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252,568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248,086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226,924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Deferred income taxes, net</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667,160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663,019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620,569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liabilities</w:t>
            </w:r>
          </w:p>
        </w:tc>
        <w:tc>
          <w:tcPr>
            <w:tcW w:w="9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210,305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194,469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Total Liabilities</w:t>
            </w:r>
          </w:p>
        </w:tc>
        <w:tc>
          <w:tcPr>
            <w:tcW w:w="9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3,317,837</w:t>
            </w:r>
          </w:p>
        </w:tc>
        <w:tc>
          <w:tcPr>
            <w:tcW w:w="1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3,158,315</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3,112,651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Equity:</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Common stock, par value $0.01 per share</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Preferred stock, par value $0.01 per share</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3,349,813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3,334,461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3,302,258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(128,425)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(130,687)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(103,833)</w:t>
            </w: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Retained earnings</w:t>
            </w:r>
          </w:p>
        </w:tc>
        <w:tc>
          <w:tcPr>
            <w:tcW w:w="9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851,354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935,574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743,593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20" w:type="dxa"/>
            <w:vAlign w:val="bottom"/>
          </w:tcPr>
          <w:p>
            <w:pPr>
              <w:ind w:left="260"/>
              <w:spacing w:after="0"/>
              <w:rPr>
                <w:sz w:val="20"/>
                <w:szCs w:val="20"/>
                <w:color w:val="auto"/>
              </w:rPr>
            </w:pPr>
            <w:r>
              <w:rPr>
                <w:rFonts w:ascii="Arial" w:cs="Arial" w:eastAsia="Arial" w:hAnsi="Arial"/>
                <w:sz w:val="16"/>
                <w:szCs w:val="16"/>
                <w:color w:val="auto"/>
              </w:rPr>
              <w:t>Total Shareholders' Equity</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4,073,368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4,139,978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3,942,651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Noncontrolling interests</w:t>
            </w:r>
          </w:p>
        </w:tc>
        <w:tc>
          <w:tcPr>
            <w:tcW w:w="9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2,586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Total Equity</w:t>
            </w:r>
          </w:p>
        </w:tc>
        <w:tc>
          <w:tcPr>
            <w:tcW w:w="9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4,075,954</w:t>
            </w:r>
          </w:p>
        </w:tc>
        <w:tc>
          <w:tcPr>
            <w:tcW w:w="1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4,142,590</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3,945,636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Liabilities and Equity</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7,393,791</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7,300,905</w:t>
            </w:r>
          </w:p>
        </w:tc>
        <w:tc>
          <w:tcPr>
            <w:tcW w:w="1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7,058,287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EARNINGS AND COMPREHENSIVE EARNINGS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4"/>
          </w:tcPr>
          <w:p>
            <w:pPr>
              <w:jc w:val="center"/>
              <w:ind w:left="670"/>
              <w:spacing w:after="0"/>
              <w:rPr>
                <w:sz w:val="20"/>
                <w:szCs w:val="20"/>
                <w:color w:val="auto"/>
              </w:rPr>
            </w:pPr>
            <w:r>
              <w:rPr>
                <w:rFonts w:ascii="Arial" w:cs="Arial" w:eastAsia="Arial" w:hAnsi="Arial"/>
                <w:sz w:val="18"/>
                <w:szCs w:val="18"/>
                <w:color w:val="auto"/>
                <w:w w:val="90"/>
              </w:rPr>
              <w:t>Three Months Ended</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center"/>
              <w:ind w:left="690"/>
              <w:spacing w:after="0"/>
              <w:rPr>
                <w:sz w:val="20"/>
                <w:szCs w:val="20"/>
                <w:color w:val="auto"/>
              </w:rPr>
            </w:pPr>
            <w:r>
              <w:rPr>
                <w:rFonts w:ascii="Arial" w:cs="Arial" w:eastAsia="Arial" w:hAnsi="Arial"/>
                <w:sz w:val="18"/>
                <w:szCs w:val="18"/>
                <w:color w:val="auto"/>
                <w:w w:val="92"/>
              </w:rPr>
              <w:t>March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gridSpan w:val="5"/>
          </w:tcPr>
          <w:p>
            <w:pPr>
              <w:jc w:val="center"/>
              <w:ind w:right="150"/>
              <w:spacing w:after="0"/>
              <w:rPr>
                <w:sz w:val="20"/>
                <w:szCs w:val="20"/>
                <w:color w:val="auto"/>
              </w:rPr>
            </w:pPr>
            <w:r>
              <w:rPr>
                <w:rFonts w:ascii="Arial" w:cs="Arial" w:eastAsia="Arial" w:hAnsi="Arial"/>
                <w:sz w:val="18"/>
                <w:szCs w:val="18"/>
                <w:i w:val="1"/>
                <w:iCs w:val="1"/>
                <w:color w:val="auto"/>
                <w:w w:val="90"/>
              </w:rPr>
              <w:t>(In Thousands, Except Per Share Data)</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791,684</w:t>
            </w: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Freight and delivery revenues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52,175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843,859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788,734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644,617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588,710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Freight and delivery costs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52,175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cost of revenues</w:t>
            </w:r>
          </w:p>
        </w:tc>
        <w:tc>
          <w:tcPr>
            <w:tcW w:w="2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696,792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643,484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&amp; administrative expenses</w:t>
            </w: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Acquisition-related expenses, net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expenses, net</w:t>
            </w:r>
          </w:p>
        </w:tc>
        <w:tc>
          <w:tcPr>
            <w:tcW w:w="2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Earnings from Operations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77,150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86,023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20,851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(income) and expenses, net</w:t>
            </w:r>
          </w:p>
        </w:tc>
        <w:tc>
          <w:tcPr>
            <w:tcW w:w="2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Earnings before taxes on income</w:t>
            </w: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Taxes on income</w:t>
            </w:r>
          </w:p>
        </w:tc>
        <w:tc>
          <w:tcPr>
            <w:tcW w:w="2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Consolidated net earnings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42,307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Less: Net (loss) earnings attributable to noncontrolling interests</w:t>
            </w:r>
          </w:p>
        </w:tc>
        <w:tc>
          <w:tcPr>
            <w:tcW w:w="2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Consolidated Comprehensive Earnings: (See Note 1)</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Earnings attributable to Martin Marietta Materials, Inc.</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44,596</w:t>
            </w: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(Loss) Earnings attributable to noncontrolling interests</w:t>
            </w:r>
          </w:p>
        </w:tc>
        <w:tc>
          <w:tcPr>
            <w:tcW w:w="22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44,570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 Common Share:</w:t>
            </w: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Basic attributable to common shareholders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0.67</w:t>
            </w:r>
          </w:p>
        </w:tc>
        <w:tc>
          <w:tcPr>
            <w:tcW w:w="180" w:type="dxa"/>
            <w:vAlign w:val="bottom"/>
          </w:tcPr>
          <w:p>
            <w:pPr>
              <w:spacing w:after="0"/>
              <w:rPr>
                <w:sz w:val="23"/>
                <w:szCs w:val="23"/>
                <w:color w:val="auto"/>
              </w:rPr>
            </w:pPr>
          </w:p>
        </w:tc>
        <w:tc>
          <w:tcPr>
            <w:tcW w:w="68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Diluted attributable to common shareholders</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63,024</w:t>
            </w:r>
          </w:p>
        </w:tc>
        <w:tc>
          <w:tcPr>
            <w:tcW w:w="18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64,158</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63,319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64,350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Per Common Share</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CASH FLOWS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March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60" w:type="dxa"/>
            <w:vAlign w:val="bottom"/>
            <w:gridSpan w:val="3"/>
          </w:tcPr>
          <w:p>
            <w:pPr>
              <w:jc w:val="right"/>
              <w:ind w:right="290"/>
              <w:spacing w:after="0"/>
              <w:rPr>
                <w:sz w:val="20"/>
                <w:szCs w:val="20"/>
                <w:color w:val="auto"/>
              </w:rPr>
            </w:pPr>
            <w:r>
              <w:rPr>
                <w:rFonts w:ascii="Arial" w:cs="Arial" w:eastAsia="Arial" w:hAnsi="Arial"/>
                <w:sz w:val="18"/>
                <w:szCs w:val="18"/>
                <w:i w:val="1"/>
                <w:iCs w:val="1"/>
                <w:color w:val="auto"/>
                <w:w w:val="91"/>
              </w:rPr>
              <w:t>(Dollars in Thousands)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0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Consolidated net earnings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42,307</w:t>
            </w:r>
          </w:p>
        </w:tc>
        <w:tc>
          <w:tcPr>
            <w:tcW w:w="28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consolidated net earnings to net cash</w:t>
            </w: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provided by operating activities:</w:t>
            </w:r>
          </w:p>
        </w:tc>
        <w:tc>
          <w:tcPr>
            <w:tcW w:w="10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70,376</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10,275</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Loss (Gain) on divestitures and sales of assets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10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Other items, net</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and divestitures:</w:t>
            </w:r>
          </w:p>
        </w:tc>
        <w:tc>
          <w:tcPr>
            <w:tcW w:w="10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10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(21,305)</w:t>
            </w:r>
          </w:p>
        </w:tc>
        <w:tc>
          <w:tcPr>
            <w:tcW w:w="10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(29,695)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Inventories, net</w:t>
            </w:r>
          </w:p>
        </w:tc>
        <w:tc>
          <w:tcPr>
            <w:tcW w:w="10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(15,375)</w:t>
            </w:r>
          </w:p>
        </w:tc>
        <w:tc>
          <w:tcPr>
            <w:tcW w:w="10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8,536</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assets and liabilities, net</w:t>
            </w:r>
          </w:p>
        </w:tc>
        <w:tc>
          <w:tcPr>
            <w:tcW w:w="10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(23,670)</w:t>
            </w:r>
          </w:p>
        </w:tc>
        <w:tc>
          <w:tcPr>
            <w:tcW w:w="10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(34,274)</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74,046</w:t>
            </w:r>
          </w:p>
        </w:tc>
        <w:tc>
          <w:tcPr>
            <w:tcW w:w="2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10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(102,095)</w:t>
            </w:r>
          </w:p>
        </w:tc>
        <w:tc>
          <w:tcPr>
            <w:tcW w:w="10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(94,228)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Acquisitions, net</w:t>
            </w:r>
          </w:p>
        </w:tc>
        <w:tc>
          <w:tcPr>
            <w:tcW w:w="10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(123,000)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received in acquisition</w:t>
            </w:r>
          </w:p>
        </w:tc>
        <w:tc>
          <w:tcPr>
            <w:tcW w:w="10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Proceeds from divestitures and sales of assets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539</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of railcar construction advances</w:t>
            </w:r>
          </w:p>
        </w:tc>
        <w:tc>
          <w:tcPr>
            <w:tcW w:w="10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(37,011)</w:t>
            </w:r>
          </w:p>
        </w:tc>
        <w:tc>
          <w:tcPr>
            <w:tcW w:w="10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Reimbursement of railcar construction advances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37,011</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for Investing Activities</w:t>
            </w: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(101,556)</w:t>
            </w:r>
          </w:p>
        </w:tc>
        <w:tc>
          <w:tcPr>
            <w:tcW w:w="2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(210,367)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0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Borrowings of debt</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205,000</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debt</w:t>
            </w:r>
          </w:p>
        </w:tc>
        <w:tc>
          <w:tcPr>
            <w:tcW w:w="10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(45,012)</w:t>
            </w:r>
          </w:p>
        </w:tc>
        <w:tc>
          <w:tcPr>
            <w:tcW w:w="10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(26,390)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Payments on capital lease obligations</w:t>
            </w:r>
          </w:p>
        </w:tc>
        <w:tc>
          <w:tcPr>
            <w:tcW w:w="10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(761)</w:t>
            </w:r>
          </w:p>
        </w:tc>
        <w:tc>
          <w:tcPr>
            <w:tcW w:w="10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bank overdraft</w:t>
            </w:r>
          </w:p>
        </w:tc>
        <w:tc>
          <w:tcPr>
            <w:tcW w:w="10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Dividends paid</w:t>
            </w:r>
          </w:p>
        </w:tc>
        <w:tc>
          <w:tcPr>
            <w:tcW w:w="10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(26,560)</w:t>
            </w:r>
          </w:p>
        </w:tc>
        <w:tc>
          <w:tcPr>
            <w:tcW w:w="10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(25,847)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Issuances of common stock</w:t>
            </w:r>
          </w:p>
        </w:tc>
        <w:tc>
          <w:tcPr>
            <w:tcW w:w="10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3,917</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Shares withheld for employees' income tax obligations</w:t>
            </w:r>
          </w:p>
        </w:tc>
        <w:tc>
          <w:tcPr>
            <w:tcW w:w="10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(3,695)</w:t>
            </w:r>
          </w:p>
        </w:tc>
        <w:tc>
          <w:tcPr>
            <w:tcW w:w="10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Repurchases of common stock</w:t>
            </w:r>
          </w:p>
        </w:tc>
        <w:tc>
          <w:tcPr>
            <w:tcW w:w="10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(99,999)</w:t>
            </w:r>
          </w:p>
        </w:tc>
        <w:tc>
          <w:tcPr>
            <w:tcW w:w="10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3"/>
              </w:rPr>
              <w:t>(150,000)</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32,890</w:t>
            </w:r>
          </w:p>
        </w:tc>
        <w:tc>
          <w:tcPr>
            <w:tcW w:w="2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5,380</w:t>
            </w:r>
          </w:p>
        </w:tc>
        <w:tc>
          <w:tcPr>
            <w:tcW w:w="2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(141,167)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50,038</w:t>
            </w:r>
          </w:p>
        </w:tc>
        <w:tc>
          <w:tcPr>
            <w:tcW w:w="2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168,409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55,418</w:t>
            </w:r>
          </w:p>
        </w:tc>
        <w:tc>
          <w:tcPr>
            <w:tcW w:w="2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 OF TOTAL EQUITY</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Shares of</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Additional</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Common</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Common</w:t>
            </w: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Paid-</w:t>
            </w:r>
          </w:p>
        </w:tc>
        <w:tc>
          <w:tcPr>
            <w:tcW w:w="160" w:type="dxa"/>
            <w:vAlign w:val="bottom"/>
          </w:tcPr>
          <w:p>
            <w:pPr>
              <w:spacing w:after="0"/>
              <w:rPr>
                <w:sz w:val="18"/>
                <w:szCs w:val="18"/>
                <w:color w:val="auto"/>
              </w:rPr>
            </w:pPr>
          </w:p>
        </w:tc>
        <w:tc>
          <w:tcPr>
            <w:tcW w:w="1660" w:type="dxa"/>
            <w:vAlign w:val="bottom"/>
            <w:gridSpan w:val="3"/>
          </w:tcPr>
          <w:p>
            <w:pPr>
              <w:ind w:left="60"/>
              <w:spacing w:after="0"/>
              <w:rPr>
                <w:sz w:val="20"/>
                <w:szCs w:val="20"/>
                <w:color w:val="auto"/>
              </w:rPr>
            </w:pPr>
            <w:r>
              <w:rPr>
                <w:rFonts w:ascii="Arial" w:cs="Arial" w:eastAsia="Arial" w:hAnsi="Arial"/>
                <w:sz w:val="18"/>
                <w:szCs w:val="18"/>
                <w:color w:val="auto"/>
              </w:rPr>
              <w:t>Accumulated Other</w:t>
            </w:r>
          </w:p>
        </w:tc>
        <w:tc>
          <w:tcPr>
            <w:tcW w:w="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Retained</w:t>
            </w:r>
          </w:p>
        </w:tc>
        <w:tc>
          <w:tcPr>
            <w:tcW w:w="1140" w:type="dxa"/>
            <w:vAlign w:val="bottom"/>
            <w:gridSpan w:val="4"/>
          </w:tcPr>
          <w:p>
            <w:pPr>
              <w:ind w:left="60"/>
              <w:spacing w:after="0"/>
              <w:rPr>
                <w:sz w:val="20"/>
                <w:szCs w:val="20"/>
                <w:color w:val="auto"/>
              </w:rPr>
            </w:pPr>
            <w:r>
              <w:rPr>
                <w:rFonts w:ascii="Arial" w:cs="Arial" w:eastAsia="Arial" w:hAnsi="Arial"/>
                <w:sz w:val="18"/>
                <w:szCs w:val="18"/>
                <w:color w:val="auto"/>
                <w:w w:val="95"/>
              </w:rPr>
              <w:t>Shareholders'</w:t>
            </w:r>
          </w:p>
        </w:tc>
        <w:tc>
          <w:tcPr>
            <w:tcW w:w="1580" w:type="dxa"/>
            <w:vAlign w:val="bottom"/>
            <w:gridSpan w:val="4"/>
          </w:tcPr>
          <w:p>
            <w:pPr>
              <w:ind w:left="60"/>
              <w:spacing w:after="0"/>
              <w:rPr>
                <w:sz w:val="20"/>
                <w:szCs w:val="20"/>
                <w:color w:val="auto"/>
              </w:rPr>
            </w:pPr>
            <w:r>
              <w:rPr>
                <w:rFonts w:ascii="Arial" w:cs="Arial" w:eastAsia="Arial" w:hAnsi="Arial"/>
                <w:sz w:val="18"/>
                <w:szCs w:val="18"/>
                <w:color w:val="auto"/>
              </w:rPr>
              <w:t>Noncontrolling</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30"/>
        </w:trPr>
        <w:tc>
          <w:tcPr>
            <w:tcW w:w="228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Stock</w:t>
            </w:r>
          </w:p>
        </w:tc>
        <w:tc>
          <w:tcPr>
            <w:tcW w:w="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in Capital</w:t>
            </w:r>
          </w:p>
        </w:tc>
        <w:tc>
          <w:tcPr>
            <w:tcW w:w="1820" w:type="dxa"/>
            <w:vAlign w:val="bottom"/>
            <w:gridSpan w:val="4"/>
          </w:tcPr>
          <w:p>
            <w:pPr>
              <w:ind w:left="160"/>
              <w:spacing w:after="0"/>
              <w:rPr>
                <w:sz w:val="20"/>
                <w:szCs w:val="20"/>
                <w:color w:val="auto"/>
              </w:rPr>
            </w:pPr>
            <w:r>
              <w:rPr>
                <w:rFonts w:ascii="Arial" w:cs="Arial" w:eastAsia="Arial" w:hAnsi="Arial"/>
                <w:sz w:val="18"/>
                <w:szCs w:val="18"/>
                <w:color w:val="auto"/>
                <w:w w:val="96"/>
              </w:rPr>
              <w:t>Comprehensive Loss</w:t>
            </w:r>
          </w:p>
        </w:tc>
        <w:tc>
          <w:tcPr>
            <w:tcW w:w="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Earnings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Interests</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Equity</w:t>
            </w:r>
          </w:p>
        </w:tc>
      </w:tr>
      <w:tr>
        <w:trPr>
          <w:trHeight w:val="209"/>
        </w:trPr>
        <w:tc>
          <w:tcPr>
            <w:tcW w:w="2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Balance at December 31,</w:t>
            </w: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63,176</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2"/>
              </w:rPr>
              <w:t>$ 3,334,461</w:t>
            </w: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(130,687)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$ 935,574</w:t>
            </w:r>
          </w:p>
        </w:tc>
        <w:tc>
          <w:tcPr>
            <w:tcW w:w="12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4,139,978</w:t>
            </w:r>
          </w:p>
        </w:tc>
        <w:tc>
          <w:tcPr>
            <w:tcW w:w="12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2,612</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$ 4,142,590</w:t>
            </w:r>
          </w:p>
        </w:tc>
        <w:tc>
          <w:tcPr>
            <w:tcW w:w="10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Consolidated net</w:t>
            </w: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earnings (loss)</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42,334</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42,334</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42,307</w:t>
            </w:r>
          </w:p>
        </w:tc>
        <w:tc>
          <w:tcPr>
            <w:tcW w:w="100" w:type="dxa"/>
            <w:vAlign w:val="bottom"/>
            <w:shd w:val="clear" w:color="auto" w:fill="CFF0FC"/>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260" w:type="dxa"/>
            <w:vAlign w:val="bottom"/>
            <w:gridSpan w:val="2"/>
          </w:tcPr>
          <w:p>
            <w:pPr>
              <w:ind w:left="240"/>
              <w:spacing w:after="0"/>
              <w:rPr>
                <w:sz w:val="20"/>
                <w:szCs w:val="20"/>
                <w:color w:val="auto"/>
              </w:rPr>
            </w:pPr>
            <w:r>
              <w:rPr>
                <w:rFonts w:ascii="Arial" w:cs="Arial" w:eastAsia="Arial" w:hAnsi="Arial"/>
                <w:sz w:val="18"/>
                <w:szCs w:val="18"/>
                <w:color w:val="auto"/>
              </w:rPr>
              <w:t>Other comprehensive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ind w:left="240"/>
              <w:spacing w:after="0"/>
              <w:rPr>
                <w:sz w:val="20"/>
                <w:szCs w:val="20"/>
                <w:color w:val="auto"/>
              </w:rPr>
            </w:pPr>
            <w:r>
              <w:rPr>
                <w:rFonts w:ascii="Arial" w:cs="Arial" w:eastAsia="Arial" w:hAnsi="Arial"/>
                <w:sz w:val="18"/>
                <w:szCs w:val="18"/>
                <w:color w:val="auto"/>
              </w:rPr>
              <w:t>earnings,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60" w:type="dxa"/>
            <w:vAlign w:val="bottom"/>
            <w:gridSpan w:val="2"/>
          </w:tcPr>
          <w:p>
            <w:pPr>
              <w:ind w:left="460"/>
              <w:spacing w:after="0"/>
              <w:rPr>
                <w:sz w:val="20"/>
                <w:szCs w:val="20"/>
                <w:color w:val="auto"/>
              </w:rPr>
            </w:pPr>
            <w:r>
              <w:rPr>
                <w:rFonts w:ascii="Arial" w:cs="Arial" w:eastAsia="Arial" w:hAnsi="Arial"/>
                <w:sz w:val="18"/>
                <w:szCs w:val="18"/>
                <w:color w:val="auto"/>
              </w:rPr>
              <w:t>net of tax</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2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Dividends declared</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(26,560)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(26,560)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(26,560)</w:t>
            </w:r>
          </w:p>
        </w:tc>
      </w:tr>
      <w:tr>
        <w:trPr>
          <w:trHeight w:val="215"/>
        </w:trPr>
        <w:tc>
          <w:tcPr>
            <w:tcW w:w="20" w:type="dxa"/>
            <w:vAlign w:val="bottom"/>
          </w:tcPr>
          <w:p>
            <w:pPr>
              <w:spacing w:after="0"/>
              <w:rPr>
                <w:sz w:val="18"/>
                <w:szCs w:val="18"/>
                <w:color w:val="auto"/>
              </w:rPr>
            </w:pPr>
          </w:p>
        </w:tc>
        <w:tc>
          <w:tcPr>
            <w:tcW w:w="2260" w:type="dxa"/>
            <w:vAlign w:val="bottom"/>
            <w:gridSpan w:val="2"/>
          </w:tcPr>
          <w:p>
            <w:pPr>
              <w:ind w:left="240"/>
              <w:spacing w:after="0"/>
              <w:rPr>
                <w:sz w:val="20"/>
                <w:szCs w:val="20"/>
                <w:color w:val="auto"/>
              </w:rPr>
            </w:pPr>
            <w:r>
              <w:rPr>
                <w:rFonts w:ascii="Arial" w:cs="Arial" w:eastAsia="Arial" w:hAnsi="Arial"/>
                <w:sz w:val="18"/>
                <w:szCs w:val="18"/>
                <w:color w:val="auto"/>
              </w:rPr>
              <w:t>Issuances of common</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ind w:left="240"/>
              <w:spacing w:after="0"/>
              <w:rPr>
                <w:sz w:val="20"/>
                <w:szCs w:val="20"/>
                <w:color w:val="auto"/>
              </w:rPr>
            </w:pPr>
            <w:r>
              <w:rPr>
                <w:rFonts w:ascii="Arial" w:cs="Arial" w:eastAsia="Arial" w:hAnsi="Arial"/>
                <w:sz w:val="18"/>
                <w:szCs w:val="18"/>
                <w:color w:val="auto"/>
              </w:rPr>
              <w:t>stock for stock</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60" w:type="dxa"/>
            <w:vAlign w:val="bottom"/>
            <w:gridSpan w:val="2"/>
          </w:tcPr>
          <w:p>
            <w:pPr>
              <w:ind w:left="460"/>
              <w:spacing w:after="0"/>
              <w:rPr>
                <w:sz w:val="20"/>
                <w:szCs w:val="20"/>
                <w:color w:val="auto"/>
              </w:rPr>
            </w:pPr>
            <w:r>
              <w:rPr>
                <w:rFonts w:ascii="Arial" w:cs="Arial" w:eastAsia="Arial" w:hAnsi="Arial"/>
                <w:sz w:val="18"/>
                <w:szCs w:val="18"/>
                <w:color w:val="auto"/>
              </w:rPr>
              <w:t>award plans</w:t>
            </w: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5,077</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5,078</w:t>
            </w:r>
          </w:p>
        </w:tc>
        <w:tc>
          <w:tcPr>
            <w:tcW w:w="10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2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9"/>
              </w:rPr>
              <w:t>Repurchases of common</w:t>
            </w: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(458)</w:t>
            </w: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(99,994)</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(99,999)</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(99,999)</w:t>
            </w:r>
          </w:p>
        </w:tc>
      </w:tr>
      <w:tr>
        <w:trPr>
          <w:trHeight w:val="215"/>
        </w:trPr>
        <w:tc>
          <w:tcPr>
            <w:tcW w:w="20" w:type="dxa"/>
            <w:vAlign w:val="bottom"/>
          </w:tcPr>
          <w:p>
            <w:pPr>
              <w:spacing w:after="0"/>
              <w:rPr>
                <w:sz w:val="18"/>
                <w:szCs w:val="18"/>
                <w:color w:val="auto"/>
              </w:rPr>
            </w:pPr>
          </w:p>
        </w:tc>
        <w:tc>
          <w:tcPr>
            <w:tcW w:w="2260" w:type="dxa"/>
            <w:vAlign w:val="bottom"/>
            <w:gridSpan w:val="2"/>
          </w:tcPr>
          <w:p>
            <w:pPr>
              <w:ind w:left="240"/>
              <w:spacing w:after="0"/>
              <w:rPr>
                <w:sz w:val="20"/>
                <w:szCs w:val="20"/>
                <w:color w:val="auto"/>
              </w:rPr>
            </w:pPr>
            <w:r>
              <w:rPr>
                <w:rFonts w:ascii="Arial" w:cs="Arial" w:eastAsia="Arial" w:hAnsi="Arial"/>
                <w:sz w:val="18"/>
                <w:szCs w:val="18"/>
                <w:color w:val="auto"/>
              </w:rPr>
              <w:t>Stock-based</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60" w:type="dxa"/>
            <w:vAlign w:val="bottom"/>
            <w:gridSpan w:val="2"/>
          </w:tcPr>
          <w:p>
            <w:pPr>
              <w:ind w:left="240"/>
              <w:spacing w:after="0"/>
              <w:rPr>
                <w:sz w:val="20"/>
                <w:szCs w:val="20"/>
                <w:color w:val="auto"/>
              </w:rPr>
            </w:pPr>
            <w:r>
              <w:rPr>
                <w:rFonts w:ascii="Arial" w:cs="Arial" w:eastAsia="Arial" w:hAnsi="Arial"/>
                <w:sz w:val="18"/>
                <w:szCs w:val="18"/>
                <w:color w:val="auto"/>
              </w:rPr>
              <w:t>compensation expense</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10,275</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10,275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10,275</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March 31, 2017</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62,778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$ 3,349,813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$ 851,354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4,073,368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2,586</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$ 4,075,954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6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15" w:lineRule="exact"/>
        <w:rPr>
          <w:sz w:val="20"/>
          <w:szCs w:val="20"/>
          <w:color w:val="auto"/>
        </w:rPr>
      </w:pPr>
    </w:p>
    <w:p>
      <w:pPr>
        <w:ind w:left="380" w:right="8420" w:hanging="372"/>
        <w:spacing w:after="0" w:line="355" w:lineRule="auto"/>
        <w:tabs>
          <w:tab w:leader="none" w:pos="37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Organization</w:t>
      </w:r>
    </w:p>
    <w:p>
      <w:pPr>
        <w:jc w:val="both"/>
        <w:ind w:left="38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Martin Marietta Materials, Inc. (the Corporation or Martin Marietta) is engaged principally in the building materials business, including aggregates, cement, ready mixed concrete and asphalt and paving product lines, collectively reported as the Building Materials business. The aggregates product line is sold and shipped from a network of more than 270 quarries and distribution facilities in 26 states, Nova Scotia and the Bahamas. The cement, ready mixed concrete and asphalt and paving product lines are located in strategic, vertically integrated markets, predominately Texas and Colorado. Building materials are used for construction of highways and other infrastructure projects, and in the nonresidential and residential construction industries. Aggregates and cement products are also used in the railroad, agricultural, utility and environmental industries.</w:t>
      </w:r>
    </w:p>
    <w:p>
      <w:pPr>
        <w:spacing w:after="0" w:line="85"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Effective January 1, 2017, the Corporation reorganized the operations and management reporting structure of its Texas-based aggregates, cement and ready mixed concrete product lines, resulting in a change to its reportable segments. As a result, the cement product line is reported in the West Group. The Corporation’s Building Materials business includes three reportable segments: the Mid-America Group, the Southeast Group and the West Group.</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2" w:lineRule="exact"/>
        <w:rPr>
          <w:sz w:val="20"/>
          <w:szCs w:val="20"/>
          <w:color w:val="auto"/>
        </w:rPr>
      </w:pPr>
    </w:p>
    <w:tbl>
      <w:tblPr>
        <w:tblLayout w:type="fixed"/>
        <w:tblInd w:w="480" w:type="dxa"/>
        <w:tblCellMar>
          <w:top w:w="0" w:type="dxa"/>
          <w:left w:w="0" w:type="dxa"/>
          <w:bottom w:w="0" w:type="dxa"/>
          <w:right w:w="0" w:type="dxa"/>
        </w:tblCellMar>
      </w:tblPr>
      <w:tr>
        <w:trPr>
          <w:trHeight w:val="237"/>
        </w:trPr>
        <w:tc>
          <w:tcPr>
            <w:tcW w:w="258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Reportable Segments</w:t>
            </w:r>
          </w:p>
        </w:tc>
        <w:tc>
          <w:tcPr>
            <w:tcW w:w="276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20"/>
                <w:szCs w:val="20"/>
                <w:color w:val="auto"/>
                <w:w w:val="94"/>
              </w:rPr>
              <w:t>Mid-America Group</w:t>
            </w:r>
          </w:p>
        </w:tc>
        <w:tc>
          <w:tcPr>
            <w:tcW w:w="20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87"/>
              </w:rPr>
              <w:t>Southeast Group</w:t>
            </w: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r>
      <w:tr>
        <w:trPr>
          <w:trHeight w:val="206"/>
        </w:trPr>
        <w:tc>
          <w:tcPr>
            <w:tcW w:w="242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Operating Locations</w:t>
            </w:r>
          </w:p>
        </w:tc>
        <w:tc>
          <w:tcPr>
            <w:tcW w:w="160" w:type="dxa"/>
            <w:vAlign w:val="bottom"/>
          </w:tcPr>
          <w:p>
            <w:pPr>
              <w:spacing w:after="0"/>
              <w:rPr>
                <w:sz w:val="17"/>
                <w:szCs w:val="17"/>
                <w:color w:val="auto"/>
              </w:rPr>
            </w:pPr>
          </w:p>
        </w:tc>
        <w:tc>
          <w:tcPr>
            <w:tcW w:w="26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Indiana, Iowa,</w:t>
            </w:r>
          </w:p>
        </w:tc>
        <w:tc>
          <w:tcPr>
            <w:tcW w:w="160" w:type="dxa"/>
            <w:vAlign w:val="bottom"/>
          </w:tcPr>
          <w:p>
            <w:pPr>
              <w:spacing w:after="0"/>
              <w:rPr>
                <w:sz w:val="17"/>
                <w:szCs w:val="17"/>
                <w:color w:val="auto"/>
              </w:rPr>
            </w:pPr>
          </w:p>
        </w:tc>
        <w:tc>
          <w:tcPr>
            <w:tcW w:w="19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Alabama, Florida,</w:t>
            </w:r>
          </w:p>
        </w:tc>
        <w:tc>
          <w:tcPr>
            <w:tcW w:w="140" w:type="dxa"/>
            <w:vAlign w:val="bottom"/>
          </w:tcPr>
          <w:p>
            <w:pPr>
              <w:spacing w:after="0"/>
              <w:rPr>
                <w:sz w:val="17"/>
                <w:szCs w:val="17"/>
                <w:color w:val="auto"/>
              </w:rPr>
            </w:pPr>
          </w:p>
        </w:tc>
        <w:tc>
          <w:tcPr>
            <w:tcW w:w="30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Arkansas, Colorado, southern Kansas,</w:t>
            </w:r>
          </w:p>
        </w:tc>
      </w:tr>
      <w:tr>
        <w:trPr>
          <w:trHeight w:val="230"/>
        </w:trPr>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60" w:type="dxa"/>
            <w:vAlign w:val="bottom"/>
            <w:gridSpan w:val="2"/>
          </w:tcPr>
          <w:p>
            <w:pPr>
              <w:jc w:val="center"/>
              <w:ind w:right="160"/>
              <w:spacing w:after="0"/>
              <w:rPr>
                <w:sz w:val="20"/>
                <w:szCs w:val="20"/>
                <w:color w:val="auto"/>
              </w:rPr>
            </w:pPr>
            <w:r>
              <w:rPr>
                <w:rFonts w:ascii="Arial" w:cs="Arial" w:eastAsia="Arial" w:hAnsi="Arial"/>
                <w:sz w:val="20"/>
                <w:szCs w:val="20"/>
                <w:color w:val="auto"/>
                <w:w w:val="89"/>
              </w:rPr>
              <w:t>northern Kansas, Kentucky,</w:t>
            </w:r>
          </w:p>
        </w:tc>
        <w:tc>
          <w:tcPr>
            <w:tcW w:w="2040" w:type="dxa"/>
            <w:vAlign w:val="bottom"/>
            <w:gridSpan w:val="2"/>
          </w:tcPr>
          <w:p>
            <w:pPr>
              <w:ind w:left="140"/>
              <w:spacing w:after="0"/>
              <w:rPr>
                <w:sz w:val="20"/>
                <w:szCs w:val="20"/>
                <w:color w:val="auto"/>
              </w:rPr>
            </w:pPr>
            <w:r>
              <w:rPr>
                <w:rFonts w:ascii="Arial" w:cs="Arial" w:eastAsia="Arial" w:hAnsi="Arial"/>
                <w:sz w:val="20"/>
                <w:szCs w:val="20"/>
                <w:color w:val="auto"/>
              </w:rPr>
              <w:t>Georgia, Tennessee,</w:t>
            </w:r>
          </w:p>
        </w:tc>
        <w:tc>
          <w:tcPr>
            <w:tcW w:w="3080" w:type="dxa"/>
            <w:vAlign w:val="bottom"/>
          </w:tcPr>
          <w:p>
            <w:pPr>
              <w:jc w:val="center"/>
              <w:spacing w:after="0"/>
              <w:rPr>
                <w:sz w:val="20"/>
                <w:szCs w:val="20"/>
                <w:color w:val="auto"/>
              </w:rPr>
            </w:pPr>
            <w:r>
              <w:rPr>
                <w:rFonts w:ascii="Arial" w:cs="Arial" w:eastAsia="Arial" w:hAnsi="Arial"/>
                <w:sz w:val="20"/>
                <w:szCs w:val="20"/>
                <w:color w:val="auto"/>
                <w:w w:val="89"/>
              </w:rPr>
              <w:t>Louisiana, western Nebraska, Nevada,</w:t>
            </w:r>
          </w:p>
        </w:tc>
      </w:tr>
      <w:tr>
        <w:trPr>
          <w:trHeight w:val="230"/>
        </w:trPr>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60" w:type="dxa"/>
            <w:vAlign w:val="bottom"/>
            <w:gridSpan w:val="2"/>
          </w:tcPr>
          <w:p>
            <w:pPr>
              <w:jc w:val="center"/>
              <w:ind w:right="160"/>
              <w:spacing w:after="0"/>
              <w:rPr>
                <w:sz w:val="20"/>
                <w:szCs w:val="20"/>
                <w:color w:val="auto"/>
              </w:rPr>
            </w:pPr>
            <w:r>
              <w:rPr>
                <w:rFonts w:ascii="Arial" w:cs="Arial" w:eastAsia="Arial" w:hAnsi="Arial"/>
                <w:sz w:val="20"/>
                <w:szCs w:val="20"/>
                <w:color w:val="auto"/>
                <w:w w:val="92"/>
              </w:rPr>
              <w:t>Maryland, Minnesota, Missouri,</w:t>
            </w:r>
          </w:p>
        </w:tc>
        <w:tc>
          <w:tcPr>
            <w:tcW w:w="2040" w:type="dxa"/>
            <w:vAlign w:val="bottom"/>
            <w:gridSpan w:val="2"/>
          </w:tcPr>
          <w:p>
            <w:pPr>
              <w:jc w:val="center"/>
              <w:ind w:right="120"/>
              <w:spacing w:after="0"/>
              <w:rPr>
                <w:sz w:val="20"/>
                <w:szCs w:val="20"/>
                <w:color w:val="auto"/>
              </w:rPr>
            </w:pPr>
            <w:r>
              <w:rPr>
                <w:rFonts w:ascii="Arial" w:cs="Arial" w:eastAsia="Arial" w:hAnsi="Arial"/>
                <w:sz w:val="20"/>
                <w:szCs w:val="20"/>
                <w:color w:val="auto"/>
                <w:w w:val="88"/>
              </w:rPr>
              <w:t>Nova Scotia and the</w:t>
            </w:r>
          </w:p>
        </w:tc>
        <w:tc>
          <w:tcPr>
            <w:tcW w:w="3080" w:type="dxa"/>
            <w:vAlign w:val="bottom"/>
          </w:tcPr>
          <w:p>
            <w:pPr>
              <w:jc w:val="center"/>
              <w:spacing w:after="0"/>
              <w:rPr>
                <w:sz w:val="20"/>
                <w:szCs w:val="20"/>
                <w:color w:val="auto"/>
              </w:rPr>
            </w:pPr>
            <w:r>
              <w:rPr>
                <w:rFonts w:ascii="Arial" w:cs="Arial" w:eastAsia="Arial" w:hAnsi="Arial"/>
                <w:sz w:val="20"/>
                <w:szCs w:val="20"/>
                <w:color w:val="auto"/>
                <w:w w:val="88"/>
              </w:rPr>
              <w:t>Oklahoma, Texas, Utah</w:t>
            </w:r>
          </w:p>
        </w:tc>
      </w:tr>
      <w:tr>
        <w:trPr>
          <w:trHeight w:val="230"/>
        </w:trPr>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60" w:type="dxa"/>
            <w:vAlign w:val="bottom"/>
            <w:gridSpan w:val="2"/>
          </w:tcPr>
          <w:p>
            <w:pPr>
              <w:jc w:val="center"/>
              <w:ind w:right="160"/>
              <w:spacing w:after="0"/>
              <w:rPr>
                <w:sz w:val="20"/>
                <w:szCs w:val="20"/>
                <w:color w:val="auto"/>
              </w:rPr>
            </w:pPr>
            <w:r>
              <w:rPr>
                <w:rFonts w:ascii="Arial" w:cs="Arial" w:eastAsia="Arial" w:hAnsi="Arial"/>
                <w:sz w:val="20"/>
                <w:szCs w:val="20"/>
                <w:color w:val="auto"/>
                <w:w w:val="88"/>
              </w:rPr>
              <w:t>eastern Nebraska, North</w:t>
            </w:r>
          </w:p>
        </w:tc>
        <w:tc>
          <w:tcPr>
            <w:tcW w:w="2040" w:type="dxa"/>
            <w:vAlign w:val="bottom"/>
            <w:gridSpan w:val="2"/>
          </w:tcPr>
          <w:p>
            <w:pPr>
              <w:jc w:val="center"/>
              <w:ind w:right="120"/>
              <w:spacing w:after="0"/>
              <w:rPr>
                <w:sz w:val="20"/>
                <w:szCs w:val="20"/>
                <w:color w:val="auto"/>
              </w:rPr>
            </w:pPr>
            <w:r>
              <w:rPr>
                <w:rFonts w:ascii="Arial" w:cs="Arial" w:eastAsia="Arial" w:hAnsi="Arial"/>
                <w:sz w:val="20"/>
                <w:szCs w:val="20"/>
                <w:color w:val="auto"/>
                <w:w w:val="85"/>
              </w:rPr>
              <w:t>Bahamas</w:t>
            </w:r>
          </w:p>
        </w:tc>
        <w:tc>
          <w:tcPr>
            <w:tcW w:w="3080" w:type="dxa"/>
            <w:vAlign w:val="bottom"/>
          </w:tcPr>
          <w:p>
            <w:pPr>
              <w:jc w:val="center"/>
              <w:spacing w:after="0"/>
              <w:rPr>
                <w:sz w:val="20"/>
                <w:szCs w:val="20"/>
                <w:color w:val="auto"/>
              </w:rPr>
            </w:pPr>
            <w:r>
              <w:rPr>
                <w:rFonts w:ascii="Arial" w:cs="Arial" w:eastAsia="Arial" w:hAnsi="Arial"/>
                <w:sz w:val="20"/>
                <w:szCs w:val="20"/>
                <w:color w:val="auto"/>
                <w:w w:val="89"/>
              </w:rPr>
              <w:t>and Wyoming</w:t>
            </w:r>
          </w:p>
        </w:tc>
      </w:tr>
      <w:tr>
        <w:trPr>
          <w:trHeight w:val="230"/>
        </w:trPr>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20"/>
                <w:szCs w:val="20"/>
                <w:color w:val="auto"/>
                <w:w w:val="91"/>
              </w:rPr>
              <w:t>Carolina, Ohio,</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30"/>
        </w:trPr>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60" w:type="dxa"/>
            <w:vAlign w:val="bottom"/>
            <w:gridSpan w:val="2"/>
          </w:tcPr>
          <w:p>
            <w:pPr>
              <w:jc w:val="center"/>
              <w:ind w:right="160"/>
              <w:spacing w:after="0"/>
              <w:rPr>
                <w:sz w:val="20"/>
                <w:szCs w:val="20"/>
                <w:color w:val="auto"/>
              </w:rPr>
            </w:pPr>
            <w:r>
              <w:rPr>
                <w:rFonts w:ascii="Arial" w:cs="Arial" w:eastAsia="Arial" w:hAnsi="Arial"/>
                <w:sz w:val="20"/>
                <w:szCs w:val="20"/>
                <w:color w:val="auto"/>
                <w:w w:val="89"/>
              </w:rPr>
              <w:t>South Carolina,</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30"/>
        </w:trPr>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20"/>
                <w:szCs w:val="20"/>
                <w:color w:val="auto"/>
                <w:w w:val="90"/>
              </w:rPr>
              <w:t>Virginia, Washington and</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50"/>
        </w:trPr>
        <w:tc>
          <w:tcPr>
            <w:tcW w:w="2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60" w:type="dxa"/>
            <w:vAlign w:val="bottom"/>
            <w:gridSpan w:val="2"/>
          </w:tcPr>
          <w:p>
            <w:pPr>
              <w:jc w:val="center"/>
              <w:ind w:right="160"/>
              <w:spacing w:after="0"/>
              <w:rPr>
                <w:sz w:val="20"/>
                <w:szCs w:val="20"/>
                <w:color w:val="auto"/>
              </w:rPr>
            </w:pPr>
            <w:r>
              <w:rPr>
                <w:rFonts w:ascii="Arial" w:cs="Arial" w:eastAsia="Arial" w:hAnsi="Arial"/>
                <w:sz w:val="20"/>
                <w:szCs w:val="20"/>
                <w:color w:val="auto"/>
                <w:w w:val="91"/>
              </w:rPr>
              <w:t>West Virginia</w:t>
            </w:r>
          </w:p>
        </w:tc>
        <w:tc>
          <w:tcPr>
            <w:tcW w:w="1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80" w:type="dxa"/>
            <w:vAlign w:val="bottom"/>
          </w:tcPr>
          <w:p>
            <w:pPr>
              <w:spacing w:after="0"/>
              <w:rPr>
                <w:sz w:val="21"/>
                <w:szCs w:val="21"/>
                <w:color w:val="auto"/>
              </w:rPr>
            </w:pPr>
          </w:p>
        </w:tc>
      </w:tr>
      <w:tr>
        <w:trPr>
          <w:trHeight w:val="438"/>
        </w:trPr>
        <w:tc>
          <w:tcPr>
            <w:tcW w:w="2580" w:type="dxa"/>
            <w:vAlign w:val="bottom"/>
            <w:gridSpan w:val="2"/>
          </w:tcPr>
          <w:p>
            <w:pPr>
              <w:spacing w:after="0"/>
              <w:rPr>
                <w:sz w:val="20"/>
                <w:szCs w:val="20"/>
                <w:color w:val="auto"/>
              </w:rPr>
            </w:pPr>
            <w:r>
              <w:rPr>
                <w:rFonts w:ascii="Arial" w:cs="Arial" w:eastAsia="Arial" w:hAnsi="Arial"/>
                <w:sz w:val="20"/>
                <w:szCs w:val="20"/>
                <w:color w:val="auto"/>
              </w:rPr>
              <w:t>Product Lines</w:t>
            </w:r>
          </w:p>
        </w:tc>
        <w:tc>
          <w:tcPr>
            <w:tcW w:w="2760" w:type="dxa"/>
            <w:vAlign w:val="bottom"/>
            <w:gridSpan w:val="2"/>
          </w:tcPr>
          <w:p>
            <w:pPr>
              <w:jc w:val="center"/>
              <w:ind w:right="140"/>
              <w:spacing w:after="0"/>
              <w:rPr>
                <w:sz w:val="20"/>
                <w:szCs w:val="20"/>
                <w:color w:val="auto"/>
              </w:rPr>
            </w:pPr>
            <w:r>
              <w:rPr>
                <w:rFonts w:ascii="Arial" w:cs="Arial" w:eastAsia="Arial" w:hAnsi="Arial"/>
                <w:sz w:val="20"/>
                <w:szCs w:val="20"/>
                <w:color w:val="auto"/>
                <w:w w:val="87"/>
              </w:rPr>
              <w:t>Aggregates</w:t>
            </w:r>
          </w:p>
        </w:tc>
        <w:tc>
          <w:tcPr>
            <w:tcW w:w="2040" w:type="dxa"/>
            <w:vAlign w:val="bottom"/>
            <w:gridSpan w:val="2"/>
          </w:tcPr>
          <w:p>
            <w:pPr>
              <w:jc w:val="center"/>
              <w:ind w:right="140"/>
              <w:spacing w:after="0"/>
              <w:rPr>
                <w:sz w:val="20"/>
                <w:szCs w:val="20"/>
                <w:color w:val="auto"/>
              </w:rPr>
            </w:pPr>
            <w:r>
              <w:rPr>
                <w:rFonts w:ascii="Arial" w:cs="Arial" w:eastAsia="Arial" w:hAnsi="Arial"/>
                <w:sz w:val="20"/>
                <w:szCs w:val="20"/>
                <w:color w:val="auto"/>
                <w:w w:val="87"/>
              </w:rPr>
              <w:t>Aggregates</w:t>
            </w:r>
          </w:p>
        </w:tc>
        <w:tc>
          <w:tcPr>
            <w:tcW w:w="3080" w:type="dxa"/>
            <w:vAlign w:val="bottom"/>
          </w:tcPr>
          <w:p>
            <w:pPr>
              <w:jc w:val="center"/>
              <w:spacing w:after="0"/>
              <w:rPr>
                <w:sz w:val="20"/>
                <w:szCs w:val="20"/>
                <w:color w:val="auto"/>
              </w:rPr>
            </w:pPr>
            <w:r>
              <w:rPr>
                <w:rFonts w:ascii="Arial" w:cs="Arial" w:eastAsia="Arial" w:hAnsi="Arial"/>
                <w:sz w:val="20"/>
                <w:szCs w:val="20"/>
                <w:color w:val="auto"/>
                <w:w w:val="88"/>
              </w:rPr>
              <w:t>Aggregates, cement, ready mixed</w:t>
            </w:r>
          </w:p>
        </w:tc>
      </w:tr>
      <w:tr>
        <w:trPr>
          <w:trHeight w:val="250"/>
        </w:trPr>
        <w:tc>
          <w:tcPr>
            <w:tcW w:w="2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80" w:type="dxa"/>
            <w:vAlign w:val="bottom"/>
          </w:tcPr>
          <w:p>
            <w:pPr>
              <w:jc w:val="center"/>
              <w:spacing w:after="0"/>
              <w:rPr>
                <w:sz w:val="20"/>
                <w:szCs w:val="20"/>
                <w:color w:val="auto"/>
              </w:rPr>
            </w:pPr>
            <w:r>
              <w:rPr>
                <w:rFonts w:ascii="Arial" w:cs="Arial" w:eastAsia="Arial" w:hAnsi="Arial"/>
                <w:sz w:val="20"/>
                <w:szCs w:val="20"/>
                <w:color w:val="auto"/>
                <w:w w:val="87"/>
              </w:rPr>
              <w:t>concrete and asphalt and paving</w:t>
            </w:r>
          </w:p>
        </w:tc>
      </w:tr>
      <w:tr>
        <w:trPr>
          <w:trHeight w:val="438"/>
        </w:trPr>
        <w:tc>
          <w:tcPr>
            <w:tcW w:w="2580" w:type="dxa"/>
            <w:vAlign w:val="bottom"/>
            <w:gridSpan w:val="2"/>
          </w:tcPr>
          <w:p>
            <w:pPr>
              <w:spacing w:after="0"/>
              <w:rPr>
                <w:sz w:val="20"/>
                <w:szCs w:val="20"/>
                <w:color w:val="auto"/>
              </w:rPr>
            </w:pPr>
            <w:r>
              <w:rPr>
                <w:rFonts w:ascii="Arial" w:cs="Arial" w:eastAsia="Arial" w:hAnsi="Arial"/>
                <w:sz w:val="20"/>
                <w:szCs w:val="20"/>
                <w:color w:val="auto"/>
              </w:rPr>
              <w:t>Products</w:t>
            </w:r>
          </w:p>
        </w:tc>
        <w:tc>
          <w:tcPr>
            <w:tcW w:w="2760" w:type="dxa"/>
            <w:vAlign w:val="bottom"/>
            <w:gridSpan w:val="2"/>
          </w:tcPr>
          <w:p>
            <w:pPr>
              <w:jc w:val="center"/>
              <w:ind w:right="160"/>
              <w:spacing w:after="0"/>
              <w:rPr>
                <w:sz w:val="20"/>
                <w:szCs w:val="20"/>
                <w:color w:val="auto"/>
              </w:rPr>
            </w:pPr>
            <w:r>
              <w:rPr>
                <w:rFonts w:ascii="Arial" w:cs="Arial" w:eastAsia="Arial" w:hAnsi="Arial"/>
                <w:sz w:val="20"/>
                <w:szCs w:val="20"/>
                <w:color w:val="auto"/>
                <w:w w:val="87"/>
              </w:rPr>
              <w:t>Crushed stone, sand and gravel</w:t>
            </w:r>
          </w:p>
        </w:tc>
        <w:tc>
          <w:tcPr>
            <w:tcW w:w="2040" w:type="dxa"/>
            <w:vAlign w:val="bottom"/>
            <w:gridSpan w:val="2"/>
          </w:tcPr>
          <w:p>
            <w:pPr>
              <w:jc w:val="center"/>
              <w:ind w:right="140"/>
              <w:spacing w:after="0"/>
              <w:rPr>
                <w:sz w:val="20"/>
                <w:szCs w:val="20"/>
                <w:color w:val="auto"/>
              </w:rPr>
            </w:pPr>
            <w:r>
              <w:rPr>
                <w:rFonts w:ascii="Arial" w:cs="Arial" w:eastAsia="Arial" w:hAnsi="Arial"/>
                <w:sz w:val="20"/>
                <w:szCs w:val="20"/>
                <w:color w:val="auto"/>
                <w:w w:val="85"/>
              </w:rPr>
              <w:t>Crushed stone, sand</w:t>
            </w:r>
          </w:p>
        </w:tc>
        <w:tc>
          <w:tcPr>
            <w:tcW w:w="3080" w:type="dxa"/>
            <w:vAlign w:val="bottom"/>
          </w:tcPr>
          <w:p>
            <w:pPr>
              <w:jc w:val="center"/>
              <w:spacing w:after="0"/>
              <w:rPr>
                <w:sz w:val="20"/>
                <w:szCs w:val="20"/>
                <w:color w:val="auto"/>
              </w:rPr>
            </w:pPr>
            <w:r>
              <w:rPr>
                <w:rFonts w:ascii="Arial" w:cs="Arial" w:eastAsia="Arial" w:hAnsi="Arial"/>
                <w:sz w:val="20"/>
                <w:szCs w:val="20"/>
                <w:color w:val="auto"/>
                <w:w w:val="87"/>
              </w:rPr>
              <w:t>Crushed stone, sand and gravel;</w:t>
            </w:r>
          </w:p>
        </w:tc>
      </w:tr>
      <w:tr>
        <w:trPr>
          <w:trHeight w:val="230"/>
        </w:trPr>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2"/>
          </w:tcPr>
          <w:p>
            <w:pPr>
              <w:jc w:val="center"/>
              <w:ind w:right="140"/>
              <w:spacing w:after="0"/>
              <w:rPr>
                <w:sz w:val="20"/>
                <w:szCs w:val="20"/>
                <w:color w:val="auto"/>
              </w:rPr>
            </w:pPr>
            <w:r>
              <w:rPr>
                <w:rFonts w:ascii="Arial" w:cs="Arial" w:eastAsia="Arial" w:hAnsi="Arial"/>
                <w:sz w:val="20"/>
                <w:szCs w:val="20"/>
                <w:color w:val="auto"/>
                <w:w w:val="87"/>
              </w:rPr>
              <w:t>and gravel</w:t>
            </w:r>
          </w:p>
        </w:tc>
        <w:tc>
          <w:tcPr>
            <w:tcW w:w="3080" w:type="dxa"/>
            <w:vAlign w:val="bottom"/>
          </w:tcPr>
          <w:p>
            <w:pPr>
              <w:jc w:val="center"/>
              <w:spacing w:after="0"/>
              <w:rPr>
                <w:sz w:val="20"/>
                <w:szCs w:val="20"/>
                <w:color w:val="auto"/>
              </w:rPr>
            </w:pPr>
            <w:r>
              <w:rPr>
                <w:rFonts w:ascii="Arial" w:cs="Arial" w:eastAsia="Arial" w:hAnsi="Arial"/>
                <w:sz w:val="20"/>
                <w:szCs w:val="20"/>
                <w:color w:val="auto"/>
                <w:w w:val="88"/>
              </w:rPr>
              <w:t>Portland and specialty cements; ready</w:t>
            </w:r>
          </w:p>
        </w:tc>
      </w:tr>
      <w:tr>
        <w:trPr>
          <w:trHeight w:val="230"/>
        </w:trPr>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80" w:type="dxa"/>
            <w:vAlign w:val="bottom"/>
          </w:tcPr>
          <w:p>
            <w:pPr>
              <w:jc w:val="center"/>
              <w:spacing w:after="0"/>
              <w:rPr>
                <w:sz w:val="20"/>
                <w:szCs w:val="20"/>
                <w:color w:val="auto"/>
              </w:rPr>
            </w:pPr>
            <w:r>
              <w:rPr>
                <w:rFonts w:ascii="Arial" w:cs="Arial" w:eastAsia="Arial" w:hAnsi="Arial"/>
                <w:sz w:val="20"/>
                <w:szCs w:val="20"/>
                <w:color w:val="auto"/>
                <w:w w:val="88"/>
              </w:rPr>
              <w:t>mixed concrete and asphalt and</w:t>
            </w:r>
          </w:p>
        </w:tc>
      </w:tr>
      <w:tr>
        <w:trPr>
          <w:trHeight w:val="250"/>
        </w:trPr>
        <w:tc>
          <w:tcPr>
            <w:tcW w:w="2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80" w:type="dxa"/>
            <w:vAlign w:val="bottom"/>
          </w:tcPr>
          <w:p>
            <w:pPr>
              <w:jc w:val="center"/>
              <w:spacing w:after="0"/>
              <w:rPr>
                <w:sz w:val="20"/>
                <w:szCs w:val="20"/>
                <w:color w:val="auto"/>
              </w:rPr>
            </w:pPr>
            <w:r>
              <w:rPr>
                <w:rFonts w:ascii="Arial" w:cs="Arial" w:eastAsia="Arial" w:hAnsi="Arial"/>
                <w:sz w:val="20"/>
                <w:szCs w:val="20"/>
                <w:color w:val="auto"/>
                <w:w w:val="91"/>
              </w:rPr>
              <w:t>paving</w:t>
            </w:r>
          </w:p>
        </w:tc>
      </w:tr>
    </w:tbl>
    <w:p>
      <w:pPr>
        <w:spacing w:after="0" w:line="195"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The Corporation has a Magnesia Specialties segment with manufacturing facilities in Manistee, Michigan, and Woodville, Ohio. The Magnesia Specialties segment produces magnesia-based chemicals products used in industrial, agricultural and environmental applications and dolomitic lime sold primarily to customers in the steel industry.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7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right="7400" w:hanging="372"/>
        <w:spacing w:after="0" w:line="355" w:lineRule="auto"/>
        <w:tabs>
          <w:tab w:leader="none" w:pos="378"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 Basis of Presentation</w:t>
      </w:r>
    </w:p>
    <w:p>
      <w:pPr>
        <w:jc w:val="both"/>
        <w:ind w:left="380"/>
        <w:spacing w:after="0" w:line="270" w:lineRule="auto"/>
        <w:rPr>
          <w:rFonts w:ascii="Arial" w:cs="Arial" w:eastAsia="Arial" w:hAnsi="Arial"/>
          <w:sz w:val="20"/>
          <w:szCs w:val="20"/>
          <w:b w:val="1"/>
          <w:bCs w:val="1"/>
          <w:color w:val="auto"/>
        </w:rPr>
      </w:pPr>
      <w:r>
        <w:rPr>
          <w:rFonts w:ascii="Arial" w:cs="Arial" w:eastAsia="Arial" w:hAnsi="Arial"/>
          <w:sz w:val="18"/>
          <w:szCs w:val="18"/>
          <w:color w:val="auto"/>
        </w:rPr>
        <w:t>The accompanying unaudited consolidated financial statements of the Corporation have been prepared in accordance with generally accepted accounting principles for interim financial information and with the instructions to the Quarterly Report on Form 10-Q and in Article 10 of Regulation S-X. Other than the adoption of two new accounting standards described below, the Corporation has continued to follow the accounting policies set forth in the audited consolidated financial statements and related notes thereto included in the Corporation’s Annual Report on Form 10-K for the year ended December 31, 2016.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three months ended March 31, 2017 are not indicative of the results expected for other interim periods or the full year. The consolidated balance sheet at December 31, 2016 has been derived from the audited consolidated financial statements at that date but does not include all of the information and notes required by generally accepted accounting principles for complete financial statements. These consolidated financial statements should be read in conjunction with the audited consolidated financial statements and notes thereto included in the Corporation’s Annual Report on Form 10-K for the year ended December 31, 2016.</w:t>
      </w:r>
    </w:p>
    <w:p>
      <w:pPr>
        <w:spacing w:after="0" w:line="170" w:lineRule="exact"/>
        <w:rPr>
          <w:rFonts w:ascii="Arial" w:cs="Arial" w:eastAsia="Arial" w:hAnsi="Arial"/>
          <w:sz w:val="20"/>
          <w:szCs w:val="20"/>
          <w:b w:val="1"/>
          <w:bCs w:val="1"/>
          <w:color w:val="auto"/>
        </w:rPr>
      </w:pPr>
    </w:p>
    <w:p>
      <w:pPr>
        <w:ind w:left="380" w:right="8180"/>
        <w:spacing w:after="0" w:line="444" w:lineRule="auto"/>
        <w:rPr>
          <w:rFonts w:ascii="Arial" w:cs="Arial" w:eastAsia="Arial" w:hAnsi="Arial"/>
          <w:sz w:val="20"/>
          <w:szCs w:val="20"/>
          <w:b w:val="1"/>
          <w:bCs w:val="1"/>
          <w:color w:val="auto"/>
        </w:rPr>
      </w:pPr>
      <w:r>
        <w:rPr>
          <w:rFonts w:ascii="Arial" w:cs="Arial" w:eastAsia="Arial" w:hAnsi="Arial"/>
          <w:sz w:val="16"/>
          <w:szCs w:val="16"/>
          <w:b w:val="1"/>
          <w:bCs w:val="1"/>
          <w:color w:val="auto"/>
        </w:rPr>
        <w:t xml:space="preserve">New Accounting Pronouncements </w:t>
      </w:r>
      <w:r>
        <w:rPr>
          <w:rFonts w:ascii="Arial" w:cs="Arial" w:eastAsia="Arial" w:hAnsi="Arial"/>
          <w:sz w:val="16"/>
          <w:szCs w:val="16"/>
          <w:i w:val="1"/>
          <w:iCs w:val="1"/>
          <w:color w:val="auto"/>
        </w:rPr>
        <w:t>Share-Based Payment Accounting</w:t>
      </w:r>
    </w:p>
    <w:p>
      <w:pPr>
        <w:jc w:val="both"/>
        <w:ind w:left="380"/>
        <w:spacing w:after="0" w:line="271" w:lineRule="auto"/>
        <w:rPr>
          <w:rFonts w:ascii="Arial" w:cs="Arial" w:eastAsia="Arial" w:hAnsi="Arial"/>
          <w:sz w:val="20"/>
          <w:szCs w:val="20"/>
          <w:b w:val="1"/>
          <w:bCs w:val="1"/>
          <w:color w:val="auto"/>
        </w:rPr>
      </w:pPr>
      <w:r>
        <w:rPr>
          <w:rFonts w:ascii="Arial" w:cs="Arial" w:eastAsia="Arial" w:hAnsi="Arial"/>
          <w:sz w:val="18"/>
          <w:szCs w:val="18"/>
          <w:color w:val="auto"/>
        </w:rPr>
        <w:t xml:space="preserve">Effective January 1, 2017, the Corporation adopted Accounting Standards Update (ASU) 2016-09,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(Topic 718): Improvements to Employee Share-Based Payment Accounting (ASU 2016-09)</w:t>
      </w:r>
      <w:r>
        <w:rPr>
          <w:rFonts w:ascii="Arial" w:cs="Arial" w:eastAsia="Arial" w:hAnsi="Arial"/>
          <w:sz w:val="18"/>
          <w:szCs w:val="18"/>
          <w:color w:val="auto"/>
        </w:rPr>
        <w:t>, which simplifies certain aspects of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and requirements for share-based transactions. ASU 2016-09 requires shares withheld for employees’ income tax obligations to be presented as a financing activity in the Statement of Cash Flows, with retrospective presentation. For the quarter ended March 31, 2016, the Corporation reclassified $26,000 from operating activities to financing activities on the Statement of Cash Flows. Additionally, excess tax benefits from stock-based compensation transactions are presented as an operating activity with retrospective presentation. The Corporation previously presented excess tax benefits from stock-based compensation transactions as a financing activity and, for the quarter ended March 31, 2016, reclassified $1,278,000 to operating activities on the Statement of Cash Flows. ASU 2016-09 also requires excess tax benefits and tax deficiencies to be recognized prospectively as income tax benefits or expense in the period awards vest or are exercised. For the three months ended March 31, 2017, the Corporation recognized excess tax benefits of $2,270,000.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right="7400" w:hanging="372"/>
        <w:spacing w:after="0" w:line="444" w:lineRule="auto"/>
        <w:tabs>
          <w:tab w:leader="none" w:pos="378"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(continued) New Accounting Pronouncements</w:t>
      </w:r>
    </w:p>
    <w:p>
      <w:pPr>
        <w:ind w:left="380"/>
        <w:spacing w:after="0"/>
        <w:rPr>
          <w:rFonts w:ascii="Arial" w:cs="Arial" w:eastAsia="Arial" w:hAnsi="Arial"/>
          <w:sz w:val="16"/>
          <w:szCs w:val="16"/>
          <w:b w:val="1"/>
          <w:bCs w:val="1"/>
          <w:color w:val="auto"/>
        </w:rPr>
      </w:pPr>
      <w:r>
        <w:rPr>
          <w:rFonts w:ascii="Arial" w:cs="Arial" w:eastAsia="Arial" w:hAnsi="Arial"/>
          <w:sz w:val="20"/>
          <w:szCs w:val="20"/>
          <w:i w:val="1"/>
          <w:iCs w:val="1"/>
          <w:color w:val="auto"/>
        </w:rPr>
        <w:t>Net Periodic Pension Cost and Net Periodic Postretirement Benefit Cost</w:t>
      </w:r>
    </w:p>
    <w:p>
      <w:pPr>
        <w:spacing w:after="0" w:line="107" w:lineRule="exact"/>
        <w:rPr>
          <w:rFonts w:ascii="Arial" w:cs="Arial" w:eastAsia="Arial" w:hAnsi="Arial"/>
          <w:sz w:val="16"/>
          <w:szCs w:val="16"/>
          <w:b w:val="1"/>
          <w:bCs w:val="1"/>
          <w:color w:val="auto"/>
        </w:rPr>
      </w:pPr>
    </w:p>
    <w:p>
      <w:pPr>
        <w:jc w:val="both"/>
        <w:ind w:left="380"/>
        <w:spacing w:after="0" w:line="272" w:lineRule="auto"/>
        <w:rPr>
          <w:rFonts w:ascii="Arial" w:cs="Arial" w:eastAsia="Arial" w:hAnsi="Arial"/>
          <w:sz w:val="16"/>
          <w:szCs w:val="16"/>
          <w:b w:val="1"/>
          <w:bCs w:val="1"/>
          <w:color w:val="auto"/>
        </w:rPr>
      </w:pPr>
      <w:r>
        <w:rPr>
          <w:rFonts w:ascii="Arial" w:cs="Arial" w:eastAsia="Arial" w:hAnsi="Arial"/>
          <w:sz w:val="18"/>
          <w:szCs w:val="18"/>
          <w:color w:val="auto"/>
        </w:rPr>
        <w:t xml:space="preserve">In March 2017, the Financial Accounting Standards Board (FASB) issued ASU 2017-07, </w:t>
      </w:r>
      <w:r>
        <w:rPr>
          <w:rFonts w:ascii="Arial" w:cs="Arial" w:eastAsia="Arial" w:hAnsi="Arial"/>
          <w:sz w:val="18"/>
          <w:szCs w:val="18"/>
          <w:i w:val="1"/>
          <w:iCs w:val="1"/>
          <w:color w:val="auto"/>
        </w:rPr>
        <w:t>Improving the Presentation of Net Periodic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Pension Cost and Net Periodic Postretirement Benefit Cost </w:t>
      </w:r>
      <w:r>
        <w:rPr>
          <w:rFonts w:ascii="Arial" w:cs="Arial" w:eastAsia="Arial" w:hAnsi="Arial"/>
          <w:sz w:val="18"/>
          <w:szCs w:val="18"/>
          <w:color w:val="auto"/>
        </w:rPr>
        <w:t>(ASU 2017-07)</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revises the accounting for periodic pension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expense. ASU 2017-07 requires net periodic benefit cost, with the exception of service cost, to be presented retrospectively as nonoperating expense. As permitted by ASU 2017-07, the Corporation used the pension and other postretirement benefit plan disclosures for the prior comparative periods as a practical expedient to estimate amounts for retrospective application. Service cost will remain a component of earnings from operations and represent the only cost of pension and postretirement expense eligible for capitalization, notably in the Corporation’s inventory standards. The Corporation early adopted this standard effective January 1, 2017. For the three months ended March 31, 2016, the Corporation reclassified $616,000, $1,512,000 and $126,000 from cost of sales; selling, general and administrative costs; and other operating income and expenses, respectively, to nonoperating expense.</w:t>
      </w:r>
    </w:p>
    <w:p>
      <w:pPr>
        <w:spacing w:after="0" w:line="165" w:lineRule="exact"/>
        <w:rPr>
          <w:rFonts w:ascii="Arial" w:cs="Arial" w:eastAsia="Arial" w:hAnsi="Arial"/>
          <w:sz w:val="16"/>
          <w:szCs w:val="16"/>
          <w:b w:val="1"/>
          <w:bCs w:val="1"/>
          <w:color w:val="auto"/>
        </w:rPr>
      </w:pPr>
    </w:p>
    <w:p>
      <w:pPr>
        <w:ind w:left="380" w:right="7860"/>
        <w:spacing w:after="0" w:line="444"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Pending Accounting Pronouncements </w:t>
      </w:r>
      <w:r>
        <w:rPr>
          <w:rFonts w:ascii="Arial" w:cs="Arial" w:eastAsia="Arial" w:hAnsi="Arial"/>
          <w:sz w:val="16"/>
          <w:szCs w:val="16"/>
          <w:i w:val="1"/>
          <w:iCs w:val="1"/>
          <w:color w:val="auto"/>
        </w:rPr>
        <w:t>Revenue Recognition Standard</w:t>
      </w:r>
    </w:p>
    <w:p>
      <w:pPr>
        <w:jc w:val="both"/>
        <w:ind w:left="380"/>
        <w:spacing w:after="0" w:line="244" w:lineRule="auto"/>
        <w:rPr>
          <w:rFonts w:ascii="Arial" w:cs="Arial" w:eastAsia="Arial" w:hAnsi="Arial"/>
          <w:sz w:val="16"/>
          <w:szCs w:val="16"/>
          <w:b w:val="1"/>
          <w:bCs w:val="1"/>
          <w:color w:val="auto"/>
        </w:rPr>
      </w:pPr>
      <w:r>
        <w:rPr>
          <w:rFonts w:ascii="Arial" w:cs="Arial" w:eastAsia="Arial" w:hAnsi="Arial"/>
          <w:sz w:val="20"/>
          <w:szCs w:val="20"/>
          <w:color w:val="auto"/>
        </w:rPr>
        <w:t>The FASB issued an accounting standards update that amends the accounting guidance on revenue recognition. The new standard intends to provide a more robust framework for addressing revenue issues, improve comparability of revenue recognition practices and improve disclosure requirements. The new standard is effective January 1, 2018 and can be applied on a full retrospective or modified retrospective approach. The Corporation has completed its initial assessment of the provisions of the new standard and, at this time, does not expect the impact to be material to its results of operations.</w:t>
      </w:r>
    </w:p>
    <w:p>
      <w:pPr>
        <w:spacing w:after="0" w:line="86"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20"/>
          <w:szCs w:val="20"/>
          <w:i w:val="1"/>
          <w:iCs w:val="1"/>
          <w:color w:val="auto"/>
        </w:rPr>
        <w:t>Lease Standard</w:t>
      </w:r>
    </w:p>
    <w:p>
      <w:pPr>
        <w:spacing w:after="0" w:line="107" w:lineRule="exact"/>
        <w:rPr>
          <w:rFonts w:ascii="Arial" w:cs="Arial" w:eastAsia="Arial" w:hAnsi="Arial"/>
          <w:sz w:val="16"/>
          <w:szCs w:val="16"/>
          <w:b w:val="1"/>
          <w:bCs w:val="1"/>
          <w:color w:val="auto"/>
        </w:rPr>
      </w:pPr>
    </w:p>
    <w:p>
      <w:pPr>
        <w:jc w:val="both"/>
        <w:ind w:left="380"/>
        <w:spacing w:after="0" w:line="276" w:lineRule="auto"/>
        <w:rPr>
          <w:rFonts w:ascii="Arial" w:cs="Arial" w:eastAsia="Arial" w:hAnsi="Arial"/>
          <w:sz w:val="16"/>
          <w:szCs w:val="16"/>
          <w:b w:val="1"/>
          <w:bCs w:val="1"/>
          <w:color w:val="auto"/>
        </w:rPr>
      </w:pPr>
      <w:r>
        <w:rPr>
          <w:rFonts w:ascii="Arial" w:cs="Arial" w:eastAsia="Arial" w:hAnsi="Arial"/>
          <w:sz w:val="18"/>
          <w:szCs w:val="18"/>
          <w:color w:val="auto"/>
        </w:rPr>
        <w:t xml:space="preserve">In February 2016, the FASB issued a new accounting standard, </w:t>
      </w:r>
      <w:r>
        <w:rPr>
          <w:rFonts w:ascii="Arial" w:cs="Arial" w:eastAsia="Arial" w:hAnsi="Arial"/>
          <w:sz w:val="18"/>
          <w:szCs w:val="18"/>
          <w:i w:val="1"/>
          <w:iCs w:val="1"/>
          <w:color w:val="auto"/>
        </w:rPr>
        <w:t>Accounting Codification Standard 842 – Leases,</w:t>
      </w:r>
      <w:r>
        <w:rPr>
          <w:rFonts w:ascii="Arial" w:cs="Arial" w:eastAsia="Arial" w:hAnsi="Arial"/>
          <w:sz w:val="18"/>
          <w:szCs w:val="18"/>
          <w:color w:val="auto"/>
        </w:rPr>
        <w:t xml:space="preserve"> intending to improve financial reporting of leases and to provide more transparency into off-balance sheet leasing obligations. The guidance requires virtually all leases, excluding mineral interest leases, to be recorded on the balance sheet and provides guidance on the recognition of lease expense and income. The new standard is effective January 1, 2019 and must be applied on a modified retrospective approach. The Corporation is currently assessing the impact of the updated standard on the Corporation’s financial statements. The Corporation believes the updated standard will have a material effect on its balance sheet but has not quantified the impact at this time.</w:t>
      </w:r>
    </w:p>
    <w:p>
      <w:pPr>
        <w:spacing w:after="0" w:line="159"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20"/>
          <w:szCs w:val="20"/>
          <w:b w:val="1"/>
          <w:bCs w:val="1"/>
          <w:color w:val="auto"/>
        </w:rPr>
        <w:t>Reclassifications</w:t>
      </w:r>
    </w:p>
    <w:p>
      <w:pPr>
        <w:spacing w:after="0" w:line="113" w:lineRule="exact"/>
        <w:rPr>
          <w:rFonts w:ascii="Arial" w:cs="Arial" w:eastAsia="Arial" w:hAnsi="Arial"/>
          <w:sz w:val="16"/>
          <w:szCs w:val="16"/>
          <w:b w:val="1"/>
          <w:bCs w:val="1"/>
          <w:color w:val="auto"/>
        </w:rPr>
      </w:pPr>
    </w:p>
    <w:p>
      <w:pPr>
        <w:ind w:left="380"/>
        <w:spacing w:after="0" w:line="260" w:lineRule="auto"/>
        <w:rPr>
          <w:rFonts w:ascii="Arial" w:cs="Arial" w:eastAsia="Arial" w:hAnsi="Arial"/>
          <w:sz w:val="16"/>
          <w:szCs w:val="16"/>
          <w:b w:val="1"/>
          <w:bCs w:val="1"/>
          <w:color w:val="auto"/>
        </w:rPr>
      </w:pPr>
      <w:r>
        <w:rPr>
          <w:rFonts w:ascii="Arial" w:cs="Arial" w:eastAsia="Arial" w:hAnsi="Arial"/>
          <w:sz w:val="20"/>
          <w:szCs w:val="20"/>
          <w:color w:val="auto"/>
        </w:rPr>
        <w:t>Prior-year information has been reclassified to conform to the presentation of the Corporation’s current reportable segments and for the adoption of the two accounting pronouncements aforementioned.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9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hanging="372"/>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7"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w:t>
      </w:r>
    </w:p>
    <w:p>
      <w:pPr>
        <w:spacing w:after="0" w:line="113"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Consolidated comprehensive earnings/loss and accumulated other comprehensive loss consist of consolidated net earnings or loss; adjustments for the funded status of pension and postretirement benefit plans; foreign currency translation adjustments; and the amortization of the value of terminated forward starting interest rate swap agreements into interest expense, and are presented in the Corporation’s consolidated statements of earnings and comprehensive earnings.</w:t>
      </w:r>
    </w:p>
    <w:p>
      <w:pPr>
        <w:spacing w:after="0" w:line="8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Comprehensive earnings attributable to Martin Marietta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80" w:type="dxa"/>
            <w:vAlign w:val="bottom"/>
            <w:gridSpan w:val="5"/>
          </w:tcPr>
          <w:p>
            <w:pPr>
              <w:jc w:val="center"/>
              <w:ind w:left="501"/>
              <w:spacing w:after="0"/>
              <w:rPr>
                <w:sz w:val="20"/>
                <w:szCs w:val="20"/>
                <w:color w:val="auto"/>
              </w:rPr>
            </w:pPr>
            <w:r>
              <w:rPr>
                <w:rFonts w:ascii="Arial" w:cs="Arial" w:eastAsia="Arial" w:hAnsi="Arial"/>
                <w:sz w:val="20"/>
                <w:szCs w:val="20"/>
                <w:color w:val="auto"/>
                <w:w w:val="89"/>
              </w:rPr>
              <w:t>Three Months Ended</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6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4"/>
          </w:tcPr>
          <w:p>
            <w:pPr>
              <w:jc w:val="center"/>
              <w:ind w:right="451"/>
              <w:spacing w:after="0"/>
              <w:rPr>
                <w:sz w:val="20"/>
                <w:szCs w:val="20"/>
                <w:color w:val="auto"/>
              </w:rPr>
            </w:pPr>
            <w:r>
              <w:rPr>
                <w:rFonts w:ascii="Arial" w:cs="Arial" w:eastAsia="Arial" w:hAnsi="Arial"/>
                <w:sz w:val="20"/>
                <w:szCs w:val="20"/>
                <w:color w:val="auto"/>
                <w:w w:val="92"/>
              </w:rPr>
              <w:t>March 31,</w:t>
            </w: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2017</w:t>
            </w: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2016</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80" w:type="dxa"/>
            <w:vAlign w:val="bottom"/>
            <w:gridSpan w:val="5"/>
          </w:tcPr>
          <w:p>
            <w:pPr>
              <w:jc w:val="center"/>
              <w:ind w:left="501"/>
              <w:spacing w:after="0"/>
              <w:rPr>
                <w:sz w:val="20"/>
                <w:szCs w:val="20"/>
                <w:color w:val="auto"/>
              </w:rPr>
            </w:pPr>
            <w:r>
              <w:rPr>
                <w:rFonts w:ascii="Arial" w:cs="Arial" w:eastAsia="Arial" w:hAnsi="Arial"/>
                <w:sz w:val="20"/>
                <w:szCs w:val="20"/>
                <w:i w:val="1"/>
                <w:iCs w:val="1"/>
                <w:color w:val="auto"/>
                <w:w w:val="91"/>
              </w:rPr>
              <w:t>(Dollars in Thousands)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620" w:type="dxa"/>
            <w:vAlign w:val="bottom"/>
          </w:tcPr>
          <w:p>
            <w:pPr>
              <w:spacing w:after="0"/>
              <w:rPr>
                <w:sz w:val="20"/>
                <w:szCs w:val="20"/>
                <w:color w:val="auto"/>
              </w:rPr>
            </w:pPr>
            <w:r>
              <w:rPr>
                <w:rFonts w:ascii="Arial" w:cs="Arial" w:eastAsia="Arial" w:hAnsi="Arial"/>
                <w:sz w:val="20"/>
                <w:szCs w:val="20"/>
                <w:color w:val="auto"/>
              </w:rPr>
              <w:t>Net earnings attributable to Martin Marietta Materials, Inc.</w:t>
            </w:r>
          </w:p>
        </w:tc>
        <w:tc>
          <w:tcPr>
            <w:tcW w:w="2080" w:type="dxa"/>
            <w:vAlign w:val="bottom"/>
            <w:gridSpan w:val="2"/>
          </w:tcPr>
          <w:p>
            <w:pPr>
              <w:jc w:val="right"/>
              <w:ind w:right="881"/>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42,334</w:t>
            </w:r>
          </w:p>
        </w:tc>
        <w:tc>
          <w:tcPr>
            <w:tcW w:w="300" w:type="dxa"/>
            <w:vAlign w:val="bottom"/>
          </w:tcPr>
          <w:p>
            <w:pPr>
              <w:spacing w:after="0"/>
              <w:rPr>
                <w:sz w:val="21"/>
                <w:szCs w:val="21"/>
                <w:color w:val="auto"/>
              </w:rPr>
            </w:pPr>
          </w:p>
        </w:tc>
        <w:tc>
          <w:tcPr>
            <w:tcW w:w="1080" w:type="dxa"/>
            <w:vAlign w:val="bottom"/>
            <w:gridSpan w:val="2"/>
          </w:tcPr>
          <w:p>
            <w:pPr>
              <w:jc w:val="right"/>
              <w:ind w:right="951"/>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44,994</w:t>
            </w:r>
          </w:p>
        </w:tc>
        <w:tc>
          <w:tcPr>
            <w:tcW w:w="100" w:type="dxa"/>
            <w:vAlign w:val="bottom"/>
          </w:tcPr>
          <w:p>
            <w:pPr>
              <w:spacing w:after="0"/>
              <w:rPr>
                <w:sz w:val="21"/>
                <w:szCs w:val="21"/>
                <w:color w:val="auto"/>
              </w:rPr>
            </w:pPr>
          </w:p>
        </w:tc>
      </w:tr>
      <w:tr>
        <w:trPr>
          <w:trHeight w:val="243"/>
        </w:trPr>
        <w:tc>
          <w:tcPr>
            <w:tcW w:w="6620" w:type="dxa"/>
            <w:vAlign w:val="bottom"/>
            <w:shd w:val="clear" w:color="auto" w:fill="CFF0FC"/>
          </w:tcPr>
          <w:p>
            <w:pPr>
              <w:spacing w:after="0"/>
              <w:rPr>
                <w:sz w:val="20"/>
                <w:szCs w:val="20"/>
                <w:color w:val="auto"/>
              </w:rPr>
            </w:pPr>
            <w:r>
              <w:rPr>
                <w:rFonts w:ascii="Arial" w:cs="Arial" w:eastAsia="Arial" w:hAnsi="Arial"/>
                <w:sz w:val="20"/>
                <w:szCs w:val="20"/>
                <w:color w:val="auto"/>
              </w:rPr>
              <w:t>Other comprehensive earnings, net of tax</w:t>
            </w:r>
          </w:p>
        </w:tc>
        <w:tc>
          <w:tcPr>
            <w:tcW w:w="1000" w:type="dxa"/>
            <w:vAlign w:val="bottom"/>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2,262</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1,789</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spacing w:after="0"/>
              <w:rPr>
                <w:sz w:val="20"/>
                <w:szCs w:val="20"/>
                <w:color w:val="auto"/>
              </w:rPr>
            </w:pPr>
            <w:r>
              <w:rPr>
                <w:rFonts w:ascii="Arial" w:cs="Arial" w:eastAsia="Arial" w:hAnsi="Arial"/>
                <w:sz w:val="20"/>
                <w:szCs w:val="20"/>
                <w:color w:val="auto"/>
              </w:rPr>
              <w:t>Comprehensive earnings attributable to Martin Marietta Materials, Inc.</w:t>
            </w:r>
          </w:p>
        </w:tc>
        <w:tc>
          <w:tcPr>
            <w:tcW w:w="1000" w:type="dxa"/>
            <w:vAlign w:val="bottom"/>
          </w:tcPr>
          <w:p>
            <w:pPr>
              <w:spacing w:after="0"/>
              <w:rPr>
                <w:sz w:val="20"/>
                <w:szCs w:val="20"/>
                <w:color w:val="auto"/>
              </w:rPr>
            </w:pPr>
          </w:p>
        </w:tc>
        <w:tc>
          <w:tcPr>
            <w:tcW w:w="1080" w:type="dxa"/>
            <w:vAlign w:val="bottom"/>
            <w:tcBorders>
              <w:bottom w:val="single" w:sz="8" w:color="auto"/>
            </w:tcBorders>
          </w:tcPr>
          <w:p>
            <w:pPr>
              <w:jc w:val="right"/>
              <w:ind w:right="881"/>
              <w:spacing w:after="0"/>
              <w:rPr>
                <w:sz w:val="20"/>
                <w:szCs w:val="20"/>
                <w:color w:val="auto"/>
              </w:rPr>
            </w:pPr>
            <w:r>
              <w:rPr>
                <w:rFonts w:ascii="Arial" w:cs="Arial" w:eastAsia="Arial" w:hAnsi="Arial"/>
                <w:sz w:val="20"/>
                <w:szCs w:val="2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44,596</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5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46,783</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380" w:right="640"/>
        <w:spacing w:after="0" w:line="260" w:lineRule="auto"/>
        <w:rPr>
          <w:sz w:val="20"/>
          <w:szCs w:val="20"/>
          <w:color w:val="auto"/>
        </w:rPr>
      </w:pPr>
      <w:r>
        <w:rPr>
          <w:rFonts w:ascii="Arial" w:cs="Arial" w:eastAsia="Arial" w:hAnsi="Arial"/>
          <w:sz w:val="20"/>
          <w:szCs w:val="20"/>
          <w:color w:val="auto"/>
        </w:rPr>
        <w:t>Comprehensive earnings attributable to noncontrolling interests, consisting of net earnings and adjustments for the funded status of pension and postretirement benefit plans, is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20" w:type="dxa"/>
            <w:vAlign w:val="bottom"/>
          </w:tcPr>
          <w:p>
            <w:pPr>
              <w:spacing w:after="0"/>
              <w:rPr>
                <w:sz w:val="21"/>
                <w:szCs w:val="21"/>
                <w:color w:val="auto"/>
              </w:rPr>
            </w:pPr>
          </w:p>
        </w:tc>
        <w:tc>
          <w:tcPr>
            <w:tcW w:w="3340" w:type="dxa"/>
            <w:vAlign w:val="bottom"/>
            <w:gridSpan w:val="5"/>
          </w:tcPr>
          <w:p>
            <w:pPr>
              <w:jc w:val="center"/>
              <w:ind w:left="341"/>
              <w:spacing w:after="0"/>
              <w:rPr>
                <w:sz w:val="20"/>
                <w:szCs w:val="20"/>
                <w:color w:val="auto"/>
              </w:rPr>
            </w:pPr>
            <w:r>
              <w:rPr>
                <w:rFonts w:ascii="Arial" w:cs="Arial" w:eastAsia="Arial" w:hAnsi="Arial"/>
                <w:sz w:val="20"/>
                <w:szCs w:val="20"/>
                <w:color w:val="auto"/>
                <w:w w:val="88"/>
              </w:rPr>
              <w:t>Three Months Ended</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752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jc w:val="center"/>
              <w:ind w:right="743"/>
              <w:spacing w:after="0"/>
              <w:rPr>
                <w:sz w:val="20"/>
                <w:szCs w:val="20"/>
                <w:color w:val="auto"/>
              </w:rPr>
            </w:pPr>
            <w:r>
              <w:rPr>
                <w:rFonts w:ascii="Arial" w:cs="Arial" w:eastAsia="Arial" w:hAnsi="Arial"/>
                <w:sz w:val="20"/>
                <w:szCs w:val="20"/>
                <w:color w:val="auto"/>
                <w:w w:val="92"/>
              </w:rPr>
              <w:t>March 31,</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520" w:type="dxa"/>
            <w:vAlign w:val="bottom"/>
          </w:tcPr>
          <w:p>
            <w:pPr>
              <w:spacing w:after="0"/>
              <w:rPr>
                <w:sz w:val="20"/>
                <w:szCs w:val="20"/>
                <w:color w:val="auto"/>
              </w:rPr>
            </w:pPr>
          </w:p>
        </w:tc>
        <w:tc>
          <w:tcPr>
            <w:tcW w:w="126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2017</w:t>
            </w:r>
          </w:p>
        </w:tc>
        <w:tc>
          <w:tcPr>
            <w:tcW w:w="4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20"/>
                <w:szCs w:val="20"/>
                <w:color w:val="auto"/>
              </w:rPr>
              <w:t>2016</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7520" w:type="dxa"/>
            <w:vAlign w:val="bottom"/>
          </w:tcPr>
          <w:p>
            <w:pPr>
              <w:spacing w:after="0"/>
              <w:rPr>
                <w:sz w:val="20"/>
                <w:szCs w:val="20"/>
                <w:color w:val="auto"/>
              </w:rPr>
            </w:pPr>
          </w:p>
        </w:tc>
        <w:tc>
          <w:tcPr>
            <w:tcW w:w="3340" w:type="dxa"/>
            <w:vAlign w:val="bottom"/>
            <w:gridSpan w:val="5"/>
          </w:tcPr>
          <w:p>
            <w:pPr>
              <w:jc w:val="center"/>
              <w:ind w:left="341"/>
              <w:spacing w:after="0"/>
              <w:rPr>
                <w:sz w:val="20"/>
                <w:szCs w:val="20"/>
                <w:color w:val="auto"/>
              </w:rPr>
            </w:pPr>
            <w:r>
              <w:rPr>
                <w:rFonts w:ascii="Arial" w:cs="Arial" w:eastAsia="Arial" w:hAnsi="Arial"/>
                <w:sz w:val="20"/>
                <w:szCs w:val="20"/>
                <w:i w:val="1"/>
                <w:iCs w:val="1"/>
                <w:color w:val="auto"/>
                <w:w w:val="92"/>
              </w:rPr>
              <w:t>(Dollars in Thousands)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7520" w:type="dxa"/>
            <w:vAlign w:val="bottom"/>
          </w:tcPr>
          <w:p>
            <w:pPr>
              <w:spacing w:after="0"/>
              <w:rPr>
                <w:sz w:val="20"/>
                <w:szCs w:val="20"/>
                <w:color w:val="auto"/>
              </w:rPr>
            </w:pPr>
            <w:r>
              <w:rPr>
                <w:rFonts w:ascii="Arial" w:cs="Arial" w:eastAsia="Arial" w:hAnsi="Arial"/>
                <w:sz w:val="20"/>
                <w:szCs w:val="20"/>
                <w:color w:val="auto"/>
              </w:rPr>
              <w:t>Net (loss) earnings attributable to noncontrolling interests</w:t>
            </w:r>
          </w:p>
        </w:tc>
        <w:tc>
          <w:tcPr>
            <w:tcW w:w="1260" w:type="dxa"/>
            <w:vAlign w:val="bottom"/>
          </w:tcPr>
          <w:p>
            <w:pPr>
              <w:jc w:val="right"/>
              <w:ind w:right="1061"/>
              <w:spacing w:after="0"/>
              <w:rPr>
                <w:sz w:val="20"/>
                <w:szCs w:val="20"/>
                <w:color w:val="auto"/>
              </w:rPr>
            </w:pPr>
            <w:r>
              <w:rPr>
                <w:rFonts w:ascii="Arial" w:cs="Arial" w:eastAsia="Arial" w:hAnsi="Arial"/>
                <w:sz w:val="20"/>
                <w:szCs w:val="20"/>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20"/>
                <w:szCs w:val="20"/>
                <w:color w:val="auto"/>
              </w:rPr>
              <w:t>(27)</w:t>
            </w:r>
          </w:p>
        </w:tc>
        <w:tc>
          <w:tcPr>
            <w:tcW w:w="1300" w:type="dxa"/>
            <w:vAlign w:val="bottom"/>
            <w:gridSpan w:val="2"/>
          </w:tcPr>
          <w:p>
            <w:pPr>
              <w:jc w:val="right"/>
              <w:ind w:right="1123"/>
              <w:spacing w:after="0"/>
              <w:rPr>
                <w:sz w:val="20"/>
                <w:szCs w:val="20"/>
                <w:color w:val="auto"/>
              </w:rPr>
            </w:pPr>
            <w:r>
              <w:rPr>
                <w:rFonts w:ascii="Arial" w:cs="Arial" w:eastAsia="Arial" w:hAnsi="Arial"/>
                <w:sz w:val="20"/>
                <w:szCs w:val="20"/>
                <w:color w:val="auto"/>
                <w:w w:val="71"/>
              </w:rPr>
              <w:t>$</w:t>
            </w:r>
          </w:p>
        </w:tc>
        <w:tc>
          <w:tcPr>
            <w:tcW w:w="460" w:type="dxa"/>
            <w:vAlign w:val="bottom"/>
          </w:tcPr>
          <w:p>
            <w:pPr>
              <w:jc w:val="right"/>
              <w:spacing w:after="0"/>
              <w:rPr>
                <w:sz w:val="20"/>
                <w:szCs w:val="20"/>
                <w:color w:val="auto"/>
              </w:rPr>
            </w:pPr>
            <w:r>
              <w:rPr>
                <w:rFonts w:ascii="Arial" w:cs="Arial" w:eastAsia="Arial" w:hAnsi="Arial"/>
                <w:sz w:val="20"/>
                <w:szCs w:val="20"/>
                <w:color w:val="auto"/>
              </w:rPr>
              <w:t>61</w:t>
            </w:r>
          </w:p>
        </w:tc>
        <w:tc>
          <w:tcPr>
            <w:tcW w:w="100" w:type="dxa"/>
            <w:vAlign w:val="bottom"/>
          </w:tcPr>
          <w:p>
            <w:pPr>
              <w:spacing w:after="0"/>
              <w:rPr>
                <w:sz w:val="21"/>
                <w:szCs w:val="21"/>
                <w:color w:val="auto"/>
              </w:rPr>
            </w:pPr>
          </w:p>
        </w:tc>
      </w:tr>
      <w:tr>
        <w:trPr>
          <w:trHeight w:val="243"/>
        </w:trPr>
        <w:tc>
          <w:tcPr>
            <w:tcW w:w="7520" w:type="dxa"/>
            <w:vAlign w:val="bottom"/>
            <w:shd w:val="clear" w:color="auto" w:fill="CFF0FC"/>
          </w:tcPr>
          <w:p>
            <w:pPr>
              <w:spacing w:after="0"/>
              <w:rPr>
                <w:sz w:val="20"/>
                <w:szCs w:val="20"/>
                <w:color w:val="auto"/>
              </w:rPr>
            </w:pPr>
            <w:r>
              <w:rPr>
                <w:rFonts w:ascii="Arial" w:cs="Arial" w:eastAsia="Arial" w:hAnsi="Arial"/>
                <w:sz w:val="20"/>
                <w:szCs w:val="20"/>
                <w:color w:val="auto"/>
              </w:rPr>
              <w:t>Other comprehensive earnings, net of tax</w:t>
            </w:r>
          </w:p>
        </w:tc>
        <w:tc>
          <w:tcPr>
            <w:tcW w:w="12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w:t>
            </w:r>
          </w:p>
        </w:tc>
        <w:tc>
          <w:tcPr>
            <w:tcW w:w="100" w:type="dxa"/>
            <w:vAlign w:val="bottom"/>
            <w:shd w:val="clear" w:color="auto" w:fill="CFF0FC"/>
          </w:tcPr>
          <w:p>
            <w:pPr>
              <w:spacing w:after="0"/>
              <w:rPr>
                <w:sz w:val="21"/>
                <w:szCs w:val="21"/>
                <w:color w:val="auto"/>
              </w:rPr>
            </w:pPr>
          </w:p>
        </w:tc>
      </w:tr>
      <w:tr>
        <w:trPr>
          <w:trHeight w:val="237"/>
        </w:trPr>
        <w:tc>
          <w:tcPr>
            <w:tcW w:w="7520" w:type="dxa"/>
            <w:vAlign w:val="bottom"/>
          </w:tcPr>
          <w:p>
            <w:pPr>
              <w:spacing w:after="0"/>
              <w:rPr>
                <w:sz w:val="20"/>
                <w:szCs w:val="20"/>
                <w:color w:val="auto"/>
              </w:rPr>
            </w:pPr>
            <w:r>
              <w:rPr>
                <w:rFonts w:ascii="Arial" w:cs="Arial" w:eastAsia="Arial" w:hAnsi="Arial"/>
                <w:sz w:val="20"/>
                <w:szCs w:val="20"/>
                <w:color w:val="auto"/>
              </w:rPr>
              <w:t>Comprehensive (loss) earnings attributable to noncontrolling interests</w:t>
            </w:r>
          </w:p>
        </w:tc>
        <w:tc>
          <w:tcPr>
            <w:tcW w:w="1260" w:type="dxa"/>
            <w:vAlign w:val="bottom"/>
            <w:tcBorders>
              <w:bottom w:val="single" w:sz="8" w:color="auto"/>
            </w:tcBorders>
          </w:tcPr>
          <w:p>
            <w:pPr>
              <w:jc w:val="right"/>
              <w:ind w:right="1061"/>
              <w:spacing w:after="0"/>
              <w:rPr>
                <w:sz w:val="20"/>
                <w:szCs w:val="20"/>
                <w:color w:val="auto"/>
              </w:rPr>
            </w:pPr>
            <w:r>
              <w:rPr>
                <w:rFonts w:ascii="Arial" w:cs="Arial" w:eastAsia="Arial" w:hAnsi="Arial"/>
                <w:sz w:val="20"/>
                <w:szCs w:val="2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23"/>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w:t>
            </w:r>
          </w:p>
        </w:tc>
        <w:tc>
          <w:tcPr>
            <w:tcW w:w="100" w:type="dxa"/>
            <w:vAlign w:val="bottom"/>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hanging="372"/>
        <w:spacing w:after="0"/>
        <w:tabs>
          <w:tab w:leader="none" w:pos="3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7" w:lineRule="exact"/>
        <w:rPr>
          <w:rFonts w:ascii="Arial" w:cs="Arial" w:eastAsia="Arial" w:hAnsi="Arial"/>
          <w:sz w:val="20"/>
          <w:szCs w:val="20"/>
          <w:b w:val="1"/>
          <w:bCs w:val="1"/>
          <w:color w:val="auto"/>
        </w:rPr>
      </w:pPr>
    </w:p>
    <w:p>
      <w:pPr>
        <w:ind w:left="380" w:right="3220"/>
        <w:spacing w:after="0" w:line="387" w:lineRule="auto"/>
        <w:rPr>
          <w:rFonts w:ascii="Arial" w:cs="Arial" w:eastAsia="Arial" w:hAnsi="Arial"/>
          <w:sz w:val="20"/>
          <w:szCs w:val="20"/>
          <w:b w:val="1"/>
          <w:bCs w:val="1"/>
          <w:color w:val="auto"/>
        </w:rPr>
      </w:pPr>
      <w:r>
        <w:rPr>
          <w:rFonts w:ascii="Arial" w:cs="Arial" w:eastAsia="Arial" w:hAnsi="Arial"/>
          <w:sz w:val="16"/>
          <w:szCs w:val="16"/>
          <w:b w:val="1"/>
          <w:bCs w:val="1"/>
          <w:color w:val="auto"/>
        </w:rPr>
        <w:t xml:space="preserve">Consolidated Comprehensive Earnings/Loss and Accumulated Other Comprehensive Loss (continued) </w:t>
      </w:r>
      <w:r>
        <w:rPr>
          <w:rFonts w:ascii="Arial" w:cs="Arial" w:eastAsia="Arial" w:hAnsi="Arial"/>
          <w:sz w:val="16"/>
          <w:szCs w:val="16"/>
          <w:color w:val="auto"/>
        </w:rPr>
        <w:t>Changes in accumulated other comprehensive earnings (loss), net of tax,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4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9"/>
              </w:rPr>
              <w:t>Unamortized</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9"/>
              </w:rPr>
              <w:t>Value of</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8"/>
              </w:rPr>
              <w:t>Terminated</w:t>
            </w:r>
          </w:p>
        </w:tc>
        <w:tc>
          <w:tcPr>
            <w:tcW w:w="12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20"/>
                <w:szCs w:val="20"/>
                <w:color w:val="auto"/>
                <w:w w:val="91"/>
              </w:rPr>
              <w:t>Accumulated</w:t>
            </w:r>
          </w:p>
        </w:tc>
      </w:tr>
      <w:tr>
        <w:trPr>
          <w:trHeight w:val="243"/>
        </w:trPr>
        <w:tc>
          <w:tcPr>
            <w:tcW w:w="4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20"/>
                <w:szCs w:val="20"/>
                <w:color w:val="auto"/>
                <w:w w:val="86"/>
              </w:rPr>
              <w:t>Pension and</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gridSpan w:val="3"/>
          </w:tcPr>
          <w:p>
            <w:pPr>
              <w:spacing w:after="0"/>
              <w:rPr>
                <w:sz w:val="20"/>
                <w:szCs w:val="20"/>
                <w:color w:val="auto"/>
              </w:rPr>
            </w:pPr>
            <w:r>
              <w:rPr>
                <w:rFonts w:ascii="Arial" w:cs="Arial" w:eastAsia="Arial" w:hAnsi="Arial"/>
                <w:sz w:val="20"/>
                <w:szCs w:val="20"/>
                <w:color w:val="auto"/>
              </w:rPr>
              <w:t>Forward Starting</w:t>
            </w:r>
          </w:p>
        </w:tc>
        <w:tc>
          <w:tcPr>
            <w:tcW w:w="12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20"/>
                <w:szCs w:val="20"/>
                <w:color w:val="auto"/>
                <w:w w:val="87"/>
              </w:rPr>
              <w:t>Other</w:t>
            </w:r>
          </w:p>
        </w:tc>
      </w:tr>
      <w:tr>
        <w:trPr>
          <w:trHeight w:val="243"/>
        </w:trPr>
        <w:tc>
          <w:tcPr>
            <w:tcW w:w="4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20"/>
                <w:szCs w:val="20"/>
                <w:color w:val="auto"/>
                <w:w w:val="89"/>
              </w:rPr>
              <w:t>Postretirement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20"/>
                <w:szCs w:val="20"/>
                <w:color w:val="auto"/>
              </w:rPr>
              <w:t>Foreign</w:t>
            </w: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9"/>
              </w:rPr>
              <w:t>Interest Rate</w:t>
            </w:r>
          </w:p>
        </w:tc>
        <w:tc>
          <w:tcPr>
            <w:tcW w:w="1400" w:type="dxa"/>
            <w:vAlign w:val="bottom"/>
            <w:gridSpan w:val="3"/>
          </w:tcPr>
          <w:p>
            <w:pPr>
              <w:ind w:left="20"/>
              <w:spacing w:after="0"/>
              <w:rPr>
                <w:sz w:val="20"/>
                <w:szCs w:val="20"/>
                <w:color w:val="auto"/>
              </w:rPr>
            </w:pPr>
            <w:r>
              <w:rPr>
                <w:rFonts w:ascii="Arial" w:cs="Arial" w:eastAsia="Arial" w:hAnsi="Arial"/>
                <w:sz w:val="20"/>
                <w:szCs w:val="20"/>
                <w:color w:val="auto"/>
                <w:w w:val="97"/>
              </w:rPr>
              <w:t>Comprehensive</w:t>
            </w:r>
          </w:p>
        </w:tc>
      </w:tr>
      <w:tr>
        <w:trPr>
          <w:trHeight w:val="246"/>
        </w:trPr>
        <w:tc>
          <w:tcPr>
            <w:tcW w:w="4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20"/>
                <w:szCs w:val="20"/>
                <w:color w:val="auto"/>
                <w:w w:val="89"/>
              </w:rPr>
              <w:t>Benefit Plans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20"/>
                <w:szCs w:val="20"/>
                <w:color w:val="auto"/>
                <w:w w:val="98"/>
              </w:rPr>
              <w:t>Currency</w:t>
            </w:r>
          </w:p>
        </w:tc>
        <w:tc>
          <w:tcPr>
            <w:tcW w:w="120" w:type="dxa"/>
            <w:vAlign w:val="bottom"/>
          </w:tcPr>
          <w:p>
            <w:pPr>
              <w:spacing w:after="0"/>
              <w:rPr>
                <w:sz w:val="21"/>
                <w:szCs w:val="21"/>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20"/>
                <w:szCs w:val="20"/>
                <w:color w:val="auto"/>
                <w:w w:val="87"/>
              </w:rPr>
              <w:t>Swap</w:t>
            </w:r>
          </w:p>
        </w:tc>
        <w:tc>
          <w:tcPr>
            <w:tcW w:w="12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Loss</w:t>
            </w:r>
          </w:p>
        </w:tc>
      </w:tr>
      <w:tr>
        <w:trPr>
          <w:trHeight w:val="237"/>
        </w:trPr>
        <w:tc>
          <w:tcPr>
            <w:tcW w:w="4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260" w:type="dxa"/>
            <w:vAlign w:val="bottom"/>
            <w:tcBorders>
              <w:top w:val="single" w:sz="8" w:color="auto"/>
              <w:bottom w:val="single" w:sz="8" w:color="auto"/>
            </w:tcBorders>
            <w:gridSpan w:val="7"/>
          </w:tcPr>
          <w:p>
            <w:pPr>
              <w:jc w:val="center"/>
              <w:ind w:right="120"/>
              <w:spacing w:after="0"/>
              <w:rPr>
                <w:sz w:val="20"/>
                <w:szCs w:val="20"/>
                <w:color w:val="auto"/>
              </w:rPr>
            </w:pPr>
            <w:r>
              <w:rPr>
                <w:rFonts w:ascii="Arial" w:cs="Arial" w:eastAsia="Arial" w:hAnsi="Arial"/>
                <w:sz w:val="20"/>
                <w:szCs w:val="20"/>
                <w:color w:val="auto"/>
                <w:w w:val="89"/>
              </w:rPr>
              <w:t>Three Months Ended March 31, 2017</w:t>
            </w: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480" w:type="dxa"/>
            <w:vAlign w:val="bottom"/>
          </w:tcPr>
          <w:p>
            <w:pPr>
              <w:spacing w:after="0"/>
              <w:rPr>
                <w:sz w:val="20"/>
                <w:szCs w:val="20"/>
                <w:color w:val="auto"/>
              </w:rPr>
            </w:pPr>
            <w:r>
              <w:rPr>
                <w:rFonts w:ascii="Arial" w:cs="Arial" w:eastAsia="Arial" w:hAnsi="Arial"/>
                <w:sz w:val="20"/>
                <w:szCs w:val="20"/>
                <w:color w:val="auto"/>
              </w:rPr>
              <w:t>Balance at beginning of period</w:t>
            </w:r>
          </w:p>
        </w:tc>
        <w:tc>
          <w:tcPr>
            <w:tcW w:w="8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20"/>
                <w:szCs w:val="20"/>
                <w:color w:val="auto"/>
              </w:rPr>
              <w:t>(128,373)</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20"/>
                <w:szCs w:val="20"/>
                <w:color w:val="auto"/>
              </w:rPr>
              <w:t>(1,162)</w:t>
            </w:r>
          </w:p>
        </w:tc>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1480" w:type="dxa"/>
            <w:vAlign w:val="bottom"/>
            <w:gridSpan w:val="2"/>
          </w:tcPr>
          <w:p>
            <w:pPr>
              <w:jc w:val="right"/>
              <w:ind w:right="180"/>
              <w:spacing w:after="0"/>
              <w:rPr>
                <w:sz w:val="20"/>
                <w:szCs w:val="20"/>
                <w:color w:val="auto"/>
              </w:rPr>
            </w:pPr>
            <w:r>
              <w:rPr>
                <w:rFonts w:ascii="Arial" w:cs="Arial" w:eastAsia="Arial" w:hAnsi="Arial"/>
                <w:sz w:val="20"/>
                <w:szCs w:val="20"/>
                <w:color w:val="auto"/>
              </w:rPr>
              <w:t>(1,152)</w:t>
            </w:r>
          </w:p>
        </w:tc>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(130,687)</w:t>
            </w:r>
          </w:p>
        </w:tc>
        <w:tc>
          <w:tcPr>
            <w:tcW w:w="100" w:type="dxa"/>
            <w:vAlign w:val="bottom"/>
          </w:tcPr>
          <w:p>
            <w:pPr>
              <w:spacing w:after="0"/>
              <w:rPr>
                <w:sz w:val="20"/>
                <w:szCs w:val="20"/>
                <w:color w:val="auto"/>
              </w:rPr>
            </w:pPr>
          </w:p>
        </w:tc>
      </w:tr>
      <w:tr>
        <w:trPr>
          <w:trHeight w:val="220"/>
        </w:trPr>
        <w:tc>
          <w:tcPr>
            <w:tcW w:w="4480" w:type="dxa"/>
            <w:vAlign w:val="bottom"/>
            <w:tcBorders>
              <w:top w:val="single" w:sz="8" w:color="CFF2FA"/>
            </w:tcBorders>
            <w:shd w:val="clear" w:color="auto" w:fill="CFF2FA"/>
          </w:tcPr>
          <w:p>
            <w:pPr>
              <w:spacing w:after="0" w:line="220" w:lineRule="exact"/>
              <w:rPr>
                <w:sz w:val="20"/>
                <w:szCs w:val="20"/>
                <w:color w:val="auto"/>
              </w:rPr>
            </w:pPr>
            <w:r>
              <w:rPr>
                <w:rFonts w:ascii="Arial" w:cs="Arial" w:eastAsia="Arial" w:hAnsi="Arial"/>
                <w:sz w:val="20"/>
                <w:szCs w:val="20"/>
                <w:color w:val="auto"/>
              </w:rPr>
              <w:t>Other comprehensive earnings before</w:t>
            </w:r>
          </w:p>
        </w:tc>
        <w:tc>
          <w:tcPr>
            <w:tcW w:w="86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tcBorders>
            <w:shd w:val="clear" w:color="auto" w:fill="CFF2FA"/>
          </w:tcPr>
          <w:p>
            <w:pPr>
              <w:spacing w:after="0"/>
              <w:rPr>
                <w:sz w:val="19"/>
                <w:szCs w:val="19"/>
                <w:color w:val="auto"/>
              </w:rPr>
            </w:pPr>
          </w:p>
        </w:tc>
        <w:tc>
          <w:tcPr>
            <w:tcW w:w="1180" w:type="dxa"/>
            <w:vAlign w:val="bottom"/>
            <w:tcBorders>
              <w:top w:val="single" w:sz="8" w:color="auto"/>
            </w:tcBorders>
            <w:shd w:val="clear" w:color="auto" w:fill="CFF2FA"/>
          </w:tcPr>
          <w:p>
            <w:pPr>
              <w:spacing w:after="0"/>
              <w:rPr>
                <w:sz w:val="19"/>
                <w:szCs w:val="19"/>
                <w:color w:val="auto"/>
              </w:rPr>
            </w:pPr>
          </w:p>
        </w:tc>
        <w:tc>
          <w:tcPr>
            <w:tcW w:w="14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CFF2FA"/>
            </w:tcBorders>
            <w:shd w:val="clear" w:color="auto" w:fill="CFF2FA"/>
          </w:tcPr>
          <w:p>
            <w:pPr>
              <w:spacing w:after="0"/>
              <w:rPr>
                <w:sz w:val="19"/>
                <w:szCs w:val="19"/>
                <w:color w:val="auto"/>
              </w:rPr>
            </w:pPr>
          </w:p>
        </w:tc>
        <w:tc>
          <w:tcPr>
            <w:tcW w:w="180" w:type="dxa"/>
            <w:vAlign w:val="bottom"/>
            <w:tcBorders>
              <w:top w:val="single" w:sz="8" w:color="auto"/>
            </w:tcBorders>
            <w:shd w:val="clear" w:color="auto" w:fill="CFF2FA"/>
          </w:tcPr>
          <w:p>
            <w:pPr>
              <w:spacing w:after="0"/>
              <w:rPr>
                <w:sz w:val="19"/>
                <w:szCs w:val="19"/>
                <w:color w:val="auto"/>
              </w:rPr>
            </w:pPr>
          </w:p>
        </w:tc>
        <w:tc>
          <w:tcPr>
            <w:tcW w:w="1100" w:type="dxa"/>
            <w:vAlign w:val="bottom"/>
            <w:tcBorders>
              <w:top w:val="single" w:sz="8" w:color="auto"/>
            </w:tcBorders>
            <w:shd w:val="clear" w:color="auto" w:fill="CFF2FA"/>
          </w:tcPr>
          <w:p>
            <w:pPr>
              <w:spacing w:after="0"/>
              <w:rPr>
                <w:sz w:val="19"/>
                <w:szCs w:val="19"/>
                <w:color w:val="auto"/>
              </w:rPr>
            </w:pPr>
          </w:p>
        </w:tc>
        <w:tc>
          <w:tcPr>
            <w:tcW w:w="26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tcBorders>
            <w:shd w:val="clear" w:color="auto" w:fill="CFF2FA"/>
          </w:tcPr>
          <w:p>
            <w:pPr>
              <w:spacing w:after="0"/>
              <w:rPr>
                <w:sz w:val="19"/>
                <w:szCs w:val="19"/>
                <w:color w:val="auto"/>
              </w:rPr>
            </w:pPr>
          </w:p>
        </w:tc>
        <w:tc>
          <w:tcPr>
            <w:tcW w:w="1240" w:type="dxa"/>
            <w:vAlign w:val="bottom"/>
            <w:tcBorders>
              <w:top w:val="single" w:sz="8" w:color="auto"/>
            </w:tcBorders>
            <w:shd w:val="clear" w:color="auto" w:fill="CFF2FA"/>
          </w:tcPr>
          <w:p>
            <w:pPr>
              <w:spacing w:after="0"/>
              <w:rPr>
                <w:sz w:val="19"/>
                <w:szCs w:val="19"/>
                <w:color w:val="auto"/>
              </w:rPr>
            </w:pPr>
          </w:p>
        </w:tc>
        <w:tc>
          <w:tcPr>
            <w:tcW w:w="24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tcBorders>
            <w:shd w:val="clear" w:color="auto" w:fill="CFF2FA"/>
          </w:tcPr>
          <w:p>
            <w:pPr>
              <w:spacing w:after="0"/>
              <w:rPr>
                <w:sz w:val="19"/>
                <w:szCs w:val="19"/>
                <w:color w:val="auto"/>
              </w:rPr>
            </w:pPr>
          </w:p>
        </w:tc>
        <w:tc>
          <w:tcPr>
            <w:tcW w:w="1180" w:type="dxa"/>
            <w:vAlign w:val="bottom"/>
            <w:tcBorders>
              <w:top w:val="single" w:sz="8" w:color="auto"/>
            </w:tcBorders>
            <w:shd w:val="clear" w:color="auto" w:fill="CFF2FA"/>
          </w:tcPr>
          <w:p>
            <w:pPr>
              <w:spacing w:after="0"/>
              <w:rPr>
                <w:sz w:val="19"/>
                <w:szCs w:val="19"/>
                <w:color w:val="auto"/>
              </w:rPr>
            </w:pPr>
          </w:p>
        </w:tc>
        <w:tc>
          <w:tcPr>
            <w:tcW w:w="100" w:type="dxa"/>
            <w:vAlign w:val="bottom"/>
            <w:tcBorders>
              <w:top w:val="single" w:sz="8" w:color="CFF2FA"/>
            </w:tcBorders>
            <w:shd w:val="clear" w:color="auto" w:fill="CFF2FA"/>
          </w:tcPr>
          <w:p>
            <w:pPr>
              <w:spacing w:after="0"/>
              <w:rPr>
                <w:sz w:val="19"/>
                <w:szCs w:val="19"/>
                <w:color w:val="auto"/>
              </w:rPr>
            </w:pPr>
          </w:p>
        </w:tc>
      </w:tr>
      <w:tr>
        <w:trPr>
          <w:trHeight w:val="246"/>
        </w:trPr>
        <w:tc>
          <w:tcPr>
            <w:tcW w:w="4480" w:type="dxa"/>
            <w:vAlign w:val="bottom"/>
            <w:shd w:val="clear" w:color="auto" w:fill="CFF2FA"/>
          </w:tcPr>
          <w:p>
            <w:pPr>
              <w:ind w:left="260"/>
              <w:spacing w:after="0"/>
              <w:rPr>
                <w:sz w:val="20"/>
                <w:szCs w:val="20"/>
                <w:color w:val="auto"/>
              </w:rPr>
            </w:pPr>
            <w:r>
              <w:rPr>
                <w:rFonts w:ascii="Arial" w:cs="Arial" w:eastAsia="Arial" w:hAnsi="Arial"/>
                <w:sz w:val="20"/>
                <w:szCs w:val="20"/>
                <w:color w:val="auto"/>
              </w:rPr>
              <w:t>reclassifications, net of tax</w:t>
            </w:r>
          </w:p>
        </w:tc>
        <w:tc>
          <w:tcPr>
            <w:tcW w:w="860" w:type="dxa"/>
            <w:vAlign w:val="bottom"/>
            <w:shd w:val="clear" w:color="auto" w:fill="CFF2FA"/>
          </w:tcPr>
          <w:p>
            <w:pPr>
              <w:spacing w:after="0"/>
              <w:rPr>
                <w:sz w:val="21"/>
                <w:szCs w:val="21"/>
                <w:color w:val="auto"/>
              </w:rPr>
            </w:pPr>
          </w:p>
        </w:tc>
        <w:tc>
          <w:tcPr>
            <w:tcW w:w="100" w:type="dxa"/>
            <w:vAlign w:val="bottom"/>
            <w:shd w:val="clear" w:color="auto" w:fill="CFF2FA"/>
          </w:tcPr>
          <w:p>
            <w:pPr>
              <w:spacing w:after="0"/>
              <w:rPr>
                <w:sz w:val="21"/>
                <w:szCs w:val="21"/>
                <w:color w:val="auto"/>
              </w:rPr>
            </w:pPr>
          </w:p>
        </w:tc>
        <w:tc>
          <w:tcPr>
            <w:tcW w:w="1320" w:type="dxa"/>
            <w:vAlign w:val="bottom"/>
            <w:gridSpan w:val="2"/>
            <w:shd w:val="clear" w:color="auto" w:fill="CFF2FA"/>
          </w:tcPr>
          <w:p>
            <w:pPr>
              <w:jc w:val="right"/>
              <w:ind w:right="14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2FA"/>
          </w:tcPr>
          <w:p>
            <w:pPr>
              <w:spacing w:after="0"/>
              <w:rPr>
                <w:sz w:val="21"/>
                <w:szCs w:val="21"/>
                <w:color w:val="auto"/>
              </w:rPr>
            </w:pPr>
          </w:p>
        </w:tc>
        <w:tc>
          <w:tcPr>
            <w:tcW w:w="180" w:type="dxa"/>
            <w:vAlign w:val="bottom"/>
            <w:shd w:val="clear" w:color="auto" w:fill="CFF2FA"/>
          </w:tcPr>
          <w:p>
            <w:pPr>
              <w:spacing w:after="0"/>
              <w:rPr>
                <w:sz w:val="21"/>
                <w:szCs w:val="21"/>
                <w:color w:val="auto"/>
              </w:rPr>
            </w:pPr>
          </w:p>
        </w:tc>
        <w:tc>
          <w:tcPr>
            <w:tcW w:w="110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137</w:t>
            </w:r>
          </w:p>
        </w:tc>
        <w:tc>
          <w:tcPr>
            <w:tcW w:w="260" w:type="dxa"/>
            <w:vAlign w:val="bottom"/>
            <w:shd w:val="clear" w:color="auto" w:fill="CFF2FA"/>
          </w:tcPr>
          <w:p>
            <w:pPr>
              <w:spacing w:after="0"/>
              <w:rPr>
                <w:sz w:val="21"/>
                <w:szCs w:val="21"/>
                <w:color w:val="auto"/>
              </w:rPr>
            </w:pPr>
          </w:p>
        </w:tc>
        <w:tc>
          <w:tcPr>
            <w:tcW w:w="120" w:type="dxa"/>
            <w:vAlign w:val="bottom"/>
            <w:shd w:val="clear" w:color="auto" w:fill="CFF2FA"/>
          </w:tcPr>
          <w:p>
            <w:pPr>
              <w:spacing w:after="0"/>
              <w:rPr>
                <w:sz w:val="21"/>
                <w:szCs w:val="21"/>
                <w:color w:val="auto"/>
              </w:rPr>
            </w:pPr>
          </w:p>
        </w:tc>
        <w:tc>
          <w:tcPr>
            <w:tcW w:w="1480" w:type="dxa"/>
            <w:vAlign w:val="bottom"/>
            <w:gridSpan w:val="2"/>
            <w:shd w:val="clear" w:color="auto" w:fill="CFF2FA"/>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2FA"/>
          </w:tcPr>
          <w:p>
            <w:pPr>
              <w:spacing w:after="0"/>
              <w:rPr>
                <w:sz w:val="21"/>
                <w:szCs w:val="21"/>
                <w:color w:val="auto"/>
              </w:rPr>
            </w:pPr>
          </w:p>
        </w:tc>
        <w:tc>
          <w:tcPr>
            <w:tcW w:w="118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137</w:t>
            </w:r>
          </w:p>
        </w:tc>
        <w:tc>
          <w:tcPr>
            <w:tcW w:w="100" w:type="dxa"/>
            <w:vAlign w:val="bottom"/>
            <w:shd w:val="clear" w:color="auto" w:fill="CFF2FA"/>
          </w:tcPr>
          <w:p>
            <w:pPr>
              <w:spacing w:after="0"/>
              <w:rPr>
                <w:sz w:val="21"/>
                <w:szCs w:val="21"/>
                <w:color w:val="auto"/>
              </w:rPr>
            </w:pPr>
          </w:p>
        </w:tc>
      </w:tr>
      <w:tr>
        <w:trPr>
          <w:trHeight w:val="226"/>
        </w:trPr>
        <w:tc>
          <w:tcPr>
            <w:tcW w:w="4480" w:type="dxa"/>
            <w:vAlign w:val="bottom"/>
          </w:tcPr>
          <w:p>
            <w:pPr>
              <w:spacing w:after="0" w:line="227" w:lineRule="exact"/>
              <w:rPr>
                <w:sz w:val="20"/>
                <w:szCs w:val="20"/>
                <w:color w:val="auto"/>
              </w:rPr>
            </w:pPr>
            <w:r>
              <w:rPr>
                <w:rFonts w:ascii="Arial" w:cs="Arial" w:eastAsia="Arial" w:hAnsi="Arial"/>
                <w:sz w:val="20"/>
                <w:szCs w:val="20"/>
                <w:color w:val="auto"/>
              </w:rPr>
              <w:t>Amounts reclassified from accumulated other</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4480" w:type="dxa"/>
            <w:vAlign w:val="bottom"/>
          </w:tcPr>
          <w:p>
            <w:pPr>
              <w:ind w:left="260"/>
              <w:spacing w:after="0"/>
              <w:rPr>
                <w:sz w:val="20"/>
                <w:szCs w:val="20"/>
                <w:color w:val="auto"/>
              </w:rPr>
            </w:pPr>
            <w:r>
              <w:rPr>
                <w:rFonts w:ascii="Arial" w:cs="Arial" w:eastAsia="Arial" w:hAnsi="Arial"/>
                <w:sz w:val="20"/>
                <w:szCs w:val="20"/>
                <w:color w:val="auto"/>
              </w:rPr>
              <w:t>comprehensive earnings, net of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1,910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215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2,125</w:t>
            </w:r>
          </w:p>
        </w:tc>
        <w:tc>
          <w:tcPr>
            <w:tcW w:w="100" w:type="dxa"/>
            <w:vAlign w:val="bottom"/>
          </w:tcPr>
          <w:p>
            <w:pPr>
              <w:spacing w:after="0"/>
              <w:rPr>
                <w:sz w:val="21"/>
                <w:szCs w:val="21"/>
                <w:color w:val="auto"/>
              </w:rPr>
            </w:pPr>
          </w:p>
        </w:tc>
      </w:tr>
      <w:tr>
        <w:trPr>
          <w:trHeight w:val="237"/>
        </w:trPr>
        <w:tc>
          <w:tcPr>
            <w:tcW w:w="448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20"/>
                <w:szCs w:val="20"/>
                <w:color w:val="auto"/>
              </w:rPr>
              <w:t>Other comprehensive earnings, net of tax</w:t>
            </w:r>
          </w:p>
        </w:tc>
        <w:tc>
          <w:tcPr>
            <w:tcW w:w="860" w:type="dxa"/>
            <w:vAlign w:val="bottom"/>
            <w:tcBorders>
              <w:top w:val="single" w:sz="8" w:color="CFF2FA"/>
            </w:tcBorders>
            <w:shd w:val="clear" w:color="auto" w:fill="CFF2FA"/>
          </w:tcPr>
          <w:p>
            <w:pPr>
              <w:spacing w:after="0"/>
              <w:rPr>
                <w:sz w:val="20"/>
                <w:szCs w:val="20"/>
                <w:color w:val="auto"/>
              </w:rPr>
            </w:pPr>
          </w:p>
        </w:tc>
        <w:tc>
          <w:tcPr>
            <w:tcW w:w="100" w:type="dxa"/>
            <w:vAlign w:val="bottom"/>
            <w:tcBorders>
              <w:top w:val="single" w:sz="8" w:color="auto"/>
              <w:bottom w:val="single" w:sz="8" w:color="auto"/>
            </w:tcBorders>
            <w:shd w:val="clear" w:color="auto" w:fill="CFF2FA"/>
          </w:tcPr>
          <w:p>
            <w:pPr>
              <w:spacing w:after="0"/>
              <w:rPr>
                <w:sz w:val="20"/>
                <w:szCs w:val="20"/>
                <w:color w:val="auto"/>
              </w:rPr>
            </w:pPr>
          </w:p>
        </w:tc>
        <w:tc>
          <w:tcPr>
            <w:tcW w:w="11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1,910</w:t>
            </w:r>
          </w:p>
        </w:tc>
        <w:tc>
          <w:tcPr>
            <w:tcW w:w="140" w:type="dxa"/>
            <w:vAlign w:val="bottom"/>
            <w:tcBorders>
              <w:top w:val="single" w:sz="8" w:color="CFF2FA"/>
            </w:tcBorders>
            <w:shd w:val="clear" w:color="auto" w:fill="CFF2FA"/>
          </w:tcPr>
          <w:p>
            <w:pPr>
              <w:spacing w:after="0"/>
              <w:rPr>
                <w:sz w:val="20"/>
                <w:szCs w:val="20"/>
                <w:color w:val="auto"/>
              </w:rPr>
            </w:pPr>
          </w:p>
        </w:tc>
        <w:tc>
          <w:tcPr>
            <w:tcW w:w="120" w:type="dxa"/>
            <w:vAlign w:val="bottom"/>
            <w:tcBorders>
              <w:top w:val="single" w:sz="8" w:color="CFF2FA"/>
            </w:tcBorders>
            <w:shd w:val="clear" w:color="auto" w:fill="CFF2FA"/>
          </w:tcPr>
          <w:p>
            <w:pPr>
              <w:spacing w:after="0"/>
              <w:rPr>
                <w:sz w:val="20"/>
                <w:szCs w:val="20"/>
                <w:color w:val="auto"/>
              </w:rPr>
            </w:pPr>
          </w:p>
        </w:tc>
        <w:tc>
          <w:tcPr>
            <w:tcW w:w="180" w:type="dxa"/>
            <w:vAlign w:val="bottom"/>
            <w:tcBorders>
              <w:top w:val="single" w:sz="8" w:color="auto"/>
              <w:bottom w:val="single" w:sz="8" w:color="auto"/>
            </w:tcBorders>
            <w:shd w:val="clear" w:color="auto" w:fill="CFF2FA"/>
          </w:tcPr>
          <w:p>
            <w:pPr>
              <w:spacing w:after="0"/>
              <w:rPr>
                <w:sz w:val="20"/>
                <w:szCs w:val="20"/>
                <w:color w:val="auto"/>
              </w:rPr>
            </w:pPr>
          </w:p>
        </w:tc>
        <w:tc>
          <w:tcPr>
            <w:tcW w:w="11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137</w:t>
            </w:r>
          </w:p>
        </w:tc>
        <w:tc>
          <w:tcPr>
            <w:tcW w:w="260" w:type="dxa"/>
            <w:vAlign w:val="bottom"/>
            <w:tcBorders>
              <w:top w:val="single" w:sz="8" w:color="CFF2FA"/>
            </w:tcBorders>
            <w:shd w:val="clear" w:color="auto" w:fill="CFF2FA"/>
          </w:tcPr>
          <w:p>
            <w:pPr>
              <w:spacing w:after="0"/>
              <w:rPr>
                <w:sz w:val="20"/>
                <w:szCs w:val="20"/>
                <w:color w:val="auto"/>
              </w:rPr>
            </w:pPr>
          </w:p>
        </w:tc>
        <w:tc>
          <w:tcPr>
            <w:tcW w:w="120" w:type="dxa"/>
            <w:vAlign w:val="bottom"/>
            <w:tcBorders>
              <w:top w:val="single" w:sz="8" w:color="auto"/>
              <w:bottom w:val="single" w:sz="8" w:color="auto"/>
            </w:tcBorders>
            <w:shd w:val="clear" w:color="auto" w:fill="CFF2FA"/>
          </w:tcPr>
          <w:p>
            <w:pPr>
              <w:spacing w:after="0"/>
              <w:rPr>
                <w:sz w:val="20"/>
                <w:szCs w:val="20"/>
                <w:color w:val="auto"/>
              </w:rPr>
            </w:pPr>
          </w:p>
        </w:tc>
        <w:tc>
          <w:tcPr>
            <w:tcW w:w="12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215</w:t>
            </w:r>
          </w:p>
        </w:tc>
        <w:tc>
          <w:tcPr>
            <w:tcW w:w="240" w:type="dxa"/>
            <w:vAlign w:val="bottom"/>
            <w:tcBorders>
              <w:top w:val="single" w:sz="8" w:color="CFF2FA"/>
            </w:tcBorders>
            <w:shd w:val="clear" w:color="auto" w:fill="CFF2FA"/>
          </w:tcPr>
          <w:p>
            <w:pPr>
              <w:spacing w:after="0"/>
              <w:rPr>
                <w:sz w:val="20"/>
                <w:szCs w:val="20"/>
                <w:color w:val="auto"/>
              </w:rPr>
            </w:pPr>
          </w:p>
        </w:tc>
        <w:tc>
          <w:tcPr>
            <w:tcW w:w="120" w:type="dxa"/>
            <w:vAlign w:val="bottom"/>
            <w:tcBorders>
              <w:top w:val="single" w:sz="8" w:color="auto"/>
              <w:bottom w:val="single" w:sz="8" w:color="auto"/>
            </w:tcBorders>
            <w:shd w:val="clear" w:color="auto" w:fill="CFF2FA"/>
          </w:tcPr>
          <w:p>
            <w:pPr>
              <w:spacing w:after="0"/>
              <w:rPr>
                <w:sz w:val="20"/>
                <w:szCs w:val="20"/>
                <w:color w:val="auto"/>
              </w:rPr>
            </w:pPr>
          </w:p>
        </w:tc>
        <w:tc>
          <w:tcPr>
            <w:tcW w:w="11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2,262</w:t>
            </w:r>
          </w:p>
        </w:tc>
        <w:tc>
          <w:tcPr>
            <w:tcW w:w="100" w:type="dxa"/>
            <w:vAlign w:val="bottom"/>
            <w:tcBorders>
              <w:top w:val="single" w:sz="8" w:color="CFF2FA"/>
            </w:tcBorders>
            <w:shd w:val="clear" w:color="auto" w:fill="CFF2FA"/>
          </w:tcPr>
          <w:p>
            <w:pPr>
              <w:spacing w:after="0"/>
              <w:rPr>
                <w:sz w:val="20"/>
                <w:szCs w:val="20"/>
                <w:color w:val="auto"/>
              </w:rPr>
            </w:pPr>
          </w:p>
        </w:tc>
      </w:tr>
      <w:tr>
        <w:trPr>
          <w:trHeight w:val="237"/>
        </w:trPr>
        <w:tc>
          <w:tcPr>
            <w:tcW w:w="4480" w:type="dxa"/>
            <w:vAlign w:val="bottom"/>
          </w:tcPr>
          <w:p>
            <w:pPr>
              <w:spacing w:after="0"/>
              <w:rPr>
                <w:sz w:val="20"/>
                <w:szCs w:val="20"/>
                <w:color w:val="auto"/>
              </w:rPr>
            </w:pPr>
            <w:r>
              <w:rPr>
                <w:rFonts w:ascii="Arial" w:cs="Arial" w:eastAsia="Arial" w:hAnsi="Arial"/>
                <w:sz w:val="20"/>
                <w:szCs w:val="20"/>
                <w:color w:val="auto"/>
              </w:rPr>
              <w:t>Balance at end of period</w:t>
            </w:r>
          </w:p>
        </w:tc>
        <w:tc>
          <w:tcPr>
            <w:tcW w:w="8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(126,463)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(1,025)</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(937)</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(128,425)</w:t>
            </w:r>
          </w:p>
        </w:tc>
        <w:tc>
          <w:tcPr>
            <w:tcW w:w="100" w:type="dxa"/>
            <w:vAlign w:val="bottom"/>
          </w:tcPr>
          <w:p>
            <w:pPr>
              <w:spacing w:after="0"/>
              <w:rPr>
                <w:sz w:val="20"/>
                <w:szCs w:val="20"/>
                <w:color w:val="auto"/>
              </w:rPr>
            </w:pPr>
          </w:p>
        </w:tc>
      </w:tr>
      <w:tr>
        <w:trPr>
          <w:trHeight w:val="20"/>
        </w:trPr>
        <w:tc>
          <w:tcPr>
            <w:tcW w:w="4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4480" w:type="dxa"/>
            <w:vAlign w:val="bottom"/>
            <w:tcBorders>
              <w:bottom w:val="single" w:sz="8" w:color="CFF0FC"/>
            </w:tcBorders>
          </w:tcPr>
          <w:p>
            <w:pPr>
              <w:spacing w:after="0"/>
              <w:rPr>
                <w:sz w:val="24"/>
                <w:szCs w:val="24"/>
                <w:color w:val="auto"/>
              </w:rPr>
            </w:pPr>
          </w:p>
        </w:tc>
        <w:tc>
          <w:tcPr>
            <w:tcW w:w="86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20"/>
                <w:szCs w:val="20"/>
                <w:color w:val="auto"/>
                <w:w w:val="89"/>
              </w:rPr>
              <w:t>Three Months Ended March 31, 2016</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CFF2FA"/>
            </w:tcBorders>
          </w:tcPr>
          <w:p>
            <w:pPr>
              <w:spacing w:after="0"/>
              <w:rPr>
                <w:sz w:val="24"/>
                <w:szCs w:val="24"/>
                <w:color w:val="auto"/>
              </w:rPr>
            </w:pPr>
          </w:p>
        </w:tc>
      </w:tr>
      <w:tr>
        <w:trPr>
          <w:trHeight w:val="237"/>
        </w:trPr>
        <w:tc>
          <w:tcPr>
            <w:tcW w:w="448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860" w:type="dxa"/>
            <w:vAlign w:val="bottom"/>
            <w:shd w:val="clear" w:color="auto" w:fill="CFF0FC"/>
          </w:tcPr>
          <w:p>
            <w:pPr>
              <w:spacing w:after="0"/>
              <w:rPr>
                <w:sz w:val="20"/>
                <w:szCs w:val="20"/>
                <w:color w:val="auto"/>
              </w:rPr>
            </w:pPr>
          </w:p>
        </w:tc>
        <w:tc>
          <w:tcPr>
            <w:tcW w:w="100" w:type="dxa"/>
            <w:vAlign w:val="bottom"/>
            <w:shd w:val="clear" w:color="auto" w:fill="CFF2FA"/>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gridSpan w:val="2"/>
            <w:shd w:val="clear" w:color="auto" w:fill="CFF2FA"/>
          </w:tcPr>
          <w:p>
            <w:pPr>
              <w:jc w:val="right"/>
              <w:ind w:right="60"/>
              <w:spacing w:after="0"/>
              <w:rPr>
                <w:sz w:val="20"/>
                <w:szCs w:val="20"/>
                <w:color w:val="auto"/>
              </w:rPr>
            </w:pPr>
            <w:r>
              <w:rPr>
                <w:rFonts w:ascii="Arial" w:cs="Arial" w:eastAsia="Arial" w:hAnsi="Arial"/>
                <w:sz w:val="20"/>
                <w:szCs w:val="20"/>
                <w:color w:val="auto"/>
              </w:rPr>
              <w:t>(103,380)</w:t>
            </w:r>
          </w:p>
        </w:tc>
        <w:tc>
          <w:tcPr>
            <w:tcW w:w="300" w:type="dxa"/>
            <w:vAlign w:val="bottom"/>
            <w:gridSpan w:val="2"/>
            <w:shd w:val="clear" w:color="auto" w:fill="CFF2FA"/>
          </w:tcPr>
          <w:p>
            <w:pPr>
              <w:jc w:val="right"/>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2FA"/>
          </w:tcPr>
          <w:p>
            <w:pPr>
              <w:jc w:val="right"/>
              <w:ind w:right="180"/>
              <w:spacing w:after="0"/>
              <w:rPr>
                <w:sz w:val="20"/>
                <w:szCs w:val="20"/>
                <w:color w:val="auto"/>
              </w:rPr>
            </w:pPr>
            <w:r>
              <w:rPr>
                <w:rFonts w:ascii="Arial" w:cs="Arial" w:eastAsia="Arial" w:hAnsi="Arial"/>
                <w:sz w:val="20"/>
                <w:szCs w:val="20"/>
                <w:color w:val="auto"/>
              </w:rPr>
              <w:t>(264)</w:t>
            </w:r>
          </w:p>
        </w:tc>
        <w:tc>
          <w:tcPr>
            <w:tcW w:w="120" w:type="dxa"/>
            <w:vAlign w:val="bottom"/>
            <w:shd w:val="clear" w:color="auto" w:fill="CFF2FA"/>
          </w:tcPr>
          <w:p>
            <w:pPr>
              <w:spacing w:after="0"/>
              <w:rPr>
                <w:sz w:val="20"/>
                <w:szCs w:val="20"/>
                <w:color w:val="auto"/>
              </w:rPr>
            </w:pPr>
            <w:r>
              <w:rPr>
                <w:rFonts w:ascii="Arial" w:cs="Arial" w:eastAsia="Arial" w:hAnsi="Arial"/>
                <w:sz w:val="20"/>
                <w:szCs w:val="20"/>
                <w:color w:val="auto"/>
                <w:w w:val="89"/>
              </w:rPr>
              <w:t>$</w:t>
            </w:r>
          </w:p>
        </w:tc>
        <w:tc>
          <w:tcPr>
            <w:tcW w:w="1480" w:type="dxa"/>
            <w:vAlign w:val="bottom"/>
            <w:gridSpan w:val="2"/>
            <w:shd w:val="clear" w:color="auto" w:fill="CFF2FA"/>
          </w:tcPr>
          <w:p>
            <w:pPr>
              <w:jc w:val="right"/>
              <w:ind w:right="180"/>
              <w:spacing w:after="0"/>
              <w:rPr>
                <w:sz w:val="20"/>
                <w:szCs w:val="20"/>
                <w:color w:val="auto"/>
              </w:rPr>
            </w:pPr>
            <w:r>
              <w:rPr>
                <w:rFonts w:ascii="Arial" w:cs="Arial" w:eastAsia="Arial" w:hAnsi="Arial"/>
                <w:sz w:val="20"/>
                <w:szCs w:val="20"/>
                <w:color w:val="auto"/>
              </w:rPr>
              <w:t>(1,978)</w:t>
            </w:r>
          </w:p>
        </w:tc>
        <w:tc>
          <w:tcPr>
            <w:tcW w:w="120" w:type="dxa"/>
            <w:vAlign w:val="bottom"/>
            <w:shd w:val="clear" w:color="auto" w:fill="CFF2FA"/>
          </w:tcPr>
          <w:p>
            <w:pPr>
              <w:spacing w:after="0"/>
              <w:rPr>
                <w:sz w:val="20"/>
                <w:szCs w:val="20"/>
                <w:color w:val="auto"/>
              </w:rPr>
            </w:pPr>
            <w:r>
              <w:rPr>
                <w:rFonts w:ascii="Arial" w:cs="Arial" w:eastAsia="Arial" w:hAnsi="Arial"/>
                <w:sz w:val="20"/>
                <w:szCs w:val="20"/>
                <w:color w:val="auto"/>
                <w:w w:val="89"/>
              </w:rPr>
              <w:t>$</w:t>
            </w:r>
          </w:p>
        </w:tc>
        <w:tc>
          <w:tcPr>
            <w:tcW w:w="118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(105,622)</w:t>
            </w:r>
          </w:p>
        </w:tc>
        <w:tc>
          <w:tcPr>
            <w:tcW w:w="100" w:type="dxa"/>
            <w:vAlign w:val="bottom"/>
            <w:shd w:val="clear" w:color="auto" w:fill="CFF2FA"/>
          </w:tcPr>
          <w:p>
            <w:pPr>
              <w:spacing w:after="0"/>
              <w:rPr>
                <w:sz w:val="20"/>
                <w:szCs w:val="20"/>
                <w:color w:val="auto"/>
              </w:rPr>
            </w:pPr>
          </w:p>
        </w:tc>
      </w:tr>
      <w:tr>
        <w:trPr>
          <w:trHeight w:val="220"/>
        </w:trPr>
        <w:tc>
          <w:tcPr>
            <w:tcW w:w="4480" w:type="dxa"/>
            <w:vAlign w:val="bottom"/>
          </w:tcPr>
          <w:p>
            <w:pPr>
              <w:spacing w:after="0" w:line="220" w:lineRule="exact"/>
              <w:rPr>
                <w:sz w:val="20"/>
                <w:szCs w:val="20"/>
                <w:color w:val="auto"/>
              </w:rPr>
            </w:pPr>
            <w:r>
              <w:rPr>
                <w:rFonts w:ascii="Arial" w:cs="Arial" w:eastAsia="Arial" w:hAnsi="Arial"/>
                <w:sz w:val="20"/>
                <w:szCs w:val="20"/>
                <w:color w:val="auto"/>
              </w:rPr>
              <w:t>Other comprehensive earnings before</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4480" w:type="dxa"/>
            <w:vAlign w:val="bottom"/>
          </w:tcPr>
          <w:p>
            <w:pPr>
              <w:ind w:left="260"/>
              <w:spacing w:after="0"/>
              <w:rPr>
                <w:sz w:val="20"/>
                <w:szCs w:val="20"/>
                <w:color w:val="auto"/>
              </w:rPr>
            </w:pPr>
            <w:r>
              <w:rPr>
                <w:rFonts w:ascii="Arial" w:cs="Arial" w:eastAsia="Arial" w:hAnsi="Arial"/>
                <w:sz w:val="20"/>
                <w:szCs w:val="20"/>
                <w:color w:val="auto"/>
              </w:rPr>
              <w:t>reclassifications, net of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115</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115</w:t>
            </w:r>
          </w:p>
        </w:tc>
        <w:tc>
          <w:tcPr>
            <w:tcW w:w="100" w:type="dxa"/>
            <w:vAlign w:val="bottom"/>
          </w:tcPr>
          <w:p>
            <w:pPr>
              <w:spacing w:after="0"/>
              <w:rPr>
                <w:sz w:val="21"/>
                <w:szCs w:val="21"/>
                <w:color w:val="auto"/>
              </w:rPr>
            </w:pPr>
          </w:p>
        </w:tc>
      </w:tr>
      <w:tr>
        <w:trPr>
          <w:trHeight w:val="226"/>
        </w:trPr>
        <w:tc>
          <w:tcPr>
            <w:tcW w:w="44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Amounts reclassified from accumulated other</w:t>
            </w:r>
          </w:p>
        </w:tc>
        <w:tc>
          <w:tcPr>
            <w:tcW w:w="860" w:type="dxa"/>
            <w:vAlign w:val="bottom"/>
            <w:shd w:val="clear" w:color="auto" w:fill="CFF0FC"/>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18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80" w:type="dxa"/>
            <w:vAlign w:val="bottom"/>
            <w:shd w:val="clear" w:color="auto" w:fill="CFF2FA"/>
          </w:tcPr>
          <w:p>
            <w:pPr>
              <w:spacing w:after="0"/>
              <w:rPr>
                <w:sz w:val="19"/>
                <w:szCs w:val="19"/>
                <w:color w:val="auto"/>
              </w:rPr>
            </w:pPr>
          </w:p>
        </w:tc>
        <w:tc>
          <w:tcPr>
            <w:tcW w:w="110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24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18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r>
      <w:tr>
        <w:trPr>
          <w:trHeight w:val="246"/>
        </w:trPr>
        <w:tc>
          <w:tcPr>
            <w:tcW w:w="44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comprehensive earnings, net of tax</w:t>
            </w:r>
          </w:p>
        </w:tc>
        <w:tc>
          <w:tcPr>
            <w:tcW w:w="860" w:type="dxa"/>
            <w:vAlign w:val="bottom"/>
            <w:shd w:val="clear" w:color="auto" w:fill="CFF0FC"/>
          </w:tcPr>
          <w:p>
            <w:pPr>
              <w:spacing w:after="0"/>
              <w:rPr>
                <w:sz w:val="21"/>
                <w:szCs w:val="21"/>
                <w:color w:val="auto"/>
              </w:rPr>
            </w:pPr>
          </w:p>
        </w:tc>
        <w:tc>
          <w:tcPr>
            <w:tcW w:w="100" w:type="dxa"/>
            <w:vAlign w:val="bottom"/>
            <w:shd w:val="clear" w:color="auto" w:fill="CFF2FA"/>
          </w:tcPr>
          <w:p>
            <w:pPr>
              <w:spacing w:after="0"/>
              <w:rPr>
                <w:sz w:val="21"/>
                <w:szCs w:val="21"/>
                <w:color w:val="auto"/>
              </w:rPr>
            </w:pPr>
          </w:p>
        </w:tc>
        <w:tc>
          <w:tcPr>
            <w:tcW w:w="118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1,473</w:t>
            </w:r>
          </w:p>
        </w:tc>
        <w:tc>
          <w:tcPr>
            <w:tcW w:w="140" w:type="dxa"/>
            <w:vAlign w:val="bottom"/>
            <w:shd w:val="clear" w:color="auto" w:fill="CFF2FA"/>
          </w:tcPr>
          <w:p>
            <w:pPr>
              <w:spacing w:after="0"/>
              <w:rPr>
                <w:sz w:val="21"/>
                <w:szCs w:val="21"/>
                <w:color w:val="auto"/>
              </w:rPr>
            </w:pPr>
          </w:p>
        </w:tc>
        <w:tc>
          <w:tcPr>
            <w:tcW w:w="120" w:type="dxa"/>
            <w:vAlign w:val="bottom"/>
            <w:shd w:val="clear" w:color="auto" w:fill="CFF2FA"/>
          </w:tcPr>
          <w:p>
            <w:pPr>
              <w:spacing w:after="0"/>
              <w:rPr>
                <w:sz w:val="21"/>
                <w:szCs w:val="21"/>
                <w:color w:val="auto"/>
              </w:rPr>
            </w:pPr>
          </w:p>
        </w:tc>
        <w:tc>
          <w:tcPr>
            <w:tcW w:w="180" w:type="dxa"/>
            <w:vAlign w:val="bottom"/>
            <w:shd w:val="clear" w:color="auto" w:fill="CFF2FA"/>
          </w:tcPr>
          <w:p>
            <w:pPr>
              <w:spacing w:after="0"/>
              <w:rPr>
                <w:sz w:val="21"/>
                <w:szCs w:val="21"/>
                <w:color w:val="auto"/>
              </w:rPr>
            </w:pPr>
          </w:p>
        </w:tc>
        <w:tc>
          <w:tcPr>
            <w:tcW w:w="1360" w:type="dxa"/>
            <w:vAlign w:val="bottom"/>
            <w:gridSpan w:val="2"/>
            <w:shd w:val="clear" w:color="auto" w:fill="CFF2FA"/>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2FA"/>
          </w:tcPr>
          <w:p>
            <w:pPr>
              <w:spacing w:after="0"/>
              <w:rPr>
                <w:sz w:val="21"/>
                <w:szCs w:val="21"/>
                <w:color w:val="auto"/>
              </w:rPr>
            </w:pPr>
          </w:p>
        </w:tc>
        <w:tc>
          <w:tcPr>
            <w:tcW w:w="1240" w:type="dxa"/>
            <w:vAlign w:val="bottom"/>
            <w:shd w:val="clear" w:color="auto" w:fill="CFF2FA"/>
          </w:tcPr>
          <w:p>
            <w:pPr>
              <w:jc w:val="right"/>
              <w:spacing w:after="0"/>
              <w:rPr>
                <w:sz w:val="20"/>
                <w:szCs w:val="20"/>
                <w:color w:val="auto"/>
              </w:rPr>
            </w:pPr>
            <w:r>
              <w:rPr>
                <w:rFonts w:ascii="Arial" w:cs="Arial" w:eastAsia="Arial" w:hAnsi="Arial"/>
                <w:sz w:val="20"/>
                <w:szCs w:val="20"/>
                <w:color w:val="auto"/>
              </w:rPr>
              <w:t>201</w:t>
            </w:r>
          </w:p>
        </w:tc>
        <w:tc>
          <w:tcPr>
            <w:tcW w:w="240" w:type="dxa"/>
            <w:vAlign w:val="bottom"/>
            <w:shd w:val="clear" w:color="auto" w:fill="CFF2FA"/>
          </w:tcPr>
          <w:p>
            <w:pPr>
              <w:spacing w:after="0"/>
              <w:rPr>
                <w:sz w:val="21"/>
                <w:szCs w:val="21"/>
                <w:color w:val="auto"/>
              </w:rPr>
            </w:pPr>
          </w:p>
        </w:tc>
        <w:tc>
          <w:tcPr>
            <w:tcW w:w="120" w:type="dxa"/>
            <w:vAlign w:val="bottom"/>
            <w:shd w:val="clear" w:color="auto" w:fill="CFF2FA"/>
          </w:tcPr>
          <w:p>
            <w:pPr>
              <w:spacing w:after="0"/>
              <w:rPr>
                <w:sz w:val="21"/>
                <w:szCs w:val="21"/>
                <w:color w:val="auto"/>
              </w:rPr>
            </w:pPr>
          </w:p>
        </w:tc>
        <w:tc>
          <w:tcPr>
            <w:tcW w:w="118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1,674</w:t>
            </w:r>
          </w:p>
        </w:tc>
        <w:tc>
          <w:tcPr>
            <w:tcW w:w="100" w:type="dxa"/>
            <w:vAlign w:val="bottom"/>
            <w:shd w:val="clear" w:color="auto" w:fill="CFF2FA"/>
          </w:tcPr>
          <w:p>
            <w:pPr>
              <w:spacing w:after="0"/>
              <w:rPr>
                <w:sz w:val="21"/>
                <w:szCs w:val="21"/>
                <w:color w:val="auto"/>
              </w:rPr>
            </w:pPr>
          </w:p>
        </w:tc>
      </w:tr>
      <w:tr>
        <w:trPr>
          <w:trHeight w:val="237"/>
        </w:trPr>
        <w:tc>
          <w:tcPr>
            <w:tcW w:w="44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86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1,473</w:t>
            </w:r>
          </w:p>
        </w:tc>
        <w:tc>
          <w:tcPr>
            <w:tcW w:w="140" w:type="dxa"/>
            <w:vAlign w:val="bottom"/>
            <w:tcBorders>
              <w:bottom w:val="single" w:sz="8" w:color="CFF2FA"/>
            </w:tcBorders>
          </w:tcPr>
          <w:p>
            <w:pPr>
              <w:spacing w:after="0"/>
              <w:rPr>
                <w:sz w:val="20"/>
                <w:szCs w:val="20"/>
                <w:color w:val="auto"/>
              </w:rPr>
            </w:pPr>
          </w:p>
        </w:tc>
        <w:tc>
          <w:tcPr>
            <w:tcW w:w="120" w:type="dxa"/>
            <w:vAlign w:val="bottom"/>
            <w:tcBorders>
              <w:bottom w:val="single" w:sz="8" w:color="CFF2FA"/>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115</w:t>
            </w:r>
          </w:p>
        </w:tc>
        <w:tc>
          <w:tcPr>
            <w:tcW w:w="260" w:type="dxa"/>
            <w:vAlign w:val="bottom"/>
            <w:tcBorders>
              <w:bottom w:val="single" w:sz="8" w:color="CFF2FA"/>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w:t>
            </w:r>
          </w:p>
        </w:tc>
        <w:tc>
          <w:tcPr>
            <w:tcW w:w="240" w:type="dxa"/>
            <w:vAlign w:val="bottom"/>
            <w:tcBorders>
              <w:bottom w:val="single" w:sz="8" w:color="CFF2FA"/>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1,789</w:t>
            </w:r>
          </w:p>
        </w:tc>
        <w:tc>
          <w:tcPr>
            <w:tcW w:w="100" w:type="dxa"/>
            <w:vAlign w:val="bottom"/>
            <w:tcBorders>
              <w:bottom w:val="single" w:sz="8" w:color="CFF2FA"/>
            </w:tcBorders>
          </w:tcPr>
          <w:p>
            <w:pPr>
              <w:spacing w:after="0"/>
              <w:rPr>
                <w:sz w:val="20"/>
                <w:szCs w:val="20"/>
                <w:color w:val="auto"/>
              </w:rPr>
            </w:pPr>
          </w:p>
        </w:tc>
      </w:tr>
      <w:tr>
        <w:trPr>
          <w:trHeight w:val="237"/>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8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(101,907)</w:t>
            </w:r>
          </w:p>
        </w:tc>
        <w:tc>
          <w:tcPr>
            <w:tcW w:w="140" w:type="dxa"/>
            <w:vAlign w:val="bottom"/>
            <w:tcBorders>
              <w:bottom w:val="single" w:sz="8" w:color="CFF2FA"/>
            </w:tcBorders>
            <w:shd w:val="clear" w:color="auto" w:fill="CFF2FA"/>
          </w:tcPr>
          <w:p>
            <w:pPr>
              <w:spacing w:after="0"/>
              <w:rPr>
                <w:sz w:val="20"/>
                <w:szCs w:val="20"/>
                <w:color w:val="auto"/>
              </w:rPr>
            </w:pPr>
          </w:p>
        </w:tc>
        <w:tc>
          <w:tcPr>
            <w:tcW w:w="120" w:type="dxa"/>
            <w:vAlign w:val="bottom"/>
            <w:tcBorders>
              <w:bottom w:val="single" w:sz="8" w:color="CFF2FA"/>
            </w:tcBorders>
            <w:shd w:val="clear" w:color="auto" w:fill="CFF2FA"/>
          </w:tcPr>
          <w:p>
            <w:pPr>
              <w:spacing w:after="0"/>
              <w:rPr>
                <w:sz w:val="20"/>
                <w:szCs w:val="20"/>
                <w:color w:val="auto"/>
              </w:rPr>
            </w:pPr>
          </w:p>
        </w:tc>
        <w:tc>
          <w:tcPr>
            <w:tcW w:w="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(149)</w:t>
            </w:r>
          </w:p>
        </w:tc>
        <w:tc>
          <w:tcPr>
            <w:tcW w:w="260" w:type="dxa"/>
            <w:vAlign w:val="bottom"/>
            <w:tcBorders>
              <w:bottom w:val="single" w:sz="8" w:color="CFF2FA"/>
            </w:tcBorders>
            <w:shd w:val="clear" w:color="auto" w:fill="CFF2FA"/>
          </w:tcPr>
          <w:p>
            <w:pPr>
              <w:spacing w:after="0"/>
              <w:rPr>
                <w:sz w:val="20"/>
                <w:szCs w:val="20"/>
                <w:color w:val="auto"/>
              </w:rPr>
            </w:pPr>
          </w:p>
        </w:tc>
        <w:tc>
          <w:tcPr>
            <w:tcW w:w="12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(1,777)</w:t>
            </w:r>
          </w:p>
        </w:tc>
        <w:tc>
          <w:tcPr>
            <w:tcW w:w="240" w:type="dxa"/>
            <w:vAlign w:val="bottom"/>
            <w:tcBorders>
              <w:bottom w:val="single" w:sz="8" w:color="CFF2FA"/>
            </w:tcBorders>
            <w:shd w:val="clear" w:color="auto" w:fill="CFF2FA"/>
          </w:tcPr>
          <w:p>
            <w:pPr>
              <w:spacing w:after="0"/>
              <w:rPr>
                <w:sz w:val="20"/>
                <w:szCs w:val="20"/>
                <w:color w:val="auto"/>
              </w:rPr>
            </w:pPr>
          </w:p>
        </w:tc>
        <w:tc>
          <w:tcPr>
            <w:tcW w:w="12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(103,833)</w:t>
            </w:r>
          </w:p>
        </w:tc>
        <w:tc>
          <w:tcPr>
            <w:tcW w:w="100" w:type="dxa"/>
            <w:vAlign w:val="bottom"/>
            <w:tcBorders>
              <w:bottom w:val="single" w:sz="8" w:color="CFF2FA"/>
            </w:tcBorders>
            <w:shd w:val="clear" w:color="auto" w:fill="CFF2FA"/>
          </w:tcPr>
          <w:p>
            <w:pPr>
              <w:spacing w:after="0"/>
              <w:rPr>
                <w:sz w:val="20"/>
                <w:szCs w:val="20"/>
                <w:color w:val="auto"/>
              </w:rPr>
            </w:pPr>
          </w:p>
        </w:tc>
      </w:tr>
      <w:tr>
        <w:trPr>
          <w:trHeight w:val="20"/>
        </w:trPr>
        <w:tc>
          <w:tcPr>
            <w:tcW w:w="4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11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hanging="372"/>
        <w:spacing w:after="0"/>
        <w:tabs>
          <w:tab w:leader="none" w:pos="3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7"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 (continued)</w:t>
      </w:r>
    </w:p>
    <w:p>
      <w:pPr>
        <w:spacing w:after="0" w:line="11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Changes in net noncurrent deferred tax assets recorded in accumulated other comprehensive loss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20"/>
                <w:szCs w:val="20"/>
                <w:i w:val="1"/>
                <w:iCs w:val="1"/>
                <w:color w:val="auto"/>
                <w:w w:val="91"/>
              </w:rPr>
              <w:t>(Dollars in Thousands)</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20"/>
        </w:trPr>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jc w:val="center"/>
              <w:ind w:right="480"/>
              <w:spacing w:after="0" w:line="220" w:lineRule="exact"/>
              <w:rPr>
                <w:sz w:val="20"/>
                <w:szCs w:val="20"/>
                <w:color w:val="auto"/>
              </w:rPr>
            </w:pPr>
            <w:r>
              <w:rPr>
                <w:rFonts w:ascii="Arial" w:cs="Arial" w:eastAsia="Arial" w:hAnsi="Arial"/>
                <w:sz w:val="20"/>
                <w:szCs w:val="20"/>
                <w:color w:val="auto"/>
                <w:w w:val="86"/>
              </w:rPr>
              <w:t>Pension and</w:t>
            </w:r>
          </w:p>
        </w:tc>
        <w:tc>
          <w:tcPr>
            <w:tcW w:w="120" w:type="dxa"/>
            <w:vAlign w:val="bottom"/>
          </w:tcPr>
          <w:p>
            <w:pPr>
              <w:spacing w:after="0"/>
              <w:rPr>
                <w:sz w:val="19"/>
                <w:szCs w:val="19"/>
                <w:color w:val="auto"/>
              </w:rPr>
            </w:pPr>
          </w:p>
        </w:tc>
        <w:tc>
          <w:tcPr>
            <w:tcW w:w="2520" w:type="dxa"/>
            <w:vAlign w:val="bottom"/>
            <w:gridSpan w:val="3"/>
          </w:tcPr>
          <w:p>
            <w:pPr>
              <w:jc w:val="center"/>
              <w:ind w:right="340"/>
              <w:spacing w:after="0" w:line="220" w:lineRule="exact"/>
              <w:rPr>
                <w:sz w:val="20"/>
                <w:szCs w:val="20"/>
                <w:color w:val="auto"/>
              </w:rPr>
            </w:pPr>
            <w:r>
              <w:rPr>
                <w:rFonts w:ascii="Arial" w:cs="Arial" w:eastAsia="Arial" w:hAnsi="Arial"/>
                <w:sz w:val="20"/>
                <w:szCs w:val="20"/>
                <w:color w:val="auto"/>
                <w:w w:val="90"/>
              </w:rPr>
              <w:t>Unamortized Value of</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ind w:right="21"/>
              <w:spacing w:after="0" w:line="220" w:lineRule="exact"/>
              <w:rPr>
                <w:sz w:val="20"/>
                <w:szCs w:val="20"/>
                <w:color w:val="auto"/>
              </w:rPr>
            </w:pPr>
            <w:r>
              <w:rPr>
                <w:rFonts w:ascii="Arial" w:cs="Arial" w:eastAsia="Arial" w:hAnsi="Arial"/>
                <w:sz w:val="20"/>
                <w:szCs w:val="20"/>
                <w:color w:val="auto"/>
                <w:w w:val="91"/>
              </w:rPr>
              <w:t>Net Noncurrent</w:t>
            </w:r>
          </w:p>
        </w:tc>
        <w:tc>
          <w:tcPr>
            <w:tcW w:w="120" w:type="dxa"/>
            <w:vAlign w:val="bottom"/>
          </w:tcPr>
          <w:p>
            <w:pPr>
              <w:spacing w:after="0"/>
              <w:rPr>
                <w:sz w:val="19"/>
                <w:szCs w:val="19"/>
                <w:color w:val="auto"/>
              </w:rPr>
            </w:pPr>
          </w:p>
        </w:tc>
      </w:tr>
      <w:tr>
        <w:trPr>
          <w:trHeight w:val="230"/>
        </w:trPr>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jc w:val="center"/>
              <w:ind w:right="480"/>
              <w:spacing w:after="0"/>
              <w:rPr>
                <w:sz w:val="20"/>
                <w:szCs w:val="20"/>
                <w:color w:val="auto"/>
              </w:rPr>
            </w:pPr>
            <w:r>
              <w:rPr>
                <w:rFonts w:ascii="Arial" w:cs="Arial" w:eastAsia="Arial" w:hAnsi="Arial"/>
                <w:sz w:val="20"/>
                <w:szCs w:val="20"/>
                <w:color w:val="auto"/>
                <w:w w:val="89"/>
              </w:rPr>
              <w:t>Postretirement</w:t>
            </w:r>
          </w:p>
        </w:tc>
        <w:tc>
          <w:tcPr>
            <w:tcW w:w="2640" w:type="dxa"/>
            <w:vAlign w:val="bottom"/>
            <w:gridSpan w:val="4"/>
          </w:tcPr>
          <w:p>
            <w:pPr>
              <w:jc w:val="center"/>
              <w:ind w:right="220"/>
              <w:spacing w:after="0"/>
              <w:rPr>
                <w:sz w:val="20"/>
                <w:szCs w:val="20"/>
                <w:color w:val="auto"/>
              </w:rPr>
            </w:pPr>
            <w:r>
              <w:rPr>
                <w:rFonts w:ascii="Arial" w:cs="Arial" w:eastAsia="Arial" w:hAnsi="Arial"/>
                <w:sz w:val="20"/>
                <w:szCs w:val="20"/>
                <w:color w:val="auto"/>
                <w:w w:val="90"/>
              </w:rPr>
              <w:t>Terminated Forward Starting</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20"/>
                <w:szCs w:val="20"/>
                <w:color w:val="auto"/>
                <w:w w:val="89"/>
              </w:rPr>
              <w:t>Deferred Tax</w:t>
            </w:r>
          </w:p>
        </w:tc>
      </w:tr>
      <w:tr>
        <w:trPr>
          <w:trHeight w:val="246"/>
        </w:trPr>
        <w:tc>
          <w:tcPr>
            <w:tcW w:w="50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89"/>
              </w:rPr>
              <w:t>Benefit Plans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color w:val="auto"/>
                <w:w w:val="88"/>
              </w:rPr>
              <w:t>Interest Rate Swap</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color w:val="auto"/>
                <w:w w:val="86"/>
              </w:rPr>
              <w:t>Assets</w:t>
            </w:r>
          </w:p>
        </w:tc>
        <w:tc>
          <w:tcPr>
            <w:tcW w:w="120" w:type="dxa"/>
            <w:vAlign w:val="bottom"/>
          </w:tcPr>
          <w:p>
            <w:pPr>
              <w:spacing w:after="0"/>
              <w:rPr>
                <w:sz w:val="21"/>
                <w:szCs w:val="21"/>
                <w:color w:val="auto"/>
              </w:rPr>
            </w:pPr>
          </w:p>
        </w:tc>
      </w:tr>
      <w:tr>
        <w:trPr>
          <w:trHeight w:val="476"/>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80" w:type="dxa"/>
            <w:vAlign w:val="bottom"/>
            <w:gridSpan w:val="7"/>
          </w:tcPr>
          <w:p>
            <w:pPr>
              <w:jc w:val="center"/>
              <w:ind w:left="1241"/>
              <w:spacing w:after="0"/>
              <w:rPr>
                <w:sz w:val="20"/>
                <w:szCs w:val="20"/>
                <w:color w:val="auto"/>
              </w:rPr>
            </w:pPr>
            <w:r>
              <w:rPr>
                <w:rFonts w:ascii="Arial" w:cs="Arial" w:eastAsia="Arial" w:hAnsi="Arial"/>
                <w:sz w:val="20"/>
                <w:szCs w:val="20"/>
                <w:color w:val="auto"/>
                <w:w w:val="89"/>
              </w:rPr>
              <w:t>Three Months Ended March 31, 2017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6"/>
        </w:trPr>
        <w:tc>
          <w:tcPr>
            <w:tcW w:w="5040" w:type="dxa"/>
            <w:vAlign w:val="bottom"/>
          </w:tcPr>
          <w:p>
            <w:pPr>
              <w:ind w:left="260"/>
              <w:spacing w:after="0"/>
              <w:rPr>
                <w:sz w:val="20"/>
                <w:szCs w:val="20"/>
                <w:color w:val="auto"/>
              </w:rPr>
            </w:pPr>
            <w:r>
              <w:rPr>
                <w:rFonts w:ascii="Arial" w:cs="Arial" w:eastAsia="Arial" w:hAnsi="Arial"/>
                <w:sz w:val="20"/>
                <w:szCs w:val="20"/>
                <w:color w:val="auto"/>
              </w:rPr>
              <w:t>Balance at beginning of period</w:t>
            </w:r>
          </w:p>
        </w:tc>
        <w:tc>
          <w:tcPr>
            <w:tcW w:w="200" w:type="dxa"/>
            <w:vAlign w:val="bottom"/>
          </w:tcPr>
          <w:p>
            <w:pPr>
              <w:jc w:val="right"/>
              <w:ind w:right="1"/>
              <w:spacing w:after="0"/>
              <w:rPr>
                <w:sz w:val="20"/>
                <w:szCs w:val="20"/>
                <w:color w:val="auto"/>
              </w:rPr>
            </w:pPr>
            <w:r>
              <w:rPr>
                <w:rFonts w:ascii="Arial" w:cs="Arial" w:eastAsia="Arial" w:hAnsi="Arial"/>
                <w:sz w:val="20"/>
                <w:szCs w:val="20"/>
                <w:color w:val="auto"/>
                <w:w w:val="71"/>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82,044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320" w:type="dxa"/>
            <w:vAlign w:val="bottom"/>
          </w:tcPr>
          <w:p>
            <w:pPr>
              <w:jc w:val="right"/>
              <w:spacing w:after="0"/>
              <w:rPr>
                <w:sz w:val="20"/>
                <w:szCs w:val="20"/>
                <w:color w:val="auto"/>
              </w:rPr>
            </w:pPr>
            <w:r>
              <w:rPr>
                <w:rFonts w:ascii="Arial" w:cs="Arial" w:eastAsia="Arial" w:hAnsi="Arial"/>
                <w:sz w:val="20"/>
                <w:szCs w:val="20"/>
                <w:color w:val="auto"/>
              </w:rPr>
              <w:t>749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82,793</w:t>
            </w:r>
          </w:p>
        </w:tc>
        <w:tc>
          <w:tcPr>
            <w:tcW w:w="120" w:type="dxa"/>
            <w:vAlign w:val="bottom"/>
          </w:tcPr>
          <w:p>
            <w:pPr>
              <w:spacing w:after="0"/>
              <w:rPr>
                <w:sz w:val="21"/>
                <w:szCs w:val="21"/>
                <w:color w:val="auto"/>
              </w:rPr>
            </w:pPr>
          </w:p>
        </w:tc>
      </w:tr>
      <w:tr>
        <w:trPr>
          <w:trHeight w:val="243"/>
        </w:trPr>
        <w:tc>
          <w:tcPr>
            <w:tcW w:w="50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Tax effect of other comprehensive earnings</w:t>
            </w:r>
          </w:p>
        </w:tc>
        <w:tc>
          <w:tcPr>
            <w:tcW w:w="20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(1,185)</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(141)</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(1,326)</w:t>
            </w:r>
          </w:p>
        </w:tc>
      </w:tr>
      <w:tr>
        <w:trPr>
          <w:trHeight w:val="237"/>
        </w:trPr>
        <w:tc>
          <w:tcPr>
            <w:tcW w:w="5040" w:type="dxa"/>
            <w:vAlign w:val="bottom"/>
          </w:tcPr>
          <w:p>
            <w:pPr>
              <w:ind w:left="260"/>
              <w:spacing w:after="0"/>
              <w:rPr>
                <w:sz w:val="20"/>
                <w:szCs w:val="20"/>
                <w:color w:val="auto"/>
              </w:rPr>
            </w:pPr>
            <w:r>
              <w:rPr>
                <w:rFonts w:ascii="Arial" w:cs="Arial" w:eastAsia="Arial" w:hAnsi="Arial"/>
                <w:sz w:val="20"/>
                <w:szCs w:val="20"/>
                <w:color w:val="auto"/>
              </w:rPr>
              <w:t>Balance at end of period</w:t>
            </w: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80,859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2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81,467</w:t>
            </w:r>
          </w:p>
        </w:tc>
        <w:tc>
          <w:tcPr>
            <w:tcW w:w="12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7"/>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80" w:type="dxa"/>
            <w:vAlign w:val="bottom"/>
            <w:gridSpan w:val="7"/>
          </w:tcPr>
          <w:p>
            <w:pPr>
              <w:jc w:val="center"/>
              <w:ind w:left="1241"/>
              <w:spacing w:after="0"/>
              <w:rPr>
                <w:sz w:val="20"/>
                <w:szCs w:val="20"/>
                <w:color w:val="auto"/>
              </w:rPr>
            </w:pPr>
            <w:r>
              <w:rPr>
                <w:rFonts w:ascii="Arial" w:cs="Arial" w:eastAsia="Arial" w:hAnsi="Arial"/>
                <w:sz w:val="20"/>
                <w:szCs w:val="20"/>
                <w:color w:val="auto"/>
                <w:w w:val="89"/>
              </w:rPr>
              <w:t>Three Months Ended March 31, 2016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50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Balance at beginning of period</w:t>
            </w:r>
          </w:p>
        </w:tc>
        <w:tc>
          <w:tcPr>
            <w:tcW w:w="20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66,467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1,290</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67,757</w:t>
            </w:r>
          </w:p>
        </w:tc>
        <w:tc>
          <w:tcPr>
            <w:tcW w:w="120" w:type="dxa"/>
            <w:vAlign w:val="bottom"/>
            <w:shd w:val="clear" w:color="auto" w:fill="CFF0FC"/>
          </w:tcPr>
          <w:p>
            <w:pPr>
              <w:spacing w:after="0"/>
              <w:rPr>
                <w:sz w:val="21"/>
                <w:szCs w:val="21"/>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20"/>
                <w:szCs w:val="20"/>
                <w:color w:val="auto"/>
              </w:rPr>
              <w:t>Tax effect of other comprehensive earnings</w:t>
            </w:r>
          </w:p>
        </w:tc>
        <w:tc>
          <w:tcPr>
            <w:tcW w:w="200" w:type="dxa"/>
            <w:vAlign w:val="bottom"/>
          </w:tcPr>
          <w:p>
            <w:pPr>
              <w:spacing w:after="0"/>
              <w:rPr>
                <w:sz w:val="21"/>
                <w:szCs w:val="21"/>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20"/>
                <w:szCs w:val="20"/>
                <w:color w:val="auto"/>
              </w:rPr>
              <w:t>(944)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jc w:val="right"/>
              <w:ind w:right="40"/>
              <w:spacing w:after="0"/>
              <w:rPr>
                <w:sz w:val="20"/>
                <w:szCs w:val="20"/>
                <w:color w:val="auto"/>
              </w:rPr>
            </w:pPr>
            <w:r>
              <w:rPr>
                <w:rFonts w:ascii="Arial" w:cs="Arial" w:eastAsia="Arial" w:hAnsi="Arial"/>
                <w:sz w:val="20"/>
                <w:szCs w:val="20"/>
                <w:color w:val="auto"/>
              </w:rPr>
              <w:t>(131)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20"/>
                <w:szCs w:val="20"/>
                <w:color w:val="auto"/>
              </w:rPr>
              <w:t>(1,075)</w:t>
            </w:r>
          </w:p>
        </w:tc>
      </w:tr>
      <w:tr>
        <w:trPr>
          <w:trHeight w:val="237"/>
        </w:trPr>
        <w:tc>
          <w:tcPr>
            <w:tcW w:w="50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Balance at end of period</w:t>
            </w:r>
          </w:p>
        </w:tc>
        <w:tc>
          <w:tcPr>
            <w:tcW w:w="20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65,523</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1,159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66,682</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Reclassifications out of accumulated other comprehensive loss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800" w:type="dxa"/>
            <w:vAlign w:val="bottom"/>
            <w:gridSpan w:val="4"/>
          </w:tcPr>
          <w:p>
            <w:pPr>
              <w:jc w:val="right"/>
              <w:ind w:right="282"/>
              <w:spacing w:after="0"/>
              <w:rPr>
                <w:sz w:val="20"/>
                <w:szCs w:val="20"/>
                <w:color w:val="auto"/>
              </w:rPr>
            </w:pPr>
            <w:r>
              <w:rPr>
                <w:rFonts w:ascii="Arial" w:cs="Arial" w:eastAsia="Arial" w:hAnsi="Arial"/>
                <w:sz w:val="19"/>
                <w:szCs w:val="19"/>
                <w:color w:val="auto"/>
              </w:rPr>
              <w:t>Three Months Ended</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Arial" w:cs="Arial" w:eastAsia="Arial" w:hAnsi="Arial"/>
                <w:sz w:val="19"/>
                <w:szCs w:val="19"/>
                <w:color w:val="auto"/>
                <w:w w:val="91"/>
              </w:rPr>
              <w:t>Affected line items in the consolidated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9"/>
                <w:szCs w:val="19"/>
                <w:color w:val="auto"/>
              </w:rPr>
              <w:t>March 31,</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320" w:type="dxa"/>
            <w:vAlign w:val="bottom"/>
          </w:tcPr>
          <w:p>
            <w:pPr>
              <w:jc w:val="center"/>
              <w:ind w:left="5"/>
              <w:spacing w:after="0"/>
              <w:rPr>
                <w:sz w:val="20"/>
                <w:szCs w:val="20"/>
                <w:color w:val="auto"/>
              </w:rPr>
            </w:pPr>
            <w:r>
              <w:rPr>
                <w:rFonts w:ascii="Arial" w:cs="Arial" w:eastAsia="Arial" w:hAnsi="Arial"/>
                <w:sz w:val="19"/>
                <w:szCs w:val="19"/>
                <w:color w:val="auto"/>
                <w:w w:val="88"/>
              </w:rPr>
              <w:t>statements of earnings and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2017</w:t>
            </w: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9"/>
                <w:szCs w:val="19"/>
                <w:color w:val="auto"/>
              </w:rPr>
              <w:t>2016</w:t>
            </w: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tcPr>
          <w:p>
            <w:pPr>
              <w:jc w:val="center"/>
              <w:ind w:left="5"/>
              <w:spacing w:after="0"/>
              <w:rPr>
                <w:sz w:val="20"/>
                <w:szCs w:val="20"/>
                <w:color w:val="auto"/>
              </w:rPr>
            </w:pPr>
            <w:r>
              <w:rPr>
                <w:rFonts w:ascii="Arial" w:cs="Arial" w:eastAsia="Arial" w:hAnsi="Arial"/>
                <w:sz w:val="19"/>
                <w:szCs w:val="19"/>
                <w:color w:val="auto"/>
                <w:w w:val="87"/>
              </w:rPr>
              <w:t>comprehensive earnings</w:t>
            </w:r>
          </w:p>
        </w:tc>
        <w:tc>
          <w:tcPr>
            <w:tcW w:w="0" w:type="dxa"/>
            <w:vAlign w:val="bottom"/>
          </w:tcPr>
          <w:p>
            <w:pPr>
              <w:spacing w:after="0"/>
              <w:rPr>
                <w:sz w:val="1"/>
                <w:szCs w:val="1"/>
                <w:color w:val="auto"/>
              </w:rPr>
            </w:pPr>
          </w:p>
        </w:tc>
      </w:tr>
      <w:tr>
        <w:trPr>
          <w:trHeight w:val="234"/>
        </w:trPr>
        <w:tc>
          <w:tcPr>
            <w:tcW w:w="3620" w:type="dxa"/>
            <w:vAlign w:val="bottom"/>
            <w:gridSpan w:val="2"/>
            <w:vMerge w:val="restart"/>
          </w:tcPr>
          <w:p>
            <w:pPr>
              <w:spacing w:after="0"/>
              <w:rPr>
                <w:sz w:val="20"/>
                <w:szCs w:val="20"/>
                <w:color w:val="auto"/>
              </w:rPr>
            </w:pPr>
            <w:r>
              <w:rPr>
                <w:rFonts w:ascii="Arial" w:cs="Arial" w:eastAsia="Arial" w:hAnsi="Arial"/>
                <w:sz w:val="19"/>
                <w:szCs w:val="19"/>
                <w:color w:val="auto"/>
              </w:rPr>
              <w:t>Pension and postretirement</w:t>
            </w:r>
          </w:p>
        </w:tc>
        <w:tc>
          <w:tcPr>
            <w:tcW w:w="2800" w:type="dxa"/>
            <w:vAlign w:val="bottom"/>
            <w:gridSpan w:val="4"/>
          </w:tcPr>
          <w:p>
            <w:pPr>
              <w:jc w:val="right"/>
              <w:ind w:right="62"/>
              <w:spacing w:after="0"/>
              <w:rPr>
                <w:sz w:val="20"/>
                <w:szCs w:val="20"/>
                <w:color w:val="auto"/>
              </w:rPr>
            </w:pPr>
            <w:r>
              <w:rPr>
                <w:rFonts w:ascii="Arial" w:cs="Arial" w:eastAsia="Arial" w:hAnsi="Arial"/>
                <w:sz w:val="19"/>
                <w:szCs w:val="19"/>
                <w:i w:val="1"/>
                <w:iCs w:val="1"/>
                <w:color w:val="auto"/>
              </w:rPr>
              <w:t>(Dollars in Thousands)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62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220"/>
              <w:spacing w:after="0"/>
              <w:rPr>
                <w:sz w:val="20"/>
                <w:szCs w:val="20"/>
                <w:color w:val="auto"/>
              </w:rPr>
            </w:pPr>
            <w:r>
              <w:rPr>
                <w:rFonts w:ascii="Arial" w:cs="Arial" w:eastAsia="Arial" w:hAnsi="Arial"/>
                <w:sz w:val="19"/>
                <w:szCs w:val="19"/>
                <w:color w:val="auto"/>
              </w:rPr>
              <w:t>benefit plans</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9"/>
                <w:szCs w:val="19"/>
                <w:color w:val="auto"/>
              </w:rPr>
              <w:t>Settlement charge</w:t>
            </w: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1000" w:type="dxa"/>
            <w:vAlign w:val="bottom"/>
          </w:tcPr>
          <w:p>
            <w:pPr>
              <w:jc w:val="right"/>
              <w:ind w:right="842"/>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9"/>
                <w:szCs w:val="19"/>
                <w:color w:val="auto"/>
              </w:rPr>
              <w:t>59</w:t>
            </w:r>
          </w:p>
        </w:tc>
        <w:tc>
          <w:tcPr>
            <w:tcW w:w="1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0" w:type="dxa"/>
            <w:vAlign w:val="bottom"/>
          </w:tcPr>
          <w:p>
            <w:pPr>
              <w:ind w:left="240"/>
              <w:spacing w:after="0"/>
              <w:rPr>
                <w:sz w:val="20"/>
                <w:szCs w:val="20"/>
                <w:color w:val="auto"/>
              </w:rPr>
            </w:pPr>
            <w:r>
              <w:rPr>
                <w:rFonts w:ascii="Arial" w:cs="Arial" w:eastAsia="Arial" w:hAnsi="Arial"/>
                <w:sz w:val="19"/>
                <w:szCs w:val="19"/>
                <w:color w:val="auto"/>
              </w:rPr>
              <w:t>Amortization of:</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ind w:left="480"/>
              <w:spacing w:after="0"/>
              <w:rPr>
                <w:sz w:val="20"/>
                <w:szCs w:val="20"/>
                <w:color w:val="auto"/>
              </w:rPr>
            </w:pPr>
            <w:r>
              <w:rPr>
                <w:rFonts w:ascii="Arial" w:cs="Arial" w:eastAsia="Arial" w:hAnsi="Arial"/>
                <w:sz w:val="19"/>
                <w:szCs w:val="19"/>
                <w:color w:val="auto"/>
              </w:rPr>
              <w:t>Prior service credit</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(357)</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(374)</w:t>
            </w:r>
          </w:p>
        </w:tc>
        <w:tc>
          <w:tcPr>
            <w:tcW w:w="4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CFF0FC"/>
            </w:tcBorders>
          </w:tcPr>
          <w:p>
            <w:pPr>
              <w:ind w:left="480"/>
              <w:spacing w:after="0"/>
              <w:rPr>
                <w:sz w:val="20"/>
                <w:szCs w:val="20"/>
                <w:color w:val="auto"/>
              </w:rPr>
            </w:pPr>
            <w:r>
              <w:rPr>
                <w:rFonts w:ascii="Arial" w:cs="Arial" w:eastAsia="Arial" w:hAnsi="Arial"/>
                <w:sz w:val="19"/>
                <w:szCs w:val="19"/>
                <w:color w:val="auto"/>
              </w:rPr>
              <w:t>Actuarial loss</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3,452</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6"/>
              </w:rPr>
              <w:t>2,732</w:t>
            </w:r>
          </w:p>
        </w:tc>
        <w:tc>
          <w:tcPr>
            <w:tcW w:w="180" w:type="dxa"/>
            <w:vAlign w:val="bottom"/>
            <w:tcBorders>
              <w:bottom w:val="single" w:sz="8" w:color="CFF0FC"/>
            </w:tcBorders>
          </w:tcPr>
          <w:p>
            <w:pPr>
              <w:spacing w:after="0"/>
              <w:rPr>
                <w:sz w:val="19"/>
                <w:szCs w:val="19"/>
                <w:color w:val="auto"/>
              </w:rPr>
            </w:pPr>
          </w:p>
        </w:tc>
        <w:tc>
          <w:tcPr>
            <w:tcW w:w="4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3,095</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6"/>
              </w:rPr>
              <w:t>2,417</w:t>
            </w:r>
          </w:p>
        </w:tc>
        <w:tc>
          <w:tcPr>
            <w:tcW w:w="180" w:type="dxa"/>
            <w:vAlign w:val="bottom"/>
            <w:shd w:val="clear" w:color="auto" w:fill="CFF0FC"/>
          </w:tcPr>
          <w:p>
            <w:pPr>
              <w:spacing w:after="0"/>
              <w:rPr>
                <w:sz w:val="19"/>
                <w:szCs w:val="19"/>
                <w:color w:val="auto"/>
              </w:rPr>
            </w:pPr>
          </w:p>
        </w:tc>
        <w:tc>
          <w:tcPr>
            <w:tcW w:w="4320" w:type="dxa"/>
            <w:vAlign w:val="bottom"/>
            <w:shd w:val="clear" w:color="auto" w:fill="CFF0FC"/>
          </w:tcPr>
          <w:p>
            <w:pPr>
              <w:ind w:left="100"/>
              <w:spacing w:after="0"/>
              <w:rPr>
                <w:sz w:val="20"/>
                <w:szCs w:val="20"/>
                <w:color w:val="auto"/>
              </w:rPr>
            </w:pPr>
            <w:r>
              <w:rPr>
                <w:rFonts w:ascii="Arial" w:cs="Arial" w:eastAsia="Arial" w:hAnsi="Arial"/>
                <w:sz w:val="19"/>
                <w:szCs w:val="19"/>
                <w:color w:val="auto"/>
              </w:rPr>
              <w:t>Nonoperating expenses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9"/>
                <w:szCs w:val="19"/>
                <w:color w:val="auto"/>
              </w:rPr>
              <w:t>Tax benefit</w:t>
            </w:r>
          </w:p>
        </w:tc>
        <w:tc>
          <w:tcPr>
            <w:tcW w:w="96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9"/>
                <w:szCs w:val="19"/>
                <w:color w:val="auto"/>
                <w:w w:val="96"/>
              </w:rPr>
              <w:t>(1,185)</w:t>
            </w:r>
          </w:p>
        </w:tc>
        <w:tc>
          <w:tcPr>
            <w:tcW w:w="10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9"/>
                <w:szCs w:val="19"/>
                <w:color w:val="auto"/>
              </w:rPr>
              <w:t>(944)</w:t>
            </w:r>
          </w:p>
        </w:tc>
        <w:tc>
          <w:tcPr>
            <w:tcW w:w="4320" w:type="dxa"/>
            <w:vAlign w:val="bottom"/>
          </w:tcPr>
          <w:p>
            <w:pPr>
              <w:ind w:left="100"/>
              <w:spacing w:after="0"/>
              <w:rPr>
                <w:sz w:val="20"/>
                <w:szCs w:val="20"/>
                <w:color w:val="auto"/>
              </w:rPr>
            </w:pPr>
            <w:r>
              <w:rPr>
                <w:rFonts w:ascii="Arial" w:cs="Arial" w:eastAsia="Arial" w:hAnsi="Arial"/>
                <w:sz w:val="19"/>
                <w:szCs w:val="19"/>
                <w:color w:val="auto"/>
              </w:rPr>
              <w:t>Taxes on income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9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1,910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42"/>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6"/>
              </w:rPr>
              <w:t>1,473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3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600" w:type="dxa"/>
            <w:vAlign w:val="bottom"/>
            <w:shd w:val="clear" w:color="auto" w:fill="CFF0FC"/>
          </w:tcPr>
          <w:p>
            <w:pPr>
              <w:spacing w:after="0" w:line="207" w:lineRule="exact"/>
              <w:rPr>
                <w:sz w:val="20"/>
                <w:szCs w:val="20"/>
                <w:color w:val="auto"/>
              </w:rPr>
            </w:pPr>
            <w:r>
              <w:rPr>
                <w:rFonts w:ascii="Arial" w:cs="Arial" w:eastAsia="Arial" w:hAnsi="Arial"/>
                <w:sz w:val="19"/>
                <w:szCs w:val="19"/>
                <w:color w:val="auto"/>
              </w:rPr>
              <w:t>Unamortized value of terminated</w:t>
            </w:r>
          </w:p>
        </w:tc>
        <w:tc>
          <w:tcPr>
            <w:tcW w:w="9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FF0FC"/>
          </w:tcPr>
          <w:p>
            <w:pPr>
              <w:ind w:left="220"/>
              <w:spacing w:after="0" w:line="216" w:lineRule="exact"/>
              <w:rPr>
                <w:sz w:val="20"/>
                <w:szCs w:val="20"/>
                <w:color w:val="auto"/>
              </w:rPr>
            </w:pPr>
            <w:r>
              <w:rPr>
                <w:rFonts w:ascii="Arial" w:cs="Arial" w:eastAsia="Arial" w:hAnsi="Arial"/>
                <w:sz w:val="19"/>
                <w:szCs w:val="19"/>
                <w:color w:val="auto"/>
              </w:rPr>
              <w:t>forward starting interest</w:t>
            </w:r>
          </w:p>
        </w:tc>
        <w:tc>
          <w:tcPr>
            <w:tcW w:w="9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0" w:type="dxa"/>
            <w:vAlign w:val="bottom"/>
            <w:shd w:val="clear" w:color="auto" w:fill="CFF0FC"/>
          </w:tcPr>
          <w:p>
            <w:pPr>
              <w:ind w:left="220"/>
              <w:spacing w:after="0"/>
              <w:rPr>
                <w:sz w:val="20"/>
                <w:szCs w:val="20"/>
                <w:color w:val="auto"/>
              </w:rPr>
            </w:pPr>
            <w:r>
              <w:rPr>
                <w:rFonts w:ascii="Arial" w:cs="Arial" w:eastAsia="Arial" w:hAnsi="Arial"/>
                <w:sz w:val="19"/>
                <w:szCs w:val="19"/>
                <w:color w:val="auto"/>
              </w:rPr>
              <w:t>rate swap</w:t>
            </w:r>
          </w:p>
        </w:tc>
        <w:tc>
          <w:tcPr>
            <w:tcW w:w="9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3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9"/>
                <w:szCs w:val="19"/>
                <w:color w:val="auto"/>
              </w:rPr>
              <w:t>Additional interest expense</w:t>
            </w: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356</w:t>
            </w:r>
          </w:p>
        </w:tc>
        <w:tc>
          <w:tcPr>
            <w:tcW w:w="300" w:type="dxa"/>
            <w:vAlign w:val="bottom"/>
          </w:tcPr>
          <w:p>
            <w:pPr>
              <w:spacing w:after="0"/>
              <w:rPr>
                <w:sz w:val="19"/>
                <w:szCs w:val="19"/>
                <w:color w:val="auto"/>
              </w:rPr>
            </w:pPr>
          </w:p>
        </w:tc>
        <w:tc>
          <w:tcPr>
            <w:tcW w:w="1000" w:type="dxa"/>
            <w:vAlign w:val="bottom"/>
          </w:tcPr>
          <w:p>
            <w:pPr>
              <w:jc w:val="right"/>
              <w:ind w:right="842"/>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9"/>
                <w:szCs w:val="19"/>
                <w:color w:val="auto"/>
              </w:rPr>
              <w:t>332</w:t>
            </w:r>
          </w:p>
        </w:tc>
        <w:tc>
          <w:tcPr>
            <w:tcW w:w="180" w:type="dxa"/>
            <w:vAlign w:val="bottom"/>
          </w:tcPr>
          <w:p>
            <w:pPr>
              <w:spacing w:after="0"/>
              <w:rPr>
                <w:sz w:val="19"/>
                <w:szCs w:val="19"/>
                <w:color w:val="auto"/>
              </w:rPr>
            </w:pPr>
          </w:p>
        </w:tc>
        <w:tc>
          <w:tcPr>
            <w:tcW w:w="4320" w:type="dxa"/>
            <w:vAlign w:val="bottom"/>
          </w:tcPr>
          <w:p>
            <w:pPr>
              <w:ind w:left="100"/>
              <w:spacing w:after="0"/>
              <w:rPr>
                <w:sz w:val="20"/>
                <w:szCs w:val="20"/>
                <w:color w:val="auto"/>
              </w:rPr>
            </w:pPr>
            <w:r>
              <w:rPr>
                <w:rFonts w:ascii="Arial" w:cs="Arial" w:eastAsia="Arial" w:hAnsi="Arial"/>
                <w:sz w:val="19"/>
                <w:szCs w:val="19"/>
                <w:color w:val="auto"/>
              </w:rPr>
              <w:t>Interest expense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Tax benefit</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(141)</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(131)</w:t>
            </w:r>
          </w:p>
        </w:tc>
        <w:tc>
          <w:tcPr>
            <w:tcW w:w="4320" w:type="dxa"/>
            <w:vAlign w:val="bottom"/>
            <w:shd w:val="clear" w:color="auto" w:fill="CFF0FC"/>
          </w:tcPr>
          <w:p>
            <w:pPr>
              <w:ind w:left="100"/>
              <w:spacing w:after="0"/>
              <w:rPr>
                <w:sz w:val="20"/>
                <w:szCs w:val="20"/>
                <w:color w:val="auto"/>
              </w:rPr>
            </w:pPr>
            <w:r>
              <w:rPr>
                <w:rFonts w:ascii="Arial" w:cs="Arial" w:eastAsia="Arial" w:hAnsi="Arial"/>
                <w:sz w:val="19"/>
                <w:szCs w:val="19"/>
                <w:color w:val="auto"/>
              </w:rPr>
              <w:t>Taxes on income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215</w:t>
            </w: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42"/>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201</w:t>
            </w:r>
          </w:p>
        </w:tc>
        <w:tc>
          <w:tcPr>
            <w:tcW w:w="1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right="7400" w:hanging="372"/>
        <w:spacing w:after="0" w:line="394" w:lineRule="auto"/>
        <w:tabs>
          <w:tab w:leader="none" w:pos="37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 Earnings per Common Share</w:t>
      </w:r>
    </w:p>
    <w:p>
      <w:pPr>
        <w:spacing w:after="0" w:line="1" w:lineRule="exact"/>
        <w:rPr>
          <w:rFonts w:ascii="Arial" w:cs="Arial" w:eastAsia="Arial" w:hAnsi="Arial"/>
          <w:sz w:val="18"/>
          <w:szCs w:val="18"/>
          <w:b w:val="1"/>
          <w:bCs w:val="1"/>
          <w:color w:val="auto"/>
        </w:rPr>
      </w:pPr>
    </w:p>
    <w:p>
      <w:pPr>
        <w:jc w:val="both"/>
        <w:ind w:left="380"/>
        <w:spacing w:after="0" w:line="256" w:lineRule="auto"/>
        <w:rPr>
          <w:rFonts w:ascii="Arial" w:cs="Arial" w:eastAsia="Arial" w:hAnsi="Arial"/>
          <w:sz w:val="18"/>
          <w:szCs w:val="18"/>
          <w:b w:val="1"/>
          <w:bCs w:val="1"/>
          <w:color w:val="auto"/>
        </w:rPr>
      </w:pPr>
      <w:r>
        <w:rPr>
          <w:rFonts w:ascii="Arial" w:cs="Arial" w:eastAsia="Arial" w:hAnsi="Arial"/>
          <w:sz w:val="19"/>
          <w:szCs w:val="19"/>
          <w:color w:val="auto"/>
        </w:rPr>
        <w:t>The numerator for basic and diluted earnings per common share is net earnings attributable to Martin Marietta Materials, Inc. reduced by dividends and undistributed earnings attributable to certain of the Corporation’s stock-based compensation.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Corporation’s Board of Directors under certain stock-based compensation arrangements if the conversion is dilutive. For the three months ended March 31, 2017 and 2016, the diluted per-share computations reflect a change in the number of common shares outstanding to include the number of additional shares that would have been outstanding if the potentially dilutive common shares had been issued.</w:t>
      </w:r>
    </w:p>
    <w:p>
      <w:pPr>
        <w:spacing w:after="0" w:line="19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20"/>
          <w:szCs w:val="20"/>
          <w:color w:val="auto"/>
        </w:rPr>
        <w:t>The following table reconciles the numerator and denominator for basic and diluted earnings per common share: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40" w:type="dxa"/>
            <w:vAlign w:val="bottom"/>
            <w:gridSpan w:val="7"/>
          </w:tcPr>
          <w:p>
            <w:pPr>
              <w:jc w:val="center"/>
              <w:ind w:right="52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5"/>
          </w:tcPr>
          <w:p>
            <w:pPr>
              <w:jc w:val="center"/>
              <w:ind w:left="521"/>
              <w:spacing w:after="0"/>
              <w:rPr>
                <w:sz w:val="20"/>
                <w:szCs w:val="20"/>
                <w:color w:val="auto"/>
              </w:rPr>
            </w:pPr>
            <w:r>
              <w:rPr>
                <w:rFonts w:ascii="Arial" w:cs="Arial" w:eastAsia="Arial" w:hAnsi="Arial"/>
                <w:sz w:val="20"/>
                <w:szCs w:val="20"/>
                <w:color w:val="auto"/>
                <w:w w:val="89"/>
              </w:rPr>
              <w:t>March 31,</w:t>
            </w:r>
          </w:p>
        </w:tc>
        <w:tc>
          <w:tcPr>
            <w:tcW w:w="10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2017</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w w:val="98"/>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760" w:type="dxa"/>
            <w:vAlign w:val="bottom"/>
            <w:gridSpan w:val="2"/>
            <w:vMerge w:val="restart"/>
          </w:tcPr>
          <w:p>
            <w:pPr>
              <w:spacing w:after="0"/>
              <w:rPr>
                <w:sz w:val="20"/>
                <w:szCs w:val="20"/>
                <w:color w:val="auto"/>
              </w:rPr>
            </w:pPr>
            <w:r>
              <w:rPr>
                <w:rFonts w:ascii="Arial" w:cs="Arial" w:eastAsia="Arial" w:hAnsi="Arial"/>
                <w:sz w:val="20"/>
                <w:szCs w:val="20"/>
                <w:color w:val="auto"/>
                <w:w w:val="98"/>
              </w:rPr>
              <w:t>Net earnings from continuing operations attributable to</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gridSpan w:val="5"/>
          </w:tcPr>
          <w:p>
            <w:pPr>
              <w:jc w:val="center"/>
              <w:ind w:left="521"/>
              <w:spacing w:after="0"/>
              <w:rPr>
                <w:sz w:val="20"/>
                <w:szCs w:val="20"/>
                <w:color w:val="auto"/>
              </w:rPr>
            </w:pPr>
            <w:r>
              <w:rPr>
                <w:rFonts w:ascii="Arial" w:cs="Arial" w:eastAsia="Arial" w:hAnsi="Arial"/>
                <w:sz w:val="20"/>
                <w:szCs w:val="20"/>
                <w:i w:val="1"/>
                <w:iCs w:val="1"/>
                <w:color w:val="auto"/>
                <w:w w:val="89"/>
              </w:rPr>
              <w:t>(In Thousands)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7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740" w:type="dxa"/>
            <w:vAlign w:val="bottom"/>
          </w:tcPr>
          <w:p>
            <w:pPr>
              <w:ind w:left="280"/>
              <w:spacing w:after="0"/>
              <w:rPr>
                <w:sz w:val="20"/>
                <w:szCs w:val="20"/>
                <w:color w:val="auto"/>
              </w:rPr>
            </w:pPr>
            <w:r>
              <w:rPr>
                <w:rFonts w:ascii="Arial" w:cs="Arial" w:eastAsia="Arial" w:hAnsi="Arial"/>
                <w:sz w:val="20"/>
                <w:szCs w:val="20"/>
                <w:color w:val="auto"/>
              </w:rPr>
              <w:t>Martin Marietta Materials, Inc.</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42,334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gridSpan w:val="2"/>
          </w:tcPr>
          <w:p>
            <w:pPr>
              <w:jc w:val="right"/>
              <w:ind w:right="323"/>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44,994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1"/>
              </w:rPr>
              <w:t>Less: Distributed and undistributed earnings attributable to</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unvested awards</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153</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760" w:type="dxa"/>
            <w:vAlign w:val="bottom"/>
            <w:gridSpan w:val="2"/>
          </w:tcPr>
          <w:p>
            <w:pPr>
              <w:spacing w:after="0" w:line="220" w:lineRule="exact"/>
              <w:rPr>
                <w:sz w:val="20"/>
                <w:szCs w:val="20"/>
                <w:color w:val="auto"/>
              </w:rPr>
            </w:pPr>
            <w:r>
              <w:rPr>
                <w:rFonts w:ascii="Arial" w:cs="Arial" w:eastAsia="Arial" w:hAnsi="Arial"/>
                <w:sz w:val="20"/>
                <w:szCs w:val="20"/>
                <w:color w:val="auto"/>
              </w:rPr>
              <w:t>Basic and diluted net earnings available to common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980" w:type="dxa"/>
            <w:vAlign w:val="bottom"/>
            <w:gridSpan w:val="3"/>
          </w:tcPr>
          <w:p>
            <w:pPr>
              <w:ind w:left="240"/>
              <w:spacing w:after="0"/>
              <w:rPr>
                <w:sz w:val="20"/>
                <w:szCs w:val="20"/>
                <w:color w:val="auto"/>
              </w:rPr>
            </w:pPr>
            <w:r>
              <w:rPr>
                <w:rFonts w:ascii="Arial" w:cs="Arial" w:eastAsia="Arial" w:hAnsi="Arial"/>
                <w:sz w:val="20"/>
                <w:szCs w:val="20"/>
                <w:color w:val="auto"/>
                <w:w w:val="92"/>
              </w:rPr>
              <w:t>shareholders attributable to Martin Marietta Materials, Inc.</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42,181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323"/>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44,696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20"/>
                <w:szCs w:val="20"/>
                <w:color w:val="auto"/>
              </w:rPr>
              <w:t>Basic weighted-average common shares outstanding</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63,024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64,158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20"/>
                <w:szCs w:val="20"/>
                <w:color w:val="auto"/>
              </w:rPr>
              <w:t>Effect of dilutive employee and director awards</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295</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60" w:type="dxa"/>
            <w:vAlign w:val="bottom"/>
            <w:gridSpan w:val="2"/>
          </w:tcPr>
          <w:p>
            <w:pPr>
              <w:spacing w:after="0"/>
              <w:rPr>
                <w:sz w:val="20"/>
                <w:szCs w:val="20"/>
                <w:color w:val="auto"/>
              </w:rPr>
            </w:pPr>
            <w:r>
              <w:rPr>
                <w:rFonts w:ascii="Arial" w:cs="Arial" w:eastAsia="Arial" w:hAnsi="Arial"/>
                <w:sz w:val="20"/>
                <w:szCs w:val="20"/>
                <w:color w:val="auto"/>
                <w:w w:val="98"/>
              </w:rPr>
              <w:t>Diluted weighted-average common shares outstanding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63,319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64,350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2.  Goodwill</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7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7"/>
            <w:vMerge w:val="restart"/>
          </w:tcPr>
          <w:p>
            <w:pPr>
              <w:ind w:left="740"/>
              <w:spacing w:after="0"/>
              <w:rPr>
                <w:sz w:val="20"/>
                <w:szCs w:val="20"/>
                <w:color w:val="auto"/>
              </w:rPr>
            </w:pPr>
            <w:r>
              <w:rPr>
                <w:rFonts w:ascii="Arial" w:cs="Arial" w:eastAsia="Arial" w:hAnsi="Arial"/>
                <w:sz w:val="20"/>
                <w:szCs w:val="20"/>
                <w:i w:val="1"/>
                <w:iCs w:val="1"/>
                <w:color w:val="auto"/>
              </w:rPr>
              <w:t>(In Thousands)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80"/>
              <w:spacing w:after="0" w:line="228" w:lineRule="exact"/>
              <w:rPr>
                <w:sz w:val="20"/>
                <w:szCs w:val="20"/>
                <w:color w:val="auto"/>
              </w:rPr>
            </w:pPr>
            <w:r>
              <w:rPr>
                <w:rFonts w:ascii="Arial" w:cs="Arial" w:eastAsia="Arial" w:hAnsi="Arial"/>
                <w:sz w:val="20"/>
                <w:szCs w:val="20"/>
                <w:b w:val="1"/>
                <w:bCs w:val="1"/>
                <w:color w:val="auto"/>
                <w:w w:val="94"/>
              </w:rPr>
              <w:t>Mid-America</w:t>
            </w:r>
          </w:p>
        </w:tc>
        <w:tc>
          <w:tcPr>
            <w:tcW w:w="220" w:type="dxa"/>
            <w:vAlign w:val="bottom"/>
          </w:tcPr>
          <w:p>
            <w:pPr>
              <w:spacing w:after="0"/>
              <w:rPr>
                <w:sz w:val="19"/>
                <w:szCs w:val="19"/>
                <w:color w:val="auto"/>
              </w:rPr>
            </w:pPr>
          </w:p>
        </w:tc>
        <w:tc>
          <w:tcPr>
            <w:tcW w:w="1400" w:type="dxa"/>
            <w:vAlign w:val="bottom"/>
            <w:gridSpan w:val="3"/>
          </w:tcPr>
          <w:p>
            <w:pPr>
              <w:jc w:val="right"/>
              <w:ind w:right="460"/>
              <w:spacing w:after="0" w:line="228" w:lineRule="exact"/>
              <w:rPr>
                <w:sz w:val="20"/>
                <w:szCs w:val="20"/>
                <w:color w:val="auto"/>
              </w:rPr>
            </w:pPr>
            <w:r>
              <w:rPr>
                <w:rFonts w:ascii="Arial" w:cs="Arial" w:eastAsia="Arial" w:hAnsi="Arial"/>
                <w:sz w:val="20"/>
                <w:szCs w:val="20"/>
                <w:b w:val="1"/>
                <w:bCs w:val="1"/>
                <w:color w:val="auto"/>
                <w:w w:val="95"/>
              </w:rPr>
              <w:t>Southeast</w:t>
            </w:r>
          </w:p>
        </w:tc>
        <w:tc>
          <w:tcPr>
            <w:tcW w:w="260" w:type="dxa"/>
            <w:vAlign w:val="bottom"/>
          </w:tcPr>
          <w:p>
            <w:pPr>
              <w:spacing w:after="0"/>
              <w:rPr>
                <w:sz w:val="19"/>
                <w:szCs w:val="19"/>
                <w:color w:val="auto"/>
              </w:rPr>
            </w:pPr>
          </w:p>
        </w:tc>
        <w:tc>
          <w:tcPr>
            <w:tcW w:w="1380" w:type="dxa"/>
            <w:vAlign w:val="bottom"/>
            <w:gridSpan w:val="3"/>
          </w:tcPr>
          <w:p>
            <w:pPr>
              <w:jc w:val="center"/>
              <w:ind w:right="380"/>
              <w:spacing w:after="0" w:line="228" w:lineRule="exact"/>
              <w:rPr>
                <w:sz w:val="20"/>
                <w:szCs w:val="20"/>
                <w:color w:val="auto"/>
              </w:rPr>
            </w:pPr>
            <w:r>
              <w:rPr>
                <w:rFonts w:ascii="Arial" w:cs="Arial" w:eastAsia="Arial" w:hAnsi="Arial"/>
                <w:sz w:val="20"/>
                <w:szCs w:val="20"/>
                <w:b w:val="1"/>
                <w:bCs w:val="1"/>
                <w:color w:val="auto"/>
                <w:w w:val="83"/>
              </w:rPr>
              <w:t>West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3"/>
              </w:rPr>
              <w:t>Group</w:t>
            </w:r>
          </w:p>
        </w:tc>
        <w:tc>
          <w:tcPr>
            <w:tcW w:w="220" w:type="dxa"/>
            <w:vAlign w:val="bottom"/>
          </w:tcPr>
          <w:p>
            <w:pPr>
              <w:spacing w:after="0"/>
              <w:rPr>
                <w:sz w:val="21"/>
                <w:szCs w:val="21"/>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20"/>
                <w:szCs w:val="20"/>
                <w:b w:val="1"/>
                <w:bCs w:val="1"/>
                <w:color w:val="auto"/>
              </w:rPr>
              <w:t>Group</w:t>
            </w:r>
          </w:p>
        </w:tc>
        <w:tc>
          <w:tcPr>
            <w:tcW w:w="260" w:type="dxa"/>
            <w:vAlign w:val="bottom"/>
          </w:tcPr>
          <w:p>
            <w:pPr>
              <w:spacing w:after="0"/>
              <w:rPr>
                <w:sz w:val="21"/>
                <w:szCs w:val="21"/>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20"/>
                <w:szCs w:val="20"/>
                <w:b w:val="1"/>
                <w:bCs w:val="1"/>
                <w:color w:val="auto"/>
                <w:w w:val="93"/>
              </w:rPr>
              <w:t>Group</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20"/>
                <w:szCs w:val="20"/>
                <w:b w:val="1"/>
                <w:bCs w:val="1"/>
                <w:color w:val="auto"/>
                <w:w w:val="91"/>
              </w:rPr>
              <w:t>Total</w:t>
            </w:r>
          </w:p>
        </w:tc>
        <w:tc>
          <w:tcPr>
            <w:tcW w:w="0" w:type="dxa"/>
            <w:vAlign w:val="bottom"/>
          </w:tcPr>
          <w:p>
            <w:pPr>
              <w:spacing w:after="0"/>
              <w:rPr>
                <w:sz w:val="1"/>
                <w:szCs w:val="1"/>
                <w:color w:val="auto"/>
              </w:rPr>
            </w:pPr>
          </w:p>
        </w:tc>
      </w:tr>
      <w:tr>
        <w:trPr>
          <w:trHeight w:val="237"/>
        </w:trPr>
        <w:tc>
          <w:tcPr>
            <w:tcW w:w="4760" w:type="dxa"/>
            <w:vAlign w:val="bottom"/>
            <w:gridSpan w:val="2"/>
          </w:tcPr>
          <w:p>
            <w:pPr>
              <w:spacing w:after="0"/>
              <w:rPr>
                <w:sz w:val="20"/>
                <w:szCs w:val="20"/>
                <w:color w:val="auto"/>
              </w:rPr>
            </w:pPr>
            <w:r>
              <w:rPr>
                <w:rFonts w:ascii="Arial" w:cs="Arial" w:eastAsia="Arial" w:hAnsi="Arial"/>
                <w:sz w:val="20"/>
                <w:szCs w:val="20"/>
                <w:color w:val="auto"/>
              </w:rPr>
              <w:t>Balance at January 1, 2017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281,403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50,346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1,827,588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top w:val="single" w:sz="8" w:color="auto"/>
            </w:tcBorders>
          </w:tcPr>
          <w:p>
            <w:pPr>
              <w:jc w:val="right"/>
              <w:ind w:right="3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2,159,337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20"/>
                <w:szCs w:val="20"/>
                <w:color w:val="auto"/>
              </w:rPr>
              <w:t>Adjustments to purchase price allocations</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0" w:type="dxa"/>
            <w:vAlign w:val="bottom"/>
            <w:gridSpan w:val="3"/>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61</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60" w:type="dxa"/>
            <w:vAlign w:val="bottom"/>
            <w:gridSpan w:val="2"/>
          </w:tcPr>
          <w:p>
            <w:pPr>
              <w:spacing w:after="0"/>
              <w:rPr>
                <w:sz w:val="20"/>
                <w:szCs w:val="20"/>
                <w:color w:val="auto"/>
              </w:rPr>
            </w:pPr>
            <w:r>
              <w:rPr>
                <w:rFonts w:ascii="Arial" w:cs="Arial" w:eastAsia="Arial" w:hAnsi="Arial"/>
                <w:sz w:val="20"/>
                <w:szCs w:val="20"/>
                <w:color w:val="auto"/>
              </w:rPr>
              <w:t>Balance at March 31, 2017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281,403</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50,346</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1,827,649</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2,159,398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The prior-year information has been reclassified to conform to the presentation of the Corporation’s current reportable segments.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Inventories, Net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361"/>
              <w:spacing w:after="0"/>
              <w:rPr>
                <w:sz w:val="20"/>
                <w:szCs w:val="20"/>
                <w:color w:val="auto"/>
              </w:rPr>
            </w:pPr>
            <w:r>
              <w:rPr>
                <w:rFonts w:ascii="Arial" w:cs="Arial" w:eastAsia="Arial" w:hAnsi="Arial"/>
                <w:sz w:val="20"/>
                <w:szCs w:val="20"/>
                <w:color w:val="auto"/>
                <w:w w:val="92"/>
              </w:rPr>
              <w:t>March 31,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60" w:type="dxa"/>
            <w:vAlign w:val="bottom"/>
            <w:gridSpan w:val="4"/>
          </w:tcPr>
          <w:p>
            <w:pPr>
              <w:jc w:val="center"/>
              <w:ind w:right="320"/>
              <w:spacing w:after="0"/>
              <w:rPr>
                <w:sz w:val="20"/>
                <w:szCs w:val="20"/>
                <w:color w:val="auto"/>
              </w:rPr>
            </w:pPr>
            <w:r>
              <w:rPr>
                <w:rFonts w:ascii="Arial" w:cs="Arial" w:eastAsia="Arial" w:hAnsi="Arial"/>
                <w:sz w:val="20"/>
                <w:szCs w:val="20"/>
                <w:color w:val="auto"/>
                <w:w w:val="89"/>
              </w:rPr>
              <w:t>December 31,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20"/>
                <w:szCs w:val="20"/>
                <w:color w:val="auto"/>
                <w:w w:val="94"/>
              </w:rPr>
              <w:t>March 31,</w:t>
            </w:r>
          </w:p>
        </w:tc>
        <w:tc>
          <w:tcPr>
            <w:tcW w:w="0" w:type="dxa"/>
            <w:vAlign w:val="bottom"/>
          </w:tcPr>
          <w:p>
            <w:pPr>
              <w:spacing w:after="0"/>
              <w:rPr>
                <w:sz w:val="1"/>
                <w:szCs w:val="1"/>
                <w:color w:val="auto"/>
              </w:rPr>
            </w:pPr>
          </w:p>
        </w:tc>
      </w:tr>
      <w:tr>
        <w:trPr>
          <w:trHeight w:val="246"/>
        </w:trPr>
        <w:tc>
          <w:tcPr>
            <w:tcW w:w="6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2017</w:t>
            </w: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color w:val="auto"/>
                <w:w w:val="89"/>
              </w:rPr>
              <w:t>2016</w:t>
            </w: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2016</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60" w:type="dxa"/>
            <w:vAlign w:val="bottom"/>
            <w:gridSpan w:val="8"/>
          </w:tcPr>
          <w:p>
            <w:pPr>
              <w:jc w:val="center"/>
              <w:spacing w:after="0"/>
              <w:rPr>
                <w:sz w:val="20"/>
                <w:szCs w:val="20"/>
                <w:color w:val="auto"/>
              </w:rPr>
            </w:pPr>
            <w:r>
              <w:rPr>
                <w:rFonts w:ascii="Arial" w:cs="Arial" w:eastAsia="Arial" w:hAnsi="Arial"/>
                <w:sz w:val="20"/>
                <w:szCs w:val="20"/>
                <w:i w:val="1"/>
                <w:iCs w:val="1"/>
                <w:color w:val="auto"/>
                <w:w w:val="92"/>
              </w:rPr>
              <w:t>(Dollars in Thousands)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FF0FC"/>
          </w:tcPr>
          <w:p>
            <w:pPr>
              <w:spacing w:after="0"/>
              <w:rPr>
                <w:sz w:val="20"/>
                <w:szCs w:val="20"/>
                <w:color w:val="auto"/>
              </w:rPr>
            </w:pPr>
            <w:r>
              <w:rPr>
                <w:rFonts w:ascii="Arial" w:cs="Arial" w:eastAsia="Arial" w:hAnsi="Arial"/>
                <w:sz w:val="20"/>
                <w:szCs w:val="20"/>
                <w:color w:val="auto"/>
              </w:rPr>
              <w:t>Finished products</w:t>
            </w:r>
          </w:p>
        </w:tc>
        <w:tc>
          <w:tcPr>
            <w:tcW w:w="780" w:type="dxa"/>
            <w:vAlign w:val="bottom"/>
            <w:gridSpan w:val="3"/>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495,793</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479,291</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443,470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20"/>
                <w:szCs w:val="20"/>
                <w:color w:val="auto"/>
              </w:rPr>
              <w:t>Products in process and raw materials</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61,815</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61,171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20"/>
                <w:szCs w:val="20"/>
                <w:color w:val="auto"/>
              </w:rPr>
              <w:t>59,761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FF0FC"/>
          </w:tcPr>
          <w:p>
            <w:pPr>
              <w:spacing w:after="0"/>
              <w:rPr>
                <w:sz w:val="20"/>
                <w:szCs w:val="20"/>
                <w:color w:val="auto"/>
              </w:rPr>
            </w:pPr>
            <w:r>
              <w:rPr>
                <w:rFonts w:ascii="Arial" w:cs="Arial" w:eastAsia="Arial" w:hAnsi="Arial"/>
                <w:sz w:val="20"/>
                <w:szCs w:val="20"/>
                <w:color w:val="auto"/>
              </w:rPr>
              <w:t>Supplies and expendable parts</w:t>
            </w:r>
          </w:p>
        </w:tc>
        <w:tc>
          <w:tcPr>
            <w:tcW w:w="560" w:type="dxa"/>
            <w:vAlign w:val="bottom"/>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120,054</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116,024</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112,022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677,662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656,486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20"/>
                <w:szCs w:val="20"/>
                <w:color w:val="auto"/>
              </w:rPr>
              <w:t>615,253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FF0FC"/>
          </w:tcPr>
          <w:p>
            <w:pPr>
              <w:spacing w:after="0"/>
              <w:rPr>
                <w:sz w:val="20"/>
                <w:szCs w:val="20"/>
                <w:color w:val="auto"/>
              </w:rPr>
            </w:pPr>
            <w:r>
              <w:rPr>
                <w:rFonts w:ascii="Arial" w:cs="Arial" w:eastAsia="Arial" w:hAnsi="Arial"/>
                <w:sz w:val="20"/>
                <w:szCs w:val="20"/>
                <w:color w:val="auto"/>
              </w:rPr>
              <w:t>Less: Allowances</w:t>
            </w:r>
          </w:p>
        </w:tc>
        <w:tc>
          <w:tcPr>
            <w:tcW w:w="5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21"/>
              <w:spacing w:after="0"/>
              <w:rPr>
                <w:sz w:val="20"/>
                <w:szCs w:val="20"/>
                <w:color w:val="auto"/>
              </w:rPr>
            </w:pPr>
            <w:r>
              <w:rPr>
                <w:rFonts w:ascii="Arial" w:cs="Arial" w:eastAsia="Arial" w:hAnsi="Arial"/>
                <w:sz w:val="20"/>
                <w:szCs w:val="20"/>
                <w:color w:val="auto"/>
              </w:rPr>
              <w:t>(140,662)</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(134,862)</w:t>
            </w:r>
          </w:p>
        </w:tc>
        <w:tc>
          <w:tcPr>
            <w:tcW w:w="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(129,886)</w:t>
            </w: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r>
              <w:rPr>
                <w:rFonts w:ascii="Arial" w:cs="Arial" w:eastAsia="Arial" w:hAnsi="Arial"/>
                <w:sz w:val="20"/>
                <w:szCs w:val="20"/>
                <w:color w:val="auto"/>
              </w:rPr>
              <w:t>Total</w:t>
            </w:r>
          </w:p>
        </w:tc>
        <w:tc>
          <w:tcPr>
            <w:tcW w:w="560" w:type="dxa"/>
            <w:vAlign w:val="bottom"/>
          </w:tcPr>
          <w:p>
            <w:pPr>
              <w:spacing w:after="0"/>
              <w:rPr>
                <w:sz w:val="20"/>
                <w:szCs w:val="20"/>
                <w:color w:val="auto"/>
              </w:rPr>
            </w:pPr>
          </w:p>
        </w:tc>
        <w:tc>
          <w:tcPr>
            <w:tcW w:w="220" w:type="dxa"/>
            <w:vAlign w:val="bottom"/>
            <w:tcBorders>
              <w:top w:val="single" w:sz="8" w:color="auto"/>
              <w:bottom w:val="single" w:sz="8" w:color="auto"/>
            </w:tcBorders>
            <w:gridSpan w:val="2"/>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537,000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521,624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gridSpan w:val="2"/>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485,367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20"/>
                <w:szCs w:val="20"/>
                <w:b w:val="1"/>
                <w:bCs w:val="1"/>
                <w:color w:val="auto"/>
              </w:rPr>
              <w:t>4.  Long-Term Debt</w:t>
            </w: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2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jc w:val="right"/>
              <w:ind w:right="301"/>
              <w:spacing w:after="0"/>
              <w:rPr>
                <w:sz w:val="20"/>
                <w:szCs w:val="20"/>
                <w:color w:val="auto"/>
              </w:rPr>
            </w:pPr>
            <w:r>
              <w:rPr>
                <w:rFonts w:ascii="Arial" w:cs="Arial" w:eastAsia="Arial" w:hAnsi="Arial"/>
                <w:sz w:val="20"/>
                <w:szCs w:val="20"/>
                <w:color w:val="auto"/>
                <w:w w:val="98"/>
              </w:rPr>
              <w:t>March 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20"/>
                <w:szCs w:val="20"/>
                <w:color w:val="auto"/>
                <w:w w:val="89"/>
              </w:rPr>
              <w:t>December 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20"/>
                <w:szCs w:val="20"/>
                <w:color w:val="auto"/>
                <w:w w:val="96"/>
              </w:rPr>
              <w:t>March 31,</w:t>
            </w:r>
          </w:p>
        </w:tc>
        <w:tc>
          <w:tcPr>
            <w:tcW w:w="0" w:type="dxa"/>
            <w:vAlign w:val="bottom"/>
          </w:tcPr>
          <w:p>
            <w:pPr>
              <w:spacing w:after="0"/>
              <w:rPr>
                <w:sz w:val="1"/>
                <w:szCs w:val="1"/>
                <w:color w:val="auto"/>
              </w:rPr>
            </w:pPr>
          </w:p>
        </w:tc>
      </w:tr>
      <w:tr>
        <w:trPr>
          <w:trHeight w:val="246"/>
        </w:trPr>
        <w:tc>
          <w:tcPr>
            <w:tcW w:w="6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2017</w:t>
            </w: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2016</w:t>
            </w: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40" w:type="dxa"/>
            <w:vAlign w:val="bottom"/>
            <w:gridSpan w:val="9"/>
          </w:tcPr>
          <w:p>
            <w:pPr>
              <w:jc w:val="center"/>
              <w:ind w:right="101"/>
              <w:spacing w:after="0"/>
              <w:rPr>
                <w:sz w:val="20"/>
                <w:szCs w:val="20"/>
                <w:color w:val="auto"/>
              </w:rPr>
            </w:pPr>
            <w:r>
              <w:rPr>
                <w:rFonts w:ascii="Arial" w:cs="Arial" w:eastAsia="Arial" w:hAnsi="Arial"/>
                <w:sz w:val="20"/>
                <w:szCs w:val="20"/>
                <w:i w:val="1"/>
                <w:iCs w:val="1"/>
                <w:color w:val="auto"/>
                <w:w w:val="91"/>
              </w:rPr>
              <w:t>(Dollars in Thousands)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FF0FC"/>
          </w:tcPr>
          <w:p>
            <w:pPr>
              <w:spacing w:after="0"/>
              <w:rPr>
                <w:sz w:val="20"/>
                <w:szCs w:val="20"/>
                <w:color w:val="auto"/>
              </w:rPr>
            </w:pPr>
            <w:r>
              <w:rPr>
                <w:rFonts w:ascii="Arial" w:cs="Arial" w:eastAsia="Arial" w:hAnsi="Arial"/>
                <w:sz w:val="20"/>
                <w:szCs w:val="20"/>
                <w:color w:val="auto"/>
              </w:rPr>
              <w:t>6.6% Senior Notes, due 2018</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299,579</w:t>
            </w:r>
          </w:p>
        </w:tc>
        <w:tc>
          <w:tcPr>
            <w:tcW w:w="140" w:type="dxa"/>
            <w:vAlign w:val="bottom"/>
            <w:shd w:val="clear" w:color="auto" w:fill="CFF0FC"/>
          </w:tcPr>
          <w:p>
            <w:pPr>
              <w:spacing w:after="0"/>
              <w:rPr>
                <w:sz w:val="21"/>
                <w:szCs w:val="21"/>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299,483</w:t>
            </w: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299,201</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20"/>
                <w:szCs w:val="20"/>
                <w:color w:val="auto"/>
              </w:rPr>
              <w:t>7% Debentures, due 2025</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124,112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20"/>
                <w:szCs w:val="20"/>
                <w:color w:val="auto"/>
              </w:rPr>
              <w:t>124,090</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124,024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FF0FC"/>
          </w:tcPr>
          <w:p>
            <w:pPr>
              <w:spacing w:after="0"/>
              <w:rPr>
                <w:sz w:val="20"/>
                <w:szCs w:val="20"/>
                <w:color w:val="auto"/>
              </w:rPr>
            </w:pPr>
            <w:r>
              <w:rPr>
                <w:rFonts w:ascii="Arial" w:cs="Arial" w:eastAsia="Arial" w:hAnsi="Arial"/>
                <w:sz w:val="20"/>
                <w:szCs w:val="20"/>
                <w:color w:val="auto"/>
              </w:rPr>
              <w:t>6.25% Senior Notes, due 2037</w:t>
            </w:r>
          </w:p>
        </w:tc>
        <w:tc>
          <w:tcPr>
            <w:tcW w:w="5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227,989</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227,975</w:t>
            </w:r>
          </w:p>
        </w:tc>
        <w:tc>
          <w:tcPr>
            <w:tcW w:w="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227,933</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20"/>
                <w:szCs w:val="20"/>
                <w:color w:val="auto"/>
              </w:rPr>
              <w:t>4.25 % Senior Notes, due 2024</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395,392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20"/>
                <w:szCs w:val="20"/>
                <w:color w:val="auto"/>
              </w:rPr>
              <w:t>395,252</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394,843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2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Floating Rate Notes, due 2017, interest rate of 2.10%</w:t>
            </w: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at March 31, 2017 and December 31, 2016 and 1.36%</w:t>
            </w: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2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at March 31, 2016</w:t>
            </w:r>
          </w:p>
        </w:tc>
        <w:tc>
          <w:tcPr>
            <w:tcW w:w="5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298,878</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299,033</w:t>
            </w:r>
          </w:p>
        </w:tc>
        <w:tc>
          <w:tcPr>
            <w:tcW w:w="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298,837</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20"/>
                <w:szCs w:val="20"/>
                <w:color w:val="auto"/>
                <w:w w:val="98"/>
              </w:rPr>
              <w:t>Term Loan Facility, due 2018, interest rate of 1.94% at March 31, 2016</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61"/>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217,109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2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9"/>
              </w:rPr>
              <w:t>Revolving Facility, due 2021, interest rate of 1.89%, 1.86% and 3.75%</w:t>
            </w: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200"/>
              <w:spacing w:after="0"/>
              <w:rPr>
                <w:sz w:val="20"/>
                <w:szCs w:val="20"/>
                <w:color w:val="auto"/>
              </w:rPr>
            </w:pPr>
            <w:r>
              <w:rPr>
                <w:rFonts w:ascii="Arial" w:cs="Arial" w:eastAsia="Arial" w:hAnsi="Arial"/>
                <w:sz w:val="20"/>
                <w:szCs w:val="20"/>
                <w:color w:val="auto"/>
              </w:rPr>
              <w:t>at March 31, 2017, December 31, 2016 and March 31, 2016,</w:t>
            </w: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2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respectively</w:t>
            </w:r>
          </w:p>
        </w:tc>
        <w:tc>
          <w:tcPr>
            <w:tcW w:w="5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210,000</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160,000</w:t>
            </w:r>
          </w:p>
        </w:tc>
        <w:tc>
          <w:tcPr>
            <w:tcW w:w="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30,000</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200" w:type="dxa"/>
            <w:vAlign w:val="bottom"/>
          </w:tcPr>
          <w:p>
            <w:pPr>
              <w:spacing w:after="0" w:line="227" w:lineRule="exact"/>
              <w:rPr>
                <w:sz w:val="20"/>
                <w:szCs w:val="20"/>
                <w:color w:val="auto"/>
              </w:rPr>
            </w:pPr>
            <w:r>
              <w:rPr>
                <w:rFonts w:ascii="Arial" w:cs="Arial" w:eastAsia="Arial" w:hAnsi="Arial"/>
                <w:sz w:val="20"/>
                <w:szCs w:val="20"/>
                <w:color w:val="auto"/>
              </w:rPr>
              <w:t>Trade Receivable Facility, interest rate of 1.51%, 1.34% and 1.13% at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60"/>
              <w:spacing w:after="0"/>
              <w:rPr>
                <w:sz w:val="20"/>
                <w:szCs w:val="20"/>
                <w:color w:val="auto"/>
              </w:rPr>
            </w:pPr>
            <w:r>
              <w:rPr>
                <w:rFonts w:ascii="Arial" w:cs="Arial" w:eastAsia="Arial" w:hAnsi="Arial"/>
                <w:sz w:val="20"/>
                <w:szCs w:val="20"/>
                <w:color w:val="auto"/>
              </w:rPr>
              <w:t>March 31, 2017, December 31, 2016 and March 31, 2016,</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200" w:type="dxa"/>
            <w:vAlign w:val="bottom"/>
          </w:tcPr>
          <w:p>
            <w:pPr>
              <w:ind w:left="260"/>
              <w:spacing w:after="0"/>
              <w:rPr>
                <w:sz w:val="20"/>
                <w:szCs w:val="20"/>
                <w:color w:val="auto"/>
              </w:rPr>
            </w:pPr>
            <w:r>
              <w:rPr>
                <w:rFonts w:ascii="Arial" w:cs="Arial" w:eastAsia="Arial" w:hAnsi="Arial"/>
                <w:sz w:val="20"/>
                <w:szCs w:val="20"/>
                <w:color w:val="auto"/>
              </w:rPr>
              <w:t>respectively</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290,000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20"/>
                <w:szCs w:val="20"/>
                <w:color w:val="auto"/>
              </w:rPr>
              <w:t>180,000</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159,925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FF0FC"/>
          </w:tcPr>
          <w:p>
            <w:pPr>
              <w:spacing w:after="0"/>
              <w:rPr>
                <w:sz w:val="20"/>
                <w:szCs w:val="20"/>
                <w:color w:val="auto"/>
              </w:rPr>
            </w:pPr>
            <w:r>
              <w:rPr>
                <w:rFonts w:ascii="Arial" w:cs="Arial" w:eastAsia="Arial" w:hAnsi="Arial"/>
                <w:sz w:val="20"/>
                <w:szCs w:val="20"/>
                <w:color w:val="auto"/>
              </w:rPr>
              <w:t>Other notes</w:t>
            </w:r>
          </w:p>
        </w:tc>
        <w:tc>
          <w:tcPr>
            <w:tcW w:w="5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344</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356</w:t>
            </w:r>
          </w:p>
        </w:tc>
        <w:tc>
          <w:tcPr>
            <w:tcW w:w="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885</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r>
              <w:rPr>
                <w:rFonts w:ascii="Arial" w:cs="Arial" w:eastAsia="Arial" w:hAnsi="Arial"/>
                <w:sz w:val="20"/>
                <w:szCs w:val="20"/>
                <w:color w:val="auto"/>
              </w:rPr>
              <w:t>Total debt</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1,846,294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20"/>
                <w:szCs w:val="20"/>
                <w:color w:val="auto"/>
              </w:rPr>
              <w:t>1,686,189</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1,752,757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FF0FC"/>
          </w:tcPr>
          <w:p>
            <w:pPr>
              <w:spacing w:after="0"/>
              <w:rPr>
                <w:sz w:val="20"/>
                <w:szCs w:val="20"/>
                <w:color w:val="auto"/>
              </w:rPr>
            </w:pPr>
            <w:r>
              <w:rPr>
                <w:rFonts w:ascii="Arial" w:cs="Arial" w:eastAsia="Arial" w:hAnsi="Arial"/>
                <w:sz w:val="20"/>
                <w:szCs w:val="20"/>
                <w:color w:val="auto"/>
              </w:rPr>
              <w:t>Less: Current maturities of long-term debt and short-term facilities</w:t>
            </w:r>
          </w:p>
        </w:tc>
        <w:tc>
          <w:tcPr>
            <w:tcW w:w="5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(290,048)</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60" w:type="dxa"/>
            <w:vAlign w:val="bottom"/>
            <w:gridSpan w:val="3"/>
            <w:shd w:val="clear" w:color="auto" w:fill="CFF0FC"/>
          </w:tcPr>
          <w:p>
            <w:pPr>
              <w:jc w:val="right"/>
              <w:ind w:right="120"/>
              <w:spacing w:after="0"/>
              <w:rPr>
                <w:sz w:val="20"/>
                <w:szCs w:val="20"/>
                <w:color w:val="auto"/>
              </w:rPr>
            </w:pPr>
            <w:r>
              <w:rPr>
                <w:rFonts w:ascii="Arial" w:cs="Arial" w:eastAsia="Arial" w:hAnsi="Arial"/>
                <w:sz w:val="20"/>
                <w:szCs w:val="20"/>
                <w:color w:val="auto"/>
              </w:rPr>
              <w:t>(180,036)</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60"/>
              <w:spacing w:after="0"/>
              <w:rPr>
                <w:sz w:val="20"/>
                <w:szCs w:val="20"/>
                <w:color w:val="auto"/>
              </w:rPr>
            </w:pPr>
            <w:r>
              <w:rPr>
                <w:rFonts w:ascii="Arial" w:cs="Arial" w:eastAsia="Arial" w:hAnsi="Arial"/>
                <w:sz w:val="20"/>
                <w:szCs w:val="20"/>
                <w:color w:val="auto"/>
              </w:rPr>
              <w:t>(177,430)</w:t>
            </w: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r>
              <w:rPr>
                <w:rFonts w:ascii="Arial" w:cs="Arial" w:eastAsia="Arial" w:hAnsi="Arial"/>
                <w:sz w:val="20"/>
                <w:szCs w:val="20"/>
                <w:color w:val="auto"/>
              </w:rPr>
              <w:t>Long-term debt</w:t>
            </w:r>
          </w:p>
        </w:tc>
        <w:tc>
          <w:tcPr>
            <w:tcW w:w="640" w:type="dxa"/>
            <w:vAlign w:val="bottom"/>
            <w:gridSpan w:val="2"/>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1,556,246</w:t>
            </w:r>
          </w:p>
        </w:tc>
        <w:tc>
          <w:tcPr>
            <w:tcW w:w="14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1,506,153</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1,575,327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Long-Term Debt (continued)</w:t>
      </w:r>
    </w:p>
    <w:p>
      <w:pPr>
        <w:spacing w:after="0" w:line="248" w:lineRule="exact"/>
        <w:rPr>
          <w:rFonts w:ascii="Arial" w:cs="Arial" w:eastAsia="Arial" w:hAnsi="Arial"/>
          <w:sz w:val="20"/>
          <w:szCs w:val="20"/>
          <w:b w:val="1"/>
          <w:bCs w:val="1"/>
          <w:color w:val="auto"/>
        </w:rPr>
      </w:pPr>
    </w:p>
    <w:p>
      <w:pPr>
        <w:jc w:val="both"/>
        <w:ind w:left="380"/>
        <w:spacing w:after="0" w:line="271" w:lineRule="auto"/>
        <w:rPr>
          <w:rFonts w:ascii="Arial" w:cs="Arial" w:eastAsia="Arial" w:hAnsi="Arial"/>
          <w:sz w:val="20"/>
          <w:szCs w:val="20"/>
          <w:b w:val="1"/>
          <w:bCs w:val="1"/>
          <w:color w:val="auto"/>
        </w:rPr>
      </w:pPr>
      <w:r>
        <w:rPr>
          <w:rFonts w:ascii="Arial" w:cs="Arial" w:eastAsia="Arial" w:hAnsi="Arial"/>
          <w:sz w:val="18"/>
          <w:szCs w:val="18"/>
          <w:color w:val="auto"/>
        </w:rPr>
        <w:t>The Corporation, through a wholly-owned special-purpose subsidiary, has a $300,000,000 trade receivable securitization facility (the Trade Receivable Facility), which matures on September 27, 2017. The Trade Receivable Facility, with SunTrust Bank, Regions Bank, PNC Bank, N.A., The Bank of Tokyo-Mitsubishi UFJ, LTD., New York Branch, and certain other lenders that may become a party to the facility from time to time, is backed by eligible trade receivables, as defined, and is limited to the lesser of the facility limit or the borrowing base, as defined, of $362,693,000, $333,302,000 and $327,734,000 at March 31, 2017, December 31, 2016 and March 31, 2016, respectively. These receivables are originated by the Corporation and then sold to the wholly-owned special-purpose subsidiary by the Corporation. The Corporation continues to be responsible for the servicing and administration of the receivables purchased by the wholly-owned special-purpose subsidiary. Borrowings under the Trade Receivable Facility bear interest at a rate equal to one-month LIBOR plus 0.725%, subject to change in the event that this rate no longer reflects the lender’s cost of lending. The Trade Receivable Facility contains a cross-default provision to the Corporation’s other debt agreements.</w:t>
      </w:r>
    </w:p>
    <w:p>
      <w:pPr>
        <w:spacing w:after="0" w:line="66" w:lineRule="exact"/>
        <w:rPr>
          <w:rFonts w:ascii="Arial" w:cs="Arial" w:eastAsia="Arial" w:hAnsi="Arial"/>
          <w:sz w:val="20"/>
          <w:szCs w:val="20"/>
          <w:b w:val="1"/>
          <w:bCs w:val="1"/>
          <w:color w:val="auto"/>
        </w:rPr>
      </w:pPr>
    </w:p>
    <w:p>
      <w:pPr>
        <w:jc w:val="both"/>
        <w:ind w:left="380"/>
        <w:spacing w:after="0" w:line="255" w:lineRule="auto"/>
        <w:rPr>
          <w:rFonts w:ascii="Arial" w:cs="Arial" w:eastAsia="Arial" w:hAnsi="Arial"/>
          <w:sz w:val="20"/>
          <w:szCs w:val="20"/>
          <w:b w:val="1"/>
          <w:bCs w:val="1"/>
          <w:color w:val="auto"/>
        </w:rPr>
      </w:pPr>
      <w:r>
        <w:rPr>
          <w:rFonts w:ascii="Arial" w:cs="Arial" w:eastAsia="Arial" w:hAnsi="Arial"/>
          <w:sz w:val="19"/>
          <w:szCs w:val="19"/>
          <w:color w:val="auto"/>
        </w:rPr>
        <w:t>The Corporation has a credit agreement with JPMorgan Chase Bank, N.A., as Administrative Agent, Branch Banking and Trust Company (BB&amp;T), Deutsche Bank Securities, Inc., SunTrust Bank and Wells Fargo Bank, N.A., as Co-Syndication Agents, and the lenders party thereto (the Credit Agreement), which provides a $700,000,000 five-year senior unsecured revolving facility (the Revolving Facility). The Credit Agreement requires the Corporation’s ratio of consolidated debt-to-consolidated earnings before interest, taxes, depreciation, depletion and amortization (EBITDA), as defined by the Credit Agreement, for the trailing-twelve months (the Ratio) to not exceed 3.50x as of the end of any fiscal quarter, provided that the Corporation may exclude from the Ratio debt incurred in connection with certain acquisitions during such quarter or the three preceding quarters so long as the Ratio calculated without such exclusion does not exceed 3.75x. Additionally, if no amounts are outstanding under both the Revolving Facility and the Trade Receivable Facility, consolidated debt, including debt for which the Corporation is a co-borrower, may be reduced by the Corporation’s unrestricted cash and cash equivalents in excess of $50,000,000, such reduction not to exceed $200,000,000, for purposes of the covenant calculation. The Corporation was in compliance with this Ratio at March 31, 2017.</w:t>
      </w:r>
    </w:p>
    <w:p>
      <w:pPr>
        <w:spacing w:after="0" w:line="79"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Available borrowings under the Revolving Facility are reduced by any outstanding letters of credit issued by the Corporation under the Revolving Facility. At March 31, 2017, December 31, 2016 and March 31, 2016, the Corporation had $2,507,000 of outstanding letters of credit issued under the Revolving Facility.</w:t>
      </w:r>
    </w:p>
    <w:p>
      <w:pPr>
        <w:spacing w:after="0" w:line="78" w:lineRule="exact"/>
        <w:rPr>
          <w:rFonts w:ascii="Arial" w:cs="Arial" w:eastAsia="Arial" w:hAnsi="Arial"/>
          <w:sz w:val="20"/>
          <w:szCs w:val="20"/>
          <w:b w:val="1"/>
          <w:bCs w:val="1"/>
          <w:color w:val="auto"/>
        </w:rPr>
      </w:pPr>
    </w:p>
    <w:p>
      <w:pPr>
        <w:ind w:left="38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Current maturities of long-term debt and short-term facilities consist of borrowings under the Trade Receivable Facility as well as the current portions of the other notes.</w:t>
      </w:r>
    </w:p>
    <w:p>
      <w:pPr>
        <w:spacing w:after="0" w:line="68" w:lineRule="exact"/>
        <w:rPr>
          <w:rFonts w:ascii="Arial" w:cs="Arial" w:eastAsia="Arial" w:hAnsi="Arial"/>
          <w:sz w:val="20"/>
          <w:szCs w:val="20"/>
          <w:b w:val="1"/>
          <w:bCs w:val="1"/>
          <w:color w:val="auto"/>
        </w:rPr>
      </w:pPr>
    </w:p>
    <w:p>
      <w:pPr>
        <w:jc w:val="both"/>
        <w:ind w:left="380"/>
        <w:spacing w:after="0" w:line="282" w:lineRule="auto"/>
        <w:rPr>
          <w:rFonts w:ascii="Arial" w:cs="Arial" w:eastAsia="Arial" w:hAnsi="Arial"/>
          <w:sz w:val="20"/>
          <w:szCs w:val="20"/>
          <w:b w:val="1"/>
          <w:bCs w:val="1"/>
          <w:color w:val="auto"/>
        </w:rPr>
      </w:pPr>
      <w:r>
        <w:rPr>
          <w:rFonts w:ascii="Arial" w:cs="Arial" w:eastAsia="Arial" w:hAnsi="Arial"/>
          <w:sz w:val="18"/>
          <w:szCs w:val="18"/>
          <w:color w:val="auto"/>
        </w:rPr>
        <w:t>Accumulated other comprehensive loss includes the unamortized value of terminated forward starting interest rate swap agreements. For the three months ended March 31, 2017 and 2016, the Corporation recognized $356,000 and $332,000, respectively, as additional interest expense. The ongoing amortization of the terminated value of the forward starting interest rate swap agreements will increase annual interest expense by approximately $1,400,000 until the maturity of the 6.6% Senior Notes in 2018.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34"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11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Corporation’s financial instruments include cash equivalents, accounts receivable, notes receivable, bank overdraft, accounts payable, publicly-registered long-term notes, debentures and other long-term debt.</w:t>
      </w:r>
    </w:p>
    <w:p>
      <w:pPr>
        <w:spacing w:after="0" w:line="68"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Cash equivalents are placed primarily in money market funds, money market demand deposit accounts and Eurodollar time deposits. The Corporation’s cash equivalents have original maturities of less than three months. Due to the short maturity of these investments, they are carried on the consolidated balance sheets at cost, which approximates fair value.</w:t>
      </w:r>
    </w:p>
    <w:p>
      <w:pPr>
        <w:spacing w:after="0" w:line="78"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Accounts receivable are due from a large number of customers, primarily in the construction industry, and are dispersed across wide geographic and economic regions. However, accounts receivable are more heavily concentrated in certain states (namely, Texas, Colorado, North Carolina, Iowa and Georgia). The estimated fair values of accounts receivable approximate their carrying amounts due to the short-term nature of the receivables.</w:t>
      </w:r>
    </w:p>
    <w:p>
      <w:pPr>
        <w:spacing w:after="0" w:line="8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Notes receivable are not publicly traded. Management estimates that the fair value of notes receivable approximates the carrying amount due to the short-term nature of the receivables.</w:t>
      </w:r>
    </w:p>
    <w:p>
      <w:pPr>
        <w:spacing w:after="0" w:line="68"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bank overdraft represents amounts to be funded to financial institutions for checks that have cleared the bank. The estimated fair value of the bank overdraft approximates its carrying value due to the short-term nature of the overdraft.</w:t>
      </w:r>
    </w:p>
    <w:p>
      <w:pPr>
        <w:spacing w:after="0" w:line="68"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Accounts payable represent amounts owed to suppliers and vendors. The estimated fair value of accounts payable approximates its carrying amount due to the short-term nature of the payables.</w:t>
      </w:r>
    </w:p>
    <w:p>
      <w:pPr>
        <w:spacing w:after="0" w:line="68" w:lineRule="exact"/>
        <w:rPr>
          <w:rFonts w:ascii="Arial" w:cs="Arial" w:eastAsia="Arial" w:hAnsi="Arial"/>
          <w:sz w:val="20"/>
          <w:szCs w:val="20"/>
          <w:b w:val="1"/>
          <w:bCs w:val="1"/>
          <w:color w:val="auto"/>
        </w:rPr>
      </w:pPr>
    </w:p>
    <w:p>
      <w:pPr>
        <w:jc w:val="both"/>
        <w:ind w:left="380"/>
        <w:spacing w:after="0" w:line="259" w:lineRule="auto"/>
        <w:rPr>
          <w:rFonts w:ascii="Arial" w:cs="Arial" w:eastAsia="Arial" w:hAnsi="Arial"/>
          <w:sz w:val="20"/>
          <w:szCs w:val="20"/>
          <w:b w:val="1"/>
          <w:bCs w:val="1"/>
          <w:color w:val="auto"/>
        </w:rPr>
      </w:pPr>
      <w:r>
        <w:rPr>
          <w:rFonts w:ascii="Arial" w:cs="Arial" w:eastAsia="Arial" w:hAnsi="Arial"/>
          <w:sz w:val="19"/>
          <w:szCs w:val="19"/>
          <w:color w:val="auto"/>
        </w:rPr>
        <w:t>The carrying values and fair values of the Corporation’s long-term debt were $1,846,294,000 and $1,937,310,000, respectively, at March 31, 2017; $1,686,189,000 and $1,752,338,000, respectively, at December 31, 2016; and $1,752,757,000 and $1,817,950,000, respectively, at March 31, 2016. The estimated fair value of the publicly-registered long-term notes was estimated based on Level 1 of the fair value hierarchy using quoted market prices. The estimated fair value of other borrowings, which primarily represents variable-rate debt, was based on Level 2 of the fair value hierarchy using quoted market prices for similar debt instruments, and approximates their carrying amounts as the interest rates reset periodically.</w:t>
      </w:r>
    </w:p>
    <w:p>
      <w:pPr>
        <w:spacing w:after="0" w:line="172" w:lineRule="exact"/>
        <w:rPr>
          <w:rFonts w:ascii="Arial" w:cs="Arial" w:eastAsia="Arial" w:hAnsi="Arial"/>
          <w:sz w:val="20"/>
          <w:szCs w:val="20"/>
          <w:b w:val="1"/>
          <w:bCs w:val="1"/>
          <w:color w:val="auto"/>
        </w:rPr>
      </w:pPr>
    </w:p>
    <w:p>
      <w:pPr>
        <w:ind w:left="380" w:hanging="372"/>
        <w:spacing w:after="0"/>
        <w:tabs>
          <w:tab w:leader="none" w:pos="38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113" w:lineRule="exact"/>
        <w:rPr>
          <w:rFonts w:ascii="Arial" w:cs="Arial" w:eastAsia="Arial" w:hAnsi="Arial"/>
          <w:sz w:val="20"/>
          <w:szCs w:val="20"/>
          <w:b w:val="1"/>
          <w:bCs w:val="1"/>
          <w:color w:val="auto"/>
        </w:rPr>
      </w:pPr>
    </w:p>
    <w:p>
      <w:pPr>
        <w:jc w:val="both"/>
        <w:ind w:left="380"/>
        <w:spacing w:after="0" w:line="276" w:lineRule="auto"/>
        <w:rPr>
          <w:rFonts w:ascii="Arial" w:cs="Arial" w:eastAsia="Arial" w:hAnsi="Arial"/>
          <w:sz w:val="20"/>
          <w:szCs w:val="20"/>
          <w:b w:val="1"/>
          <w:bCs w:val="1"/>
          <w:color w:val="auto"/>
        </w:rPr>
      </w:pPr>
      <w:r>
        <w:rPr>
          <w:rFonts w:ascii="Arial" w:cs="Arial" w:eastAsia="Arial" w:hAnsi="Arial"/>
          <w:sz w:val="18"/>
          <w:szCs w:val="18"/>
          <w:color w:val="auto"/>
        </w:rPr>
        <w:t>The Corporation’s effective income tax rate for the three months ended March 31, 2017 was 25.6%. The effective income tax rate reflects the effect of federal and state income taxes and the impact of differences in book and tax accounting arising from the net permanent benefits associated with the statutory depletion deduction for mineral reserves and the domestic production deduction. For the three months ended March 31, 2017, as a result of the adoption of ASU 2016-09 (see Note 1), the effective income tax rate reflects the excess tax benefit related to the vesting and exercise of stock-based compensation awards, which are treated as discrete events. As previously stated in Note 1, this requirement of the ASU is prospective and therefore, prior year results are not comparable.</w:t>
      </w:r>
    </w:p>
    <w:p>
      <w:pPr>
        <w:spacing w:after="0" w:line="57"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Corporation records interest accrued in relation to unrecognized tax benefits as income tax expense. Penalties, if incurred, are recorded as operating expenses in the consolidated statements of earnings and comprehensive earnings.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42"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Postretirement Benefits</w:t>
      </w:r>
    </w:p>
    <w:p>
      <w:pPr>
        <w:spacing w:after="0" w:line="11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19"/>
          <w:szCs w:val="19"/>
          <w:color w:val="auto"/>
        </w:rPr>
        <w:t>The estimated components of the recorded net periodic benefit cost (credit) for pension and postretirement benefits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9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7"/>
          </w:tcPr>
          <w:p>
            <w:pPr>
              <w:ind w:left="20"/>
              <w:spacing w:after="0"/>
              <w:rPr>
                <w:sz w:val="20"/>
                <w:szCs w:val="20"/>
                <w:color w:val="auto"/>
              </w:rPr>
            </w:pPr>
            <w:r>
              <w:rPr>
                <w:rFonts w:ascii="Arial" w:cs="Arial" w:eastAsia="Arial" w:hAnsi="Arial"/>
                <w:sz w:val="20"/>
                <w:szCs w:val="20"/>
                <w:color w:val="auto"/>
                <w:w w:val="98"/>
              </w:rPr>
              <w:t>Three Months Ended March 31,</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720"/>
              <w:spacing w:after="0"/>
              <w:rPr>
                <w:sz w:val="20"/>
                <w:szCs w:val="20"/>
                <w:color w:val="auto"/>
              </w:rPr>
            </w:pPr>
            <w:r>
              <w:rPr>
                <w:rFonts w:ascii="Arial" w:cs="Arial" w:eastAsia="Arial" w:hAnsi="Arial"/>
                <w:sz w:val="20"/>
                <w:szCs w:val="20"/>
                <w:color w:val="auto"/>
                <w:w w:val="96"/>
              </w:rPr>
              <w:t>Pension</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20"/>
                <w:szCs w:val="20"/>
                <w:color w:val="auto"/>
                <w:w w:val="94"/>
              </w:rPr>
              <w:t>Postretirement Benefits</w:t>
            </w:r>
          </w:p>
        </w:tc>
        <w:tc>
          <w:tcPr>
            <w:tcW w:w="100" w:type="dxa"/>
            <w:vAlign w:val="bottom"/>
          </w:tcPr>
          <w:p>
            <w:pPr>
              <w:spacing w:after="0"/>
              <w:rPr>
                <w:sz w:val="20"/>
                <w:szCs w:val="20"/>
                <w:color w:val="auto"/>
              </w:rPr>
            </w:pPr>
          </w:p>
        </w:tc>
      </w:tr>
      <w:tr>
        <w:trPr>
          <w:trHeight w:val="237"/>
        </w:trPr>
        <w:tc>
          <w:tcPr>
            <w:tcW w:w="5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2017</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2016</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2017</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2016</w:t>
            </w:r>
          </w:p>
        </w:tc>
        <w:tc>
          <w:tcPr>
            <w:tcW w:w="100" w:type="dxa"/>
            <w:vAlign w:val="bottom"/>
          </w:tcPr>
          <w:p>
            <w:pPr>
              <w:spacing w:after="0"/>
              <w:rPr>
                <w:sz w:val="20"/>
                <w:szCs w:val="20"/>
                <w:color w:val="auto"/>
              </w:rPr>
            </w:pPr>
          </w:p>
        </w:tc>
      </w:tr>
      <w:tr>
        <w:trPr>
          <w:trHeight w:val="233"/>
        </w:trPr>
        <w:tc>
          <w:tcPr>
            <w:tcW w:w="5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6"/>
          </w:tcPr>
          <w:p>
            <w:pPr>
              <w:jc w:val="right"/>
              <w:ind w:right="600"/>
              <w:spacing w:after="0"/>
              <w:rPr>
                <w:sz w:val="20"/>
                <w:szCs w:val="20"/>
                <w:color w:val="auto"/>
              </w:rPr>
            </w:pPr>
            <w:r>
              <w:rPr>
                <w:rFonts w:ascii="Arial" w:cs="Arial" w:eastAsia="Arial" w:hAnsi="Arial"/>
                <w:sz w:val="20"/>
                <w:szCs w:val="20"/>
                <w:i w:val="1"/>
                <w:iCs w:val="1"/>
                <w:color w:val="auto"/>
                <w:w w:val="95"/>
              </w:rPr>
              <w:t>(Dollars in Thousands)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5920" w:type="dxa"/>
            <w:vAlign w:val="bottom"/>
          </w:tcPr>
          <w:p>
            <w:pPr>
              <w:spacing w:after="0"/>
              <w:rPr>
                <w:sz w:val="20"/>
                <w:szCs w:val="20"/>
                <w:color w:val="auto"/>
              </w:rPr>
            </w:pPr>
            <w:r>
              <w:rPr>
                <w:rFonts w:ascii="Arial" w:cs="Arial" w:eastAsia="Arial" w:hAnsi="Arial"/>
                <w:sz w:val="20"/>
                <w:szCs w:val="20"/>
                <w:color w:val="auto"/>
              </w:rPr>
              <w:t>Service cost</w:t>
            </w: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6,572</w:t>
            </w:r>
          </w:p>
        </w:tc>
        <w:tc>
          <w:tcPr>
            <w:tcW w:w="160" w:type="dxa"/>
            <w:vAlign w:val="bottom"/>
          </w:tcPr>
          <w:p>
            <w:pPr>
              <w:spacing w:after="0"/>
              <w:rPr>
                <w:sz w:val="21"/>
                <w:szCs w:val="21"/>
                <w:color w:val="auto"/>
              </w:rPr>
            </w:pPr>
          </w:p>
        </w:tc>
        <w:tc>
          <w:tcPr>
            <w:tcW w:w="360" w:type="dxa"/>
            <w:vAlign w:val="bottom"/>
            <w:gridSpan w:val="2"/>
          </w:tcPr>
          <w:p>
            <w:pPr>
              <w:ind w:left="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5,507</w:t>
            </w:r>
          </w:p>
        </w:tc>
        <w:tc>
          <w:tcPr>
            <w:tcW w:w="160" w:type="dxa"/>
            <w:vAlign w:val="bottom"/>
          </w:tcPr>
          <w:p>
            <w:pPr>
              <w:spacing w:after="0"/>
              <w:rPr>
                <w:sz w:val="21"/>
                <w:szCs w:val="21"/>
                <w:color w:val="auto"/>
              </w:rPr>
            </w:pPr>
          </w:p>
        </w:tc>
        <w:tc>
          <w:tcPr>
            <w:tcW w:w="3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24</w:t>
            </w:r>
          </w:p>
        </w:tc>
        <w:tc>
          <w:tcPr>
            <w:tcW w:w="24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34</w:t>
            </w:r>
          </w:p>
        </w:tc>
        <w:tc>
          <w:tcPr>
            <w:tcW w:w="100" w:type="dxa"/>
            <w:vAlign w:val="bottom"/>
          </w:tcPr>
          <w:p>
            <w:pPr>
              <w:spacing w:after="0"/>
              <w:rPr>
                <w:sz w:val="21"/>
                <w:szCs w:val="21"/>
                <w:color w:val="auto"/>
              </w:rPr>
            </w:pPr>
          </w:p>
        </w:tc>
      </w:tr>
      <w:tr>
        <w:trPr>
          <w:trHeight w:val="243"/>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Interest cost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9,008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8,871</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238</w:t>
            </w:r>
          </w:p>
        </w:tc>
        <w:tc>
          <w:tcPr>
            <w:tcW w:w="100" w:type="dxa"/>
            <w:vAlign w:val="bottom"/>
            <w:shd w:val="clear" w:color="auto" w:fill="CFF0FC"/>
          </w:tcPr>
          <w:p>
            <w:pPr>
              <w:spacing w:after="0"/>
              <w:rPr>
                <w:sz w:val="21"/>
                <w:szCs w:val="21"/>
                <w:color w:val="auto"/>
              </w:rPr>
            </w:pPr>
          </w:p>
        </w:tc>
      </w:tr>
      <w:tr>
        <w:trPr>
          <w:trHeight w:val="243"/>
        </w:trPr>
        <w:tc>
          <w:tcPr>
            <w:tcW w:w="5920" w:type="dxa"/>
            <w:vAlign w:val="bottom"/>
          </w:tcPr>
          <w:p>
            <w:pPr>
              <w:spacing w:after="0"/>
              <w:rPr>
                <w:sz w:val="20"/>
                <w:szCs w:val="20"/>
                <w:color w:val="auto"/>
              </w:rPr>
            </w:pPr>
            <w:r>
              <w:rPr>
                <w:rFonts w:ascii="Arial" w:cs="Arial" w:eastAsia="Arial" w:hAnsi="Arial"/>
                <w:sz w:val="20"/>
                <w:szCs w:val="20"/>
                <w:color w:val="auto"/>
              </w:rPr>
              <w:t>Expected return on assets</w:t>
            </w: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(9,936)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20"/>
                <w:szCs w:val="20"/>
                <w:color w:val="auto"/>
              </w:rPr>
              <w:t>(9,434)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43"/>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920" w:type="dxa"/>
            <w:vAlign w:val="bottom"/>
          </w:tcPr>
          <w:p>
            <w:pPr>
              <w:ind w:left="260"/>
              <w:spacing w:after="0"/>
              <w:rPr>
                <w:sz w:val="20"/>
                <w:szCs w:val="20"/>
                <w:color w:val="auto"/>
              </w:rPr>
            </w:pPr>
            <w:r>
              <w:rPr>
                <w:rFonts w:ascii="Arial" w:cs="Arial" w:eastAsia="Arial" w:hAnsi="Arial"/>
                <w:sz w:val="20"/>
                <w:szCs w:val="20"/>
                <w:color w:val="auto"/>
              </w:rPr>
              <w:t>Prior service cost (credit)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20"/>
                <w:szCs w:val="20"/>
                <w:color w:val="auto"/>
              </w:rPr>
              <w:t>(435)</w:t>
            </w:r>
          </w:p>
        </w:tc>
        <w:tc>
          <w:tcPr>
            <w:tcW w:w="24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20"/>
                <w:szCs w:val="20"/>
                <w:color w:val="auto"/>
              </w:rPr>
              <w:t>(462)</w:t>
            </w:r>
          </w:p>
        </w:tc>
      </w:tr>
      <w:tr>
        <w:trPr>
          <w:trHeight w:val="243"/>
        </w:trPr>
        <w:tc>
          <w:tcPr>
            <w:tcW w:w="59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Actuarial loss (gain)</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3,524</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2,831</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(72)</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(99)</w:t>
            </w:r>
          </w:p>
        </w:tc>
      </w:tr>
      <w:tr>
        <w:trPr>
          <w:trHeight w:val="243"/>
        </w:trPr>
        <w:tc>
          <w:tcPr>
            <w:tcW w:w="5920" w:type="dxa"/>
            <w:vAlign w:val="bottom"/>
          </w:tcPr>
          <w:p>
            <w:pPr>
              <w:spacing w:after="0"/>
              <w:rPr>
                <w:sz w:val="20"/>
                <w:szCs w:val="20"/>
                <w:color w:val="auto"/>
              </w:rPr>
            </w:pPr>
            <w:r>
              <w:rPr>
                <w:rFonts w:ascii="Arial" w:cs="Arial" w:eastAsia="Arial" w:hAnsi="Arial"/>
                <w:sz w:val="20"/>
                <w:szCs w:val="20"/>
                <w:color w:val="auto"/>
              </w:rPr>
              <w:t>Settlement charge</w:t>
            </w: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43"/>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Special termination benefit</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126</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37"/>
        </w:trPr>
        <w:tc>
          <w:tcPr>
            <w:tcW w:w="5920" w:type="dxa"/>
            <w:vAlign w:val="bottom"/>
          </w:tcPr>
          <w:p>
            <w:pPr>
              <w:spacing w:after="0"/>
              <w:rPr>
                <w:sz w:val="20"/>
                <w:szCs w:val="20"/>
                <w:color w:val="auto"/>
              </w:rPr>
            </w:pPr>
            <w:r>
              <w:rPr>
                <w:rFonts w:ascii="Arial" w:cs="Arial" w:eastAsia="Arial" w:hAnsi="Arial"/>
                <w:sz w:val="20"/>
                <w:szCs w:val="20"/>
                <w:color w:val="auto"/>
              </w:rPr>
              <w:t>Net periodic benefit cost (credit)</w:t>
            </w: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9,246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8,048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(298)</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(289)</w:t>
            </w:r>
          </w:p>
        </w:tc>
        <w:tc>
          <w:tcPr>
            <w:tcW w:w="100" w:type="dxa"/>
            <w:vAlign w:val="bottom"/>
          </w:tcPr>
          <w:p>
            <w:pPr>
              <w:spacing w:after="0"/>
              <w:rPr>
                <w:sz w:val="20"/>
                <w:szCs w:val="20"/>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components of net periodic benefit cost (credit), other than the service cost component, are included in the line item </w:t>
      </w:r>
      <w:r>
        <w:rPr>
          <w:rFonts w:ascii="Arial" w:cs="Arial" w:eastAsia="Arial" w:hAnsi="Arial"/>
          <w:sz w:val="20"/>
          <w:szCs w:val="20"/>
          <w:i w:val="1"/>
          <w:iCs w:val="1"/>
          <w:color w:val="auto"/>
        </w:rPr>
        <w:t>Other nonoperating</w:t>
      </w:r>
      <w:r>
        <w:rPr>
          <w:rFonts w:ascii="Arial" w:cs="Arial" w:eastAsia="Arial" w:hAnsi="Arial"/>
          <w:sz w:val="20"/>
          <w:szCs w:val="20"/>
          <w:color w:val="auto"/>
        </w:rPr>
        <w:t xml:space="preserve"> </w:t>
      </w:r>
      <w:r>
        <w:rPr>
          <w:rFonts w:ascii="Arial" w:cs="Arial" w:eastAsia="Arial" w:hAnsi="Arial"/>
          <w:sz w:val="20"/>
          <w:szCs w:val="20"/>
          <w:i w:val="1"/>
          <w:iCs w:val="1"/>
          <w:color w:val="auto"/>
        </w:rPr>
        <w:t>(income) and expenses, net</w:t>
      </w:r>
      <w:r>
        <w:rPr>
          <w:rFonts w:ascii="Arial" w:cs="Arial" w:eastAsia="Arial" w:hAnsi="Arial"/>
          <w:sz w:val="20"/>
          <w:szCs w:val="20"/>
          <w:color w:val="auto"/>
        </w:rPr>
        <w:t>, in the Consolidated Statements of Earnings and Comprehensive Earnings.</w:t>
      </w:r>
    </w:p>
    <w:p>
      <w:pPr>
        <w:spacing w:after="0" w:line="374" w:lineRule="exact"/>
        <w:rPr>
          <w:sz w:val="20"/>
          <w:szCs w:val="20"/>
          <w:color w:val="auto"/>
        </w:rPr>
      </w:pPr>
    </w:p>
    <w:p>
      <w:pPr>
        <w:ind w:left="380" w:right="8000" w:hanging="372"/>
        <w:spacing w:after="0" w:line="394" w:lineRule="auto"/>
        <w:tabs>
          <w:tab w:leader="none" w:pos="378"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u w:val="single" w:color="auto"/>
          <w:color w:val="auto"/>
        </w:rPr>
        <w:t>Legal and Administrative Proceedings</w:t>
      </w:r>
    </w:p>
    <w:p>
      <w:pPr>
        <w:spacing w:after="0" w:line="1" w:lineRule="exact"/>
        <w:rPr>
          <w:rFonts w:ascii="Arial" w:cs="Arial" w:eastAsia="Arial" w:hAnsi="Arial"/>
          <w:sz w:val="18"/>
          <w:szCs w:val="18"/>
          <w:b w:val="1"/>
          <w:bCs w:val="1"/>
          <w:color w:val="auto"/>
        </w:rPr>
      </w:pPr>
    </w:p>
    <w:p>
      <w:pPr>
        <w:jc w:val="both"/>
        <w:ind w:left="380"/>
        <w:spacing w:after="0" w:line="263" w:lineRule="auto"/>
        <w:rPr>
          <w:rFonts w:ascii="Arial" w:cs="Arial" w:eastAsia="Arial" w:hAnsi="Arial"/>
          <w:sz w:val="18"/>
          <w:szCs w:val="18"/>
          <w:b w:val="1"/>
          <w:bCs w:val="1"/>
          <w:color w:val="auto"/>
        </w:rPr>
      </w:pPr>
      <w:r>
        <w:rPr>
          <w:rFonts w:ascii="Arial" w:cs="Arial" w:eastAsia="Arial" w:hAnsi="Arial"/>
          <w:sz w:val="19"/>
          <w:szCs w:val="19"/>
          <w:color w:val="auto"/>
        </w:rPr>
        <w:t>The Corporation is engaged in certain legal and administrative proceedings incidental to its normal business activities. In the opinion of management and counsel, based upon currently-available facts, it is remote that the ultimate outcome of any litigation and other proceedings, including those pertaining to environmental matters, relating to the Corporation and its subsidiaries, will have a material adverse effect on the overall results of the Corporation’s operations, its cash flows or its financial position.</w:t>
      </w:r>
    </w:p>
    <w:p>
      <w:pPr>
        <w:spacing w:after="0" w:line="6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20"/>
          <w:szCs w:val="20"/>
          <w:u w:val="single" w:color="auto"/>
          <w:color w:val="auto"/>
        </w:rPr>
        <w:t>Borrowing Arrangements with Affiliate</w:t>
      </w:r>
    </w:p>
    <w:p>
      <w:pPr>
        <w:spacing w:after="0" w:line="107" w:lineRule="exact"/>
        <w:rPr>
          <w:rFonts w:ascii="Arial" w:cs="Arial" w:eastAsia="Arial" w:hAnsi="Arial"/>
          <w:sz w:val="18"/>
          <w:szCs w:val="18"/>
          <w:b w:val="1"/>
          <w:bCs w:val="1"/>
          <w:color w:val="auto"/>
        </w:rPr>
      </w:pPr>
    </w:p>
    <w:p>
      <w:pPr>
        <w:jc w:val="both"/>
        <w:ind w:left="380"/>
        <w:spacing w:after="0" w:line="246" w:lineRule="auto"/>
        <w:rPr>
          <w:rFonts w:ascii="Arial" w:cs="Arial" w:eastAsia="Arial" w:hAnsi="Arial"/>
          <w:sz w:val="18"/>
          <w:szCs w:val="18"/>
          <w:b w:val="1"/>
          <w:bCs w:val="1"/>
          <w:color w:val="auto"/>
        </w:rPr>
      </w:pPr>
      <w:r>
        <w:rPr>
          <w:rFonts w:ascii="Arial" w:cs="Arial" w:eastAsia="Arial" w:hAnsi="Arial"/>
          <w:sz w:val="20"/>
          <w:szCs w:val="20"/>
          <w:color w:val="auto"/>
        </w:rPr>
        <w:t>The Corporation is a co-borrower with an unconsolidated affiliate for a $25,000,000 revolving line of credit agreement with BB&amp;T Bank. The affiliate has agreed to reimburse and indemnify the Corporation for any payments and expenses the Corporation may incur from this agreement. The Corporation holds a lien on the affiliate’s membership interest in a joint venture as collateral for payment under the revolving line of credit.</w:t>
      </w:r>
    </w:p>
    <w:p>
      <w:pPr>
        <w:spacing w:after="0" w:line="83" w:lineRule="exact"/>
        <w:rPr>
          <w:rFonts w:ascii="Arial" w:cs="Arial" w:eastAsia="Arial" w:hAnsi="Arial"/>
          <w:sz w:val="18"/>
          <w:szCs w:val="18"/>
          <w:b w:val="1"/>
          <w:bCs w:val="1"/>
          <w:color w:val="auto"/>
        </w:rPr>
      </w:pPr>
    </w:p>
    <w:p>
      <w:pPr>
        <w:ind w:left="380"/>
        <w:spacing w:after="0" w:line="287" w:lineRule="auto"/>
        <w:rPr>
          <w:rFonts w:ascii="Arial" w:cs="Arial" w:eastAsia="Arial" w:hAnsi="Arial"/>
          <w:sz w:val="18"/>
          <w:szCs w:val="18"/>
          <w:b w:val="1"/>
          <w:bCs w:val="1"/>
          <w:color w:val="auto"/>
        </w:rPr>
      </w:pPr>
      <w:r>
        <w:rPr>
          <w:rFonts w:ascii="Arial" w:cs="Arial" w:eastAsia="Arial" w:hAnsi="Arial"/>
          <w:sz w:val="19"/>
          <w:szCs w:val="19"/>
          <w:color w:val="auto"/>
        </w:rPr>
        <w:t>In addition, the Corporation has a $6,000,000 interest-only loan, due December 31, 2019, outstanding from this unconsolidated affiliate as of March 31, 2017, December 31, 2016 and March 31, 2016. The interest rate is one-month LIBOR plus 1.75%.</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42" w:lineRule="exact"/>
        <w:rPr>
          <w:sz w:val="20"/>
          <w:szCs w:val="20"/>
          <w:color w:val="auto"/>
        </w:rPr>
      </w:pPr>
    </w:p>
    <w:p>
      <w:pPr>
        <w:ind w:left="380" w:right="7220" w:hanging="372"/>
        <w:spacing w:after="0" w:line="355" w:lineRule="auto"/>
        <w:tabs>
          <w:tab w:leader="none" w:pos="378"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Commitments and Contingencies (continued) </w:t>
      </w:r>
      <w:r>
        <w:rPr>
          <w:rFonts w:ascii="Arial" w:cs="Arial" w:eastAsia="Arial" w:hAnsi="Arial"/>
          <w:sz w:val="20"/>
          <w:szCs w:val="20"/>
          <w:u w:val="single" w:color="auto"/>
          <w:color w:val="auto"/>
        </w:rPr>
        <w:t>Employees</w:t>
      </w:r>
    </w:p>
    <w:p>
      <w:pPr>
        <w:jc w:val="both"/>
        <w:ind w:left="38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Approximately 10% of the Corporation’s employees are represented by a labor union. All such employees are hourly employees. The Corporation maintains collective bargaining agreements relating to the union employees with the Aggregates business and Magnesia Specialties segments. For the Magnesia Specialties segment located in Manistee, Michigan and Woodville, Ohio, 100% of its hourly employees are represented by labor unions. The Manistee collective bargaining agreement expires in August 2019, and the Woodville collective bargaining agreement expires in May 2018.</w:t>
      </w:r>
    </w:p>
    <w:p>
      <w:pPr>
        <w:spacing w:after="0" w:line="297" w:lineRule="exact"/>
        <w:rPr>
          <w:rFonts w:ascii="Arial" w:cs="Arial" w:eastAsia="Arial" w:hAnsi="Arial"/>
          <w:sz w:val="20"/>
          <w:szCs w:val="20"/>
          <w:b w:val="1"/>
          <w:bCs w:val="1"/>
          <w:color w:val="auto"/>
        </w:rPr>
      </w:pPr>
    </w:p>
    <w:p>
      <w:pPr>
        <w:ind w:left="380" w:hanging="372"/>
        <w:spacing w:after="0"/>
        <w:tabs>
          <w:tab w:leader="none" w:pos="38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w:t>
      </w:r>
    </w:p>
    <w:p>
      <w:pPr>
        <w:spacing w:after="0" w:line="113" w:lineRule="exact"/>
        <w:rPr>
          <w:rFonts w:ascii="Arial" w:cs="Arial" w:eastAsia="Arial" w:hAnsi="Arial"/>
          <w:sz w:val="20"/>
          <w:szCs w:val="20"/>
          <w:b w:val="1"/>
          <w:bCs w:val="1"/>
          <w:color w:val="auto"/>
        </w:rPr>
      </w:pPr>
    </w:p>
    <w:p>
      <w:pPr>
        <w:jc w:val="both"/>
        <w:ind w:left="380"/>
        <w:spacing w:after="0" w:line="257" w:lineRule="auto"/>
        <w:rPr>
          <w:rFonts w:ascii="Arial" w:cs="Arial" w:eastAsia="Arial" w:hAnsi="Arial"/>
          <w:sz w:val="20"/>
          <w:szCs w:val="20"/>
          <w:b w:val="1"/>
          <w:bCs w:val="1"/>
          <w:color w:val="auto"/>
        </w:rPr>
      </w:pPr>
      <w:r>
        <w:rPr>
          <w:rFonts w:ascii="Arial" w:cs="Arial" w:eastAsia="Arial" w:hAnsi="Arial"/>
          <w:sz w:val="19"/>
          <w:szCs w:val="19"/>
          <w:color w:val="auto"/>
        </w:rPr>
        <w:t>The Building Materials business contains three reportable business segments: Mid-America Group, Southeast Group and West Group. The Corporation also has a Magnesia Specialties segment. The Corporation’s evaluation of performance and allocation of resources are based primarily on earnings from operations. Consolidated earnings from operations include net sales less cost of sales, selling, general and administrative expenses, acquisition-related expenses, net, other operating income and expenses, net, and exclude interest expense, other nonoperating income and expenses, net, and taxes on income. Corporate consolidated loss from operations primarily includes depreciation on capitalized interest, expenses for corporate administrative functions, acquisition-related expenses, net, and other nonrecurring and/or non-operational income and expenses excluded from the Corporation’s evaluation of business segment performance and resource allocation. All debt and related interest expense is held at Corporate.</w:t>
      </w:r>
    </w:p>
    <w:p>
      <w:pPr>
        <w:spacing w:after="0" w:line="73" w:lineRule="exact"/>
        <w:rPr>
          <w:rFonts w:ascii="Arial" w:cs="Arial" w:eastAsia="Arial" w:hAnsi="Arial"/>
          <w:sz w:val="20"/>
          <w:szCs w:val="20"/>
          <w:b w:val="1"/>
          <w:bCs w:val="1"/>
          <w:color w:val="auto"/>
        </w:rPr>
      </w:pPr>
    </w:p>
    <w:p>
      <w:pPr>
        <w:jc w:val="both"/>
        <w:ind w:left="380"/>
        <w:spacing w:after="0" w:line="269" w:lineRule="auto"/>
        <w:rPr>
          <w:rFonts w:ascii="Arial" w:cs="Arial" w:eastAsia="Arial" w:hAnsi="Arial"/>
          <w:sz w:val="20"/>
          <w:szCs w:val="20"/>
          <w:b w:val="1"/>
          <w:bCs w:val="1"/>
          <w:color w:val="auto"/>
        </w:rPr>
      </w:pPr>
      <w:r>
        <w:rPr>
          <w:rFonts w:ascii="Arial" w:cs="Arial" w:eastAsia="Arial" w:hAnsi="Arial"/>
          <w:sz w:val="19"/>
          <w:szCs w:val="19"/>
          <w:color w:val="auto"/>
        </w:rPr>
        <w:t>The following table displays selected financial data for continuing operations for the Corporation’s reportable business segments. Total revenues and net sales in the table below, as well as the consolidated statements of earnings and comprehensive earnings, exclude intersegment sales which represent net sales from one segment to another segment which are eliminated.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34"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 (continued)</w:t>
      </w:r>
    </w:p>
    <w:p>
      <w:pPr>
        <w:spacing w:after="0" w:line="113"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Effective with a management change in the quarter ended March 31, 2017, the cement product line is reported in the West Group. Prior-year segment information has been reclassified to conform to the presentation of the Corporation’s current reportable segments and for the adoption of ASU 2017-07.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40" w:type="dxa"/>
            <w:vAlign w:val="bottom"/>
            <w:gridSpan w:val="5"/>
          </w:tcPr>
          <w:p>
            <w:pPr>
              <w:jc w:val="center"/>
              <w:ind w:right="48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center"/>
              <w:ind w:left="701"/>
              <w:spacing w:after="0"/>
              <w:rPr>
                <w:sz w:val="20"/>
                <w:szCs w:val="20"/>
                <w:color w:val="auto"/>
              </w:rPr>
            </w:pPr>
            <w:r>
              <w:rPr>
                <w:rFonts w:ascii="Arial" w:cs="Arial" w:eastAsia="Arial" w:hAnsi="Arial"/>
                <w:sz w:val="20"/>
                <w:szCs w:val="20"/>
                <w:color w:val="auto"/>
                <w:w w:val="89"/>
              </w:rPr>
              <w:t>March 31,</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280" w:type="dxa"/>
            <w:vAlign w:val="bottom"/>
            <w:gridSpan w:val="5"/>
            <w:vMerge w:val="restart"/>
          </w:tcPr>
          <w:p>
            <w:pPr>
              <w:spacing w:after="0"/>
              <w:rPr>
                <w:sz w:val="20"/>
                <w:szCs w:val="20"/>
                <w:color w:val="auto"/>
              </w:rPr>
            </w:pPr>
            <w:r>
              <w:rPr>
                <w:rFonts w:ascii="Arial" w:cs="Arial" w:eastAsia="Arial" w:hAnsi="Arial"/>
                <w:sz w:val="20"/>
                <w:szCs w:val="20"/>
                <w:color w:val="auto"/>
              </w:rPr>
              <w:t>Total revenues:</w:t>
            </w: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20" w:type="dxa"/>
            <w:vAlign w:val="bottom"/>
            <w:gridSpan w:val="4"/>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5280" w:type="dxa"/>
            <w:vAlign w:val="bottom"/>
            <w:gridSpan w:val="5"/>
            <w:vMerge w:val="continue"/>
          </w:tcPr>
          <w:p>
            <w:pPr>
              <w:spacing w:after="0"/>
              <w:rPr>
                <w:sz w:val="16"/>
                <w:szCs w:val="16"/>
                <w:color w:val="auto"/>
              </w:rPr>
            </w:pPr>
          </w:p>
        </w:tc>
        <w:tc>
          <w:tcPr>
            <w:tcW w:w="2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6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2900" w:type="dxa"/>
            <w:vAlign w:val="bottom"/>
            <w:gridSpan w:val="2"/>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189,019</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186,347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4"/>
          </w:tcPr>
          <w:p>
            <w:pPr>
              <w:spacing w:after="0"/>
              <w:rPr>
                <w:sz w:val="20"/>
                <w:szCs w:val="20"/>
                <w:color w:val="auto"/>
              </w:rPr>
            </w:pPr>
            <w:r>
              <w:rPr>
                <w:rFonts w:ascii="Arial" w:cs="Arial" w:eastAsia="Arial" w:hAnsi="Arial"/>
                <w:sz w:val="20"/>
                <w:szCs w:val="20"/>
                <w:color w:val="auto"/>
              </w:rPr>
              <w:t>Southeast Group</w:t>
            </w: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90,282</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71,671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West Group</w:t>
            </w:r>
          </w:p>
        </w:tc>
        <w:tc>
          <w:tcPr>
            <w:tcW w:w="256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495,982</w:t>
            </w:r>
          </w:p>
        </w:tc>
        <w:tc>
          <w:tcPr>
            <w:tcW w:w="28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466,546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gridSpan w:val="5"/>
          </w:tcPr>
          <w:p>
            <w:pPr>
              <w:spacing w:after="0"/>
              <w:rPr>
                <w:sz w:val="20"/>
                <w:szCs w:val="20"/>
                <w:color w:val="auto"/>
              </w:rPr>
            </w:pPr>
            <w:r>
              <w:rPr>
                <w:rFonts w:ascii="Arial" w:cs="Arial" w:eastAsia="Arial" w:hAnsi="Arial"/>
                <w:sz w:val="20"/>
                <w:szCs w:val="20"/>
                <w:color w:val="auto"/>
              </w:rPr>
              <w:t>Total Building Materials Business</w:t>
            </w:r>
          </w:p>
        </w:tc>
        <w:tc>
          <w:tcPr>
            <w:tcW w:w="2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775,283</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724,564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56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68,576</w:t>
            </w:r>
          </w:p>
        </w:tc>
        <w:tc>
          <w:tcPr>
            <w:tcW w:w="28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64,170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280" w:type="dxa"/>
            <w:vAlign w:val="bottom"/>
            <w:gridSpan w:val="5"/>
          </w:tcPr>
          <w:p>
            <w:pPr>
              <w:spacing w:after="0"/>
              <w:rPr>
                <w:sz w:val="20"/>
                <w:szCs w:val="20"/>
                <w:color w:val="auto"/>
              </w:rPr>
            </w:pPr>
            <w:r>
              <w:rPr>
                <w:rFonts w:ascii="Arial" w:cs="Arial" w:eastAsia="Arial" w:hAnsi="Arial"/>
                <w:sz w:val="20"/>
                <w:szCs w:val="20"/>
                <w:color w:val="auto"/>
              </w:rPr>
              <w:t>Total</w:t>
            </w:r>
          </w:p>
        </w:tc>
        <w:tc>
          <w:tcPr>
            <w:tcW w:w="2560" w:type="dxa"/>
            <w:vAlign w:val="bottom"/>
          </w:tcPr>
          <w:p>
            <w:pPr>
              <w:spacing w:after="0"/>
              <w:rPr>
                <w:sz w:val="24"/>
                <w:szCs w:val="24"/>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843,859</w:t>
            </w:r>
          </w:p>
        </w:tc>
        <w:tc>
          <w:tcPr>
            <w:tcW w:w="280" w:type="dxa"/>
            <w:vAlign w:val="bottom"/>
          </w:tcPr>
          <w:p>
            <w:pPr>
              <w:spacing w:after="0"/>
              <w:rPr>
                <w:sz w:val="24"/>
                <w:szCs w:val="24"/>
                <w:color w:val="auto"/>
              </w:rPr>
            </w:pPr>
          </w:p>
        </w:tc>
        <w:tc>
          <w:tcPr>
            <w:tcW w:w="44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788,734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spacing w:after="0"/>
              <w:rPr>
                <w:sz w:val="19"/>
                <w:szCs w:val="19"/>
                <w:color w:val="auto"/>
              </w:rPr>
            </w:pPr>
          </w:p>
        </w:tc>
        <w:tc>
          <w:tcPr>
            <w:tcW w:w="2700" w:type="dxa"/>
            <w:vAlign w:val="bottom"/>
            <w:tcBorders>
              <w:top w:val="single" w:sz="8" w:color="CFF0FC"/>
            </w:tcBorders>
            <w:shd w:val="clear" w:color="auto" w:fill="CFF0FC"/>
          </w:tcPr>
          <w:p>
            <w:pPr>
              <w:spacing w:after="0"/>
              <w:rPr>
                <w:sz w:val="19"/>
                <w:szCs w:val="19"/>
                <w:color w:val="auto"/>
              </w:rPr>
            </w:pPr>
          </w:p>
        </w:tc>
        <w:tc>
          <w:tcPr>
            <w:tcW w:w="25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60" w:type="dxa"/>
            <w:vAlign w:val="bottom"/>
            <w:gridSpan w:val="4"/>
          </w:tcPr>
          <w:p>
            <w:pPr>
              <w:spacing w:after="0" w:line="203" w:lineRule="exact"/>
              <w:rPr>
                <w:sz w:val="20"/>
                <w:szCs w:val="20"/>
                <w:color w:val="auto"/>
              </w:rPr>
            </w:pPr>
            <w:r>
              <w:rPr>
                <w:rFonts w:ascii="Arial" w:cs="Arial" w:eastAsia="Arial" w:hAnsi="Arial"/>
                <w:sz w:val="20"/>
                <w:szCs w:val="20"/>
                <w:color w:val="auto"/>
              </w:rPr>
              <w:t>Net sales:</w:t>
            </w:r>
          </w:p>
        </w:tc>
        <w:tc>
          <w:tcPr>
            <w:tcW w:w="2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6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2900" w:type="dxa"/>
            <w:vAlign w:val="bottom"/>
            <w:gridSpan w:val="2"/>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177,336</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173,372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4"/>
          </w:tcPr>
          <w:p>
            <w:pPr>
              <w:spacing w:after="0"/>
              <w:rPr>
                <w:sz w:val="20"/>
                <w:szCs w:val="20"/>
                <w:color w:val="auto"/>
              </w:rPr>
            </w:pPr>
            <w:r>
              <w:rPr>
                <w:rFonts w:ascii="Arial" w:cs="Arial" w:eastAsia="Arial" w:hAnsi="Arial"/>
                <w:sz w:val="20"/>
                <w:szCs w:val="20"/>
                <w:color w:val="auto"/>
              </w:rPr>
              <w:t>Southeast Group</w:t>
            </w: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86,660</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67,284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West Group</w:t>
            </w:r>
          </w:p>
        </w:tc>
        <w:tc>
          <w:tcPr>
            <w:tcW w:w="256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464,426</w:t>
            </w:r>
          </w:p>
        </w:tc>
        <w:tc>
          <w:tcPr>
            <w:tcW w:w="28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433,799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gridSpan w:val="5"/>
          </w:tcPr>
          <w:p>
            <w:pPr>
              <w:spacing w:after="0"/>
              <w:rPr>
                <w:sz w:val="20"/>
                <w:szCs w:val="20"/>
                <w:color w:val="auto"/>
              </w:rPr>
            </w:pPr>
            <w:r>
              <w:rPr>
                <w:rFonts w:ascii="Arial" w:cs="Arial" w:eastAsia="Arial" w:hAnsi="Arial"/>
                <w:sz w:val="20"/>
                <w:szCs w:val="20"/>
                <w:color w:val="auto"/>
              </w:rPr>
              <w:t>Total Building Materials Business</w:t>
            </w:r>
          </w:p>
        </w:tc>
        <w:tc>
          <w:tcPr>
            <w:tcW w:w="2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728,422</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674,455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56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63,262</w:t>
            </w:r>
          </w:p>
        </w:tc>
        <w:tc>
          <w:tcPr>
            <w:tcW w:w="28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59,505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280" w:type="dxa"/>
            <w:vAlign w:val="bottom"/>
            <w:gridSpan w:val="5"/>
          </w:tcPr>
          <w:p>
            <w:pPr>
              <w:spacing w:after="0"/>
              <w:rPr>
                <w:sz w:val="20"/>
                <w:szCs w:val="20"/>
                <w:color w:val="auto"/>
              </w:rPr>
            </w:pPr>
            <w:r>
              <w:rPr>
                <w:rFonts w:ascii="Arial" w:cs="Arial" w:eastAsia="Arial" w:hAnsi="Arial"/>
                <w:sz w:val="20"/>
                <w:szCs w:val="20"/>
                <w:color w:val="auto"/>
              </w:rPr>
              <w:t>Total</w:t>
            </w:r>
          </w:p>
        </w:tc>
        <w:tc>
          <w:tcPr>
            <w:tcW w:w="2560" w:type="dxa"/>
            <w:vAlign w:val="bottom"/>
          </w:tcPr>
          <w:p>
            <w:pPr>
              <w:spacing w:after="0"/>
              <w:rPr>
                <w:sz w:val="24"/>
                <w:szCs w:val="24"/>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791,684</w:t>
            </w:r>
          </w:p>
        </w:tc>
        <w:tc>
          <w:tcPr>
            <w:tcW w:w="280" w:type="dxa"/>
            <w:vAlign w:val="bottom"/>
          </w:tcPr>
          <w:p>
            <w:pPr>
              <w:spacing w:after="0"/>
              <w:rPr>
                <w:sz w:val="24"/>
                <w:szCs w:val="24"/>
                <w:color w:val="auto"/>
              </w:rPr>
            </w:pPr>
          </w:p>
        </w:tc>
        <w:tc>
          <w:tcPr>
            <w:tcW w:w="44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733,960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spacing w:after="0"/>
              <w:rPr>
                <w:sz w:val="19"/>
                <w:szCs w:val="19"/>
                <w:color w:val="auto"/>
              </w:rPr>
            </w:pPr>
          </w:p>
        </w:tc>
        <w:tc>
          <w:tcPr>
            <w:tcW w:w="2700" w:type="dxa"/>
            <w:vAlign w:val="bottom"/>
            <w:tcBorders>
              <w:top w:val="single" w:sz="8" w:color="CFF0FC"/>
            </w:tcBorders>
            <w:shd w:val="clear" w:color="auto" w:fill="CFF0FC"/>
          </w:tcPr>
          <w:p>
            <w:pPr>
              <w:spacing w:after="0"/>
              <w:rPr>
                <w:sz w:val="19"/>
                <w:szCs w:val="19"/>
                <w:color w:val="auto"/>
              </w:rPr>
            </w:pPr>
          </w:p>
        </w:tc>
        <w:tc>
          <w:tcPr>
            <w:tcW w:w="25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60" w:type="dxa"/>
            <w:vAlign w:val="bottom"/>
            <w:gridSpan w:val="4"/>
          </w:tcPr>
          <w:p>
            <w:pPr>
              <w:spacing w:after="0" w:line="203" w:lineRule="exact"/>
              <w:rPr>
                <w:sz w:val="20"/>
                <w:szCs w:val="20"/>
                <w:color w:val="auto"/>
              </w:rPr>
            </w:pPr>
            <w:r>
              <w:rPr>
                <w:rFonts w:ascii="Arial" w:cs="Arial" w:eastAsia="Arial" w:hAnsi="Arial"/>
                <w:sz w:val="20"/>
                <w:szCs w:val="20"/>
                <w:color w:val="auto"/>
              </w:rPr>
              <w:t>Earnings (Loss) from operations:</w:t>
            </w:r>
          </w:p>
        </w:tc>
        <w:tc>
          <w:tcPr>
            <w:tcW w:w="2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6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2900" w:type="dxa"/>
            <w:vAlign w:val="bottom"/>
            <w:gridSpan w:val="2"/>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13,342</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14,694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4"/>
          </w:tcPr>
          <w:p>
            <w:pPr>
              <w:spacing w:after="0"/>
              <w:rPr>
                <w:sz w:val="20"/>
                <w:szCs w:val="20"/>
                <w:color w:val="auto"/>
              </w:rPr>
            </w:pPr>
            <w:r>
              <w:rPr>
                <w:rFonts w:ascii="Arial" w:cs="Arial" w:eastAsia="Arial" w:hAnsi="Arial"/>
                <w:sz w:val="20"/>
                <w:szCs w:val="20"/>
                <w:color w:val="auto"/>
              </w:rPr>
              <w:t>Southeast Group</w:t>
            </w: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10,115</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7,027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West Group</w:t>
            </w:r>
          </w:p>
        </w:tc>
        <w:tc>
          <w:tcPr>
            <w:tcW w:w="256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61,232</w:t>
            </w:r>
          </w:p>
        </w:tc>
        <w:tc>
          <w:tcPr>
            <w:tcW w:w="28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65,806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gridSpan w:val="5"/>
          </w:tcPr>
          <w:p>
            <w:pPr>
              <w:spacing w:after="0"/>
              <w:rPr>
                <w:sz w:val="20"/>
                <w:szCs w:val="20"/>
                <w:color w:val="auto"/>
              </w:rPr>
            </w:pPr>
            <w:r>
              <w:rPr>
                <w:rFonts w:ascii="Arial" w:cs="Arial" w:eastAsia="Arial" w:hAnsi="Arial"/>
                <w:sz w:val="20"/>
                <w:szCs w:val="20"/>
                <w:color w:val="auto"/>
              </w:rPr>
              <w:t>Total Building Materials Business</w:t>
            </w:r>
          </w:p>
        </w:tc>
        <w:tc>
          <w:tcPr>
            <w:tcW w:w="2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84,689</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87,527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19,881</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20,610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4"/>
          </w:tcPr>
          <w:p>
            <w:pPr>
              <w:spacing w:after="0"/>
              <w:rPr>
                <w:sz w:val="20"/>
                <w:szCs w:val="20"/>
                <w:color w:val="auto"/>
              </w:rPr>
            </w:pPr>
            <w:r>
              <w:rPr>
                <w:rFonts w:ascii="Arial" w:cs="Arial" w:eastAsia="Arial" w:hAnsi="Arial"/>
                <w:sz w:val="20"/>
                <w:szCs w:val="20"/>
                <w:color w:val="auto"/>
              </w:rPr>
              <w:t>Corporate</w:t>
            </w: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(27,420)</w:t>
            </w:r>
          </w:p>
        </w:tc>
        <w:tc>
          <w:tcPr>
            <w:tcW w:w="44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(22,114)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tcBorders>
              <w:top w:val="single" w:sz="8" w:color="CFF0FC"/>
              <w:bottom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Total</w:t>
            </w:r>
          </w:p>
        </w:tc>
        <w:tc>
          <w:tcPr>
            <w:tcW w:w="256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77,150</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4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86,023</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34"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 (continued)</w:t>
      </w:r>
    </w:p>
    <w:p>
      <w:pPr>
        <w:spacing w:after="0" w:line="113" w:lineRule="exact"/>
        <w:rPr>
          <w:rFonts w:ascii="Arial" w:cs="Arial" w:eastAsia="Arial" w:hAnsi="Arial"/>
          <w:sz w:val="20"/>
          <w:szCs w:val="20"/>
          <w:b w:val="1"/>
          <w:bCs w:val="1"/>
          <w:color w:val="auto"/>
        </w:rPr>
      </w:pPr>
    </w:p>
    <w:p>
      <w:pPr>
        <w:jc w:val="both"/>
        <w:ind w:left="380"/>
        <w:spacing w:after="0" w:line="245" w:lineRule="auto"/>
        <w:rPr>
          <w:rFonts w:ascii="Arial" w:cs="Arial" w:eastAsia="Arial" w:hAnsi="Arial"/>
          <w:sz w:val="20"/>
          <w:szCs w:val="20"/>
          <w:b w:val="1"/>
          <w:bCs w:val="1"/>
          <w:color w:val="auto"/>
        </w:rPr>
      </w:pPr>
      <w:r>
        <w:rPr>
          <w:rFonts w:ascii="Arial" w:cs="Arial" w:eastAsia="Arial" w:hAnsi="Arial"/>
          <w:sz w:val="20"/>
          <w:szCs w:val="20"/>
          <w:color w:val="auto"/>
        </w:rPr>
        <w:t>The Building Materials business includes the aggregates, cement, ready mixed concrete and asphalt and paving product lines. All cement, ready mixed concrete and asphalt and paving product lines reside in the West Group. The following table, which is reconciled to consolidated amounts, provides net sales and gross profit by business: Building Materials (further divided by product line) and Magnesia Specialties.</w:t>
      </w: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40" w:type="dxa"/>
            <w:vAlign w:val="bottom"/>
            <w:gridSpan w:val="3"/>
          </w:tcPr>
          <w:p>
            <w:pPr>
              <w:jc w:val="center"/>
              <w:spacing w:after="0"/>
              <w:rPr>
                <w:sz w:val="20"/>
                <w:szCs w:val="20"/>
                <w:color w:val="auto"/>
              </w:rPr>
            </w:pPr>
            <w:r>
              <w:rPr>
                <w:rFonts w:ascii="Arial" w:cs="Arial" w:eastAsia="Arial" w:hAnsi="Arial"/>
                <w:sz w:val="20"/>
                <w:szCs w:val="20"/>
                <w:color w:val="auto"/>
                <w:w w:val="88"/>
              </w:rPr>
              <w:t>Three Months Ended</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2"/>
              </w:rPr>
              <w:t>March 31,</w:t>
            </w:r>
          </w:p>
        </w:tc>
        <w:tc>
          <w:tcPr>
            <w:tcW w:w="1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2017</w:t>
            </w:r>
          </w:p>
        </w:tc>
        <w:tc>
          <w:tcPr>
            <w:tcW w:w="9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380" w:type="dxa"/>
            <w:vAlign w:val="bottom"/>
            <w:gridSpan w:val="4"/>
            <w:vMerge w:val="restart"/>
          </w:tcPr>
          <w:p>
            <w:pPr>
              <w:spacing w:after="0"/>
              <w:rPr>
                <w:sz w:val="20"/>
                <w:szCs w:val="20"/>
                <w:color w:val="auto"/>
              </w:rPr>
            </w:pPr>
            <w:r>
              <w:rPr>
                <w:rFonts w:ascii="Arial" w:cs="Arial" w:eastAsia="Arial" w:hAnsi="Arial"/>
                <w:sz w:val="20"/>
                <w:szCs w:val="20"/>
                <w:color w:val="auto"/>
              </w:rPr>
              <w:t>Net sales:</w:t>
            </w:r>
          </w:p>
        </w:tc>
        <w:tc>
          <w:tcPr>
            <w:tcW w:w="1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140" w:type="dxa"/>
            <w:vAlign w:val="bottom"/>
            <w:gridSpan w:val="3"/>
          </w:tcPr>
          <w:p>
            <w:pPr>
              <w:jc w:val="center"/>
              <w:spacing w:after="0"/>
              <w:rPr>
                <w:sz w:val="20"/>
                <w:szCs w:val="20"/>
                <w:color w:val="auto"/>
              </w:rPr>
            </w:pPr>
            <w:r>
              <w:rPr>
                <w:rFonts w:ascii="Arial" w:cs="Arial" w:eastAsia="Arial" w:hAnsi="Arial"/>
                <w:sz w:val="20"/>
                <w:szCs w:val="20"/>
                <w:i w:val="1"/>
                <w:iCs w:val="1"/>
                <w:color w:val="auto"/>
                <w:w w:val="92"/>
              </w:rPr>
              <w:t>(Dollars in Thousands)</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380" w:type="dxa"/>
            <w:vAlign w:val="bottom"/>
            <w:gridSpan w:val="4"/>
            <w:vMerge w:val="continue"/>
          </w:tcPr>
          <w:p>
            <w:pPr>
              <w:spacing w:after="0"/>
              <w:rPr>
                <w:sz w:val="16"/>
                <w:szCs w:val="16"/>
                <w:color w:val="auto"/>
              </w:rPr>
            </w:pPr>
          </w:p>
        </w:tc>
        <w:tc>
          <w:tcPr>
            <w:tcW w:w="17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6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Aggregates</w:t>
            </w:r>
          </w:p>
        </w:tc>
        <w:tc>
          <w:tcPr>
            <w:tcW w:w="3240" w:type="dxa"/>
            <w:vAlign w:val="bottom"/>
            <w:gridSpan w:val="2"/>
            <w:shd w:val="clear" w:color="auto" w:fill="CFF0FC"/>
          </w:tcPr>
          <w:p>
            <w:pPr>
              <w:jc w:val="right"/>
              <w:ind w:right="1341"/>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451,379</w:t>
            </w: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61"/>
              <w:spacing w:after="0"/>
              <w:rPr>
                <w:sz w:val="20"/>
                <w:szCs w:val="20"/>
                <w:color w:val="auto"/>
              </w:rPr>
            </w:pPr>
            <w:r>
              <w:rPr>
                <w:rFonts w:ascii="Arial" w:cs="Arial" w:eastAsia="Arial" w:hAnsi="Arial"/>
                <w:sz w:val="20"/>
                <w:szCs w:val="20"/>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430,860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gridSpan w:val="3"/>
          </w:tcPr>
          <w:p>
            <w:pPr>
              <w:spacing w:after="0"/>
              <w:rPr>
                <w:sz w:val="20"/>
                <w:szCs w:val="20"/>
                <w:color w:val="auto"/>
              </w:rPr>
            </w:pPr>
            <w:r>
              <w:rPr>
                <w:rFonts w:ascii="Arial" w:cs="Arial" w:eastAsia="Arial" w:hAnsi="Arial"/>
                <w:sz w:val="20"/>
                <w:szCs w:val="20"/>
                <w:color w:val="auto"/>
              </w:rPr>
              <w:t>Cement</w:t>
            </w:r>
          </w:p>
        </w:tc>
        <w:tc>
          <w:tcPr>
            <w:tcW w:w="1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93,685</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96,860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Ready Mixed Concrete</w:t>
            </w:r>
          </w:p>
        </w:tc>
        <w:tc>
          <w:tcPr>
            <w:tcW w:w="17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222,380</w:t>
            </w: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186,852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gridSpan w:val="3"/>
          </w:tcPr>
          <w:p>
            <w:pPr>
              <w:spacing w:after="0"/>
              <w:rPr>
                <w:sz w:val="20"/>
                <w:szCs w:val="20"/>
                <w:color w:val="auto"/>
              </w:rPr>
            </w:pPr>
            <w:r>
              <w:rPr>
                <w:rFonts w:ascii="Arial" w:cs="Arial" w:eastAsia="Arial" w:hAnsi="Arial"/>
                <w:sz w:val="20"/>
                <w:szCs w:val="20"/>
                <w:color w:val="auto"/>
              </w:rPr>
              <w:t>Asphalt and Paving</w:t>
            </w:r>
          </w:p>
        </w:tc>
        <w:tc>
          <w:tcPr>
            <w:tcW w:w="1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26,602</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13,837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Less: Interproduct Sales</w:t>
            </w:r>
          </w:p>
        </w:tc>
        <w:tc>
          <w:tcPr>
            <w:tcW w:w="17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320"/>
              <w:spacing w:after="0"/>
              <w:rPr>
                <w:sz w:val="20"/>
                <w:szCs w:val="20"/>
                <w:color w:val="auto"/>
              </w:rPr>
            </w:pPr>
            <w:r>
              <w:rPr>
                <w:rFonts w:ascii="Arial" w:cs="Arial" w:eastAsia="Arial" w:hAnsi="Arial"/>
                <w:sz w:val="20"/>
                <w:szCs w:val="20"/>
                <w:color w:val="auto"/>
              </w:rPr>
              <w:t>(65,624)</w:t>
            </w:r>
          </w:p>
        </w:tc>
        <w:tc>
          <w:tcPr>
            <w:tcW w:w="8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(53,954)</w:t>
            </w:r>
          </w:p>
        </w:tc>
        <w:tc>
          <w:tcPr>
            <w:tcW w:w="0" w:type="dxa"/>
            <w:vAlign w:val="bottom"/>
          </w:tcPr>
          <w:p>
            <w:pPr>
              <w:spacing w:after="0"/>
              <w:rPr>
                <w:sz w:val="1"/>
                <w:szCs w:val="1"/>
                <w:color w:val="auto"/>
              </w:rPr>
            </w:pPr>
          </w:p>
        </w:tc>
      </w:tr>
      <w:tr>
        <w:trPr>
          <w:trHeight w:val="237"/>
        </w:trPr>
        <w:tc>
          <w:tcPr>
            <w:tcW w:w="4380" w:type="dxa"/>
            <w:vAlign w:val="bottom"/>
            <w:gridSpan w:val="4"/>
          </w:tcPr>
          <w:p>
            <w:pPr>
              <w:spacing w:after="0"/>
              <w:rPr>
                <w:sz w:val="20"/>
                <w:szCs w:val="20"/>
                <w:color w:val="auto"/>
              </w:rPr>
            </w:pPr>
            <w:r>
              <w:rPr>
                <w:rFonts w:ascii="Arial" w:cs="Arial" w:eastAsia="Arial" w:hAnsi="Arial"/>
                <w:sz w:val="20"/>
                <w:szCs w:val="20"/>
                <w:color w:val="auto"/>
              </w:rPr>
              <w:t>Total Building Materials Business</w:t>
            </w:r>
          </w:p>
        </w:tc>
        <w:tc>
          <w:tcPr>
            <w:tcW w:w="170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728,422</w:t>
            </w:r>
          </w:p>
        </w:tc>
        <w:tc>
          <w:tcPr>
            <w:tcW w:w="38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674,455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700" w:type="dxa"/>
            <w:vAlign w:val="bottom"/>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63,262</w:t>
            </w:r>
          </w:p>
        </w:tc>
        <w:tc>
          <w:tcPr>
            <w:tcW w:w="380" w:type="dxa"/>
            <w:vAlign w:val="bottom"/>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59,505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380" w:type="dxa"/>
            <w:vAlign w:val="bottom"/>
            <w:gridSpan w:val="4"/>
          </w:tcPr>
          <w:p>
            <w:pPr>
              <w:spacing w:after="0"/>
              <w:rPr>
                <w:sz w:val="20"/>
                <w:szCs w:val="20"/>
                <w:color w:val="auto"/>
              </w:rPr>
            </w:pPr>
            <w:r>
              <w:rPr>
                <w:rFonts w:ascii="Arial" w:cs="Arial" w:eastAsia="Arial" w:hAnsi="Arial"/>
                <w:sz w:val="20"/>
                <w:szCs w:val="20"/>
                <w:color w:val="auto"/>
              </w:rPr>
              <w:t>Total</w:t>
            </w:r>
          </w:p>
        </w:tc>
        <w:tc>
          <w:tcPr>
            <w:tcW w:w="1700" w:type="dxa"/>
            <w:vAlign w:val="bottom"/>
          </w:tcPr>
          <w:p>
            <w:pPr>
              <w:spacing w:after="0"/>
              <w:rPr>
                <w:sz w:val="24"/>
                <w:szCs w:val="24"/>
                <w:color w:val="auto"/>
              </w:rPr>
            </w:pPr>
          </w:p>
        </w:tc>
        <w:tc>
          <w:tcPr>
            <w:tcW w:w="1540" w:type="dxa"/>
            <w:vAlign w:val="bottom"/>
            <w:tcBorders>
              <w:bottom w:val="single" w:sz="8" w:color="auto"/>
            </w:tcBorders>
          </w:tcPr>
          <w:p>
            <w:pPr>
              <w:jc w:val="right"/>
              <w:ind w:right="1341"/>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791,684</w:t>
            </w:r>
          </w:p>
        </w:tc>
        <w:tc>
          <w:tcPr>
            <w:tcW w:w="380" w:type="dxa"/>
            <w:vAlign w:val="bottom"/>
          </w:tcPr>
          <w:p>
            <w:pPr>
              <w:spacing w:after="0"/>
              <w:rPr>
                <w:sz w:val="24"/>
                <w:szCs w:val="24"/>
                <w:color w:val="auto"/>
              </w:rPr>
            </w:pPr>
          </w:p>
        </w:tc>
        <w:tc>
          <w:tcPr>
            <w:tcW w:w="860" w:type="dxa"/>
            <w:vAlign w:val="bottom"/>
            <w:tcBorders>
              <w:bottom w:val="single" w:sz="8" w:color="auto"/>
            </w:tcBorders>
          </w:tcPr>
          <w:p>
            <w:pPr>
              <w:jc w:val="right"/>
              <w:ind w:right="661"/>
              <w:spacing w:after="0"/>
              <w:rPr>
                <w:sz w:val="20"/>
                <w:szCs w:val="20"/>
                <w:color w:val="auto"/>
              </w:rPr>
            </w:pPr>
            <w:r>
              <w:rPr>
                <w:rFonts w:ascii="Arial" w:cs="Arial" w:eastAsia="Arial" w:hAnsi="Arial"/>
                <w:sz w:val="20"/>
                <w:szCs w:val="20"/>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733,960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CFF0FC"/>
            </w:tcBorders>
            <w:shd w:val="clear" w:color="auto" w:fill="CFF0FC"/>
          </w:tcPr>
          <w:p>
            <w:pPr>
              <w:spacing w:after="0"/>
              <w:rPr>
                <w:sz w:val="19"/>
                <w:szCs w:val="19"/>
                <w:color w:val="auto"/>
              </w:rPr>
            </w:pPr>
          </w:p>
        </w:tc>
        <w:tc>
          <w:tcPr>
            <w:tcW w:w="294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gridSpan w:val="3"/>
          </w:tcPr>
          <w:p>
            <w:pPr>
              <w:spacing w:after="0" w:line="203" w:lineRule="exact"/>
              <w:rPr>
                <w:sz w:val="20"/>
                <w:szCs w:val="20"/>
                <w:color w:val="auto"/>
              </w:rPr>
            </w:pPr>
            <w:r>
              <w:rPr>
                <w:rFonts w:ascii="Arial" w:cs="Arial" w:eastAsia="Arial" w:hAnsi="Arial"/>
                <w:sz w:val="20"/>
                <w:szCs w:val="20"/>
                <w:color w:val="auto"/>
              </w:rPr>
              <w:t>Gross profit (loss):</w:t>
            </w:r>
          </w:p>
        </w:tc>
        <w:tc>
          <w:tcPr>
            <w:tcW w:w="1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6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Aggregates</w:t>
            </w:r>
          </w:p>
        </w:tc>
        <w:tc>
          <w:tcPr>
            <w:tcW w:w="3240" w:type="dxa"/>
            <w:vAlign w:val="bottom"/>
            <w:gridSpan w:val="2"/>
            <w:shd w:val="clear" w:color="auto" w:fill="CFF0FC"/>
          </w:tcPr>
          <w:p>
            <w:pPr>
              <w:jc w:val="right"/>
              <w:ind w:right="1341"/>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79,278</w:t>
            </w: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61"/>
              <w:spacing w:after="0"/>
              <w:rPr>
                <w:sz w:val="20"/>
                <w:szCs w:val="20"/>
                <w:color w:val="auto"/>
              </w:rPr>
            </w:pPr>
            <w:r>
              <w:rPr>
                <w:rFonts w:ascii="Arial" w:cs="Arial" w:eastAsia="Arial" w:hAnsi="Arial"/>
                <w:sz w:val="20"/>
                <w:szCs w:val="20"/>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82,036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gridSpan w:val="3"/>
          </w:tcPr>
          <w:p>
            <w:pPr>
              <w:spacing w:after="0"/>
              <w:rPr>
                <w:sz w:val="20"/>
                <w:szCs w:val="20"/>
                <w:color w:val="auto"/>
              </w:rPr>
            </w:pPr>
            <w:r>
              <w:rPr>
                <w:rFonts w:ascii="Arial" w:cs="Arial" w:eastAsia="Arial" w:hAnsi="Arial"/>
                <w:sz w:val="20"/>
                <w:szCs w:val="20"/>
                <w:color w:val="auto"/>
              </w:rPr>
              <w:t>Cement</w:t>
            </w:r>
          </w:p>
        </w:tc>
        <w:tc>
          <w:tcPr>
            <w:tcW w:w="1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30,910</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32,615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Ready Mixed Concrete</w:t>
            </w:r>
          </w:p>
        </w:tc>
        <w:tc>
          <w:tcPr>
            <w:tcW w:w="17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19,793</w:t>
            </w: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17,900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gridSpan w:val="3"/>
          </w:tcPr>
          <w:p>
            <w:pPr>
              <w:spacing w:after="0"/>
              <w:rPr>
                <w:sz w:val="20"/>
                <w:szCs w:val="20"/>
                <w:color w:val="auto"/>
              </w:rPr>
            </w:pPr>
            <w:r>
              <w:rPr>
                <w:rFonts w:ascii="Arial" w:cs="Arial" w:eastAsia="Arial" w:hAnsi="Arial"/>
                <w:sz w:val="20"/>
                <w:szCs w:val="20"/>
                <w:color w:val="auto"/>
              </w:rPr>
              <w:t>Asphalt and Paving</w:t>
            </w:r>
          </w:p>
        </w:tc>
        <w:tc>
          <w:tcPr>
            <w:tcW w:w="1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20"/>
                <w:szCs w:val="20"/>
                <w:color w:val="auto"/>
              </w:rPr>
              <w:t>(4,790)</w:t>
            </w:r>
          </w:p>
        </w:tc>
        <w:tc>
          <w:tcPr>
            <w:tcW w:w="860" w:type="dxa"/>
            <w:vAlign w:val="bottom"/>
          </w:tcPr>
          <w:p>
            <w:pPr>
              <w:spacing w:after="0"/>
              <w:rPr>
                <w:sz w:val="21"/>
                <w:szCs w:val="21"/>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20"/>
                <w:szCs w:val="20"/>
                <w:color w:val="auto"/>
              </w:rPr>
              <w:t>(6,276)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700" w:type="dxa"/>
            <w:vAlign w:val="bottom"/>
            <w:tcBorders>
              <w:top w:val="single" w:sz="8" w:color="CFF0FC"/>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125,191</w:t>
            </w:r>
          </w:p>
        </w:tc>
        <w:tc>
          <w:tcPr>
            <w:tcW w:w="380" w:type="dxa"/>
            <w:vAlign w:val="bottom"/>
            <w:tcBorders>
              <w:top w:val="single" w:sz="8" w:color="CFF0FC"/>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126,275</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gridSpan w:val="3"/>
          </w:tcPr>
          <w:p>
            <w:pPr>
              <w:spacing w:after="0"/>
              <w:rPr>
                <w:sz w:val="20"/>
                <w:szCs w:val="20"/>
                <w:color w:val="auto"/>
              </w:rPr>
            </w:pPr>
            <w:r>
              <w:rPr>
                <w:rFonts w:ascii="Arial" w:cs="Arial" w:eastAsia="Arial" w:hAnsi="Arial"/>
                <w:sz w:val="20"/>
                <w:szCs w:val="20"/>
                <w:color w:val="auto"/>
              </w:rPr>
              <w:t>Magnesia Specialties</w:t>
            </w:r>
          </w:p>
        </w:tc>
        <w:tc>
          <w:tcPr>
            <w:tcW w:w="1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22,315</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22,998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Corporate</w:t>
            </w:r>
          </w:p>
        </w:tc>
        <w:tc>
          <w:tcPr>
            <w:tcW w:w="17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320"/>
              <w:spacing w:after="0"/>
              <w:rPr>
                <w:sz w:val="20"/>
                <w:szCs w:val="20"/>
                <w:color w:val="auto"/>
              </w:rPr>
            </w:pPr>
            <w:r>
              <w:rPr>
                <w:rFonts w:ascii="Arial" w:cs="Arial" w:eastAsia="Arial" w:hAnsi="Arial"/>
                <w:sz w:val="20"/>
                <w:szCs w:val="20"/>
                <w:color w:val="auto"/>
              </w:rPr>
              <w:t>(439)</w:t>
            </w:r>
          </w:p>
        </w:tc>
        <w:tc>
          <w:tcPr>
            <w:tcW w:w="8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(4,023)</w:t>
            </w:r>
          </w:p>
        </w:tc>
        <w:tc>
          <w:tcPr>
            <w:tcW w:w="0" w:type="dxa"/>
            <w:vAlign w:val="bottom"/>
          </w:tcPr>
          <w:p>
            <w:pPr>
              <w:spacing w:after="0"/>
              <w:rPr>
                <w:sz w:val="1"/>
                <w:szCs w:val="1"/>
                <w:color w:val="auto"/>
              </w:rPr>
            </w:pPr>
          </w:p>
        </w:tc>
      </w:tr>
      <w:tr>
        <w:trPr>
          <w:trHeight w:val="237"/>
        </w:trPr>
        <w:tc>
          <w:tcPr>
            <w:tcW w:w="4380" w:type="dxa"/>
            <w:vAlign w:val="bottom"/>
            <w:gridSpan w:val="4"/>
          </w:tcPr>
          <w:p>
            <w:pPr>
              <w:spacing w:after="0"/>
              <w:rPr>
                <w:sz w:val="20"/>
                <w:szCs w:val="20"/>
                <w:color w:val="auto"/>
              </w:rPr>
            </w:pPr>
            <w:r>
              <w:rPr>
                <w:rFonts w:ascii="Arial" w:cs="Arial" w:eastAsia="Arial" w:hAnsi="Arial"/>
                <w:sz w:val="20"/>
                <w:szCs w:val="20"/>
                <w:color w:val="auto"/>
              </w:rPr>
              <w:t>Total</w:t>
            </w:r>
          </w:p>
        </w:tc>
        <w:tc>
          <w:tcPr>
            <w:tcW w:w="1700" w:type="dxa"/>
            <w:vAlign w:val="bottom"/>
          </w:tcPr>
          <w:p>
            <w:pPr>
              <w:spacing w:after="0"/>
              <w:rPr>
                <w:sz w:val="20"/>
                <w:szCs w:val="20"/>
                <w:color w:val="auto"/>
              </w:rPr>
            </w:pPr>
          </w:p>
        </w:tc>
        <w:tc>
          <w:tcPr>
            <w:tcW w:w="1540" w:type="dxa"/>
            <w:vAlign w:val="bottom"/>
            <w:tcBorders>
              <w:top w:val="single" w:sz="8" w:color="auto"/>
              <w:bottom w:val="single" w:sz="8" w:color="auto"/>
            </w:tcBorders>
          </w:tcPr>
          <w:p>
            <w:pPr>
              <w:jc w:val="right"/>
              <w:ind w:right="1341"/>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147,067</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20"/>
                <w:szCs w:val="20"/>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145,250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20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Supplemental Cash Flow Information</w:t>
      </w:r>
    </w:p>
    <w:p>
      <w:pPr>
        <w:spacing w:after="0" w:line="11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The components of the change in other assets and liabilities, net, are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gridSpan w:val="5"/>
          </w:tcPr>
          <w:p>
            <w:pPr>
              <w:jc w:val="center"/>
              <w:ind w:right="480"/>
              <w:spacing w:after="0"/>
              <w:rPr>
                <w:sz w:val="20"/>
                <w:szCs w:val="20"/>
                <w:color w:val="auto"/>
              </w:rPr>
            </w:pPr>
            <w:r>
              <w:rPr>
                <w:rFonts w:ascii="Arial" w:cs="Arial" w:eastAsia="Arial" w:hAnsi="Arial"/>
                <w:sz w:val="20"/>
                <w:szCs w:val="20"/>
                <w:color w:val="auto"/>
                <w:w w:val="89"/>
              </w:rPr>
              <w:t>Three Months Ended</w:t>
            </w:r>
          </w:p>
        </w:tc>
      </w:tr>
      <w:tr>
        <w:trPr>
          <w:trHeight w:val="246"/>
        </w:trPr>
        <w:tc>
          <w:tcPr>
            <w:tcW w:w="6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center"/>
              <w:ind w:left="701"/>
              <w:spacing w:after="0"/>
              <w:rPr>
                <w:sz w:val="20"/>
                <w:szCs w:val="20"/>
                <w:color w:val="auto"/>
              </w:rPr>
            </w:pPr>
            <w:r>
              <w:rPr>
                <w:rFonts w:ascii="Arial" w:cs="Arial" w:eastAsia="Arial" w:hAnsi="Arial"/>
                <w:sz w:val="20"/>
                <w:szCs w:val="20"/>
                <w:color w:val="auto"/>
                <w:w w:val="89"/>
              </w:rPr>
              <w:t>March 31,</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6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2016</w:t>
            </w:r>
          </w:p>
        </w:tc>
        <w:tc>
          <w:tcPr>
            <w:tcW w:w="120" w:type="dxa"/>
            <w:vAlign w:val="bottom"/>
          </w:tcPr>
          <w:p>
            <w:pPr>
              <w:spacing w:after="0"/>
              <w:rPr>
                <w:sz w:val="20"/>
                <w:szCs w:val="20"/>
                <w:color w:val="auto"/>
              </w:rPr>
            </w:pPr>
          </w:p>
        </w:tc>
      </w:tr>
      <w:tr>
        <w:trPr>
          <w:trHeight w:val="233"/>
        </w:trPr>
        <w:tc>
          <w:tcPr>
            <w:tcW w:w="6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4"/>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0"/>
                <w:szCs w:val="20"/>
                <w:color w:val="auto"/>
              </w:rPr>
            </w:pPr>
          </w:p>
        </w:tc>
      </w:tr>
      <w:tr>
        <w:trPr>
          <w:trHeight w:val="246"/>
        </w:trPr>
        <w:tc>
          <w:tcPr>
            <w:tcW w:w="6400" w:type="dxa"/>
            <w:vAlign w:val="bottom"/>
          </w:tcPr>
          <w:p>
            <w:pPr>
              <w:spacing w:after="0"/>
              <w:rPr>
                <w:sz w:val="20"/>
                <w:szCs w:val="20"/>
                <w:color w:val="auto"/>
              </w:rPr>
            </w:pPr>
            <w:r>
              <w:rPr>
                <w:rFonts w:ascii="Arial" w:cs="Arial" w:eastAsia="Arial" w:hAnsi="Arial"/>
                <w:sz w:val="20"/>
                <w:szCs w:val="20"/>
                <w:color w:val="auto"/>
              </w:rPr>
              <w:t>Other current and noncurrent assets</w:t>
            </w:r>
          </w:p>
        </w:tc>
        <w:tc>
          <w:tcPr>
            <w:tcW w:w="178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(22,914)</w:t>
            </w:r>
          </w:p>
        </w:tc>
        <w:tc>
          <w:tcPr>
            <w:tcW w:w="440" w:type="dxa"/>
            <w:vAlign w:val="bottom"/>
          </w:tcPr>
          <w:p>
            <w:pPr>
              <w:jc w:val="right"/>
              <w:ind w:right="241"/>
              <w:spacing w:after="0"/>
              <w:rPr>
                <w:sz w:val="20"/>
                <w:szCs w:val="20"/>
                <w:color w:val="auto"/>
              </w:rPr>
            </w:pPr>
            <w:r>
              <w:rPr>
                <w:rFonts w:ascii="Arial" w:cs="Arial" w:eastAsia="Arial" w:hAnsi="Arial"/>
                <w:sz w:val="20"/>
                <w:szCs w:val="20"/>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(2,089)</w:t>
            </w:r>
          </w:p>
        </w:tc>
      </w:tr>
      <w:tr>
        <w:trPr>
          <w:trHeight w:val="243"/>
        </w:trPr>
        <w:tc>
          <w:tcPr>
            <w:tcW w:w="6400" w:type="dxa"/>
            <w:vAlign w:val="bottom"/>
            <w:shd w:val="clear" w:color="auto" w:fill="CFF0FC"/>
          </w:tcPr>
          <w:p>
            <w:pPr>
              <w:spacing w:after="0"/>
              <w:rPr>
                <w:sz w:val="20"/>
                <w:szCs w:val="20"/>
                <w:color w:val="auto"/>
              </w:rPr>
            </w:pPr>
            <w:r>
              <w:rPr>
                <w:rFonts w:ascii="Arial" w:cs="Arial" w:eastAsia="Arial" w:hAnsi="Arial"/>
                <w:sz w:val="20"/>
                <w:szCs w:val="20"/>
                <w:color w:val="auto"/>
              </w:rPr>
              <w:t>Accrued salaries, benefits and payroll taxes</w:t>
            </w:r>
          </w:p>
        </w:tc>
        <w:tc>
          <w:tcPr>
            <w:tcW w:w="14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(21,335)</w:t>
            </w:r>
          </w:p>
        </w:tc>
        <w:tc>
          <w:tcPr>
            <w:tcW w:w="4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(12,926)</w:t>
            </w:r>
          </w:p>
        </w:tc>
      </w:tr>
      <w:tr>
        <w:trPr>
          <w:trHeight w:val="243"/>
        </w:trPr>
        <w:tc>
          <w:tcPr>
            <w:tcW w:w="6400" w:type="dxa"/>
            <w:vAlign w:val="bottom"/>
          </w:tcPr>
          <w:p>
            <w:pPr>
              <w:spacing w:after="0"/>
              <w:rPr>
                <w:sz w:val="20"/>
                <w:szCs w:val="20"/>
                <w:color w:val="auto"/>
              </w:rPr>
            </w:pPr>
            <w:r>
              <w:rPr>
                <w:rFonts w:ascii="Arial" w:cs="Arial" w:eastAsia="Arial" w:hAnsi="Arial"/>
                <w:sz w:val="20"/>
                <w:szCs w:val="20"/>
                <w:color w:val="auto"/>
              </w:rPr>
              <w:t>Accrued insurance and other taxes</w:t>
            </w: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(10,557)</w:t>
            </w:r>
          </w:p>
        </w:tc>
        <w:tc>
          <w:tcPr>
            <w:tcW w:w="44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(10,280)</w:t>
            </w:r>
          </w:p>
        </w:tc>
      </w:tr>
      <w:tr>
        <w:trPr>
          <w:trHeight w:val="243"/>
        </w:trPr>
        <w:tc>
          <w:tcPr>
            <w:tcW w:w="6400" w:type="dxa"/>
            <w:vAlign w:val="bottom"/>
            <w:shd w:val="clear" w:color="auto" w:fill="CFF0FC"/>
          </w:tcPr>
          <w:p>
            <w:pPr>
              <w:spacing w:after="0"/>
              <w:rPr>
                <w:sz w:val="20"/>
                <w:szCs w:val="20"/>
                <w:color w:val="auto"/>
              </w:rPr>
            </w:pPr>
            <w:r>
              <w:rPr>
                <w:rFonts w:ascii="Arial" w:cs="Arial" w:eastAsia="Arial" w:hAnsi="Arial"/>
                <w:sz w:val="20"/>
                <w:szCs w:val="20"/>
                <w:color w:val="auto"/>
              </w:rPr>
              <w:t>Accrued income taxes</w:t>
            </w:r>
          </w:p>
        </w:tc>
        <w:tc>
          <w:tcPr>
            <w:tcW w:w="14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3,330</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(8,473)</w:t>
            </w:r>
          </w:p>
        </w:tc>
      </w:tr>
      <w:tr>
        <w:trPr>
          <w:trHeight w:val="243"/>
        </w:trPr>
        <w:tc>
          <w:tcPr>
            <w:tcW w:w="6400" w:type="dxa"/>
            <w:vAlign w:val="bottom"/>
          </w:tcPr>
          <w:p>
            <w:pPr>
              <w:spacing w:after="0"/>
              <w:rPr>
                <w:sz w:val="20"/>
                <w:szCs w:val="20"/>
                <w:color w:val="auto"/>
              </w:rPr>
            </w:pPr>
            <w:r>
              <w:rPr>
                <w:rFonts w:ascii="Arial" w:cs="Arial" w:eastAsia="Arial" w:hAnsi="Arial"/>
                <w:sz w:val="20"/>
                <w:szCs w:val="20"/>
                <w:color w:val="auto"/>
              </w:rPr>
              <w:t>Accrued pension, postretirement and postemployment benefits</w:t>
            </w: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6,421</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5,775</w:t>
            </w:r>
          </w:p>
        </w:tc>
        <w:tc>
          <w:tcPr>
            <w:tcW w:w="120" w:type="dxa"/>
            <w:vAlign w:val="bottom"/>
          </w:tcPr>
          <w:p>
            <w:pPr>
              <w:spacing w:after="0"/>
              <w:rPr>
                <w:sz w:val="21"/>
                <w:szCs w:val="21"/>
                <w:color w:val="auto"/>
              </w:rPr>
            </w:pPr>
          </w:p>
        </w:tc>
      </w:tr>
      <w:tr>
        <w:trPr>
          <w:trHeight w:val="243"/>
        </w:trPr>
        <w:tc>
          <w:tcPr>
            <w:tcW w:w="6400" w:type="dxa"/>
            <w:vAlign w:val="bottom"/>
            <w:shd w:val="clear" w:color="auto" w:fill="CFF0FC"/>
          </w:tcPr>
          <w:p>
            <w:pPr>
              <w:spacing w:after="0"/>
              <w:rPr>
                <w:sz w:val="20"/>
                <w:szCs w:val="20"/>
                <w:color w:val="auto"/>
              </w:rPr>
            </w:pPr>
            <w:r>
              <w:rPr>
                <w:rFonts w:ascii="Arial" w:cs="Arial" w:eastAsia="Arial" w:hAnsi="Arial"/>
                <w:sz w:val="20"/>
                <w:szCs w:val="20"/>
                <w:color w:val="auto"/>
              </w:rPr>
              <w:t>Other current and noncurrent liabilities</w:t>
            </w:r>
          </w:p>
        </w:tc>
        <w:tc>
          <w:tcPr>
            <w:tcW w:w="14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21,385</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(6,281)</w:t>
            </w:r>
          </w:p>
        </w:tc>
      </w:tr>
      <w:tr>
        <w:trPr>
          <w:trHeight w:val="237"/>
        </w:trPr>
        <w:tc>
          <w:tcPr>
            <w:tcW w:w="6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(23,670)</w:t>
            </w:r>
          </w:p>
        </w:tc>
        <w:tc>
          <w:tcPr>
            <w:tcW w:w="2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(34,274)</w:t>
            </w:r>
          </w:p>
        </w:tc>
        <w:tc>
          <w:tcPr>
            <w:tcW w:w="120" w:type="dxa"/>
            <w:vAlign w:val="bottom"/>
          </w:tcPr>
          <w:p>
            <w:pPr>
              <w:spacing w:after="0"/>
              <w:rPr>
                <w:sz w:val="20"/>
                <w:szCs w:val="20"/>
                <w:color w:val="auto"/>
              </w:rPr>
            </w:pPr>
          </w:p>
        </w:tc>
      </w:tr>
      <w:tr>
        <w:trPr>
          <w:trHeight w:val="20"/>
        </w:trPr>
        <w:tc>
          <w:tcPr>
            <w:tcW w:w="6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1" w:lineRule="exact"/>
        <w:rPr>
          <w:sz w:val="20"/>
          <w:szCs w:val="20"/>
          <w:color w:val="auto"/>
        </w:rPr>
      </w:pPr>
    </w:p>
    <w:p>
      <w:pPr>
        <w:ind w:left="380"/>
        <w:spacing w:after="0" w:line="260" w:lineRule="auto"/>
        <w:rPr>
          <w:sz w:val="20"/>
          <w:szCs w:val="20"/>
          <w:color w:val="auto"/>
        </w:rPr>
      </w:pPr>
      <w:r>
        <w:rPr>
          <w:rFonts w:ascii="Arial" w:cs="Arial" w:eastAsia="Arial" w:hAnsi="Arial"/>
          <w:sz w:val="20"/>
          <w:szCs w:val="20"/>
          <w:color w:val="auto"/>
        </w:rPr>
        <w:t>The change in other current and noncurrent assets and other current and noncurrent liabilities is primarily attributable to an accrual of insurance claims over the deductible limits.</w:t>
      </w:r>
    </w:p>
    <w:p>
      <w:pPr>
        <w:sectPr>
          <w:pgSz w:w="11900" w:h="16838" w:orient="portrait"/>
          <w:cols w:equalWidth="0" w:num="1">
            <w:col w:w="11420"/>
          </w:cols>
          <w:pgMar w:left="240" w:top="121" w:right="239" w:bottom="1440" w:gutter="0" w:footer="0" w:header="0"/>
        </w:sectPr>
      </w:pP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Noncash investing and financing activities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30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ind w:left="260"/>
        <w:spacing w:after="0"/>
        <w:rPr>
          <w:sz w:val="20"/>
          <w:szCs w:val="20"/>
          <w:color w:val="auto"/>
        </w:rPr>
      </w:pPr>
      <w:r>
        <w:rPr>
          <w:rFonts w:ascii="Arial" w:cs="Arial" w:eastAsia="Arial" w:hAnsi="Arial"/>
          <w:sz w:val="20"/>
          <w:szCs w:val="20"/>
          <w:color w:val="auto"/>
        </w:rPr>
        <w:t>Accrued liabilities for purchases of property,</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20"/>
          <w:szCs w:val="20"/>
          <w:color w:val="auto"/>
        </w:rPr>
        <w:t>plant and equipment</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Acquisition of assets through capital lease</w:t>
      </w:r>
    </w:p>
    <w:p>
      <w:pPr>
        <w:spacing w:after="0" w:line="3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Supplemental disclosures of cash flow information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color w:val="auto"/>
        </w:rPr>
        <w:t>Cash paid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Cash paid for income taxes</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Three Months Ended</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20"/>
                <w:szCs w:val="20"/>
                <w:color w:val="auto"/>
              </w:rPr>
              <w:t>2017</w:t>
            </w:r>
          </w:p>
        </w:tc>
        <w:tc>
          <w:tcPr>
            <w:tcW w:w="9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20"/>
                <w:szCs w:val="20"/>
                <w:color w:val="auto"/>
                <w:w w:val="85"/>
              </w:rPr>
              <w:t>2016</w:t>
            </w:r>
          </w:p>
        </w:tc>
        <w:tc>
          <w:tcPr>
            <w:tcW w:w="20" w:type="dxa"/>
            <w:vAlign w:val="bottom"/>
            <w:tcBorders>
              <w:top w:val="single" w:sz="8" w:color="auto"/>
              <w:bottom w:val="single" w:sz="8" w:color="auto"/>
            </w:tcBorders>
          </w:tcPr>
          <w:p>
            <w:pPr>
              <w:spacing w:after="0"/>
              <w:rPr>
                <w:sz w:val="20"/>
                <w:szCs w:val="20"/>
                <w:color w:val="auto"/>
              </w:rPr>
            </w:pPr>
          </w:p>
        </w:tc>
      </w:tr>
      <w:tr>
        <w:trPr>
          <w:trHeight w:val="244"/>
        </w:trPr>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00" w:type="dxa"/>
            <w:vAlign w:val="bottom"/>
            <w:gridSpan w:val="4"/>
          </w:tcPr>
          <w:p>
            <w:pPr>
              <w:ind w:left="720"/>
              <w:spacing w:after="0"/>
              <w:rPr>
                <w:sz w:val="20"/>
                <w:szCs w:val="20"/>
                <w:color w:val="auto"/>
              </w:rPr>
            </w:pPr>
            <w:r>
              <w:rPr>
                <w:rFonts w:ascii="Arial" w:cs="Arial" w:eastAsia="Arial" w:hAnsi="Arial"/>
                <w:sz w:val="20"/>
                <w:szCs w:val="20"/>
                <w:i w:val="1"/>
                <w:iCs w:val="1"/>
                <w:color w:val="auto"/>
              </w:rPr>
              <w:t>(Dollars in Thousands)</w:t>
            </w:r>
          </w:p>
        </w:tc>
      </w:tr>
      <w:tr>
        <w:trPr>
          <w:trHeight w:val="591"/>
        </w:trPr>
        <w:tc>
          <w:tcPr>
            <w:tcW w:w="46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61"/>
              <w:spacing w:after="0"/>
              <w:rPr>
                <w:sz w:val="20"/>
                <w:szCs w:val="20"/>
                <w:color w:val="auto"/>
              </w:rPr>
            </w:pPr>
            <w:r>
              <w:rPr>
                <w:rFonts w:ascii="Arial" w:cs="Arial" w:eastAsia="Arial" w:hAnsi="Arial"/>
                <w:sz w:val="20"/>
                <w:szCs w:val="20"/>
                <w:color w:val="auto"/>
              </w:rPr>
              <w:t>34,666</w:t>
            </w:r>
          </w:p>
        </w:tc>
        <w:tc>
          <w:tcPr>
            <w:tcW w:w="900" w:type="dxa"/>
            <w:vAlign w:val="bottom"/>
          </w:tcPr>
          <w:p>
            <w:pPr>
              <w:jc w:val="right"/>
              <w:ind w:right="521"/>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23,892</w:t>
            </w:r>
          </w:p>
        </w:tc>
      </w:tr>
      <w:tr>
        <w:trPr>
          <w:trHeight w:val="365"/>
        </w:trPr>
        <w:tc>
          <w:tcPr>
            <w:tcW w:w="46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61"/>
              <w:spacing w:after="0"/>
              <w:rPr>
                <w:sz w:val="20"/>
                <w:szCs w:val="20"/>
                <w:color w:val="auto"/>
              </w:rPr>
            </w:pPr>
            <w:r>
              <w:rPr>
                <w:rFonts w:ascii="Arial" w:cs="Arial" w:eastAsia="Arial" w:hAnsi="Arial"/>
                <w:sz w:val="20"/>
                <w:szCs w:val="20"/>
                <w:color w:val="auto"/>
              </w:rPr>
              <w:t>149</w:t>
            </w:r>
          </w:p>
        </w:tc>
        <w:tc>
          <w:tcPr>
            <w:tcW w:w="900" w:type="dxa"/>
            <w:vAlign w:val="bottom"/>
          </w:tcPr>
          <w:p>
            <w:pPr>
              <w:jc w:val="right"/>
              <w:ind w:right="521"/>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r>
      <w:tr>
        <w:trPr>
          <w:trHeight w:val="911"/>
        </w:trPr>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40" w:type="dxa"/>
            <w:vAlign w:val="bottom"/>
            <w:gridSpan w:val="2"/>
          </w:tcPr>
          <w:p>
            <w:pPr>
              <w:jc w:val="center"/>
              <w:ind w:left="561"/>
              <w:spacing w:after="0"/>
              <w:rPr>
                <w:sz w:val="20"/>
                <w:szCs w:val="20"/>
                <w:color w:val="auto"/>
              </w:rPr>
            </w:pPr>
            <w:r>
              <w:rPr>
                <w:rFonts w:ascii="Arial" w:cs="Arial" w:eastAsia="Arial" w:hAnsi="Arial"/>
                <w:sz w:val="20"/>
                <w:szCs w:val="20"/>
                <w:color w:val="auto"/>
                <w:w w:val="89"/>
              </w:rPr>
              <w:t>Three Months Ended</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6"/>
        </w:trPr>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2"/>
          </w:tcPr>
          <w:p>
            <w:pPr>
              <w:jc w:val="center"/>
              <w:ind w:left="561"/>
              <w:spacing w:after="0"/>
              <w:rPr>
                <w:sz w:val="20"/>
                <w:szCs w:val="20"/>
                <w:color w:val="auto"/>
              </w:rPr>
            </w:pPr>
            <w:r>
              <w:rPr>
                <w:rFonts w:ascii="Arial" w:cs="Arial" w:eastAsia="Arial" w:hAnsi="Arial"/>
                <w:sz w:val="20"/>
                <w:szCs w:val="20"/>
                <w:color w:val="auto"/>
                <w:w w:val="89"/>
              </w:rPr>
              <w:t>March 31,</w:t>
            </w: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861"/>
              <w:spacing w:after="0"/>
              <w:rPr>
                <w:sz w:val="20"/>
                <w:szCs w:val="20"/>
                <w:color w:val="auto"/>
              </w:rPr>
            </w:pPr>
            <w:r>
              <w:rPr>
                <w:rFonts w:ascii="Arial" w:cs="Arial" w:eastAsia="Arial" w:hAnsi="Arial"/>
                <w:sz w:val="20"/>
                <w:szCs w:val="20"/>
                <w:color w:val="auto"/>
              </w:rPr>
              <w:t>2017</w:t>
            </w:r>
          </w:p>
        </w:tc>
        <w:tc>
          <w:tcPr>
            <w:tcW w:w="9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w w:val="94"/>
              </w:rPr>
              <w:t>2016</w:t>
            </w:r>
          </w:p>
        </w:tc>
        <w:tc>
          <w:tcPr>
            <w:tcW w:w="20" w:type="dxa"/>
            <w:vAlign w:val="bottom"/>
          </w:tcPr>
          <w:p>
            <w:pPr>
              <w:spacing w:after="0"/>
              <w:rPr>
                <w:sz w:val="20"/>
                <w:szCs w:val="20"/>
                <w:color w:val="auto"/>
              </w:rPr>
            </w:pPr>
          </w:p>
        </w:tc>
      </w:tr>
      <w:tr>
        <w:trPr>
          <w:trHeight w:val="233"/>
        </w:trPr>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40" w:type="dxa"/>
            <w:vAlign w:val="bottom"/>
            <w:gridSpan w:val="2"/>
          </w:tcPr>
          <w:p>
            <w:pPr>
              <w:jc w:val="center"/>
              <w:ind w:left="561"/>
              <w:spacing w:after="0"/>
              <w:rPr>
                <w:sz w:val="20"/>
                <w:szCs w:val="20"/>
                <w:color w:val="auto"/>
              </w:rPr>
            </w:pPr>
            <w:r>
              <w:rPr>
                <w:rFonts w:ascii="Arial" w:cs="Arial" w:eastAsia="Arial" w:hAnsi="Arial"/>
                <w:sz w:val="20"/>
                <w:szCs w:val="20"/>
                <w:i w:val="1"/>
                <w:iCs w:val="1"/>
                <w:color w:val="auto"/>
                <w:w w:val="91"/>
              </w:rPr>
              <w:t>(Dollars in Thousands)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60" w:type="dxa"/>
            <w:vAlign w:val="bottom"/>
            <w:gridSpan w:val="2"/>
          </w:tcPr>
          <w:p>
            <w:pPr>
              <w:jc w:val="right"/>
              <w:ind w:right="360"/>
              <w:spacing w:after="0"/>
              <w:rPr>
                <w:sz w:val="20"/>
                <w:szCs w:val="20"/>
                <w:color w:val="auto"/>
              </w:rPr>
            </w:pPr>
            <w:r>
              <w:rPr>
                <w:rFonts w:ascii="Arial" w:cs="Arial" w:eastAsia="Arial" w:hAnsi="Arial"/>
                <w:sz w:val="20"/>
                <w:szCs w:val="20"/>
                <w:color w:val="auto"/>
                <w:w w:val="71"/>
              </w:rPr>
              <w:t>$</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12,216</w:t>
            </w:r>
          </w:p>
        </w:tc>
        <w:tc>
          <w:tcPr>
            <w:tcW w:w="900" w:type="dxa"/>
            <w:vAlign w:val="bottom"/>
          </w:tcPr>
          <w:p>
            <w:pPr>
              <w:jc w:val="right"/>
              <w:ind w:right="46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11,394</w:t>
            </w:r>
          </w:p>
        </w:tc>
        <w:tc>
          <w:tcPr>
            <w:tcW w:w="20" w:type="dxa"/>
            <w:vAlign w:val="bottom"/>
          </w:tcPr>
          <w:p>
            <w:pPr>
              <w:spacing w:after="0"/>
              <w:rPr>
                <w:sz w:val="21"/>
                <w:szCs w:val="21"/>
                <w:color w:val="auto"/>
              </w:rPr>
            </w:pPr>
          </w:p>
        </w:tc>
      </w:tr>
      <w:tr>
        <w:trPr>
          <w:trHeight w:val="250"/>
        </w:trPr>
        <w:tc>
          <w:tcPr>
            <w:tcW w:w="460" w:type="dxa"/>
            <w:vAlign w:val="bottom"/>
            <w:gridSpan w:val="2"/>
          </w:tcPr>
          <w:p>
            <w:pPr>
              <w:jc w:val="right"/>
              <w:ind w:right="360"/>
              <w:spacing w:after="0"/>
              <w:rPr>
                <w:sz w:val="20"/>
                <w:szCs w:val="20"/>
                <w:color w:val="auto"/>
              </w:rPr>
            </w:pPr>
            <w:r>
              <w:rPr>
                <w:rFonts w:ascii="Arial" w:cs="Arial" w:eastAsia="Arial" w:hAnsi="Arial"/>
                <w:sz w:val="20"/>
                <w:szCs w:val="20"/>
                <w:color w:val="auto"/>
                <w:w w:val="71"/>
              </w:rPr>
              <w:t>$</w:t>
            </w:r>
          </w:p>
        </w:tc>
        <w:tc>
          <w:tcPr>
            <w:tcW w:w="1640" w:type="dxa"/>
            <w:vAlign w:val="bottom"/>
          </w:tcPr>
          <w:p>
            <w:pPr>
              <w:jc w:val="right"/>
              <w:ind w:right="121"/>
              <w:spacing w:after="0"/>
              <w:rPr>
                <w:sz w:val="20"/>
                <w:szCs w:val="20"/>
                <w:color w:val="auto"/>
              </w:rPr>
            </w:pPr>
            <w:r>
              <w:rPr>
                <w:rFonts w:ascii="Arial" w:cs="Arial" w:eastAsia="Arial" w:hAnsi="Arial"/>
                <w:sz w:val="20"/>
                <w:szCs w:val="20"/>
                <w:color w:val="auto"/>
              </w:rPr>
              <w:t>6,240</w:t>
            </w:r>
          </w:p>
        </w:tc>
        <w:tc>
          <w:tcPr>
            <w:tcW w:w="900" w:type="dxa"/>
            <w:vAlign w:val="bottom"/>
          </w:tcPr>
          <w:p>
            <w:pPr>
              <w:jc w:val="right"/>
              <w:ind w:right="46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10,721</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2">
            <w:col w:w="6440" w:space="720"/>
            <w:col w:w="4260"/>
          </w:cols>
          <w:pgMar w:left="240" w:top="121" w:right="239" w:bottom="144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21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Combinations</w:t>
      </w:r>
    </w:p>
    <w:p>
      <w:pPr>
        <w:spacing w:after="0" w:line="113"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In the first quarter 2016, the Corporation acquired the outstanding stock of Rocky Mountain Materials and Asphalt, Inc., and Rocky Mountain Premix Inc. The acquisition provides more than 500 million tons of mineral reserves and expands the Corporation’s presence along the Front Range of the Rocky Mountains, home to 80% of Colorado’s population. The acquired operations are reported through the West Group.</w:t>
      </w:r>
    </w:p>
    <w:p>
      <w:pPr>
        <w:spacing w:after="0" w:line="83" w:lineRule="exact"/>
        <w:rPr>
          <w:rFonts w:ascii="Arial" w:cs="Arial" w:eastAsia="Arial" w:hAnsi="Arial"/>
          <w:sz w:val="20"/>
          <w:szCs w:val="20"/>
          <w:b w:val="1"/>
          <w:bCs w:val="1"/>
          <w:color w:val="auto"/>
        </w:rPr>
      </w:pPr>
    </w:p>
    <w:p>
      <w:pPr>
        <w:jc w:val="both"/>
        <w:ind w:left="380"/>
        <w:spacing w:after="0" w:line="259" w:lineRule="auto"/>
        <w:rPr>
          <w:rFonts w:ascii="Arial" w:cs="Arial" w:eastAsia="Arial" w:hAnsi="Arial"/>
          <w:sz w:val="20"/>
          <w:szCs w:val="20"/>
          <w:b w:val="1"/>
          <w:bCs w:val="1"/>
          <w:color w:val="auto"/>
        </w:rPr>
      </w:pPr>
      <w:r>
        <w:rPr>
          <w:rFonts w:ascii="Arial" w:cs="Arial" w:eastAsia="Arial" w:hAnsi="Arial"/>
          <w:sz w:val="19"/>
          <w:szCs w:val="19"/>
          <w:color w:val="auto"/>
        </w:rPr>
        <w:t>In July 2016, the Corporation acquired the remaining interest in Ratliff Ready-Mix, L.P. (“Ratliff”), which operates ready mixed concrete plants in central Texas. Prior to the acquisition, the Corporation owned a 40% interest in Ratliff which was accounted for under the equity method. The Corporation was required to re-measure the existing 40% interest to fair value upon closing of the transaction, resulting in a gain of $5,863,000, which was recorded in other nonoperating income in third quarter 2016. These operations are reported in the West Group. The Corporation recorded preliminary fair values of the assets acquired and liabilities assumed; however, deferred income taxes and goodwill are subject to change upon review of the seller’s final tax return.</w:t>
      </w:r>
    </w:p>
    <w:p>
      <w:pPr>
        <w:spacing w:after="0" w:line="70" w:lineRule="exact"/>
        <w:rPr>
          <w:rFonts w:ascii="Arial" w:cs="Arial" w:eastAsia="Arial" w:hAnsi="Arial"/>
          <w:sz w:val="20"/>
          <w:szCs w:val="20"/>
          <w:b w:val="1"/>
          <w:bCs w:val="1"/>
          <w:color w:val="auto"/>
        </w:rPr>
      </w:pPr>
    </w:p>
    <w:p>
      <w:pPr>
        <w:ind w:left="38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impact of these acquisitions on the operating results was not considered material; therefore, pro forma financial information is not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22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2017</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Martin Marietta Materials, Inc. (the Corporation or Martin Marietta) is a leading supplier of building materials, including aggregates, cement, ready mixed concrete and asphalt and paving (collectively herein referred to as the Building Materials business). The aggregates product line is sold and shipped from a network of more than 270 quarries and distribution facilities in 26 states, Nova Scotia and the Bahamas. The cement, ready mixed concrete and asphalt and paving product lines are located in strategic, vertically-integrated markets, predominately Texas and Colorado. The Corporation’s annual consolidated net sales and earnings from operations are predominately derived from its Building Materials business which sells to all sectors of the public infrastructure, environmental industries, nonresidential and residential construction industries, as well as agriculture, railroad ballast, chemical, utility and other uses. The Building Materials business’ products are used primarily by commercial customers principally in domestic construction of highways and other infrastructure projects and for nonresidential and residential building development.</w:t>
      </w:r>
    </w:p>
    <w:p>
      <w:pPr>
        <w:spacing w:after="0" w:line="185"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Effective January 1, 2017, the Corporation reorganized the operations and management reporting structure of its Texas-based aggregates, ready mixed concrete and cement product lines, resulting in a change to its reportable segments. The Corporation currently conducts its Building Materials business through three reportable business segments: Mid-America Group, Southeast Group and West Group.</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8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87"/>
              </w:rPr>
              <w:t>Reportable Segments</w:t>
            </w:r>
          </w:p>
        </w:tc>
        <w:tc>
          <w:tcPr>
            <w:tcW w:w="45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94"/>
              </w:rPr>
              <w:t>Mid-America Group</w:t>
            </w:r>
          </w:p>
        </w:tc>
        <w:tc>
          <w:tcPr>
            <w:tcW w:w="18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87"/>
              </w:rPr>
              <w:t>Southeast Group</w:t>
            </w: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r>
      <w:tr>
        <w:trPr>
          <w:trHeight w:val="206"/>
        </w:trPr>
        <w:tc>
          <w:tcPr>
            <w:tcW w:w="17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Operating Locations</w:t>
            </w:r>
          </w:p>
        </w:tc>
        <w:tc>
          <w:tcPr>
            <w:tcW w:w="100" w:type="dxa"/>
            <w:vAlign w:val="bottom"/>
          </w:tcPr>
          <w:p>
            <w:pPr>
              <w:spacing w:after="0"/>
              <w:rPr>
                <w:sz w:val="17"/>
                <w:szCs w:val="17"/>
                <w:color w:val="auto"/>
              </w:rPr>
            </w:pPr>
          </w:p>
        </w:tc>
        <w:tc>
          <w:tcPr>
            <w:tcW w:w="44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Indiana, Iowa, northern Kansas, Kentucky, Maryland,</w:t>
            </w:r>
          </w:p>
        </w:tc>
        <w:tc>
          <w:tcPr>
            <w:tcW w:w="120" w:type="dxa"/>
            <w:vAlign w:val="bottom"/>
          </w:tcPr>
          <w:p>
            <w:pPr>
              <w:spacing w:after="0"/>
              <w:rPr>
                <w:sz w:val="17"/>
                <w:szCs w:val="17"/>
                <w:color w:val="auto"/>
              </w:rPr>
            </w:pPr>
          </w:p>
        </w:tc>
        <w:tc>
          <w:tcPr>
            <w:tcW w:w="174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Alabama, Florida,</w:t>
            </w:r>
          </w:p>
        </w:tc>
        <w:tc>
          <w:tcPr>
            <w:tcW w:w="100" w:type="dxa"/>
            <w:vAlign w:val="bottom"/>
          </w:tcPr>
          <w:p>
            <w:pPr>
              <w:spacing w:after="0"/>
              <w:rPr>
                <w:sz w:val="17"/>
                <w:szCs w:val="17"/>
                <w:color w:val="auto"/>
              </w:rPr>
            </w:pPr>
          </w:p>
        </w:tc>
        <w:tc>
          <w:tcPr>
            <w:tcW w:w="32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Arkansas, Colorado, southern Kansas,</w:t>
            </w:r>
          </w:p>
        </w:tc>
      </w:tr>
      <w:tr>
        <w:trPr>
          <w:trHeight w:val="230"/>
        </w:trPr>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2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Minnesota, Missouri, eastern Nebraska, North</w:t>
            </w:r>
          </w:p>
        </w:tc>
        <w:tc>
          <w:tcPr>
            <w:tcW w:w="1840" w:type="dxa"/>
            <w:vAlign w:val="bottom"/>
            <w:gridSpan w:val="2"/>
          </w:tcPr>
          <w:p>
            <w:pPr>
              <w:jc w:val="center"/>
              <w:ind w:right="120"/>
              <w:spacing w:after="0"/>
              <w:rPr>
                <w:sz w:val="20"/>
                <w:szCs w:val="20"/>
                <w:color w:val="auto"/>
              </w:rPr>
            </w:pPr>
            <w:r>
              <w:rPr>
                <w:rFonts w:ascii="Arial" w:cs="Arial" w:eastAsia="Arial" w:hAnsi="Arial"/>
                <w:sz w:val="20"/>
                <w:szCs w:val="20"/>
                <w:color w:val="auto"/>
                <w:w w:val="85"/>
              </w:rPr>
              <w:t>Georgia, Tennessee,</w:t>
            </w:r>
          </w:p>
        </w:tc>
        <w:tc>
          <w:tcPr>
            <w:tcW w:w="3260" w:type="dxa"/>
            <w:vAlign w:val="bottom"/>
          </w:tcPr>
          <w:p>
            <w:pPr>
              <w:jc w:val="center"/>
              <w:spacing w:after="0"/>
              <w:rPr>
                <w:sz w:val="20"/>
                <w:szCs w:val="20"/>
                <w:color w:val="auto"/>
              </w:rPr>
            </w:pPr>
            <w:r>
              <w:rPr>
                <w:rFonts w:ascii="Arial" w:cs="Arial" w:eastAsia="Arial" w:hAnsi="Arial"/>
                <w:sz w:val="20"/>
                <w:szCs w:val="20"/>
                <w:color w:val="auto"/>
                <w:w w:val="88"/>
              </w:rPr>
              <w:t>Louisiana, western Nebraska, Nevada,</w:t>
            </w:r>
          </w:p>
        </w:tc>
      </w:tr>
      <w:tr>
        <w:trPr>
          <w:trHeight w:val="230"/>
        </w:trPr>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2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Carolina, Ohio, South Carolina, Virginia, Washington</w:t>
            </w:r>
          </w:p>
        </w:tc>
        <w:tc>
          <w:tcPr>
            <w:tcW w:w="1840" w:type="dxa"/>
            <w:vAlign w:val="bottom"/>
            <w:gridSpan w:val="2"/>
          </w:tcPr>
          <w:p>
            <w:pPr>
              <w:jc w:val="center"/>
              <w:ind w:right="120"/>
              <w:spacing w:after="0"/>
              <w:rPr>
                <w:sz w:val="20"/>
                <w:szCs w:val="20"/>
                <w:color w:val="auto"/>
              </w:rPr>
            </w:pPr>
            <w:r>
              <w:rPr>
                <w:rFonts w:ascii="Arial" w:cs="Arial" w:eastAsia="Arial" w:hAnsi="Arial"/>
                <w:sz w:val="20"/>
                <w:szCs w:val="20"/>
                <w:color w:val="auto"/>
                <w:w w:val="88"/>
              </w:rPr>
              <w:t>Nova Scotia and the</w:t>
            </w:r>
          </w:p>
        </w:tc>
        <w:tc>
          <w:tcPr>
            <w:tcW w:w="3260" w:type="dxa"/>
            <w:vAlign w:val="bottom"/>
          </w:tcPr>
          <w:p>
            <w:pPr>
              <w:jc w:val="center"/>
              <w:spacing w:after="0"/>
              <w:rPr>
                <w:sz w:val="20"/>
                <w:szCs w:val="20"/>
                <w:color w:val="auto"/>
              </w:rPr>
            </w:pPr>
            <w:r>
              <w:rPr>
                <w:rFonts w:ascii="Arial" w:cs="Arial" w:eastAsia="Arial" w:hAnsi="Arial"/>
                <w:sz w:val="20"/>
                <w:szCs w:val="20"/>
                <w:color w:val="auto"/>
                <w:w w:val="89"/>
              </w:rPr>
              <w:t>Oklahoma, Texas, Utah and Wyoming</w:t>
            </w:r>
          </w:p>
        </w:tc>
      </w:tr>
      <w:tr>
        <w:trPr>
          <w:trHeight w:val="250"/>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520" w:type="dxa"/>
            <w:vAlign w:val="bottom"/>
            <w:gridSpan w:val="2"/>
          </w:tcPr>
          <w:p>
            <w:pPr>
              <w:jc w:val="center"/>
              <w:ind w:right="100"/>
              <w:spacing w:after="0"/>
              <w:rPr>
                <w:sz w:val="20"/>
                <w:szCs w:val="20"/>
                <w:color w:val="auto"/>
              </w:rPr>
            </w:pPr>
            <w:r>
              <w:rPr>
                <w:rFonts w:ascii="Arial" w:cs="Arial" w:eastAsia="Arial" w:hAnsi="Arial"/>
                <w:sz w:val="20"/>
                <w:szCs w:val="20"/>
                <w:color w:val="auto"/>
                <w:w w:val="90"/>
              </w:rPr>
              <w:t>and West Virginia</w:t>
            </w:r>
          </w:p>
        </w:tc>
        <w:tc>
          <w:tcPr>
            <w:tcW w:w="1840" w:type="dxa"/>
            <w:vAlign w:val="bottom"/>
            <w:gridSpan w:val="2"/>
          </w:tcPr>
          <w:p>
            <w:pPr>
              <w:jc w:val="center"/>
              <w:ind w:right="120"/>
              <w:spacing w:after="0"/>
              <w:rPr>
                <w:sz w:val="20"/>
                <w:szCs w:val="20"/>
                <w:color w:val="auto"/>
              </w:rPr>
            </w:pPr>
            <w:r>
              <w:rPr>
                <w:rFonts w:ascii="Arial" w:cs="Arial" w:eastAsia="Arial" w:hAnsi="Arial"/>
                <w:sz w:val="20"/>
                <w:szCs w:val="20"/>
                <w:color w:val="auto"/>
                <w:w w:val="85"/>
              </w:rPr>
              <w:t>Bahamas</w:t>
            </w:r>
          </w:p>
        </w:tc>
        <w:tc>
          <w:tcPr>
            <w:tcW w:w="3260" w:type="dxa"/>
            <w:vAlign w:val="bottom"/>
          </w:tcPr>
          <w:p>
            <w:pPr>
              <w:spacing w:after="0"/>
              <w:rPr>
                <w:sz w:val="21"/>
                <w:szCs w:val="21"/>
                <w:color w:val="auto"/>
              </w:rPr>
            </w:pPr>
          </w:p>
        </w:tc>
      </w:tr>
      <w:tr>
        <w:trPr>
          <w:trHeight w:val="438"/>
        </w:trPr>
        <w:tc>
          <w:tcPr>
            <w:tcW w:w="180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Product Lines</w:t>
            </w:r>
          </w:p>
        </w:tc>
        <w:tc>
          <w:tcPr>
            <w:tcW w:w="4520" w:type="dxa"/>
            <w:vAlign w:val="bottom"/>
            <w:gridSpan w:val="2"/>
          </w:tcPr>
          <w:p>
            <w:pPr>
              <w:jc w:val="center"/>
              <w:ind w:right="100"/>
              <w:spacing w:after="0"/>
              <w:rPr>
                <w:sz w:val="20"/>
                <w:szCs w:val="20"/>
                <w:color w:val="auto"/>
              </w:rPr>
            </w:pPr>
            <w:r>
              <w:rPr>
                <w:rFonts w:ascii="Arial" w:cs="Arial" w:eastAsia="Arial" w:hAnsi="Arial"/>
                <w:sz w:val="20"/>
                <w:szCs w:val="20"/>
                <w:color w:val="auto"/>
                <w:w w:val="87"/>
              </w:rPr>
              <w:t>Aggregates (crushed stone, sand and gravel)</w:t>
            </w:r>
          </w:p>
        </w:tc>
        <w:tc>
          <w:tcPr>
            <w:tcW w:w="1840" w:type="dxa"/>
            <w:vAlign w:val="bottom"/>
            <w:gridSpan w:val="2"/>
          </w:tcPr>
          <w:p>
            <w:pPr>
              <w:jc w:val="center"/>
              <w:ind w:right="120"/>
              <w:spacing w:after="0"/>
              <w:rPr>
                <w:sz w:val="20"/>
                <w:szCs w:val="20"/>
                <w:color w:val="auto"/>
              </w:rPr>
            </w:pPr>
            <w:r>
              <w:rPr>
                <w:rFonts w:ascii="Arial" w:cs="Arial" w:eastAsia="Arial" w:hAnsi="Arial"/>
                <w:sz w:val="20"/>
                <w:szCs w:val="20"/>
                <w:color w:val="auto"/>
                <w:w w:val="88"/>
              </w:rPr>
              <w:t>Aggregates (crushed</w:t>
            </w:r>
          </w:p>
        </w:tc>
        <w:tc>
          <w:tcPr>
            <w:tcW w:w="3260" w:type="dxa"/>
            <w:vAlign w:val="bottom"/>
          </w:tcPr>
          <w:p>
            <w:pPr>
              <w:jc w:val="center"/>
              <w:spacing w:after="0"/>
              <w:rPr>
                <w:sz w:val="20"/>
                <w:szCs w:val="20"/>
                <w:color w:val="auto"/>
              </w:rPr>
            </w:pPr>
            <w:r>
              <w:rPr>
                <w:rFonts w:ascii="Arial" w:cs="Arial" w:eastAsia="Arial" w:hAnsi="Arial"/>
                <w:sz w:val="20"/>
                <w:szCs w:val="20"/>
                <w:color w:val="auto"/>
                <w:w w:val="86"/>
              </w:rPr>
              <w:t>Aggregates (crushed stone, sand and</w:t>
            </w:r>
          </w:p>
        </w:tc>
      </w:tr>
      <w:tr>
        <w:trPr>
          <w:trHeight w:val="230"/>
        </w:trPr>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20"/>
                <w:szCs w:val="20"/>
                <w:color w:val="auto"/>
                <w:w w:val="85"/>
              </w:rPr>
              <w:t>stone, sand and</w:t>
            </w:r>
          </w:p>
        </w:tc>
        <w:tc>
          <w:tcPr>
            <w:tcW w:w="3260" w:type="dxa"/>
            <w:vAlign w:val="bottom"/>
          </w:tcPr>
          <w:p>
            <w:pPr>
              <w:jc w:val="center"/>
              <w:spacing w:after="0"/>
              <w:rPr>
                <w:sz w:val="20"/>
                <w:szCs w:val="20"/>
                <w:color w:val="auto"/>
              </w:rPr>
            </w:pPr>
            <w:r>
              <w:rPr>
                <w:rFonts w:ascii="Arial" w:cs="Arial" w:eastAsia="Arial" w:hAnsi="Arial"/>
                <w:sz w:val="20"/>
                <w:szCs w:val="20"/>
                <w:color w:val="auto"/>
                <w:w w:val="89"/>
              </w:rPr>
              <w:t>gravel), cement (Portland and specialty</w:t>
            </w:r>
          </w:p>
        </w:tc>
      </w:tr>
      <w:tr>
        <w:trPr>
          <w:trHeight w:val="230"/>
        </w:trPr>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gravel)</w:t>
            </w:r>
          </w:p>
        </w:tc>
        <w:tc>
          <w:tcPr>
            <w:tcW w:w="3260" w:type="dxa"/>
            <w:vAlign w:val="bottom"/>
          </w:tcPr>
          <w:p>
            <w:pPr>
              <w:jc w:val="center"/>
              <w:spacing w:after="0"/>
              <w:rPr>
                <w:sz w:val="20"/>
                <w:szCs w:val="20"/>
                <w:color w:val="auto"/>
              </w:rPr>
            </w:pPr>
            <w:r>
              <w:rPr>
                <w:rFonts w:ascii="Arial" w:cs="Arial" w:eastAsia="Arial" w:hAnsi="Arial"/>
                <w:sz w:val="20"/>
                <w:szCs w:val="20"/>
                <w:color w:val="auto"/>
                <w:w w:val="88"/>
              </w:rPr>
              <w:t>cements), ready mixed concrete and</w:t>
            </w:r>
          </w:p>
        </w:tc>
      </w:tr>
      <w:tr>
        <w:trPr>
          <w:trHeight w:val="250"/>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tcPr>
          <w:p>
            <w:pPr>
              <w:jc w:val="center"/>
              <w:spacing w:after="0"/>
              <w:rPr>
                <w:sz w:val="20"/>
                <w:szCs w:val="20"/>
                <w:color w:val="auto"/>
              </w:rPr>
            </w:pPr>
            <w:r>
              <w:rPr>
                <w:rFonts w:ascii="Arial" w:cs="Arial" w:eastAsia="Arial" w:hAnsi="Arial"/>
                <w:sz w:val="20"/>
                <w:szCs w:val="20"/>
                <w:color w:val="auto"/>
                <w:w w:val="88"/>
              </w:rPr>
              <w:t>asphalt and paving</w:t>
            </w:r>
          </w:p>
        </w:tc>
      </w:tr>
      <w:tr>
        <w:trPr>
          <w:trHeight w:val="438"/>
        </w:trPr>
        <w:tc>
          <w:tcPr>
            <w:tcW w:w="1800" w:type="dxa"/>
            <w:vAlign w:val="bottom"/>
            <w:gridSpan w:val="2"/>
          </w:tcPr>
          <w:p>
            <w:pPr>
              <w:jc w:val="center"/>
              <w:ind w:right="100"/>
              <w:spacing w:after="0"/>
              <w:rPr>
                <w:sz w:val="20"/>
                <w:szCs w:val="20"/>
                <w:color w:val="auto"/>
              </w:rPr>
            </w:pPr>
            <w:r>
              <w:rPr>
                <w:rFonts w:ascii="Arial" w:cs="Arial" w:eastAsia="Arial" w:hAnsi="Arial"/>
                <w:sz w:val="20"/>
                <w:szCs w:val="20"/>
                <w:color w:val="auto"/>
                <w:w w:val="88"/>
              </w:rPr>
              <w:t>Plant Types</w:t>
            </w:r>
          </w:p>
        </w:tc>
        <w:tc>
          <w:tcPr>
            <w:tcW w:w="452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Quarries and Distribution Facilities</w:t>
            </w:r>
          </w:p>
        </w:tc>
        <w:tc>
          <w:tcPr>
            <w:tcW w:w="1840" w:type="dxa"/>
            <w:vAlign w:val="bottom"/>
            <w:gridSpan w:val="2"/>
          </w:tcPr>
          <w:p>
            <w:pPr>
              <w:jc w:val="center"/>
              <w:ind w:right="100"/>
              <w:spacing w:after="0"/>
              <w:rPr>
                <w:sz w:val="20"/>
                <w:szCs w:val="20"/>
                <w:color w:val="auto"/>
              </w:rPr>
            </w:pPr>
            <w:r>
              <w:rPr>
                <w:rFonts w:ascii="Arial" w:cs="Arial" w:eastAsia="Arial" w:hAnsi="Arial"/>
                <w:sz w:val="20"/>
                <w:szCs w:val="20"/>
                <w:color w:val="auto"/>
                <w:w w:val="88"/>
              </w:rPr>
              <w:t>Quarries and</w:t>
            </w:r>
          </w:p>
        </w:tc>
        <w:tc>
          <w:tcPr>
            <w:tcW w:w="3260" w:type="dxa"/>
            <w:vAlign w:val="bottom"/>
          </w:tcPr>
          <w:p>
            <w:pPr>
              <w:jc w:val="center"/>
              <w:spacing w:after="0"/>
              <w:rPr>
                <w:sz w:val="20"/>
                <w:szCs w:val="20"/>
                <w:color w:val="auto"/>
              </w:rPr>
            </w:pPr>
            <w:r>
              <w:rPr>
                <w:rFonts w:ascii="Arial" w:cs="Arial" w:eastAsia="Arial" w:hAnsi="Arial"/>
                <w:sz w:val="20"/>
                <w:szCs w:val="20"/>
                <w:color w:val="auto"/>
                <w:w w:val="87"/>
              </w:rPr>
              <w:t>Quarries, Plants and</w:t>
            </w:r>
          </w:p>
        </w:tc>
      </w:tr>
      <w:tr>
        <w:trPr>
          <w:trHeight w:val="250"/>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20"/>
                <w:szCs w:val="20"/>
                <w:color w:val="auto"/>
                <w:w w:val="94"/>
              </w:rPr>
              <w:t>Distribution Facilities</w:t>
            </w:r>
          </w:p>
        </w:tc>
        <w:tc>
          <w:tcPr>
            <w:tcW w:w="3260" w:type="dxa"/>
            <w:vAlign w:val="bottom"/>
          </w:tcPr>
          <w:p>
            <w:pPr>
              <w:jc w:val="center"/>
              <w:spacing w:after="0"/>
              <w:rPr>
                <w:sz w:val="20"/>
                <w:szCs w:val="20"/>
                <w:color w:val="auto"/>
              </w:rPr>
            </w:pPr>
            <w:r>
              <w:rPr>
                <w:rFonts w:ascii="Arial" w:cs="Arial" w:eastAsia="Arial" w:hAnsi="Arial"/>
                <w:sz w:val="20"/>
                <w:szCs w:val="20"/>
                <w:color w:val="auto"/>
                <w:w w:val="94"/>
              </w:rPr>
              <w:t>Distribution Facilities</w:t>
            </w:r>
          </w:p>
        </w:tc>
      </w:tr>
      <w:tr>
        <w:trPr>
          <w:trHeight w:val="452"/>
        </w:trPr>
        <w:tc>
          <w:tcPr>
            <w:tcW w:w="1800" w:type="dxa"/>
            <w:vAlign w:val="bottom"/>
            <w:gridSpan w:val="2"/>
          </w:tcPr>
          <w:p>
            <w:pPr>
              <w:jc w:val="center"/>
              <w:spacing w:after="0"/>
              <w:rPr>
                <w:sz w:val="20"/>
                <w:szCs w:val="20"/>
                <w:color w:val="auto"/>
              </w:rPr>
            </w:pPr>
            <w:r>
              <w:rPr>
                <w:rFonts w:ascii="Arial" w:cs="Arial" w:eastAsia="Arial" w:hAnsi="Arial"/>
                <w:sz w:val="20"/>
                <w:szCs w:val="20"/>
                <w:color w:val="auto"/>
                <w:w w:val="92"/>
              </w:rPr>
              <w:t>Modes of</w:t>
            </w:r>
          </w:p>
        </w:tc>
        <w:tc>
          <w:tcPr>
            <w:tcW w:w="452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Truck and Rail</w:t>
            </w:r>
          </w:p>
        </w:tc>
        <w:tc>
          <w:tcPr>
            <w:tcW w:w="1840" w:type="dxa"/>
            <w:vAlign w:val="bottom"/>
            <w:gridSpan w:val="2"/>
          </w:tcPr>
          <w:p>
            <w:pPr>
              <w:jc w:val="center"/>
              <w:ind w:right="100"/>
              <w:spacing w:after="0"/>
              <w:rPr>
                <w:sz w:val="20"/>
                <w:szCs w:val="20"/>
                <w:color w:val="auto"/>
              </w:rPr>
            </w:pPr>
            <w:r>
              <w:rPr>
                <w:rFonts w:ascii="Arial" w:cs="Arial" w:eastAsia="Arial" w:hAnsi="Arial"/>
                <w:sz w:val="20"/>
                <w:szCs w:val="20"/>
                <w:color w:val="auto"/>
                <w:w w:val="90"/>
              </w:rPr>
              <w:t>Truck, Rail and</w:t>
            </w:r>
          </w:p>
        </w:tc>
        <w:tc>
          <w:tcPr>
            <w:tcW w:w="3260" w:type="dxa"/>
            <w:vAlign w:val="bottom"/>
          </w:tcPr>
          <w:p>
            <w:pPr>
              <w:jc w:val="center"/>
              <w:spacing w:after="0"/>
              <w:rPr>
                <w:sz w:val="20"/>
                <w:szCs w:val="20"/>
                <w:color w:val="auto"/>
              </w:rPr>
            </w:pPr>
            <w:r>
              <w:rPr>
                <w:rFonts w:ascii="Arial" w:cs="Arial" w:eastAsia="Arial" w:hAnsi="Arial"/>
                <w:sz w:val="20"/>
                <w:szCs w:val="20"/>
                <w:color w:val="auto"/>
                <w:w w:val="91"/>
              </w:rPr>
              <w:t>Truck and Rail</w:t>
            </w:r>
          </w:p>
        </w:tc>
      </w:tr>
      <w:tr>
        <w:trPr>
          <w:trHeight w:val="250"/>
        </w:trPr>
        <w:tc>
          <w:tcPr>
            <w:tcW w:w="1800" w:type="dxa"/>
            <w:vAlign w:val="bottom"/>
            <w:gridSpan w:val="2"/>
          </w:tcPr>
          <w:p>
            <w:pPr>
              <w:jc w:val="center"/>
              <w:spacing w:after="0"/>
              <w:rPr>
                <w:sz w:val="20"/>
                <w:szCs w:val="20"/>
                <w:color w:val="auto"/>
              </w:rPr>
            </w:pPr>
            <w:r>
              <w:rPr>
                <w:rFonts w:ascii="Arial" w:cs="Arial" w:eastAsia="Arial" w:hAnsi="Arial"/>
                <w:sz w:val="20"/>
                <w:szCs w:val="20"/>
                <w:color w:val="auto"/>
                <w:w w:val="89"/>
              </w:rPr>
              <w:t>Transportation</w:t>
            </w:r>
          </w:p>
        </w:tc>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20"/>
                <w:szCs w:val="20"/>
                <w:color w:val="auto"/>
                <w:w w:val="86"/>
              </w:rPr>
              <w:t>Water</w:t>
            </w:r>
          </w:p>
        </w:tc>
        <w:tc>
          <w:tcPr>
            <w:tcW w:w="3260" w:type="dxa"/>
            <w:vAlign w:val="bottom"/>
          </w:tcPr>
          <w:p>
            <w:pPr>
              <w:spacing w:after="0"/>
              <w:rPr>
                <w:sz w:val="21"/>
                <w:szCs w:val="21"/>
                <w:color w:val="auto"/>
              </w:rPr>
            </w:pPr>
          </w:p>
        </w:tc>
      </w:tr>
    </w:tbl>
    <w:p>
      <w:pPr>
        <w:spacing w:after="0" w:line="31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Corporation also has a Magnesia Specialties segment that produces magnesia-based chemicals products used in industrial, agricultural and environmental applications and dolomitic lime sold primarily to customers in the steel industry.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2017</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Corporation outlined its critical accounting policies in its Annual Report on Form 10-K for the year ended December 31, 2016. There were no changes to the Corporation’s critical accounting policies during the three months ended March 31, 2017.</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Except as indicated, the comparative analysis in this Management’s Discussion and Analysis of Financial Condition and Results of Operations is based on net sales and cost of sales. Gross margin and operating margin calculated as percentages of total revenues represent the most directly comparable financial measures calculated in accordance with generally accepted accounting principles (GAAP). However, gross margin as a percentage of net sales and operating margin as a percentage of net sales represent non-GAAP measures. The Corporation presents these ratios calculated based on net sales, as it is consistent with the basis by which management reviews the Corporation’s operating results. Further, management believes it is consistent with the basis by which investors analyze the Corporation’s operating results given that freight and delivery revenues and costs represent pass-throughs and have no profit mark-up. The following tables present the calculations of gross margin and operating margin for the three months ended March 31, 2017 and 2016 in accordance with GAAP and reconciliations of the ratios as percentages of total revenues to percentages of net sales.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800" w:type="dxa"/>
            <w:vAlign w:val="bottom"/>
          </w:tcPr>
          <w:p>
            <w:pPr>
              <w:spacing w:after="0"/>
              <w:rPr>
                <w:sz w:val="20"/>
                <w:szCs w:val="20"/>
                <w:color w:val="auto"/>
              </w:rPr>
            </w:pPr>
            <w:r>
              <w:rPr>
                <w:rFonts w:ascii="Arial" w:cs="Arial" w:eastAsia="Arial" w:hAnsi="Arial"/>
                <w:sz w:val="20"/>
                <w:szCs w:val="20"/>
                <w:b w:val="1"/>
                <w:bCs w:val="1"/>
                <w:color w:val="auto"/>
              </w:rPr>
              <w:t>Consolidated Gross Margin in Accordance with GAAP</w:t>
            </w: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380" w:type="dxa"/>
            <w:vAlign w:val="bottom"/>
            <w:gridSpan w:val="5"/>
            <w:vMerge w:val="restart"/>
          </w:tcPr>
          <w:p>
            <w:pPr>
              <w:jc w:val="center"/>
              <w:ind w:right="54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36"/>
        </w:trPr>
        <w:tc>
          <w:tcPr>
            <w:tcW w:w="6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8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20"/>
                <w:szCs w:val="20"/>
                <w:color w:val="auto"/>
                <w:w w:val="89"/>
              </w:rPr>
              <w:t>March 31,</w:t>
            </w:r>
          </w:p>
        </w:tc>
        <w:tc>
          <w:tcPr>
            <w:tcW w:w="11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4"/>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20"/>
                <w:szCs w:val="20"/>
                <w:color w:val="auto"/>
              </w:rPr>
              <w:t>Gross profit</w:t>
            </w:r>
          </w:p>
        </w:tc>
        <w:tc>
          <w:tcPr>
            <w:tcW w:w="900" w:type="dxa"/>
            <w:vAlign w:val="bottom"/>
            <w:tcBorders>
              <w:bottom w:val="single" w:sz="8" w:color="CFF2FA"/>
            </w:tcBorders>
            <w:shd w:val="clear" w:color="auto" w:fill="CFF2FA"/>
          </w:tcPr>
          <w:p>
            <w:pPr>
              <w:spacing w:after="0"/>
              <w:rPr>
                <w:sz w:val="21"/>
                <w:szCs w:val="21"/>
                <w:color w:val="auto"/>
              </w:rPr>
            </w:pPr>
          </w:p>
        </w:tc>
        <w:tc>
          <w:tcPr>
            <w:tcW w:w="340" w:type="dxa"/>
            <w:vAlign w:val="bottom"/>
            <w:tcBorders>
              <w:bottom w:val="single" w:sz="8" w:color="auto"/>
            </w:tcBorders>
            <w:shd w:val="clear" w:color="auto" w:fill="CFF2FA"/>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147,067</w:t>
            </w:r>
          </w:p>
        </w:tc>
        <w:tc>
          <w:tcPr>
            <w:tcW w:w="380" w:type="dxa"/>
            <w:vAlign w:val="bottom"/>
            <w:tcBorders>
              <w:bottom w:val="single" w:sz="8" w:color="CFF2FA"/>
            </w:tcBorders>
            <w:shd w:val="clear" w:color="auto" w:fill="CFF2FA"/>
          </w:tcPr>
          <w:p>
            <w:pPr>
              <w:spacing w:after="0"/>
              <w:rPr>
                <w:sz w:val="21"/>
                <w:szCs w:val="21"/>
                <w:color w:val="auto"/>
              </w:rPr>
            </w:pPr>
          </w:p>
        </w:tc>
        <w:tc>
          <w:tcPr>
            <w:tcW w:w="400" w:type="dxa"/>
            <w:vAlign w:val="bottom"/>
            <w:tcBorders>
              <w:bottom w:val="single" w:sz="8" w:color="auto"/>
            </w:tcBorders>
            <w:shd w:val="clear" w:color="auto" w:fill="CFF2FA"/>
          </w:tcPr>
          <w:p>
            <w:pPr>
              <w:jc w:val="right"/>
              <w:ind w:right="24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145,250</w:t>
            </w:r>
          </w:p>
        </w:tc>
        <w:tc>
          <w:tcPr>
            <w:tcW w:w="180" w:type="dxa"/>
            <w:vAlign w:val="bottom"/>
            <w:tcBorders>
              <w:bottom w:val="single" w:sz="8" w:color="CFF2FA"/>
            </w:tcBorders>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20"/>
                <w:szCs w:val="20"/>
                <w:color w:val="auto"/>
              </w:rPr>
              <w:t>Total revenues</w:t>
            </w:r>
          </w:p>
        </w:tc>
        <w:tc>
          <w:tcPr>
            <w:tcW w:w="12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800" w:type="dxa"/>
            <w:vAlign w:val="bottom"/>
            <w:tcBorders>
              <w:bottom w:val="single" w:sz="8" w:color="CFF2FA"/>
            </w:tcBorders>
            <w:vMerge w:val="continue"/>
          </w:tcPr>
          <w:p>
            <w:pPr>
              <w:spacing w:after="0"/>
              <w:rPr>
                <w:sz w:val="22"/>
                <w:szCs w:val="22"/>
                <w:color w:val="auto"/>
              </w:rPr>
            </w:pPr>
          </w:p>
        </w:tc>
        <w:tc>
          <w:tcPr>
            <w:tcW w:w="900" w:type="dxa"/>
            <w:vAlign w:val="bottom"/>
            <w:tcBorders>
              <w:bottom w:val="single" w:sz="8" w:color="CFF2FA"/>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41"/>
              <w:spacing w:after="0" w:line="224" w:lineRule="exact"/>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843,859</w:t>
            </w:r>
          </w:p>
        </w:tc>
        <w:tc>
          <w:tcPr>
            <w:tcW w:w="380" w:type="dxa"/>
            <w:vAlign w:val="bottom"/>
            <w:tcBorders>
              <w:bottom w:val="single" w:sz="8" w:color="CFF2FA"/>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788,734</w:t>
            </w:r>
          </w:p>
        </w:tc>
        <w:tc>
          <w:tcPr>
            <w:tcW w:w="18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800" w:type="dxa"/>
            <w:vAlign w:val="bottom"/>
            <w:shd w:val="clear" w:color="auto" w:fill="CFF2FA"/>
          </w:tcPr>
          <w:p>
            <w:pPr>
              <w:spacing w:after="0" w:line="224" w:lineRule="exact"/>
              <w:rPr>
                <w:sz w:val="20"/>
                <w:szCs w:val="20"/>
                <w:color w:val="auto"/>
              </w:rPr>
            </w:pPr>
            <w:r>
              <w:rPr>
                <w:rFonts w:ascii="Arial" w:cs="Arial" w:eastAsia="Arial" w:hAnsi="Arial"/>
                <w:sz w:val="20"/>
                <w:szCs w:val="20"/>
                <w:color w:val="auto"/>
              </w:rPr>
              <w:t>Gross margin</w:t>
            </w:r>
          </w:p>
        </w:tc>
        <w:tc>
          <w:tcPr>
            <w:tcW w:w="900" w:type="dxa"/>
            <w:vAlign w:val="bottom"/>
            <w:shd w:val="clear" w:color="auto" w:fill="CFF2FA"/>
          </w:tcPr>
          <w:p>
            <w:pPr>
              <w:spacing w:after="0"/>
              <w:rPr>
                <w:sz w:val="19"/>
                <w:szCs w:val="19"/>
                <w:color w:val="auto"/>
              </w:rPr>
            </w:pPr>
          </w:p>
        </w:tc>
        <w:tc>
          <w:tcPr>
            <w:tcW w:w="340" w:type="dxa"/>
            <w:vAlign w:val="bottom"/>
            <w:shd w:val="clear" w:color="auto" w:fill="CFF2FA"/>
          </w:tcPr>
          <w:p>
            <w:pPr>
              <w:spacing w:after="0"/>
              <w:rPr>
                <w:sz w:val="19"/>
                <w:szCs w:val="19"/>
                <w:color w:val="auto"/>
              </w:rPr>
            </w:pPr>
          </w:p>
        </w:tc>
        <w:tc>
          <w:tcPr>
            <w:tcW w:w="1620" w:type="dxa"/>
            <w:vAlign w:val="bottom"/>
            <w:gridSpan w:val="2"/>
            <w:shd w:val="clear" w:color="auto" w:fill="CFF2FA"/>
          </w:tcPr>
          <w:p>
            <w:pPr>
              <w:jc w:val="right"/>
              <w:ind w:right="200"/>
              <w:spacing w:after="0" w:line="224" w:lineRule="exact"/>
              <w:rPr>
                <w:sz w:val="20"/>
                <w:szCs w:val="20"/>
                <w:color w:val="auto"/>
              </w:rPr>
            </w:pPr>
            <w:r>
              <w:rPr>
                <w:rFonts w:ascii="Arial" w:cs="Arial" w:eastAsia="Arial" w:hAnsi="Arial"/>
                <w:sz w:val="20"/>
                <w:szCs w:val="20"/>
                <w:color w:val="auto"/>
              </w:rPr>
              <w:t>17.4%</w:t>
            </w:r>
          </w:p>
        </w:tc>
        <w:tc>
          <w:tcPr>
            <w:tcW w:w="40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18.4%</w:t>
            </w:r>
          </w:p>
        </w:tc>
        <w:tc>
          <w:tcPr>
            <w:tcW w:w="0" w:type="dxa"/>
            <w:vAlign w:val="bottom"/>
          </w:tcPr>
          <w:p>
            <w:pPr>
              <w:spacing w:after="0"/>
              <w:rPr>
                <w:sz w:val="1"/>
                <w:szCs w:val="1"/>
                <w:color w:val="auto"/>
              </w:rPr>
            </w:pPr>
          </w:p>
        </w:tc>
      </w:tr>
      <w:tr>
        <w:trPr>
          <w:trHeight w:val="20"/>
        </w:trPr>
        <w:tc>
          <w:tcPr>
            <w:tcW w:w="680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20"/>
                <w:szCs w:val="20"/>
                <w:b w:val="1"/>
                <w:bCs w:val="1"/>
                <w:color w:val="auto"/>
              </w:rPr>
              <w:t>Consolidated Gross Margin Excluding Freight and Delivery Revenues</w:t>
            </w:r>
          </w:p>
        </w:tc>
        <w:tc>
          <w:tcPr>
            <w:tcW w:w="900" w:type="dxa"/>
            <w:vAlign w:val="bottom"/>
            <w:tcBorders>
              <w:top w:val="single" w:sz="8" w:color="CFF2FA"/>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2FA"/>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68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gridSpan w:val="5"/>
            <w:vMerge w:val="restart"/>
          </w:tcPr>
          <w:p>
            <w:pPr>
              <w:jc w:val="center"/>
              <w:ind w:right="54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36"/>
        </w:trPr>
        <w:tc>
          <w:tcPr>
            <w:tcW w:w="6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8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20"/>
                <w:szCs w:val="20"/>
                <w:color w:val="auto"/>
                <w:w w:val="89"/>
              </w:rPr>
              <w:t>March 31,</w:t>
            </w:r>
          </w:p>
        </w:tc>
        <w:tc>
          <w:tcPr>
            <w:tcW w:w="11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4"/>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20"/>
                <w:szCs w:val="20"/>
                <w:color w:val="auto"/>
              </w:rPr>
              <w:t>Gross profit</w:t>
            </w:r>
          </w:p>
        </w:tc>
        <w:tc>
          <w:tcPr>
            <w:tcW w:w="900" w:type="dxa"/>
            <w:vAlign w:val="bottom"/>
            <w:tcBorders>
              <w:bottom w:val="single" w:sz="8" w:color="CFF2FA"/>
            </w:tcBorders>
            <w:shd w:val="clear" w:color="auto" w:fill="CFF2FA"/>
          </w:tcPr>
          <w:p>
            <w:pPr>
              <w:spacing w:after="0"/>
              <w:rPr>
                <w:sz w:val="21"/>
                <w:szCs w:val="21"/>
                <w:color w:val="auto"/>
              </w:rPr>
            </w:pPr>
          </w:p>
        </w:tc>
        <w:tc>
          <w:tcPr>
            <w:tcW w:w="340" w:type="dxa"/>
            <w:vAlign w:val="bottom"/>
            <w:tcBorders>
              <w:bottom w:val="single" w:sz="8" w:color="auto"/>
            </w:tcBorders>
            <w:shd w:val="clear" w:color="auto" w:fill="CFF2FA"/>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147,067</w:t>
            </w:r>
          </w:p>
        </w:tc>
        <w:tc>
          <w:tcPr>
            <w:tcW w:w="380" w:type="dxa"/>
            <w:vAlign w:val="bottom"/>
            <w:tcBorders>
              <w:bottom w:val="single" w:sz="8" w:color="CFF2FA"/>
            </w:tcBorders>
            <w:shd w:val="clear" w:color="auto" w:fill="CFF2FA"/>
          </w:tcPr>
          <w:p>
            <w:pPr>
              <w:spacing w:after="0"/>
              <w:rPr>
                <w:sz w:val="21"/>
                <w:szCs w:val="21"/>
                <w:color w:val="auto"/>
              </w:rPr>
            </w:pPr>
          </w:p>
        </w:tc>
        <w:tc>
          <w:tcPr>
            <w:tcW w:w="400" w:type="dxa"/>
            <w:vAlign w:val="bottom"/>
            <w:tcBorders>
              <w:bottom w:val="single" w:sz="8" w:color="auto"/>
            </w:tcBorders>
            <w:shd w:val="clear" w:color="auto" w:fill="CFF2FA"/>
          </w:tcPr>
          <w:p>
            <w:pPr>
              <w:jc w:val="right"/>
              <w:ind w:right="24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145,250</w:t>
            </w:r>
          </w:p>
        </w:tc>
        <w:tc>
          <w:tcPr>
            <w:tcW w:w="180" w:type="dxa"/>
            <w:vAlign w:val="bottom"/>
            <w:tcBorders>
              <w:bottom w:val="single" w:sz="8" w:color="CFF2FA"/>
            </w:tcBorders>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20"/>
                <w:szCs w:val="20"/>
                <w:color w:val="auto"/>
              </w:rPr>
              <w:t>Total revenues</w:t>
            </w:r>
          </w:p>
        </w:tc>
        <w:tc>
          <w:tcPr>
            <w:tcW w:w="12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0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Borders>
              <w:top w:val="single" w:sz="8" w:color="auto"/>
            </w:tcBorders>
          </w:tcPr>
          <w:p>
            <w:pPr>
              <w:jc w:val="right"/>
              <w:ind w:right="141"/>
              <w:spacing w:after="0" w:line="224" w:lineRule="exact"/>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843,859</w:t>
            </w:r>
          </w:p>
        </w:tc>
        <w:tc>
          <w:tcPr>
            <w:tcW w:w="380" w:type="dxa"/>
            <w:vAlign w:val="bottom"/>
          </w:tcPr>
          <w:p>
            <w:pPr>
              <w:spacing w:after="0"/>
              <w:rPr>
                <w:sz w:val="19"/>
                <w:szCs w:val="19"/>
                <w:color w:val="auto"/>
              </w:rPr>
            </w:pPr>
          </w:p>
        </w:tc>
        <w:tc>
          <w:tcPr>
            <w:tcW w:w="400" w:type="dxa"/>
            <w:vAlign w:val="bottom"/>
            <w:tcBorders>
              <w:top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788,734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FF2FA"/>
          </w:tcPr>
          <w:p>
            <w:pPr>
              <w:spacing w:after="0"/>
              <w:rPr>
                <w:sz w:val="20"/>
                <w:szCs w:val="20"/>
                <w:color w:val="auto"/>
              </w:rPr>
            </w:pPr>
            <w:r>
              <w:rPr>
                <w:rFonts w:ascii="Arial" w:cs="Arial" w:eastAsia="Arial" w:hAnsi="Arial"/>
                <w:sz w:val="20"/>
                <w:szCs w:val="20"/>
                <w:color w:val="auto"/>
              </w:rPr>
              <w:t>Less: Freight and delivery revenues</w:t>
            </w:r>
          </w:p>
        </w:tc>
        <w:tc>
          <w:tcPr>
            <w:tcW w:w="900" w:type="dxa"/>
            <w:vAlign w:val="bottom"/>
            <w:shd w:val="clear" w:color="auto" w:fill="CFF2FA"/>
          </w:tcPr>
          <w:p>
            <w:pPr>
              <w:spacing w:after="0"/>
              <w:rPr>
                <w:sz w:val="21"/>
                <w:szCs w:val="21"/>
                <w:color w:val="auto"/>
              </w:rPr>
            </w:pPr>
          </w:p>
        </w:tc>
        <w:tc>
          <w:tcPr>
            <w:tcW w:w="340" w:type="dxa"/>
            <w:vAlign w:val="bottom"/>
            <w:shd w:val="clear" w:color="auto" w:fill="CFF2FA"/>
          </w:tcPr>
          <w:p>
            <w:pPr>
              <w:spacing w:after="0"/>
              <w:rPr>
                <w:sz w:val="21"/>
                <w:szCs w:val="21"/>
                <w:color w:val="auto"/>
              </w:rPr>
            </w:pPr>
          </w:p>
        </w:tc>
        <w:tc>
          <w:tcPr>
            <w:tcW w:w="1620" w:type="dxa"/>
            <w:vAlign w:val="bottom"/>
            <w:gridSpan w:val="2"/>
            <w:shd w:val="clear" w:color="auto" w:fill="CFF2FA"/>
          </w:tcPr>
          <w:p>
            <w:pPr>
              <w:jc w:val="right"/>
              <w:ind w:right="300"/>
              <w:spacing w:after="0"/>
              <w:rPr>
                <w:sz w:val="20"/>
                <w:szCs w:val="20"/>
                <w:color w:val="auto"/>
              </w:rPr>
            </w:pPr>
            <w:r>
              <w:rPr>
                <w:rFonts w:ascii="Arial" w:cs="Arial" w:eastAsia="Arial" w:hAnsi="Arial"/>
                <w:sz w:val="20"/>
                <w:szCs w:val="20"/>
                <w:color w:val="auto"/>
              </w:rPr>
              <w:t>(52,175)</w:t>
            </w:r>
          </w:p>
        </w:tc>
        <w:tc>
          <w:tcPr>
            <w:tcW w:w="400" w:type="dxa"/>
            <w:vAlign w:val="bottom"/>
            <w:shd w:val="clear" w:color="auto" w:fill="CFF2FA"/>
          </w:tcPr>
          <w:p>
            <w:pPr>
              <w:spacing w:after="0"/>
              <w:rPr>
                <w:sz w:val="21"/>
                <w:szCs w:val="21"/>
                <w:color w:val="auto"/>
              </w:rPr>
            </w:pPr>
          </w:p>
        </w:tc>
        <w:tc>
          <w:tcPr>
            <w:tcW w:w="1360" w:type="dxa"/>
            <w:vAlign w:val="bottom"/>
            <w:gridSpan w:val="2"/>
            <w:shd w:val="clear" w:color="auto" w:fill="CFF2FA"/>
          </w:tcPr>
          <w:p>
            <w:pPr>
              <w:jc w:val="right"/>
              <w:ind w:right="120"/>
              <w:spacing w:after="0"/>
              <w:rPr>
                <w:sz w:val="20"/>
                <w:szCs w:val="20"/>
                <w:color w:val="auto"/>
              </w:rPr>
            </w:pPr>
            <w:r>
              <w:rPr>
                <w:rFonts w:ascii="Arial" w:cs="Arial" w:eastAsia="Arial" w:hAnsi="Arial"/>
                <w:sz w:val="20"/>
                <w:szCs w:val="20"/>
                <w:color w:val="auto"/>
              </w:rPr>
              <w:t>(54,774)</w:t>
            </w:r>
          </w:p>
        </w:tc>
        <w:tc>
          <w:tcPr>
            <w:tcW w:w="0" w:type="dxa"/>
            <w:vAlign w:val="bottom"/>
          </w:tcPr>
          <w:p>
            <w:pPr>
              <w:spacing w:after="0"/>
              <w:rPr>
                <w:sz w:val="1"/>
                <w:szCs w:val="1"/>
                <w:color w:val="auto"/>
              </w:rPr>
            </w:pPr>
          </w:p>
        </w:tc>
      </w:tr>
      <w:tr>
        <w:trPr>
          <w:trHeight w:val="277"/>
        </w:trPr>
        <w:tc>
          <w:tcPr>
            <w:tcW w:w="6800" w:type="dxa"/>
            <w:vAlign w:val="bottom"/>
            <w:tcBorders>
              <w:bottom w:val="single" w:sz="8" w:color="CFF2FA"/>
            </w:tcBorders>
          </w:tcPr>
          <w:p>
            <w:pPr>
              <w:spacing w:after="0"/>
              <w:rPr>
                <w:sz w:val="20"/>
                <w:szCs w:val="20"/>
                <w:color w:val="auto"/>
              </w:rPr>
            </w:pPr>
            <w:r>
              <w:rPr>
                <w:rFonts w:ascii="Arial" w:cs="Arial" w:eastAsia="Arial" w:hAnsi="Arial"/>
                <w:sz w:val="20"/>
                <w:szCs w:val="20"/>
                <w:color w:val="auto"/>
              </w:rPr>
              <w:t>Net sales</w:t>
            </w:r>
          </w:p>
        </w:tc>
        <w:tc>
          <w:tcPr>
            <w:tcW w:w="900" w:type="dxa"/>
            <w:vAlign w:val="bottom"/>
            <w:tcBorders>
              <w:bottom w:val="single" w:sz="8" w:color="CFF2FA"/>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791,684</w:t>
            </w:r>
          </w:p>
        </w:tc>
        <w:tc>
          <w:tcPr>
            <w:tcW w:w="380" w:type="dxa"/>
            <w:vAlign w:val="bottom"/>
            <w:tcBorders>
              <w:bottom w:val="single" w:sz="8" w:color="CFF2FA"/>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733,960</w:t>
            </w:r>
          </w:p>
        </w:tc>
        <w:tc>
          <w:tcPr>
            <w:tcW w:w="180" w:type="dxa"/>
            <w:vAlign w:val="bottom"/>
            <w:tcBorders>
              <w:bottom w:val="single" w:sz="8" w:color="CFF2FA"/>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800" w:type="dxa"/>
            <w:vAlign w:val="bottom"/>
            <w:shd w:val="clear" w:color="auto" w:fill="CFF2FA"/>
          </w:tcPr>
          <w:p>
            <w:pPr>
              <w:spacing w:after="0" w:line="224" w:lineRule="exact"/>
              <w:rPr>
                <w:sz w:val="20"/>
                <w:szCs w:val="20"/>
                <w:color w:val="auto"/>
              </w:rPr>
            </w:pPr>
            <w:r>
              <w:rPr>
                <w:rFonts w:ascii="Arial" w:cs="Arial" w:eastAsia="Arial" w:hAnsi="Arial"/>
                <w:sz w:val="20"/>
                <w:szCs w:val="20"/>
                <w:color w:val="auto"/>
              </w:rPr>
              <w:t>Gross margin excluding freight and delivery revenues</w:t>
            </w:r>
          </w:p>
        </w:tc>
        <w:tc>
          <w:tcPr>
            <w:tcW w:w="900" w:type="dxa"/>
            <w:vAlign w:val="bottom"/>
            <w:shd w:val="clear" w:color="auto" w:fill="CFF2FA"/>
          </w:tcPr>
          <w:p>
            <w:pPr>
              <w:spacing w:after="0"/>
              <w:rPr>
                <w:sz w:val="19"/>
                <w:szCs w:val="19"/>
                <w:color w:val="auto"/>
              </w:rPr>
            </w:pPr>
          </w:p>
        </w:tc>
        <w:tc>
          <w:tcPr>
            <w:tcW w:w="340" w:type="dxa"/>
            <w:vAlign w:val="bottom"/>
            <w:shd w:val="clear" w:color="auto" w:fill="CFF2FA"/>
          </w:tcPr>
          <w:p>
            <w:pPr>
              <w:spacing w:after="0"/>
              <w:rPr>
                <w:sz w:val="19"/>
                <w:szCs w:val="19"/>
                <w:color w:val="auto"/>
              </w:rPr>
            </w:pPr>
          </w:p>
        </w:tc>
        <w:tc>
          <w:tcPr>
            <w:tcW w:w="1620" w:type="dxa"/>
            <w:vAlign w:val="bottom"/>
            <w:gridSpan w:val="2"/>
            <w:shd w:val="clear" w:color="auto" w:fill="CFF2FA"/>
          </w:tcPr>
          <w:p>
            <w:pPr>
              <w:jc w:val="right"/>
              <w:ind w:right="200"/>
              <w:spacing w:after="0" w:line="224" w:lineRule="exact"/>
              <w:rPr>
                <w:sz w:val="20"/>
                <w:szCs w:val="20"/>
                <w:color w:val="auto"/>
              </w:rPr>
            </w:pPr>
            <w:r>
              <w:rPr>
                <w:rFonts w:ascii="Arial" w:cs="Arial" w:eastAsia="Arial" w:hAnsi="Arial"/>
                <w:sz w:val="20"/>
                <w:szCs w:val="20"/>
                <w:color w:val="auto"/>
              </w:rPr>
              <w:t>18.6%</w:t>
            </w:r>
          </w:p>
        </w:tc>
        <w:tc>
          <w:tcPr>
            <w:tcW w:w="40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19.8%</w:t>
            </w:r>
          </w:p>
        </w:tc>
        <w:tc>
          <w:tcPr>
            <w:tcW w:w="0" w:type="dxa"/>
            <w:vAlign w:val="bottom"/>
          </w:tcPr>
          <w:p>
            <w:pPr>
              <w:spacing w:after="0"/>
              <w:rPr>
                <w:sz w:val="1"/>
                <w:szCs w:val="1"/>
                <w:color w:val="auto"/>
              </w:rPr>
            </w:pPr>
          </w:p>
        </w:tc>
      </w:tr>
      <w:tr>
        <w:trPr>
          <w:trHeight w:val="20"/>
        </w:trPr>
        <w:tc>
          <w:tcPr>
            <w:tcW w:w="6800" w:type="dxa"/>
            <w:vAlign w:val="bottom"/>
            <w:tcBorders>
              <w:top w:val="single" w:sz="8" w:color="CFF2FA"/>
            </w:tcBorders>
          </w:tcPr>
          <w:p>
            <w:pPr>
              <w:spacing w:after="0" w:line="20" w:lineRule="exact"/>
              <w:rPr>
                <w:sz w:val="1"/>
                <w:szCs w:val="1"/>
                <w:color w:val="auto"/>
              </w:rPr>
            </w:pPr>
          </w:p>
        </w:tc>
        <w:tc>
          <w:tcPr>
            <w:tcW w:w="900" w:type="dxa"/>
            <w:vAlign w:val="bottom"/>
            <w:tcBorders>
              <w:top w:val="single" w:sz="8" w:color="CFF2FA"/>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2FA"/>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24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2017</w:t>
      </w:r>
    </w:p>
    <w:p>
      <w:pPr>
        <w:jc w:val="center"/>
        <w:spacing w:after="0"/>
        <w:rPr>
          <w:sz w:val="20"/>
          <w:szCs w:val="20"/>
          <w:color w:val="auto"/>
        </w:rPr>
      </w:pPr>
      <w:r>
        <w:rPr>
          <w:rFonts w:ascii="Arial" w:cs="Arial" w:eastAsia="Arial" w:hAnsi="Arial"/>
          <w:sz w:val="20"/>
          <w:szCs w:val="20"/>
          <w:color w:val="auto"/>
        </w:rPr>
        <w:t>(Continued)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00" w:type="dxa"/>
            <w:vAlign w:val="bottom"/>
          </w:tcPr>
          <w:p>
            <w:pPr>
              <w:spacing w:after="0"/>
              <w:rPr>
                <w:sz w:val="20"/>
                <w:szCs w:val="20"/>
                <w:color w:val="auto"/>
              </w:rPr>
            </w:pPr>
            <w:r>
              <w:rPr>
                <w:rFonts w:ascii="Arial" w:cs="Arial" w:eastAsia="Arial" w:hAnsi="Arial"/>
                <w:sz w:val="20"/>
                <w:szCs w:val="20"/>
                <w:b w:val="1"/>
                <w:bCs w:val="1"/>
                <w:color w:val="auto"/>
              </w:rPr>
              <w:t>Consolidated Operating Margin in Accordance with GAAP</w:t>
            </w: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380" w:type="dxa"/>
            <w:vAlign w:val="bottom"/>
            <w:gridSpan w:val="5"/>
            <w:vMerge w:val="restart"/>
          </w:tcPr>
          <w:p>
            <w:pPr>
              <w:jc w:val="center"/>
              <w:ind w:right="54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36"/>
        </w:trPr>
        <w:tc>
          <w:tcPr>
            <w:tcW w:w="7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8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20"/>
                <w:szCs w:val="20"/>
                <w:color w:val="auto"/>
                <w:w w:val="89"/>
              </w:rPr>
              <w:t>March 31,</w:t>
            </w:r>
          </w:p>
        </w:tc>
        <w:tc>
          <w:tcPr>
            <w:tcW w:w="11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4"/>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20"/>
                <w:szCs w:val="20"/>
                <w:color w:val="auto"/>
              </w:rPr>
              <w:t>Earnings from operations</w:t>
            </w:r>
          </w:p>
        </w:tc>
        <w:tc>
          <w:tcPr>
            <w:tcW w:w="700" w:type="dxa"/>
            <w:vAlign w:val="bottom"/>
            <w:tcBorders>
              <w:bottom w:val="single" w:sz="8" w:color="CFF2FA"/>
            </w:tcBorders>
            <w:shd w:val="clear" w:color="auto" w:fill="CFF2FA"/>
          </w:tcPr>
          <w:p>
            <w:pPr>
              <w:spacing w:after="0"/>
              <w:rPr>
                <w:sz w:val="21"/>
                <w:szCs w:val="21"/>
                <w:color w:val="auto"/>
              </w:rPr>
            </w:pPr>
          </w:p>
        </w:tc>
        <w:tc>
          <w:tcPr>
            <w:tcW w:w="340" w:type="dxa"/>
            <w:vAlign w:val="bottom"/>
            <w:tcBorders>
              <w:bottom w:val="single" w:sz="8" w:color="auto"/>
            </w:tcBorders>
            <w:shd w:val="clear" w:color="auto" w:fill="CFF2FA"/>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77,150</w:t>
            </w:r>
          </w:p>
        </w:tc>
        <w:tc>
          <w:tcPr>
            <w:tcW w:w="380" w:type="dxa"/>
            <w:vAlign w:val="bottom"/>
            <w:tcBorders>
              <w:bottom w:val="single" w:sz="8" w:color="CFF2FA"/>
            </w:tcBorders>
            <w:shd w:val="clear" w:color="auto" w:fill="CFF2FA"/>
          </w:tcPr>
          <w:p>
            <w:pPr>
              <w:spacing w:after="0"/>
              <w:rPr>
                <w:sz w:val="21"/>
                <w:szCs w:val="21"/>
                <w:color w:val="auto"/>
              </w:rPr>
            </w:pPr>
          </w:p>
        </w:tc>
        <w:tc>
          <w:tcPr>
            <w:tcW w:w="400" w:type="dxa"/>
            <w:vAlign w:val="bottom"/>
            <w:tcBorders>
              <w:bottom w:val="single" w:sz="8" w:color="auto"/>
            </w:tcBorders>
            <w:shd w:val="clear" w:color="auto" w:fill="CFF2FA"/>
          </w:tcPr>
          <w:p>
            <w:pPr>
              <w:jc w:val="right"/>
              <w:ind w:right="24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86,023</w:t>
            </w:r>
          </w:p>
        </w:tc>
        <w:tc>
          <w:tcPr>
            <w:tcW w:w="180" w:type="dxa"/>
            <w:vAlign w:val="bottom"/>
            <w:tcBorders>
              <w:bottom w:val="single" w:sz="8" w:color="CFF2FA"/>
            </w:tcBorders>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20"/>
                <w:szCs w:val="20"/>
                <w:color w:val="auto"/>
              </w:rPr>
              <w:t>Total revenues</w:t>
            </w: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0" w:type="dxa"/>
            <w:vAlign w:val="bottom"/>
            <w:tcBorders>
              <w:bottom w:val="single" w:sz="8" w:color="CFF2FA"/>
            </w:tcBorders>
            <w:vMerge w:val="continue"/>
          </w:tcPr>
          <w:p>
            <w:pPr>
              <w:spacing w:after="0"/>
              <w:rPr>
                <w:sz w:val="22"/>
                <w:szCs w:val="22"/>
                <w:color w:val="auto"/>
              </w:rPr>
            </w:pPr>
          </w:p>
        </w:tc>
        <w:tc>
          <w:tcPr>
            <w:tcW w:w="700" w:type="dxa"/>
            <w:vAlign w:val="bottom"/>
            <w:tcBorders>
              <w:bottom w:val="single" w:sz="8" w:color="CFF2FA"/>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41"/>
              <w:spacing w:after="0" w:line="224" w:lineRule="exact"/>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843,859</w:t>
            </w:r>
          </w:p>
        </w:tc>
        <w:tc>
          <w:tcPr>
            <w:tcW w:w="380" w:type="dxa"/>
            <w:vAlign w:val="bottom"/>
            <w:tcBorders>
              <w:bottom w:val="single" w:sz="8" w:color="CFF2FA"/>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788,734</w:t>
            </w:r>
          </w:p>
        </w:tc>
        <w:tc>
          <w:tcPr>
            <w:tcW w:w="18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000" w:type="dxa"/>
            <w:vAlign w:val="bottom"/>
            <w:shd w:val="clear" w:color="auto" w:fill="CFF2FA"/>
          </w:tcPr>
          <w:p>
            <w:pPr>
              <w:spacing w:after="0" w:line="224" w:lineRule="exact"/>
              <w:rPr>
                <w:sz w:val="20"/>
                <w:szCs w:val="20"/>
                <w:color w:val="auto"/>
              </w:rPr>
            </w:pPr>
            <w:r>
              <w:rPr>
                <w:rFonts w:ascii="Arial" w:cs="Arial" w:eastAsia="Arial" w:hAnsi="Arial"/>
                <w:sz w:val="20"/>
                <w:szCs w:val="20"/>
                <w:color w:val="auto"/>
              </w:rPr>
              <w:t>Operating margin</w:t>
            </w:r>
          </w:p>
        </w:tc>
        <w:tc>
          <w:tcPr>
            <w:tcW w:w="700" w:type="dxa"/>
            <w:vAlign w:val="bottom"/>
            <w:shd w:val="clear" w:color="auto" w:fill="CFF2FA"/>
          </w:tcPr>
          <w:p>
            <w:pPr>
              <w:spacing w:after="0"/>
              <w:rPr>
                <w:sz w:val="19"/>
                <w:szCs w:val="19"/>
                <w:color w:val="auto"/>
              </w:rPr>
            </w:pPr>
          </w:p>
        </w:tc>
        <w:tc>
          <w:tcPr>
            <w:tcW w:w="340" w:type="dxa"/>
            <w:vAlign w:val="bottom"/>
            <w:shd w:val="clear" w:color="auto" w:fill="CFF2FA"/>
          </w:tcPr>
          <w:p>
            <w:pPr>
              <w:spacing w:after="0"/>
              <w:rPr>
                <w:sz w:val="19"/>
                <w:szCs w:val="19"/>
                <w:color w:val="auto"/>
              </w:rPr>
            </w:pPr>
          </w:p>
        </w:tc>
        <w:tc>
          <w:tcPr>
            <w:tcW w:w="1620" w:type="dxa"/>
            <w:vAlign w:val="bottom"/>
            <w:gridSpan w:val="2"/>
            <w:shd w:val="clear" w:color="auto" w:fill="CFF2FA"/>
          </w:tcPr>
          <w:p>
            <w:pPr>
              <w:jc w:val="right"/>
              <w:ind w:right="200"/>
              <w:spacing w:after="0" w:line="224" w:lineRule="exact"/>
              <w:rPr>
                <w:sz w:val="20"/>
                <w:szCs w:val="20"/>
                <w:color w:val="auto"/>
              </w:rPr>
            </w:pPr>
            <w:r>
              <w:rPr>
                <w:rFonts w:ascii="Arial" w:cs="Arial" w:eastAsia="Arial" w:hAnsi="Arial"/>
                <w:sz w:val="20"/>
                <w:szCs w:val="20"/>
                <w:color w:val="auto"/>
              </w:rPr>
              <w:t>9.1%</w:t>
            </w:r>
          </w:p>
        </w:tc>
        <w:tc>
          <w:tcPr>
            <w:tcW w:w="40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10.9%</w:t>
            </w:r>
          </w:p>
        </w:tc>
        <w:tc>
          <w:tcPr>
            <w:tcW w:w="0" w:type="dxa"/>
            <w:vAlign w:val="bottom"/>
          </w:tcPr>
          <w:p>
            <w:pPr>
              <w:spacing w:after="0"/>
              <w:rPr>
                <w:sz w:val="1"/>
                <w:szCs w:val="1"/>
                <w:color w:val="auto"/>
              </w:rPr>
            </w:pPr>
          </w:p>
        </w:tc>
      </w:tr>
      <w:tr>
        <w:trPr>
          <w:trHeight w:val="20"/>
        </w:trPr>
        <w:tc>
          <w:tcPr>
            <w:tcW w:w="700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20"/>
                <w:szCs w:val="20"/>
                <w:b w:val="1"/>
                <w:bCs w:val="1"/>
                <w:color w:val="auto"/>
              </w:rPr>
              <w:t>Consolidated Operating Margin Excluding Freight and Delivery Revenues</w:t>
            </w:r>
          </w:p>
        </w:tc>
        <w:tc>
          <w:tcPr>
            <w:tcW w:w="700" w:type="dxa"/>
            <w:vAlign w:val="bottom"/>
            <w:tcBorders>
              <w:top w:val="single" w:sz="8" w:color="CFF2FA"/>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2FA"/>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70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gridSpan w:val="5"/>
            <w:vMerge w:val="restart"/>
          </w:tcPr>
          <w:p>
            <w:pPr>
              <w:jc w:val="center"/>
              <w:ind w:right="540"/>
              <w:spacing w:after="0"/>
              <w:rPr>
                <w:sz w:val="20"/>
                <w:szCs w:val="20"/>
                <w:color w:val="auto"/>
              </w:rPr>
            </w:pPr>
            <w:r>
              <w:rPr>
                <w:rFonts w:ascii="Arial" w:cs="Arial" w:eastAsia="Arial" w:hAnsi="Arial"/>
                <w:sz w:val="20"/>
                <w:szCs w:val="20"/>
                <w:color w:val="auto"/>
                <w:w w:val="89"/>
              </w:rPr>
              <w:t>Three Months Ended</w:t>
            </w:r>
          </w:p>
        </w:tc>
        <w:tc>
          <w:tcPr>
            <w:tcW w:w="0" w:type="dxa"/>
            <w:vAlign w:val="bottom"/>
          </w:tcPr>
          <w:p>
            <w:pPr>
              <w:spacing w:after="0"/>
              <w:rPr>
                <w:sz w:val="1"/>
                <w:szCs w:val="1"/>
                <w:color w:val="auto"/>
              </w:rPr>
            </w:pPr>
          </w:p>
        </w:tc>
      </w:tr>
      <w:tr>
        <w:trPr>
          <w:trHeight w:val="236"/>
        </w:trPr>
        <w:tc>
          <w:tcPr>
            <w:tcW w:w="7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8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20"/>
                <w:szCs w:val="20"/>
                <w:color w:val="auto"/>
                <w:w w:val="89"/>
              </w:rPr>
              <w:t>March 31,</w:t>
            </w:r>
          </w:p>
        </w:tc>
        <w:tc>
          <w:tcPr>
            <w:tcW w:w="11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4"/>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20"/>
                <w:szCs w:val="20"/>
                <w:color w:val="auto"/>
              </w:rPr>
              <w:t>Earnings from operations</w:t>
            </w:r>
          </w:p>
        </w:tc>
        <w:tc>
          <w:tcPr>
            <w:tcW w:w="700" w:type="dxa"/>
            <w:vAlign w:val="bottom"/>
            <w:tcBorders>
              <w:bottom w:val="single" w:sz="8" w:color="CFF2FA"/>
            </w:tcBorders>
            <w:shd w:val="clear" w:color="auto" w:fill="CFF2FA"/>
          </w:tcPr>
          <w:p>
            <w:pPr>
              <w:spacing w:after="0"/>
              <w:rPr>
                <w:sz w:val="21"/>
                <w:szCs w:val="21"/>
                <w:color w:val="auto"/>
              </w:rPr>
            </w:pPr>
          </w:p>
        </w:tc>
        <w:tc>
          <w:tcPr>
            <w:tcW w:w="340" w:type="dxa"/>
            <w:vAlign w:val="bottom"/>
            <w:tcBorders>
              <w:bottom w:val="single" w:sz="8" w:color="auto"/>
            </w:tcBorders>
            <w:shd w:val="clear" w:color="auto" w:fill="CFF2FA"/>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77,150</w:t>
            </w:r>
          </w:p>
        </w:tc>
        <w:tc>
          <w:tcPr>
            <w:tcW w:w="380" w:type="dxa"/>
            <w:vAlign w:val="bottom"/>
            <w:tcBorders>
              <w:bottom w:val="single" w:sz="8" w:color="CFF2FA"/>
            </w:tcBorders>
            <w:shd w:val="clear" w:color="auto" w:fill="CFF2FA"/>
          </w:tcPr>
          <w:p>
            <w:pPr>
              <w:spacing w:after="0"/>
              <w:rPr>
                <w:sz w:val="21"/>
                <w:szCs w:val="21"/>
                <w:color w:val="auto"/>
              </w:rPr>
            </w:pPr>
          </w:p>
        </w:tc>
        <w:tc>
          <w:tcPr>
            <w:tcW w:w="400" w:type="dxa"/>
            <w:vAlign w:val="bottom"/>
            <w:tcBorders>
              <w:bottom w:val="single" w:sz="8" w:color="auto"/>
            </w:tcBorders>
            <w:shd w:val="clear" w:color="auto" w:fill="CFF2FA"/>
          </w:tcPr>
          <w:p>
            <w:pPr>
              <w:jc w:val="right"/>
              <w:ind w:right="24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86,023</w:t>
            </w:r>
          </w:p>
        </w:tc>
        <w:tc>
          <w:tcPr>
            <w:tcW w:w="180" w:type="dxa"/>
            <w:vAlign w:val="bottom"/>
            <w:tcBorders>
              <w:bottom w:val="single" w:sz="8" w:color="CFF2FA"/>
            </w:tcBorders>
            <w:shd w:val="clear" w:color="auto" w:fill="CFF2F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20"/>
                <w:szCs w:val="20"/>
                <w:color w:val="auto"/>
              </w:rPr>
              <w:t>Total revenues</w:t>
            </w: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0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Borders>
              <w:top w:val="single" w:sz="8" w:color="auto"/>
            </w:tcBorders>
          </w:tcPr>
          <w:p>
            <w:pPr>
              <w:jc w:val="right"/>
              <w:ind w:right="141"/>
              <w:spacing w:after="0" w:line="224" w:lineRule="exact"/>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843,859</w:t>
            </w:r>
          </w:p>
        </w:tc>
        <w:tc>
          <w:tcPr>
            <w:tcW w:w="380" w:type="dxa"/>
            <w:vAlign w:val="bottom"/>
          </w:tcPr>
          <w:p>
            <w:pPr>
              <w:spacing w:after="0"/>
              <w:rPr>
                <w:sz w:val="19"/>
                <w:szCs w:val="19"/>
                <w:color w:val="auto"/>
              </w:rPr>
            </w:pPr>
          </w:p>
        </w:tc>
        <w:tc>
          <w:tcPr>
            <w:tcW w:w="400" w:type="dxa"/>
            <w:vAlign w:val="bottom"/>
            <w:tcBorders>
              <w:top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788,734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00" w:type="dxa"/>
            <w:vAlign w:val="bottom"/>
            <w:shd w:val="clear" w:color="auto" w:fill="CFF2FA"/>
          </w:tcPr>
          <w:p>
            <w:pPr>
              <w:spacing w:after="0"/>
              <w:rPr>
                <w:sz w:val="20"/>
                <w:szCs w:val="20"/>
                <w:color w:val="auto"/>
              </w:rPr>
            </w:pPr>
            <w:r>
              <w:rPr>
                <w:rFonts w:ascii="Arial" w:cs="Arial" w:eastAsia="Arial" w:hAnsi="Arial"/>
                <w:sz w:val="20"/>
                <w:szCs w:val="20"/>
                <w:color w:val="auto"/>
              </w:rPr>
              <w:t>Less: Freight and delivery revenues</w:t>
            </w:r>
          </w:p>
        </w:tc>
        <w:tc>
          <w:tcPr>
            <w:tcW w:w="700" w:type="dxa"/>
            <w:vAlign w:val="bottom"/>
            <w:shd w:val="clear" w:color="auto" w:fill="CFF2FA"/>
          </w:tcPr>
          <w:p>
            <w:pPr>
              <w:spacing w:after="0"/>
              <w:rPr>
                <w:sz w:val="21"/>
                <w:szCs w:val="21"/>
                <w:color w:val="auto"/>
              </w:rPr>
            </w:pPr>
          </w:p>
        </w:tc>
        <w:tc>
          <w:tcPr>
            <w:tcW w:w="340" w:type="dxa"/>
            <w:vAlign w:val="bottom"/>
            <w:shd w:val="clear" w:color="auto" w:fill="CFF2FA"/>
          </w:tcPr>
          <w:p>
            <w:pPr>
              <w:spacing w:after="0"/>
              <w:rPr>
                <w:sz w:val="21"/>
                <w:szCs w:val="21"/>
                <w:color w:val="auto"/>
              </w:rPr>
            </w:pPr>
          </w:p>
        </w:tc>
        <w:tc>
          <w:tcPr>
            <w:tcW w:w="1620" w:type="dxa"/>
            <w:vAlign w:val="bottom"/>
            <w:gridSpan w:val="2"/>
            <w:shd w:val="clear" w:color="auto" w:fill="CFF2FA"/>
          </w:tcPr>
          <w:p>
            <w:pPr>
              <w:jc w:val="right"/>
              <w:ind w:right="300"/>
              <w:spacing w:after="0"/>
              <w:rPr>
                <w:sz w:val="20"/>
                <w:szCs w:val="20"/>
                <w:color w:val="auto"/>
              </w:rPr>
            </w:pPr>
            <w:r>
              <w:rPr>
                <w:rFonts w:ascii="Arial" w:cs="Arial" w:eastAsia="Arial" w:hAnsi="Arial"/>
                <w:sz w:val="20"/>
                <w:szCs w:val="20"/>
                <w:color w:val="auto"/>
              </w:rPr>
              <w:t>(52,175)</w:t>
            </w:r>
          </w:p>
        </w:tc>
        <w:tc>
          <w:tcPr>
            <w:tcW w:w="400" w:type="dxa"/>
            <w:vAlign w:val="bottom"/>
            <w:shd w:val="clear" w:color="auto" w:fill="CFF2FA"/>
          </w:tcPr>
          <w:p>
            <w:pPr>
              <w:spacing w:after="0"/>
              <w:rPr>
                <w:sz w:val="21"/>
                <w:szCs w:val="21"/>
                <w:color w:val="auto"/>
              </w:rPr>
            </w:pPr>
          </w:p>
        </w:tc>
        <w:tc>
          <w:tcPr>
            <w:tcW w:w="1360" w:type="dxa"/>
            <w:vAlign w:val="bottom"/>
            <w:gridSpan w:val="2"/>
            <w:shd w:val="clear" w:color="auto" w:fill="CFF2FA"/>
          </w:tcPr>
          <w:p>
            <w:pPr>
              <w:jc w:val="right"/>
              <w:ind w:right="120"/>
              <w:spacing w:after="0"/>
              <w:rPr>
                <w:sz w:val="20"/>
                <w:szCs w:val="20"/>
                <w:color w:val="auto"/>
              </w:rPr>
            </w:pPr>
            <w:r>
              <w:rPr>
                <w:rFonts w:ascii="Arial" w:cs="Arial" w:eastAsia="Arial" w:hAnsi="Arial"/>
                <w:sz w:val="20"/>
                <w:szCs w:val="20"/>
                <w:color w:val="auto"/>
              </w:rPr>
              <w:t>(54,774)</w:t>
            </w:r>
          </w:p>
        </w:tc>
        <w:tc>
          <w:tcPr>
            <w:tcW w:w="0" w:type="dxa"/>
            <w:vAlign w:val="bottom"/>
          </w:tcPr>
          <w:p>
            <w:pPr>
              <w:spacing w:after="0"/>
              <w:rPr>
                <w:sz w:val="1"/>
                <w:szCs w:val="1"/>
                <w:color w:val="auto"/>
              </w:rPr>
            </w:pPr>
          </w:p>
        </w:tc>
      </w:tr>
      <w:tr>
        <w:trPr>
          <w:trHeight w:val="277"/>
        </w:trPr>
        <w:tc>
          <w:tcPr>
            <w:tcW w:w="7000" w:type="dxa"/>
            <w:vAlign w:val="bottom"/>
            <w:tcBorders>
              <w:bottom w:val="single" w:sz="8" w:color="CFF2FA"/>
            </w:tcBorders>
          </w:tcPr>
          <w:p>
            <w:pPr>
              <w:spacing w:after="0"/>
              <w:rPr>
                <w:sz w:val="20"/>
                <w:szCs w:val="20"/>
                <w:color w:val="auto"/>
              </w:rPr>
            </w:pPr>
            <w:r>
              <w:rPr>
                <w:rFonts w:ascii="Arial" w:cs="Arial" w:eastAsia="Arial" w:hAnsi="Arial"/>
                <w:sz w:val="20"/>
                <w:szCs w:val="20"/>
                <w:color w:val="auto"/>
              </w:rPr>
              <w:t>Net sales</w:t>
            </w:r>
          </w:p>
        </w:tc>
        <w:tc>
          <w:tcPr>
            <w:tcW w:w="700" w:type="dxa"/>
            <w:vAlign w:val="bottom"/>
            <w:tcBorders>
              <w:bottom w:val="single" w:sz="8" w:color="CFF2FA"/>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791,684</w:t>
            </w:r>
          </w:p>
        </w:tc>
        <w:tc>
          <w:tcPr>
            <w:tcW w:w="380" w:type="dxa"/>
            <w:vAlign w:val="bottom"/>
            <w:tcBorders>
              <w:bottom w:val="single" w:sz="8" w:color="CFF2FA"/>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733,960</w:t>
            </w:r>
          </w:p>
        </w:tc>
        <w:tc>
          <w:tcPr>
            <w:tcW w:w="180" w:type="dxa"/>
            <w:vAlign w:val="bottom"/>
            <w:tcBorders>
              <w:bottom w:val="single" w:sz="8" w:color="CFF2FA"/>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0" w:type="dxa"/>
            <w:vAlign w:val="bottom"/>
            <w:shd w:val="clear" w:color="auto" w:fill="CFF2FA"/>
          </w:tcPr>
          <w:p>
            <w:pPr>
              <w:spacing w:after="0" w:line="224" w:lineRule="exact"/>
              <w:rPr>
                <w:sz w:val="20"/>
                <w:szCs w:val="20"/>
                <w:color w:val="auto"/>
              </w:rPr>
            </w:pPr>
            <w:r>
              <w:rPr>
                <w:rFonts w:ascii="Arial" w:cs="Arial" w:eastAsia="Arial" w:hAnsi="Arial"/>
                <w:sz w:val="20"/>
                <w:szCs w:val="20"/>
                <w:color w:val="auto"/>
              </w:rPr>
              <w:t>Operating margin excluding freight and delivery revenues</w:t>
            </w:r>
          </w:p>
        </w:tc>
        <w:tc>
          <w:tcPr>
            <w:tcW w:w="700" w:type="dxa"/>
            <w:vAlign w:val="bottom"/>
            <w:shd w:val="clear" w:color="auto" w:fill="CFF2FA"/>
          </w:tcPr>
          <w:p>
            <w:pPr>
              <w:spacing w:after="0"/>
              <w:rPr>
                <w:sz w:val="19"/>
                <w:szCs w:val="19"/>
                <w:color w:val="auto"/>
              </w:rPr>
            </w:pPr>
          </w:p>
        </w:tc>
        <w:tc>
          <w:tcPr>
            <w:tcW w:w="340" w:type="dxa"/>
            <w:vAlign w:val="bottom"/>
            <w:shd w:val="clear" w:color="auto" w:fill="CFF2FA"/>
          </w:tcPr>
          <w:p>
            <w:pPr>
              <w:spacing w:after="0"/>
              <w:rPr>
                <w:sz w:val="19"/>
                <w:szCs w:val="19"/>
                <w:color w:val="auto"/>
              </w:rPr>
            </w:pPr>
          </w:p>
        </w:tc>
        <w:tc>
          <w:tcPr>
            <w:tcW w:w="1620" w:type="dxa"/>
            <w:vAlign w:val="bottom"/>
            <w:gridSpan w:val="2"/>
            <w:shd w:val="clear" w:color="auto" w:fill="CFF2FA"/>
          </w:tcPr>
          <w:p>
            <w:pPr>
              <w:jc w:val="right"/>
              <w:ind w:right="200"/>
              <w:spacing w:after="0" w:line="224" w:lineRule="exact"/>
              <w:rPr>
                <w:sz w:val="20"/>
                <w:szCs w:val="20"/>
                <w:color w:val="auto"/>
              </w:rPr>
            </w:pPr>
            <w:r>
              <w:rPr>
                <w:rFonts w:ascii="Arial" w:cs="Arial" w:eastAsia="Arial" w:hAnsi="Arial"/>
                <w:sz w:val="20"/>
                <w:szCs w:val="20"/>
                <w:color w:val="auto"/>
              </w:rPr>
              <w:t>9.7%</w:t>
            </w:r>
          </w:p>
        </w:tc>
        <w:tc>
          <w:tcPr>
            <w:tcW w:w="40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20"/>
              <w:spacing w:after="0" w:line="224" w:lineRule="exact"/>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20"/>
        </w:trPr>
        <w:tc>
          <w:tcPr>
            <w:tcW w:w="7000" w:type="dxa"/>
            <w:vAlign w:val="bottom"/>
            <w:tcBorders>
              <w:top w:val="single" w:sz="8" w:color="CFF2FA"/>
            </w:tcBorders>
          </w:tcPr>
          <w:p>
            <w:pPr>
              <w:spacing w:after="0" w:line="20" w:lineRule="exact"/>
              <w:rPr>
                <w:sz w:val="1"/>
                <w:szCs w:val="1"/>
                <w:color w:val="auto"/>
              </w:rPr>
            </w:pPr>
          </w:p>
        </w:tc>
        <w:tc>
          <w:tcPr>
            <w:tcW w:w="700" w:type="dxa"/>
            <w:vAlign w:val="bottom"/>
            <w:tcBorders>
              <w:top w:val="single" w:sz="8" w:color="CFF2FA"/>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2FA"/>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Earnings before interest, income taxes, depreciation, depletion and amortization (EBITDA) is a widely accepted financial indicator of a company’s ability to service and/or incur indebtedness. EBITDA is not defined by generally accepted accounting principles and, as such, should not be construed as an alternative to net earnings, operating earnings or operating cash flow. However, the Corporation’s management believes that EBITDA may provide additional information with respect to the Corporation’s performance or ability to meet its future debt service, capital expenditures or working capital requirements. Because EBITDA exclude some, but not all, items that affect net earnings and may vary among companies, the EBITDA presented by the Corporation may not be comparable to similarly titled measures of other companies.</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net earnings attributable to Martin Marietta Materials, Inc. to consolidated EBITDA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00" w:type="dxa"/>
            <w:vAlign w:val="bottom"/>
            <w:gridSpan w:val="5"/>
          </w:tcPr>
          <w:p>
            <w:pPr>
              <w:ind w:left="220"/>
              <w:spacing w:after="0"/>
              <w:rPr>
                <w:sz w:val="20"/>
                <w:szCs w:val="20"/>
                <w:color w:val="auto"/>
              </w:rPr>
            </w:pPr>
            <w:r>
              <w:rPr>
                <w:rFonts w:ascii="Arial" w:cs="Arial" w:eastAsia="Arial" w:hAnsi="Arial"/>
                <w:sz w:val="20"/>
                <w:szCs w:val="20"/>
                <w:color w:val="auto"/>
              </w:rPr>
              <w:t>Three Months Ended</w:t>
            </w:r>
          </w:p>
        </w:tc>
      </w:tr>
      <w:tr>
        <w:trPr>
          <w:trHeight w:val="246"/>
        </w:trPr>
        <w:tc>
          <w:tcPr>
            <w:tcW w:w="86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March 31,</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2017</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2016</w:t>
            </w:r>
          </w:p>
        </w:tc>
        <w:tc>
          <w:tcPr>
            <w:tcW w:w="100" w:type="dxa"/>
            <w:vAlign w:val="bottom"/>
          </w:tcPr>
          <w:p>
            <w:pPr>
              <w:spacing w:after="0"/>
              <w:rPr>
                <w:sz w:val="20"/>
                <w:szCs w:val="20"/>
                <w:color w:val="auto"/>
              </w:rPr>
            </w:pPr>
          </w:p>
        </w:tc>
      </w:tr>
      <w:tr>
        <w:trPr>
          <w:trHeight w:val="237"/>
        </w:trPr>
        <w:tc>
          <w:tcPr>
            <w:tcW w:w="8660" w:type="dxa"/>
            <w:vAlign w:val="bottom"/>
          </w:tcPr>
          <w:p>
            <w:pPr>
              <w:spacing w:after="0"/>
              <w:rPr>
                <w:sz w:val="20"/>
                <w:szCs w:val="20"/>
                <w:color w:val="auto"/>
              </w:rPr>
            </w:pPr>
            <w:r>
              <w:rPr>
                <w:rFonts w:ascii="Arial" w:cs="Arial" w:eastAsia="Arial" w:hAnsi="Arial"/>
                <w:sz w:val="20"/>
                <w:szCs w:val="20"/>
                <w:color w:val="auto"/>
              </w:rPr>
              <w:t>Net Earnings Attributable to Martin Marietta Materials, Inc.</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42,334</w:t>
            </w:r>
          </w:p>
        </w:tc>
        <w:tc>
          <w:tcPr>
            <w:tcW w:w="300" w:type="dxa"/>
            <w:vAlign w:val="bottom"/>
          </w:tcPr>
          <w:p>
            <w:pPr>
              <w:spacing w:after="0"/>
              <w:rPr>
                <w:sz w:val="20"/>
                <w:szCs w:val="20"/>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44,994</w:t>
            </w:r>
          </w:p>
        </w:tc>
        <w:tc>
          <w:tcPr>
            <w:tcW w:w="100" w:type="dxa"/>
            <w:vAlign w:val="bottom"/>
          </w:tcPr>
          <w:p>
            <w:pPr>
              <w:spacing w:after="0"/>
              <w:rPr>
                <w:sz w:val="20"/>
                <w:szCs w:val="20"/>
                <w:color w:val="auto"/>
              </w:rPr>
            </w:pPr>
          </w:p>
        </w:tc>
      </w:tr>
      <w:tr>
        <w:trPr>
          <w:trHeight w:val="243"/>
        </w:trPr>
        <w:tc>
          <w:tcPr>
            <w:tcW w:w="8660" w:type="dxa"/>
            <w:vAlign w:val="bottom"/>
            <w:shd w:val="clear" w:color="auto" w:fill="CFF0FC"/>
          </w:tcPr>
          <w:p>
            <w:pPr>
              <w:spacing w:after="0"/>
              <w:rPr>
                <w:sz w:val="20"/>
                <w:szCs w:val="20"/>
                <w:color w:val="auto"/>
              </w:rPr>
            </w:pPr>
            <w:r>
              <w:rPr>
                <w:rFonts w:ascii="Arial" w:cs="Arial" w:eastAsia="Arial" w:hAnsi="Arial"/>
                <w:sz w:val="20"/>
                <w:szCs w:val="20"/>
                <w:color w:val="auto"/>
              </w:rPr>
              <w:t>Add back:</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8660" w:type="dxa"/>
            <w:vAlign w:val="bottom"/>
          </w:tcPr>
          <w:p>
            <w:pPr>
              <w:ind w:left="260"/>
              <w:spacing w:after="0"/>
              <w:rPr>
                <w:sz w:val="20"/>
                <w:szCs w:val="20"/>
                <w:color w:val="auto"/>
              </w:rPr>
            </w:pPr>
            <w:r>
              <w:rPr>
                <w:rFonts w:ascii="Arial" w:cs="Arial" w:eastAsia="Arial" w:hAnsi="Arial"/>
                <w:sz w:val="20"/>
                <w:szCs w:val="20"/>
                <w:color w:val="auto"/>
              </w:rPr>
              <w:t>Interest expense</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20,851</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20,034</w:t>
            </w:r>
          </w:p>
        </w:tc>
        <w:tc>
          <w:tcPr>
            <w:tcW w:w="100" w:type="dxa"/>
            <w:vAlign w:val="bottom"/>
          </w:tcPr>
          <w:p>
            <w:pPr>
              <w:spacing w:after="0"/>
              <w:rPr>
                <w:sz w:val="21"/>
                <w:szCs w:val="21"/>
                <w:color w:val="auto"/>
              </w:rPr>
            </w:pPr>
          </w:p>
        </w:tc>
      </w:tr>
      <w:tr>
        <w:trPr>
          <w:trHeight w:val="243"/>
        </w:trPr>
        <w:tc>
          <w:tcPr>
            <w:tcW w:w="86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Income tax expense for controlling interests</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14,522</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19,667</w:t>
            </w:r>
          </w:p>
        </w:tc>
        <w:tc>
          <w:tcPr>
            <w:tcW w:w="100" w:type="dxa"/>
            <w:vAlign w:val="bottom"/>
            <w:shd w:val="clear" w:color="auto" w:fill="CFF0FC"/>
          </w:tcPr>
          <w:p>
            <w:pPr>
              <w:spacing w:after="0"/>
              <w:rPr>
                <w:sz w:val="21"/>
                <w:szCs w:val="21"/>
                <w:color w:val="auto"/>
              </w:rPr>
            </w:pPr>
          </w:p>
        </w:tc>
      </w:tr>
      <w:tr>
        <w:trPr>
          <w:trHeight w:val="243"/>
        </w:trPr>
        <w:tc>
          <w:tcPr>
            <w:tcW w:w="866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Depreciation, depletion and amortization expense</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70,007</w:t>
            </w:r>
          </w:p>
        </w:tc>
        <w:tc>
          <w:tcPr>
            <w:tcW w:w="3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67,926</w:t>
            </w:r>
          </w:p>
        </w:tc>
        <w:tc>
          <w:tcPr>
            <w:tcW w:w="100" w:type="dxa"/>
            <w:vAlign w:val="bottom"/>
            <w:tcBorders>
              <w:bottom w:val="single" w:sz="8" w:color="CFF0FC"/>
            </w:tcBorders>
          </w:tcPr>
          <w:p>
            <w:pPr>
              <w:spacing w:after="0"/>
              <w:rPr>
                <w:sz w:val="21"/>
                <w:szCs w:val="21"/>
                <w:color w:val="auto"/>
              </w:rPr>
            </w:pPr>
          </w:p>
        </w:tc>
      </w:tr>
      <w:tr>
        <w:trPr>
          <w:trHeight w:val="237"/>
        </w:trPr>
        <w:tc>
          <w:tcPr>
            <w:tcW w:w="8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Consolidated EBITDA</w:t>
            </w:r>
          </w:p>
        </w:tc>
        <w:tc>
          <w:tcPr>
            <w:tcW w:w="26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147,714</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152,621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8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25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2017</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Significant items for the quarter ended March 31, 2017 (unless noted, all comparisons are versus the prior-year quarter):</w:t>
      </w:r>
    </w:p>
    <w:p>
      <w:pPr>
        <w:spacing w:after="0" w:line="54" w:lineRule="exact"/>
        <w:rPr>
          <w:sz w:val="20"/>
          <w:szCs w:val="20"/>
          <w:color w:val="auto"/>
        </w:rPr>
      </w:pPr>
    </w:p>
    <w:p>
      <w:pPr>
        <w:ind w:left="760" w:hanging="374"/>
        <w:spacing w:after="0"/>
        <w:tabs>
          <w:tab w:leader="none" w:pos="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Record consolidated net sales of $791.7 million increased 7.9% compared with $734.0 million</w:t>
      </w:r>
    </w:p>
    <w:p>
      <w:pPr>
        <w:spacing w:after="0" w:line="53" w:lineRule="exact"/>
        <w:rPr>
          <w:rFonts w:ascii="Arial" w:cs="Arial" w:eastAsia="Arial" w:hAnsi="Arial"/>
          <w:sz w:val="20"/>
          <w:szCs w:val="20"/>
          <w:color w:val="auto"/>
        </w:rPr>
      </w:pPr>
    </w:p>
    <w:p>
      <w:pPr>
        <w:ind w:left="760" w:right="20" w:hanging="374"/>
        <w:spacing w:after="0" w:line="260" w:lineRule="auto"/>
        <w:tabs>
          <w:tab w:leader="none" w:pos="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Record Building Materials net sales of $728.4 million compared with $674.5 million, an increase of 8.0%, and record Magnesia Specialties net sales of $63.3 million compared with $59.5 million, an increase of 6.4%</w:t>
      </w:r>
    </w:p>
    <w:p>
      <w:pPr>
        <w:spacing w:after="0" w:line="14" w:lineRule="exact"/>
        <w:rPr>
          <w:rFonts w:ascii="Arial" w:cs="Arial" w:eastAsia="Arial" w:hAnsi="Arial"/>
          <w:sz w:val="20"/>
          <w:szCs w:val="20"/>
          <w:color w:val="auto"/>
        </w:rPr>
      </w:pPr>
    </w:p>
    <w:p>
      <w:pPr>
        <w:ind w:left="760" w:hanging="374"/>
        <w:spacing w:after="0"/>
        <w:tabs>
          <w:tab w:leader="none" w:pos="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Record consolidated gross profit of $147.1 million compared with $145.3 million</w:t>
      </w:r>
    </w:p>
    <w:p>
      <w:pPr>
        <w:spacing w:after="0" w:line="53" w:lineRule="exact"/>
        <w:rPr>
          <w:rFonts w:ascii="Arial" w:cs="Arial" w:eastAsia="Arial" w:hAnsi="Arial"/>
          <w:sz w:val="20"/>
          <w:szCs w:val="20"/>
          <w:color w:val="auto"/>
        </w:rPr>
      </w:pPr>
    </w:p>
    <w:p>
      <w:pPr>
        <w:ind w:left="760" w:hanging="374"/>
        <w:spacing w:after="0"/>
        <w:tabs>
          <w:tab w:leader="none" w:pos="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EBITDA of $147.7 million</w:t>
      </w:r>
    </w:p>
    <w:p>
      <w:pPr>
        <w:spacing w:after="0" w:line="53" w:lineRule="exact"/>
        <w:rPr>
          <w:rFonts w:ascii="Arial" w:cs="Arial" w:eastAsia="Arial" w:hAnsi="Arial"/>
          <w:sz w:val="20"/>
          <w:szCs w:val="20"/>
          <w:color w:val="auto"/>
        </w:rPr>
      </w:pPr>
    </w:p>
    <w:p>
      <w:pPr>
        <w:ind w:left="760" w:hanging="374"/>
        <w:spacing w:after="0"/>
        <w:tabs>
          <w:tab w:leader="none" w:pos="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Aggregates product line pricing increase of 5.3%; aggregates product line volume decrease of 0.2%</w:t>
      </w:r>
    </w:p>
    <w:p>
      <w:pPr>
        <w:spacing w:after="0" w:line="53" w:lineRule="exact"/>
        <w:rPr>
          <w:rFonts w:ascii="Arial" w:cs="Arial" w:eastAsia="Arial" w:hAnsi="Arial"/>
          <w:sz w:val="20"/>
          <w:szCs w:val="20"/>
          <w:color w:val="auto"/>
        </w:rPr>
      </w:pPr>
    </w:p>
    <w:p>
      <w:pPr>
        <w:ind w:left="760" w:hanging="374"/>
        <w:spacing w:after="0"/>
        <w:tabs>
          <w:tab w:leader="none" w:pos="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Returned $126.6 million to shareholders through the repurchase of 458,000 shares and dividends</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following table presents net sales, gross profit (loss), selling, general and administrative expenses and earnings (loss) from operations data for the Corporation and its reportable segments for the three months ended March 31, 2017 and 2016. In each case, the data is stated as a percentage of net sales of the Corporation or the relevant segment, as the case may be. Prior-year information has been reclassified to conform to the presentation of the Corporation’s current reportable segments and for the adoption of the accounting pronouncement discussed in Note 1 of the consolidated financial statements.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20"/>
                <w:szCs w:val="20"/>
                <w:color w:val="auto"/>
                <w:w w:val="90"/>
              </w:rPr>
              <w:t>Three Months Ended March 31,</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0"/>
                <w:szCs w:val="20"/>
                <w:color w:val="auto"/>
              </w:rPr>
              <w:t>2017</w:t>
            </w:r>
          </w:p>
        </w:tc>
        <w:tc>
          <w:tcPr>
            <w:tcW w:w="1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0"/>
                <w:szCs w:val="20"/>
                <w:color w:val="auto"/>
              </w:rPr>
              <w:t>2016</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401"/>
              <w:spacing w:after="0" w:line="220" w:lineRule="exact"/>
              <w:rPr>
                <w:sz w:val="20"/>
                <w:szCs w:val="20"/>
                <w:color w:val="auto"/>
              </w:rPr>
            </w:pPr>
            <w:r>
              <w:rPr>
                <w:rFonts w:ascii="Arial" w:cs="Arial" w:eastAsia="Arial" w:hAnsi="Arial"/>
                <w:sz w:val="20"/>
                <w:szCs w:val="20"/>
                <w:color w:val="auto"/>
              </w:rPr>
              <w:t>% of</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121"/>
              <w:spacing w:after="0" w:line="220" w:lineRule="exact"/>
              <w:rPr>
                <w:sz w:val="20"/>
                <w:szCs w:val="20"/>
                <w:color w:val="auto"/>
              </w:rPr>
            </w:pPr>
            <w:r>
              <w:rPr>
                <w:rFonts w:ascii="Arial" w:cs="Arial" w:eastAsia="Arial" w:hAnsi="Arial"/>
                <w:sz w:val="20"/>
                <w:szCs w:val="20"/>
                <w:color w:val="auto"/>
                <w:w w:val="94"/>
              </w:rPr>
              <w:t>% of</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3"/>
          </w:tcPr>
          <w:p>
            <w:pPr>
              <w:jc w:val="right"/>
              <w:ind w:right="800"/>
              <w:spacing w:after="0"/>
              <w:rPr>
                <w:sz w:val="20"/>
                <w:szCs w:val="20"/>
                <w:color w:val="auto"/>
              </w:rPr>
            </w:pPr>
            <w:r>
              <w:rPr>
                <w:rFonts w:ascii="Arial" w:cs="Arial" w:eastAsia="Arial" w:hAnsi="Arial"/>
                <w:sz w:val="20"/>
                <w:szCs w:val="20"/>
                <w:color w:val="auto"/>
              </w:rPr>
              <w:t>Amount</w:t>
            </w:r>
          </w:p>
        </w:tc>
        <w:tc>
          <w:tcPr>
            <w:tcW w:w="1240" w:type="dxa"/>
            <w:vAlign w:val="bottom"/>
          </w:tcPr>
          <w:p>
            <w:pPr>
              <w:jc w:val="right"/>
              <w:ind w:right="201"/>
              <w:spacing w:after="0"/>
              <w:rPr>
                <w:sz w:val="20"/>
                <w:szCs w:val="20"/>
                <w:color w:val="auto"/>
              </w:rPr>
            </w:pPr>
            <w:r>
              <w:rPr>
                <w:rFonts w:ascii="Arial" w:cs="Arial" w:eastAsia="Arial" w:hAnsi="Arial"/>
                <w:sz w:val="20"/>
                <w:szCs w:val="20"/>
                <w:color w:val="auto"/>
              </w:rPr>
              <w:t>Net Sales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3"/>
          </w:tcPr>
          <w:p>
            <w:pPr>
              <w:jc w:val="right"/>
              <w:ind w:right="820"/>
              <w:spacing w:after="0"/>
              <w:rPr>
                <w:sz w:val="20"/>
                <w:szCs w:val="20"/>
                <w:color w:val="auto"/>
              </w:rPr>
            </w:pPr>
            <w:r>
              <w:rPr>
                <w:rFonts w:ascii="Arial" w:cs="Arial" w:eastAsia="Arial" w:hAnsi="Arial"/>
                <w:sz w:val="20"/>
                <w:szCs w:val="20"/>
                <w:color w:val="auto"/>
              </w:rPr>
              <w:t>Amount</w:t>
            </w:r>
          </w:p>
        </w:tc>
        <w:tc>
          <w:tcPr>
            <w:tcW w:w="1300" w:type="dxa"/>
            <w:vAlign w:val="bottom"/>
            <w:gridSpan w:val="2"/>
          </w:tcPr>
          <w:p>
            <w:pPr>
              <w:jc w:val="center"/>
              <w:ind w:right="300"/>
              <w:spacing w:after="0"/>
              <w:rPr>
                <w:sz w:val="20"/>
                <w:szCs w:val="20"/>
                <w:color w:val="auto"/>
              </w:rPr>
            </w:pPr>
            <w:r>
              <w:rPr>
                <w:rFonts w:ascii="Arial" w:cs="Arial" w:eastAsia="Arial" w:hAnsi="Arial"/>
                <w:sz w:val="20"/>
                <w:szCs w:val="20"/>
                <w:color w:val="auto"/>
                <w:w w:val="87"/>
              </w:rPr>
              <w:t>Net Sales</w:t>
            </w:r>
          </w:p>
        </w:tc>
        <w:tc>
          <w:tcPr>
            <w:tcW w:w="0" w:type="dxa"/>
            <w:vAlign w:val="bottom"/>
          </w:tcPr>
          <w:p>
            <w:pPr>
              <w:spacing w:after="0"/>
              <w:rPr>
                <w:sz w:val="1"/>
                <w:szCs w:val="1"/>
                <w:color w:val="auto"/>
              </w:rPr>
            </w:pPr>
          </w:p>
        </w:tc>
      </w:tr>
      <w:tr>
        <w:trPr>
          <w:trHeight w:val="244"/>
        </w:trPr>
        <w:tc>
          <w:tcPr>
            <w:tcW w:w="38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Net sales:</w:t>
            </w:r>
          </w:p>
        </w:tc>
        <w:tc>
          <w:tcPr>
            <w:tcW w:w="11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320" w:type="dxa"/>
            <w:vAlign w:val="bottom"/>
            <w:tcBorders>
              <w:top w:val="single" w:sz="8" w:color="auto"/>
            </w:tcBorders>
            <w:gridSpan w:val="6"/>
          </w:tcPr>
          <w:p>
            <w:pPr>
              <w:jc w:val="center"/>
              <w:ind w:right="640"/>
              <w:spacing w:after="0"/>
              <w:rPr>
                <w:sz w:val="20"/>
                <w:szCs w:val="20"/>
                <w:color w:val="auto"/>
              </w:rPr>
            </w:pPr>
            <w:r>
              <w:rPr>
                <w:rFonts w:ascii="Arial" w:cs="Arial" w:eastAsia="Arial" w:hAnsi="Arial"/>
                <w:sz w:val="20"/>
                <w:szCs w:val="20"/>
                <w:i w:val="1"/>
                <w:iCs w:val="1"/>
                <w:color w:val="auto"/>
                <w:w w:val="91"/>
              </w:rPr>
              <w:t>(Dollars in Thousands)</w:t>
            </w: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40" w:type="dxa"/>
            <w:vAlign w:val="bottom"/>
            <w:gridSpan w:val="2"/>
            <w:vMerge w:val="continue"/>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tcPr>
          <w:p>
            <w:pPr>
              <w:ind w:left="240"/>
              <w:spacing w:after="0"/>
              <w:rPr>
                <w:sz w:val="20"/>
                <w:szCs w:val="20"/>
                <w:color w:val="auto"/>
              </w:rPr>
            </w:pPr>
            <w:r>
              <w:rPr>
                <w:rFonts w:ascii="Arial" w:cs="Arial" w:eastAsia="Arial" w:hAnsi="Arial"/>
                <w:sz w:val="20"/>
                <w:szCs w:val="20"/>
                <w:color w:val="auto"/>
              </w:rPr>
              <w:t>Mid-America Group</w:t>
            </w:r>
          </w:p>
        </w:tc>
        <w:tc>
          <w:tcPr>
            <w:tcW w:w="138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177,336</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173,372</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Southeast Group</w:t>
            </w: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86,660</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67,284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West Group</w:t>
            </w:r>
          </w:p>
        </w:tc>
        <w:tc>
          <w:tcPr>
            <w:tcW w:w="11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464,426</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24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433,799</w:t>
            </w:r>
          </w:p>
        </w:tc>
        <w:tc>
          <w:tcPr>
            <w:tcW w:w="26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728,422</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674,455</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Magnesia Specialties</w:t>
            </w:r>
          </w:p>
        </w:tc>
        <w:tc>
          <w:tcPr>
            <w:tcW w:w="11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63,262</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59,505</w:t>
            </w:r>
          </w:p>
        </w:tc>
        <w:tc>
          <w:tcPr>
            <w:tcW w:w="2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791,684</w:t>
            </w: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733,960</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3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Gross profit (loss):</w:t>
            </w: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Mid-America Group</w:t>
            </w:r>
          </w:p>
        </w:tc>
        <w:tc>
          <w:tcPr>
            <w:tcW w:w="138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26,285</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14.8</w:t>
            </w:r>
          </w:p>
        </w:tc>
        <w:tc>
          <w:tcPr>
            <w:tcW w:w="48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27,621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tcPr>
          <w:p>
            <w:pPr>
              <w:ind w:left="240"/>
              <w:spacing w:after="0"/>
              <w:rPr>
                <w:sz w:val="20"/>
                <w:szCs w:val="20"/>
                <w:color w:val="auto"/>
              </w:rPr>
            </w:pPr>
            <w:r>
              <w:rPr>
                <w:rFonts w:ascii="Arial" w:cs="Arial" w:eastAsia="Arial" w:hAnsi="Arial"/>
                <w:sz w:val="20"/>
                <w:szCs w:val="20"/>
                <w:color w:val="auto"/>
              </w:rPr>
              <w:t>Southeast Group</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14,369</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16.6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10,367</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West Group</w:t>
            </w:r>
          </w:p>
        </w:tc>
        <w:tc>
          <w:tcPr>
            <w:tcW w:w="11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84,537</w:t>
            </w:r>
          </w:p>
        </w:tc>
        <w:tc>
          <w:tcPr>
            <w:tcW w:w="32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18.2</w:t>
            </w:r>
          </w:p>
        </w:tc>
        <w:tc>
          <w:tcPr>
            <w:tcW w:w="2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88,287</w:t>
            </w:r>
          </w:p>
        </w:tc>
        <w:tc>
          <w:tcPr>
            <w:tcW w:w="26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gridSpan w:val="2"/>
          </w:tcPr>
          <w:p>
            <w:pPr>
              <w:spacing w:after="0"/>
              <w:rPr>
                <w:sz w:val="20"/>
                <w:szCs w:val="20"/>
                <w:color w:val="auto"/>
              </w:rPr>
            </w:pPr>
            <w:r>
              <w:rPr>
                <w:rFonts w:ascii="Arial" w:cs="Arial" w:eastAsia="Arial" w:hAnsi="Arial"/>
                <w:sz w:val="20"/>
                <w:szCs w:val="20"/>
                <w:color w:val="auto"/>
              </w:rPr>
              <w:t>Total Building Materials Business</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125,191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17.2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126,275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22,315</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22,998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tcPr>
          <w:p>
            <w:pPr>
              <w:spacing w:after="0"/>
              <w:rPr>
                <w:sz w:val="20"/>
                <w:szCs w:val="20"/>
                <w:color w:val="auto"/>
              </w:rPr>
            </w:pPr>
            <w:r>
              <w:rPr>
                <w:rFonts w:ascii="Arial" w:cs="Arial" w:eastAsia="Arial" w:hAnsi="Arial"/>
                <w:sz w:val="20"/>
                <w:szCs w:val="20"/>
                <w:color w:val="auto"/>
              </w:rPr>
              <w:t>Corporate</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20"/>
                <w:szCs w:val="20"/>
                <w:color w:val="auto"/>
              </w:rPr>
              <w:t>(439)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20"/>
                <w:szCs w:val="20"/>
                <w:color w:val="auto"/>
              </w:rPr>
              <w:t>(4,023)</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16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147,067</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18.6</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145,250</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26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2017</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20"/>
                <w:szCs w:val="20"/>
                <w:color w:val="auto"/>
                <w:w w:val="90"/>
              </w:rPr>
              <w:t>Three Months Ended March 31,</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0"/>
                <w:szCs w:val="20"/>
                <w:color w:val="auto"/>
              </w:rPr>
              <w:t>2017</w:t>
            </w:r>
          </w:p>
        </w:tc>
        <w:tc>
          <w:tcPr>
            <w:tcW w:w="1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0"/>
                <w:szCs w:val="20"/>
                <w:color w:val="auto"/>
              </w:rPr>
              <w:t>2016</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401"/>
              <w:spacing w:after="0" w:line="220" w:lineRule="exact"/>
              <w:rPr>
                <w:sz w:val="20"/>
                <w:szCs w:val="20"/>
                <w:color w:val="auto"/>
              </w:rPr>
            </w:pPr>
            <w:r>
              <w:rPr>
                <w:rFonts w:ascii="Arial" w:cs="Arial" w:eastAsia="Arial" w:hAnsi="Arial"/>
                <w:sz w:val="20"/>
                <w:szCs w:val="20"/>
                <w:color w:val="auto"/>
              </w:rPr>
              <w:t>% of</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121"/>
              <w:spacing w:after="0" w:line="220" w:lineRule="exact"/>
              <w:rPr>
                <w:sz w:val="20"/>
                <w:szCs w:val="20"/>
                <w:color w:val="auto"/>
              </w:rPr>
            </w:pPr>
            <w:r>
              <w:rPr>
                <w:rFonts w:ascii="Arial" w:cs="Arial" w:eastAsia="Arial" w:hAnsi="Arial"/>
                <w:sz w:val="20"/>
                <w:szCs w:val="20"/>
                <w:color w:val="auto"/>
                <w:w w:val="94"/>
              </w:rPr>
              <w:t>% of</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3"/>
          </w:tcPr>
          <w:p>
            <w:pPr>
              <w:jc w:val="right"/>
              <w:ind w:right="800"/>
              <w:spacing w:after="0"/>
              <w:rPr>
                <w:sz w:val="20"/>
                <w:szCs w:val="20"/>
                <w:color w:val="auto"/>
              </w:rPr>
            </w:pPr>
            <w:r>
              <w:rPr>
                <w:rFonts w:ascii="Arial" w:cs="Arial" w:eastAsia="Arial" w:hAnsi="Arial"/>
                <w:sz w:val="20"/>
                <w:szCs w:val="20"/>
                <w:color w:val="auto"/>
              </w:rPr>
              <w:t>Amount</w:t>
            </w:r>
          </w:p>
        </w:tc>
        <w:tc>
          <w:tcPr>
            <w:tcW w:w="1240" w:type="dxa"/>
            <w:vAlign w:val="bottom"/>
          </w:tcPr>
          <w:p>
            <w:pPr>
              <w:jc w:val="right"/>
              <w:ind w:right="201"/>
              <w:spacing w:after="0"/>
              <w:rPr>
                <w:sz w:val="20"/>
                <w:szCs w:val="20"/>
                <w:color w:val="auto"/>
              </w:rPr>
            </w:pPr>
            <w:r>
              <w:rPr>
                <w:rFonts w:ascii="Arial" w:cs="Arial" w:eastAsia="Arial" w:hAnsi="Arial"/>
                <w:sz w:val="20"/>
                <w:szCs w:val="20"/>
                <w:color w:val="auto"/>
              </w:rPr>
              <w:t>Net Sales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3"/>
          </w:tcPr>
          <w:p>
            <w:pPr>
              <w:jc w:val="right"/>
              <w:ind w:right="820"/>
              <w:spacing w:after="0"/>
              <w:rPr>
                <w:sz w:val="20"/>
                <w:szCs w:val="20"/>
                <w:color w:val="auto"/>
              </w:rPr>
            </w:pPr>
            <w:r>
              <w:rPr>
                <w:rFonts w:ascii="Arial" w:cs="Arial" w:eastAsia="Arial" w:hAnsi="Arial"/>
                <w:sz w:val="20"/>
                <w:szCs w:val="20"/>
                <w:color w:val="auto"/>
              </w:rPr>
              <w:t>Amount</w:t>
            </w:r>
          </w:p>
        </w:tc>
        <w:tc>
          <w:tcPr>
            <w:tcW w:w="1300" w:type="dxa"/>
            <w:vAlign w:val="bottom"/>
            <w:gridSpan w:val="2"/>
          </w:tcPr>
          <w:p>
            <w:pPr>
              <w:jc w:val="center"/>
              <w:ind w:right="300"/>
              <w:spacing w:after="0"/>
              <w:rPr>
                <w:sz w:val="20"/>
                <w:szCs w:val="20"/>
                <w:color w:val="auto"/>
              </w:rPr>
            </w:pPr>
            <w:r>
              <w:rPr>
                <w:rFonts w:ascii="Arial" w:cs="Arial" w:eastAsia="Arial" w:hAnsi="Arial"/>
                <w:sz w:val="20"/>
                <w:szCs w:val="20"/>
                <w:color w:val="auto"/>
                <w:w w:val="87"/>
              </w:rPr>
              <w:t>Net Sales</w:t>
            </w:r>
          </w:p>
        </w:tc>
        <w:tc>
          <w:tcPr>
            <w:tcW w:w="0" w:type="dxa"/>
            <w:vAlign w:val="bottom"/>
          </w:tcPr>
          <w:p>
            <w:pPr>
              <w:spacing w:after="0"/>
              <w:rPr>
                <w:sz w:val="1"/>
                <w:szCs w:val="1"/>
                <w:color w:val="auto"/>
              </w:rPr>
            </w:pPr>
          </w:p>
        </w:tc>
      </w:tr>
      <w:tr>
        <w:trPr>
          <w:trHeight w:val="244"/>
        </w:trPr>
        <w:tc>
          <w:tcPr>
            <w:tcW w:w="432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6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320" w:type="dxa"/>
            <w:vAlign w:val="bottom"/>
            <w:tcBorders>
              <w:top w:val="single" w:sz="8" w:color="auto"/>
            </w:tcBorders>
            <w:gridSpan w:val="6"/>
          </w:tcPr>
          <w:p>
            <w:pPr>
              <w:jc w:val="center"/>
              <w:ind w:right="640"/>
              <w:spacing w:after="0"/>
              <w:rPr>
                <w:sz w:val="20"/>
                <w:szCs w:val="20"/>
                <w:color w:val="auto"/>
              </w:rPr>
            </w:pPr>
            <w:r>
              <w:rPr>
                <w:rFonts w:ascii="Arial" w:cs="Arial" w:eastAsia="Arial" w:hAnsi="Arial"/>
                <w:sz w:val="20"/>
                <w:szCs w:val="20"/>
                <w:i w:val="1"/>
                <w:iCs w:val="1"/>
                <w:color w:val="auto"/>
                <w:w w:val="91"/>
              </w:rPr>
              <w:t>(Dollars in Thousands)</w:t>
            </w: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20" w:type="dxa"/>
            <w:vAlign w:val="bottom"/>
            <w:gridSpan w:val="2"/>
            <w:vMerge w:val="continue"/>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240"/>
              <w:spacing w:after="0"/>
              <w:rPr>
                <w:sz w:val="20"/>
                <w:szCs w:val="20"/>
                <w:color w:val="auto"/>
              </w:rPr>
            </w:pPr>
            <w:r>
              <w:rPr>
                <w:rFonts w:ascii="Arial" w:cs="Arial" w:eastAsia="Arial" w:hAnsi="Arial"/>
                <w:sz w:val="20"/>
                <w:szCs w:val="20"/>
                <w:color w:val="auto"/>
              </w:rPr>
              <w:t>Mid-America Group</w:t>
            </w:r>
          </w:p>
        </w:tc>
        <w:tc>
          <w:tcPr>
            <w:tcW w:w="90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13,544</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7.6</w:t>
            </w:r>
          </w:p>
        </w:tc>
        <w:tc>
          <w:tcPr>
            <w:tcW w:w="48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13,062</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Southeast Group</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4,352</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3,860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West Group</w:t>
            </w:r>
          </w:p>
        </w:tc>
        <w:tc>
          <w:tcPr>
            <w:tcW w:w="6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25,074</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22,963</w:t>
            </w:r>
          </w:p>
        </w:tc>
        <w:tc>
          <w:tcPr>
            <w:tcW w:w="2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42,970</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39,885</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20"/>
                <w:szCs w:val="20"/>
                <w:color w:val="auto"/>
              </w:rPr>
              <w:t>Magnesia Specialties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2,388</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3.8</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2,326</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6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24,177</w:t>
            </w:r>
          </w:p>
        </w:tc>
        <w:tc>
          <w:tcPr>
            <w:tcW w:w="32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16,138</w:t>
            </w:r>
          </w:p>
        </w:tc>
        <w:tc>
          <w:tcPr>
            <w:tcW w:w="26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320" w:type="dxa"/>
            <w:vAlign w:val="bottom"/>
            <w:gridSpan w:val="2"/>
          </w:tcPr>
          <w:p>
            <w:pPr>
              <w:spacing w:after="0"/>
              <w:rPr>
                <w:sz w:val="20"/>
                <w:szCs w:val="20"/>
                <w:color w:val="auto"/>
              </w:rPr>
            </w:pPr>
            <w:r>
              <w:rPr>
                <w:rFonts w:ascii="Arial" w:cs="Arial" w:eastAsia="Arial" w:hAnsi="Arial"/>
                <w:sz w:val="20"/>
                <w:szCs w:val="20"/>
                <w:color w:val="auto"/>
              </w:rPr>
              <w:t>Total</w:t>
            </w:r>
          </w:p>
        </w:tc>
        <w:tc>
          <w:tcPr>
            <w:tcW w:w="680" w:type="dxa"/>
            <w:vAlign w:val="bottom"/>
          </w:tcPr>
          <w:p>
            <w:pPr>
              <w:spacing w:after="0"/>
              <w:rPr>
                <w:sz w:val="24"/>
                <w:szCs w:val="24"/>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69,535</w:t>
            </w: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w:t>
            </w:r>
          </w:p>
        </w:tc>
        <w:tc>
          <w:tcPr>
            <w:tcW w:w="260" w:type="dxa"/>
            <w:vAlign w:val="bottom"/>
          </w:tcPr>
          <w:p>
            <w:pPr>
              <w:spacing w:after="0"/>
              <w:rPr>
                <w:sz w:val="24"/>
                <w:szCs w:val="24"/>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58,349</w:t>
            </w: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20"/>
                <w:szCs w:val="20"/>
                <w:b w:val="1"/>
                <w:bCs w:val="1"/>
                <w:color w:val="auto"/>
              </w:rPr>
              <w:t>Earnings (Loss) from operations: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240"/>
              <w:spacing w:after="0"/>
              <w:rPr>
                <w:sz w:val="20"/>
                <w:szCs w:val="20"/>
                <w:color w:val="auto"/>
              </w:rPr>
            </w:pPr>
            <w:r>
              <w:rPr>
                <w:rFonts w:ascii="Arial" w:cs="Arial" w:eastAsia="Arial" w:hAnsi="Arial"/>
                <w:sz w:val="20"/>
                <w:szCs w:val="20"/>
                <w:color w:val="auto"/>
              </w:rPr>
              <w:t>Mid-America Group</w:t>
            </w:r>
          </w:p>
        </w:tc>
        <w:tc>
          <w:tcPr>
            <w:tcW w:w="90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13,342</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7.5</w:t>
            </w:r>
          </w:p>
        </w:tc>
        <w:tc>
          <w:tcPr>
            <w:tcW w:w="48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14,694</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Southeast Group</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10,115</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7,027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West Group</w:t>
            </w:r>
          </w:p>
        </w:tc>
        <w:tc>
          <w:tcPr>
            <w:tcW w:w="6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61,232</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65,806</w:t>
            </w:r>
          </w:p>
        </w:tc>
        <w:tc>
          <w:tcPr>
            <w:tcW w:w="2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84,689</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87,527</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20"/>
                <w:szCs w:val="20"/>
                <w:color w:val="auto"/>
              </w:rPr>
              <w:t>Magnesia Specialties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19,881</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31.4</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20,610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(27,420)</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(22,114)</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gridSpan w:val="2"/>
          </w:tcPr>
          <w:p>
            <w:pPr>
              <w:spacing w:after="0"/>
              <w:rPr>
                <w:sz w:val="20"/>
                <w:szCs w:val="20"/>
                <w:color w:val="auto"/>
              </w:rPr>
            </w:pPr>
            <w:r>
              <w:rPr>
                <w:rFonts w:ascii="Arial" w:cs="Arial" w:eastAsia="Arial" w:hAnsi="Arial"/>
                <w:sz w:val="20"/>
                <w:szCs w:val="20"/>
                <w:color w:val="auto"/>
              </w:rPr>
              <w:t>Total</w:t>
            </w:r>
          </w:p>
        </w:tc>
        <w:tc>
          <w:tcPr>
            <w:tcW w:w="6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77,150</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9.7</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86,023</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Net sales by product line for the Building Materials business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60" w:type="dxa"/>
            <w:vAlign w:val="bottom"/>
            <w:gridSpan w:val="3"/>
          </w:tcPr>
          <w:p>
            <w:pPr>
              <w:jc w:val="center"/>
              <w:spacing w:after="0"/>
              <w:rPr>
                <w:sz w:val="20"/>
                <w:szCs w:val="20"/>
                <w:color w:val="auto"/>
              </w:rPr>
            </w:pPr>
            <w:r>
              <w:rPr>
                <w:rFonts w:ascii="Arial" w:cs="Arial" w:eastAsia="Arial" w:hAnsi="Arial"/>
                <w:sz w:val="20"/>
                <w:szCs w:val="20"/>
                <w:color w:val="auto"/>
                <w:w w:val="88"/>
              </w:rPr>
              <w:t>Three Months Ended</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634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2"/>
              </w:rPr>
              <w:t>March 31,</w:t>
            </w:r>
          </w:p>
        </w:tc>
        <w:tc>
          <w:tcPr>
            <w:tcW w:w="1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2017</w:t>
            </w: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861"/>
              <w:spacing w:after="0"/>
              <w:rPr>
                <w:sz w:val="20"/>
                <w:szCs w:val="20"/>
                <w:color w:val="auto"/>
              </w:rPr>
            </w:pPr>
            <w:r>
              <w:rPr>
                <w:rFonts w:ascii="Arial" w:cs="Arial" w:eastAsia="Arial" w:hAnsi="Arial"/>
                <w:sz w:val="20"/>
                <w:szCs w:val="20"/>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vMerge w:val="restart"/>
          </w:tcPr>
          <w:p>
            <w:pPr>
              <w:spacing w:after="0"/>
              <w:rPr>
                <w:sz w:val="20"/>
                <w:szCs w:val="20"/>
                <w:color w:val="auto"/>
              </w:rPr>
            </w:pPr>
            <w:r>
              <w:rPr>
                <w:rFonts w:ascii="Arial" w:cs="Arial" w:eastAsia="Arial" w:hAnsi="Arial"/>
                <w:sz w:val="20"/>
                <w:szCs w:val="20"/>
                <w:b w:val="1"/>
                <w:bCs w:val="1"/>
                <w:color w:val="auto"/>
              </w:rPr>
              <w:t>Net sales:</w:t>
            </w:r>
          </w:p>
        </w:tc>
        <w:tc>
          <w:tcPr>
            <w:tcW w:w="1440" w:type="dxa"/>
            <w:vAlign w:val="bottom"/>
          </w:tcPr>
          <w:p>
            <w:pPr>
              <w:spacing w:after="0"/>
              <w:rPr>
                <w:sz w:val="21"/>
                <w:szCs w:val="21"/>
                <w:color w:val="auto"/>
              </w:rPr>
            </w:pPr>
          </w:p>
        </w:tc>
        <w:tc>
          <w:tcPr>
            <w:tcW w:w="2060" w:type="dxa"/>
            <w:vAlign w:val="bottom"/>
            <w:gridSpan w:val="3"/>
          </w:tcPr>
          <w:p>
            <w:pPr>
              <w:jc w:val="center"/>
              <w:spacing w:after="0"/>
              <w:rPr>
                <w:sz w:val="20"/>
                <w:szCs w:val="20"/>
                <w:color w:val="auto"/>
              </w:rPr>
            </w:pPr>
            <w:r>
              <w:rPr>
                <w:rFonts w:ascii="Arial" w:cs="Arial" w:eastAsia="Arial" w:hAnsi="Arial"/>
                <w:sz w:val="20"/>
                <w:szCs w:val="20"/>
                <w:i w:val="1"/>
                <w:iCs w:val="1"/>
                <w:color w:val="auto"/>
                <w:w w:val="92"/>
              </w:rPr>
              <w:t>(Dollars in Thousands)</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340" w:type="dxa"/>
            <w:vAlign w:val="bottom"/>
            <w:vMerge w:val="continue"/>
          </w:tcPr>
          <w:p>
            <w:pPr>
              <w:spacing w:after="0"/>
              <w:rPr>
                <w:sz w:val="20"/>
                <w:szCs w:val="20"/>
                <w:color w:val="auto"/>
              </w:rPr>
            </w:pPr>
          </w:p>
        </w:tc>
        <w:tc>
          <w:tcPr>
            <w:tcW w:w="1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340" w:type="dxa"/>
            <w:vAlign w:val="bottom"/>
          </w:tcPr>
          <w:p>
            <w:pPr>
              <w:ind w:left="260"/>
              <w:spacing w:after="0"/>
              <w:rPr>
                <w:sz w:val="20"/>
                <w:szCs w:val="20"/>
                <w:color w:val="auto"/>
              </w:rPr>
            </w:pPr>
            <w:r>
              <w:rPr>
                <w:rFonts w:ascii="Arial" w:cs="Arial" w:eastAsia="Arial" w:hAnsi="Arial"/>
                <w:sz w:val="20"/>
                <w:szCs w:val="20"/>
                <w:color w:val="auto"/>
              </w:rPr>
              <w:t>Aggregates</w:t>
            </w:r>
          </w:p>
        </w:tc>
        <w:tc>
          <w:tcPr>
            <w:tcW w:w="1440" w:type="dxa"/>
            <w:vAlign w:val="bottom"/>
          </w:tcPr>
          <w:p>
            <w:pPr>
              <w:jc w:val="right"/>
              <w:ind w:right="1241"/>
              <w:spacing w:after="0"/>
              <w:rPr>
                <w:sz w:val="20"/>
                <w:szCs w:val="20"/>
                <w:color w:val="auto"/>
              </w:rPr>
            </w:pPr>
            <w:r>
              <w:rPr>
                <w:rFonts w:ascii="Arial" w:cs="Arial" w:eastAsia="Arial" w:hAnsi="Arial"/>
                <w:sz w:val="20"/>
                <w:szCs w:val="20"/>
                <w:color w:val="auto"/>
                <w:w w:val="71"/>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451,379</w:t>
            </w:r>
          </w:p>
        </w:tc>
        <w:tc>
          <w:tcPr>
            <w:tcW w:w="360" w:type="dxa"/>
            <w:vAlign w:val="bottom"/>
          </w:tcPr>
          <w:p>
            <w:pPr>
              <w:spacing w:after="0"/>
              <w:rPr>
                <w:sz w:val="21"/>
                <w:szCs w:val="21"/>
                <w:color w:val="auto"/>
              </w:rPr>
            </w:pPr>
          </w:p>
        </w:tc>
        <w:tc>
          <w:tcPr>
            <w:tcW w:w="840" w:type="dxa"/>
            <w:vAlign w:val="bottom"/>
          </w:tcPr>
          <w:p>
            <w:pPr>
              <w:jc w:val="right"/>
              <w:ind w:right="641"/>
              <w:spacing w:after="0"/>
              <w:rPr>
                <w:sz w:val="20"/>
                <w:szCs w:val="20"/>
                <w:color w:val="auto"/>
              </w:rPr>
            </w:pPr>
            <w:r>
              <w:rPr>
                <w:rFonts w:ascii="Arial" w:cs="Arial" w:eastAsia="Arial" w:hAnsi="Arial"/>
                <w:sz w:val="20"/>
                <w:szCs w:val="20"/>
                <w:color w:val="auto"/>
                <w:w w:val="71"/>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430,860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Cement</w:t>
            </w:r>
          </w:p>
        </w:tc>
        <w:tc>
          <w:tcPr>
            <w:tcW w:w="1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93,685</w:t>
            </w: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96,860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20"/>
                <w:szCs w:val="20"/>
                <w:color w:val="auto"/>
              </w:rPr>
              <w:t>Ready Mixed Concrete</w:t>
            </w:r>
          </w:p>
        </w:tc>
        <w:tc>
          <w:tcPr>
            <w:tcW w:w="1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222,380</w:t>
            </w: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186,852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Asphalt and Paving</w:t>
            </w:r>
          </w:p>
        </w:tc>
        <w:tc>
          <w:tcPr>
            <w:tcW w:w="1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26,602</w:t>
            </w: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13,837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20"/>
                <w:szCs w:val="20"/>
                <w:color w:val="auto"/>
              </w:rPr>
              <w:t>Less: Interproduct Sales</w:t>
            </w:r>
          </w:p>
        </w:tc>
        <w:tc>
          <w:tcPr>
            <w:tcW w:w="144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20"/>
                <w:szCs w:val="20"/>
                <w:color w:val="auto"/>
              </w:rPr>
              <w:t>(65,624)</w:t>
            </w:r>
          </w:p>
        </w:tc>
        <w:tc>
          <w:tcPr>
            <w:tcW w:w="84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20"/>
                <w:szCs w:val="20"/>
                <w:color w:val="auto"/>
              </w:rPr>
              <w:t>(53,954)</w:t>
            </w:r>
          </w:p>
        </w:tc>
        <w:tc>
          <w:tcPr>
            <w:tcW w:w="0" w:type="dxa"/>
            <w:vAlign w:val="bottom"/>
          </w:tcPr>
          <w:p>
            <w:pPr>
              <w:spacing w:after="0"/>
              <w:rPr>
                <w:sz w:val="1"/>
                <w:szCs w:val="1"/>
                <w:color w:val="auto"/>
              </w:rPr>
            </w:pPr>
          </w:p>
        </w:tc>
      </w:tr>
      <w:tr>
        <w:trPr>
          <w:trHeight w:val="237"/>
        </w:trPr>
        <w:tc>
          <w:tcPr>
            <w:tcW w:w="6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440" w:type="dxa"/>
            <w:vAlign w:val="bottom"/>
            <w:tcBorders>
              <w:top w:val="single" w:sz="8" w:color="auto"/>
              <w:bottom w:val="single" w:sz="8" w:color="auto"/>
            </w:tcBorders>
            <w:shd w:val="clear" w:color="auto" w:fill="CFF0FC"/>
          </w:tcPr>
          <w:p>
            <w:pPr>
              <w:jc w:val="right"/>
              <w:ind w:right="1241"/>
              <w:spacing w:after="0"/>
              <w:rPr>
                <w:sz w:val="20"/>
                <w:szCs w:val="20"/>
                <w:color w:val="auto"/>
              </w:rPr>
            </w:pPr>
            <w:r>
              <w:rPr>
                <w:rFonts w:ascii="Arial" w:cs="Arial" w:eastAsia="Arial" w:hAnsi="Arial"/>
                <w:sz w:val="20"/>
                <w:szCs w:val="20"/>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728,422</w:t>
            </w:r>
          </w:p>
        </w:tc>
        <w:tc>
          <w:tcPr>
            <w:tcW w:w="360" w:type="dxa"/>
            <w:vAlign w:val="bottom"/>
            <w:tcBorders>
              <w:top w:val="single" w:sz="8" w:color="CFF0FC"/>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641"/>
              <w:spacing w:after="0"/>
              <w:rPr>
                <w:sz w:val="20"/>
                <w:szCs w:val="20"/>
                <w:color w:val="auto"/>
              </w:rPr>
            </w:pPr>
            <w:r>
              <w:rPr>
                <w:rFonts w:ascii="Arial" w:cs="Arial" w:eastAsia="Arial" w:hAnsi="Arial"/>
                <w:sz w:val="20"/>
                <w:szCs w:val="20"/>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674,455</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27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2017</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volume and pricing variance data and shipments data for the aggregates product line by segment.</w:t>
      </w:r>
    </w:p>
    <w:p>
      <w:pPr>
        <w:spacing w:after="0" w:line="81" w:lineRule="exact"/>
        <w:rPr>
          <w:sz w:val="20"/>
          <w:szCs w:val="20"/>
          <w:color w:val="auto"/>
        </w:rPr>
      </w:pPr>
    </w:p>
    <w:p>
      <w:pPr>
        <w:ind w:left="8620"/>
        <w:spacing w:after="0"/>
        <w:rPr>
          <w:sz w:val="20"/>
          <w:szCs w:val="20"/>
          <w:color w:val="auto"/>
        </w:rPr>
      </w:pPr>
      <w:r>
        <w:rPr>
          <w:rFonts w:ascii="Arial" w:cs="Arial" w:eastAsia="Arial" w:hAnsi="Arial"/>
          <w:sz w:val="20"/>
          <w:szCs w:val="20"/>
          <w:color w:val="auto"/>
        </w:rPr>
        <w:t>Three Months Ended</w:t>
      </w:r>
    </w:p>
    <w:p>
      <w:pPr>
        <w:spacing w:after="0" w:line="20" w:lineRule="exact"/>
        <w:rPr>
          <w:sz w:val="20"/>
          <w:szCs w:val="20"/>
          <w:color w:val="auto"/>
        </w:rPr>
      </w:pPr>
    </w:p>
    <w:p>
      <w:pPr>
        <w:ind w:left="8820"/>
        <w:spacing w:after="0"/>
        <w:rPr>
          <w:sz w:val="20"/>
          <w:szCs w:val="20"/>
          <w:color w:val="auto"/>
        </w:rPr>
      </w:pPr>
      <w:r>
        <w:rPr>
          <w:rFonts w:ascii="Arial" w:cs="Arial" w:eastAsia="Arial" w:hAnsi="Arial"/>
          <w:sz w:val="20"/>
          <w:szCs w:val="20"/>
          <w:color w:val="auto"/>
        </w:rPr>
        <w:t>March 31, 2017</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52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1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20"/>
                <w:szCs w:val="20"/>
                <w:color w:val="auto"/>
                <w:w w:val="94"/>
              </w:rPr>
              <w:t>Volume</w:t>
            </w:r>
          </w:p>
        </w:tc>
        <w:tc>
          <w:tcPr>
            <w:tcW w:w="4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CFF0FC"/>
            </w:tcBorders>
          </w:tcPr>
          <w:p>
            <w:pPr>
              <w:spacing w:after="0"/>
              <w:rPr>
                <w:sz w:val="20"/>
                <w:szCs w:val="20"/>
                <w:color w:val="auto"/>
              </w:rPr>
            </w:pPr>
          </w:p>
        </w:tc>
        <w:tc>
          <w:tcPr>
            <w:tcW w:w="15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20"/>
                <w:szCs w:val="20"/>
                <w:color w:val="auto"/>
              </w:rPr>
              <w:t>Pricing</w:t>
            </w:r>
          </w:p>
        </w:tc>
        <w:tc>
          <w:tcPr>
            <w:tcW w:w="180" w:type="dxa"/>
            <w:vAlign w:val="bottom"/>
            <w:tcBorders>
              <w:bottom w:val="single" w:sz="8" w:color="CFF0FC"/>
            </w:tcBorders>
          </w:tcPr>
          <w:p>
            <w:pPr>
              <w:spacing w:after="0"/>
              <w:rPr>
                <w:sz w:val="20"/>
                <w:szCs w:val="20"/>
                <w:color w:val="auto"/>
              </w:rPr>
            </w:pPr>
          </w:p>
        </w:tc>
      </w:tr>
      <w:tr>
        <w:trPr>
          <w:trHeight w:val="237"/>
        </w:trPr>
        <w:tc>
          <w:tcPr>
            <w:tcW w:w="75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 xml:space="preserve">Volume/Pricing Variance </w:t>
            </w:r>
            <w:r>
              <w:rPr>
                <w:rFonts w:ascii="Arial" w:cs="Arial" w:eastAsia="Arial" w:hAnsi="Arial"/>
                <w:sz w:val="16"/>
                <w:szCs w:val="16"/>
                <w:color w:val="auto"/>
              </w:rPr>
              <w:t>(1)</w:t>
            </w: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43"/>
        </w:trPr>
        <w:tc>
          <w:tcPr>
            <w:tcW w:w="75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(1.5)%</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4.4%</w:t>
            </w:r>
          </w:p>
        </w:tc>
      </w:tr>
      <w:tr>
        <w:trPr>
          <w:trHeight w:val="243"/>
        </w:trPr>
        <w:tc>
          <w:tcPr>
            <w:tcW w:w="7520" w:type="dxa"/>
            <w:vAlign w:val="bottom"/>
          </w:tcPr>
          <w:p>
            <w:pPr>
              <w:ind w:left="260"/>
              <w:spacing w:after="0"/>
              <w:rPr>
                <w:sz w:val="20"/>
                <w:szCs w:val="20"/>
                <w:color w:val="auto"/>
              </w:rPr>
            </w:pPr>
            <w:r>
              <w:rPr>
                <w:rFonts w:ascii="Arial" w:cs="Arial" w:eastAsia="Arial" w:hAnsi="Arial"/>
                <w:sz w:val="20"/>
                <w:szCs w:val="20"/>
                <w:color w:val="auto"/>
              </w:rPr>
              <w:t>Southeast Group</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20"/>
                <w:szCs w:val="20"/>
                <w:color w:val="auto"/>
              </w:rPr>
              <w:t>16.4%</w:t>
            </w:r>
          </w:p>
        </w:tc>
        <w:tc>
          <w:tcPr>
            <w:tcW w:w="1740" w:type="dxa"/>
            <w:vAlign w:val="bottom"/>
            <w:gridSpan w:val="2"/>
          </w:tcPr>
          <w:p>
            <w:pPr>
              <w:jc w:val="right"/>
              <w:ind w:right="20"/>
              <w:spacing w:after="0"/>
              <w:rPr>
                <w:sz w:val="20"/>
                <w:szCs w:val="20"/>
                <w:color w:val="auto"/>
              </w:rPr>
            </w:pPr>
            <w:r>
              <w:rPr>
                <w:rFonts w:ascii="Arial" w:cs="Arial" w:eastAsia="Arial" w:hAnsi="Arial"/>
                <w:sz w:val="20"/>
                <w:szCs w:val="20"/>
                <w:color w:val="auto"/>
              </w:rPr>
              <w:t>10.3%</w:t>
            </w:r>
          </w:p>
        </w:tc>
      </w:tr>
      <w:tr>
        <w:trPr>
          <w:trHeight w:val="243"/>
        </w:trPr>
        <w:tc>
          <w:tcPr>
            <w:tcW w:w="882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(3.8)%</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2.6%</w:t>
            </w:r>
          </w:p>
        </w:tc>
      </w:tr>
      <w:tr>
        <w:trPr>
          <w:trHeight w:val="250"/>
        </w:trPr>
        <w:tc>
          <w:tcPr>
            <w:tcW w:w="8820" w:type="dxa"/>
            <w:vAlign w:val="bottom"/>
            <w:gridSpan w:val="3"/>
          </w:tcPr>
          <w:p>
            <w:pPr>
              <w:spacing w:after="0"/>
              <w:rPr>
                <w:sz w:val="20"/>
                <w:szCs w:val="20"/>
                <w:color w:val="auto"/>
              </w:rPr>
            </w:pPr>
            <w:r>
              <w:rPr>
                <w:rFonts w:ascii="Arial" w:cs="Arial" w:eastAsia="Arial" w:hAnsi="Arial"/>
                <w:sz w:val="20"/>
                <w:szCs w:val="20"/>
                <w:color w:val="auto"/>
              </w:rPr>
              <w:t>Aggregates Product Line</w:t>
            </w:r>
          </w:p>
        </w:tc>
        <w:tc>
          <w:tcPr>
            <w:tcW w:w="860" w:type="dxa"/>
            <w:vAlign w:val="bottom"/>
            <w:gridSpan w:val="2"/>
          </w:tcPr>
          <w:p>
            <w:pPr>
              <w:jc w:val="right"/>
              <w:ind w:right="200"/>
              <w:spacing w:after="0"/>
              <w:rPr>
                <w:sz w:val="20"/>
                <w:szCs w:val="20"/>
                <w:color w:val="auto"/>
              </w:rPr>
            </w:pPr>
            <w:r>
              <w:rPr>
                <w:rFonts w:ascii="Arial" w:cs="Arial" w:eastAsia="Arial" w:hAnsi="Arial"/>
                <w:sz w:val="20"/>
                <w:szCs w:val="20"/>
                <w:color w:val="auto"/>
              </w:rPr>
              <w:t>(0.2)%</w:t>
            </w:r>
          </w:p>
        </w:tc>
        <w:tc>
          <w:tcPr>
            <w:tcW w:w="1740" w:type="dxa"/>
            <w:vAlign w:val="bottom"/>
            <w:gridSpan w:val="2"/>
          </w:tcPr>
          <w:p>
            <w:pPr>
              <w:jc w:val="right"/>
              <w:ind w:right="20"/>
              <w:spacing w:after="0"/>
              <w:rPr>
                <w:sz w:val="20"/>
                <w:szCs w:val="20"/>
                <w:color w:val="auto"/>
              </w:rPr>
            </w:pPr>
            <w:r>
              <w:rPr>
                <w:rFonts w:ascii="Arial" w:cs="Arial" w:eastAsia="Arial" w:hAnsi="Arial"/>
                <w:sz w:val="20"/>
                <w:szCs w:val="20"/>
                <w:color w:val="auto"/>
              </w:rPr>
              <w:t>5.3%</w:t>
            </w:r>
          </w:p>
        </w:tc>
      </w:tr>
    </w:tbl>
    <w:p>
      <w:pPr>
        <w:spacing w:after="0" w:line="86"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200" w:lineRule="exact"/>
        <w:rPr>
          <w:sz w:val="20"/>
          <w:szCs w:val="20"/>
          <w:color w:val="auto"/>
        </w:rPr>
      </w:pPr>
    </w:p>
    <w:p>
      <w:pPr>
        <w:spacing w:after="0" w:line="279" w:lineRule="exact"/>
        <w:rPr>
          <w:sz w:val="20"/>
          <w:szCs w:val="20"/>
          <w:color w:val="auto"/>
        </w:rPr>
      </w:pPr>
    </w:p>
    <w:p>
      <w:pPr>
        <w:jc w:val="center"/>
        <w:ind w:left="7740"/>
        <w:spacing w:after="0"/>
        <w:rPr>
          <w:sz w:val="20"/>
          <w:szCs w:val="20"/>
          <w:color w:val="auto"/>
        </w:rPr>
      </w:pPr>
      <w:r>
        <w:rPr>
          <w:rFonts w:ascii="Arial" w:cs="Arial" w:eastAsia="Arial" w:hAnsi="Arial"/>
          <w:sz w:val="20"/>
          <w:szCs w:val="20"/>
          <w:color w:val="auto"/>
        </w:rPr>
        <w:t>Three Months Ended</w:t>
      </w:r>
    </w:p>
    <w:p>
      <w:pPr>
        <w:spacing w:after="0" w:line="20" w:lineRule="exact"/>
        <w:rPr>
          <w:sz w:val="20"/>
          <w:szCs w:val="20"/>
          <w:color w:val="auto"/>
        </w:rPr>
      </w:pPr>
    </w:p>
    <w:p>
      <w:pPr>
        <w:jc w:val="center"/>
        <w:ind w:left="7740"/>
        <w:spacing w:after="0"/>
        <w:rPr>
          <w:sz w:val="20"/>
          <w:szCs w:val="20"/>
          <w:color w:val="auto"/>
        </w:rPr>
      </w:pPr>
      <w:r>
        <w:rPr>
          <w:rFonts w:ascii="Arial" w:cs="Arial" w:eastAsia="Arial" w:hAnsi="Arial"/>
          <w:sz w:val="20"/>
          <w:szCs w:val="20"/>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6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2017</w:t>
            </w:r>
          </w:p>
        </w:tc>
        <w:tc>
          <w:tcPr>
            <w:tcW w:w="18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2016</w:t>
            </w:r>
          </w:p>
        </w:tc>
        <w:tc>
          <w:tcPr>
            <w:tcW w:w="58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7"/>
        </w:trPr>
        <w:tc>
          <w:tcPr>
            <w:tcW w:w="7860" w:type="dxa"/>
            <w:vAlign w:val="bottom"/>
          </w:tcPr>
          <w:p>
            <w:pPr>
              <w:spacing w:after="0"/>
              <w:rPr>
                <w:sz w:val="19"/>
                <w:szCs w:val="19"/>
                <w:color w:val="auto"/>
              </w:rPr>
            </w:pPr>
          </w:p>
        </w:tc>
        <w:tc>
          <w:tcPr>
            <w:tcW w:w="2860" w:type="dxa"/>
            <w:vAlign w:val="bottom"/>
            <w:gridSpan w:val="4"/>
          </w:tcPr>
          <w:p>
            <w:pPr>
              <w:jc w:val="right"/>
              <w:ind w:right="340"/>
              <w:spacing w:after="0" w:line="228" w:lineRule="exact"/>
              <w:rPr>
                <w:sz w:val="20"/>
                <w:szCs w:val="20"/>
                <w:color w:val="auto"/>
              </w:rPr>
            </w:pPr>
            <w:r>
              <w:rPr>
                <w:rFonts w:ascii="Arial" w:cs="Arial" w:eastAsia="Arial" w:hAnsi="Arial"/>
                <w:sz w:val="20"/>
                <w:szCs w:val="20"/>
                <w:i w:val="1"/>
                <w:iCs w:val="1"/>
                <w:color w:val="auto"/>
              </w:rPr>
              <w:t>(Tons in Thousands)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9"/>
        </w:trPr>
        <w:tc>
          <w:tcPr>
            <w:tcW w:w="8860" w:type="dxa"/>
            <w:vAlign w:val="bottom"/>
            <w:gridSpan w:val="2"/>
          </w:tcPr>
          <w:p>
            <w:pPr>
              <w:spacing w:after="0"/>
              <w:rPr>
                <w:sz w:val="20"/>
                <w:szCs w:val="20"/>
                <w:color w:val="auto"/>
              </w:rPr>
            </w:pPr>
            <w:r>
              <w:rPr>
                <w:rFonts w:ascii="Arial" w:cs="Arial" w:eastAsia="Arial" w:hAnsi="Arial"/>
                <w:sz w:val="20"/>
                <w:szCs w:val="20"/>
                <w:b w:val="1"/>
                <w:bCs w:val="1"/>
                <w:color w:val="auto"/>
              </w:rPr>
              <w:t>Shipments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6"/>
        </w:trPr>
        <w:tc>
          <w:tcPr>
            <w:tcW w:w="8860" w:type="dxa"/>
            <w:vAlign w:val="bottom"/>
            <w:gridSpan w:val="2"/>
          </w:tcPr>
          <w:p>
            <w:pPr>
              <w:ind w:left="260"/>
              <w:spacing w:after="0"/>
              <w:rPr>
                <w:sz w:val="20"/>
                <w:szCs w:val="20"/>
                <w:color w:val="auto"/>
              </w:rPr>
            </w:pPr>
            <w:r>
              <w:rPr>
                <w:rFonts w:ascii="Arial" w:cs="Arial" w:eastAsia="Arial" w:hAnsi="Arial"/>
                <w:sz w:val="20"/>
                <w:szCs w:val="20"/>
                <w:color w:val="auto"/>
              </w:rPr>
              <w:t>Mid-America Group</w:t>
            </w:r>
          </w:p>
        </w:tc>
        <w:tc>
          <w:tcPr>
            <w:tcW w:w="580" w:type="dxa"/>
            <w:vAlign w:val="bottom"/>
          </w:tcPr>
          <w:p>
            <w:pPr>
              <w:jc w:val="right"/>
              <w:spacing w:after="0"/>
              <w:rPr>
                <w:sz w:val="20"/>
                <w:szCs w:val="20"/>
                <w:color w:val="auto"/>
              </w:rPr>
            </w:pPr>
            <w:r>
              <w:rPr>
                <w:rFonts w:ascii="Arial" w:cs="Arial" w:eastAsia="Arial" w:hAnsi="Arial"/>
                <w:sz w:val="20"/>
                <w:szCs w:val="20"/>
                <w:color w:val="auto"/>
                <w:w w:val="88"/>
              </w:rPr>
              <w:t>12,738</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88"/>
              </w:rPr>
              <w:t>12,938</w:t>
            </w:r>
          </w:p>
        </w:tc>
        <w:tc>
          <w:tcPr>
            <w:tcW w:w="120" w:type="dxa"/>
            <w:vAlign w:val="bottom"/>
          </w:tcPr>
          <w:p>
            <w:pPr>
              <w:spacing w:after="0"/>
              <w:rPr>
                <w:sz w:val="21"/>
                <w:szCs w:val="21"/>
                <w:color w:val="auto"/>
              </w:rPr>
            </w:pPr>
          </w:p>
        </w:tc>
      </w:tr>
      <w:tr>
        <w:trPr>
          <w:trHeight w:val="243"/>
        </w:trPr>
        <w:tc>
          <w:tcPr>
            <w:tcW w:w="886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5,028</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4,318</w:t>
            </w:r>
          </w:p>
        </w:tc>
        <w:tc>
          <w:tcPr>
            <w:tcW w:w="120" w:type="dxa"/>
            <w:vAlign w:val="bottom"/>
            <w:shd w:val="clear" w:color="auto" w:fill="CFF0FC"/>
          </w:tcPr>
          <w:p>
            <w:pPr>
              <w:spacing w:after="0"/>
              <w:rPr>
                <w:sz w:val="21"/>
                <w:szCs w:val="21"/>
                <w:color w:val="auto"/>
              </w:rPr>
            </w:pPr>
          </w:p>
        </w:tc>
      </w:tr>
      <w:tr>
        <w:trPr>
          <w:trHeight w:val="243"/>
        </w:trPr>
        <w:tc>
          <w:tcPr>
            <w:tcW w:w="8860" w:type="dxa"/>
            <w:vAlign w:val="bottom"/>
            <w:gridSpan w:val="2"/>
          </w:tcPr>
          <w:p>
            <w:pPr>
              <w:ind w:left="260"/>
              <w:spacing w:after="0"/>
              <w:rPr>
                <w:sz w:val="20"/>
                <w:szCs w:val="20"/>
                <w:color w:val="auto"/>
              </w:rPr>
            </w:pPr>
            <w:r>
              <w:rPr>
                <w:rFonts w:ascii="Arial" w:cs="Arial" w:eastAsia="Arial" w:hAnsi="Arial"/>
                <w:sz w:val="20"/>
                <w:szCs w:val="20"/>
                <w:color w:val="auto"/>
              </w:rPr>
              <w:t>West Group</w:t>
            </w:r>
          </w:p>
        </w:tc>
        <w:tc>
          <w:tcPr>
            <w:tcW w:w="580" w:type="dxa"/>
            <w:vAlign w:val="bottom"/>
          </w:tcPr>
          <w:p>
            <w:pPr>
              <w:jc w:val="right"/>
              <w:spacing w:after="0"/>
              <w:rPr>
                <w:sz w:val="20"/>
                <w:szCs w:val="20"/>
                <w:color w:val="auto"/>
              </w:rPr>
            </w:pPr>
            <w:r>
              <w:rPr>
                <w:rFonts w:ascii="Arial" w:cs="Arial" w:eastAsia="Arial" w:hAnsi="Arial"/>
                <w:sz w:val="20"/>
                <w:szCs w:val="20"/>
                <w:color w:val="auto"/>
                <w:w w:val="88"/>
              </w:rPr>
              <w:t>14,845</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88"/>
              </w:rPr>
              <w:t>15,425</w:t>
            </w:r>
          </w:p>
        </w:tc>
        <w:tc>
          <w:tcPr>
            <w:tcW w:w="120" w:type="dxa"/>
            <w:vAlign w:val="bottom"/>
          </w:tcPr>
          <w:p>
            <w:pPr>
              <w:spacing w:after="0"/>
              <w:rPr>
                <w:sz w:val="21"/>
                <w:szCs w:val="21"/>
                <w:color w:val="auto"/>
              </w:rPr>
            </w:pPr>
          </w:p>
        </w:tc>
      </w:tr>
      <w:tr>
        <w:trPr>
          <w:trHeight w:val="237"/>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Aggregates Product Line</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8"/>
              </w:rPr>
              <w:t>32,611</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8"/>
              </w:rPr>
              <w:t>32,681</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28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2017</w:t>
      </w:r>
    </w:p>
    <w:p>
      <w:pPr>
        <w:jc w:val="center"/>
        <w:spacing w:after="0"/>
        <w:rPr>
          <w:sz w:val="20"/>
          <w:szCs w:val="20"/>
          <w:color w:val="auto"/>
        </w:rPr>
      </w:pPr>
      <w:r>
        <w:rPr>
          <w:rFonts w:ascii="Arial" w:cs="Arial" w:eastAsia="Arial" w:hAnsi="Arial"/>
          <w:sz w:val="20"/>
          <w:szCs w:val="20"/>
          <w:color w:val="auto"/>
        </w:rPr>
        <w:t>(Continued)</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shipments data for the Building Materials business by product line.</w:t>
      </w:r>
    </w:p>
    <w:p>
      <w:pPr>
        <w:spacing w:after="0" w:line="243" w:lineRule="exact"/>
        <w:rPr>
          <w:sz w:val="20"/>
          <w:szCs w:val="20"/>
          <w:color w:val="auto"/>
        </w:rPr>
      </w:pPr>
    </w:p>
    <w:p>
      <w:pPr>
        <w:jc w:val="center"/>
        <w:ind w:left="7360"/>
        <w:spacing w:after="0"/>
        <w:rPr>
          <w:sz w:val="20"/>
          <w:szCs w:val="20"/>
          <w:color w:val="auto"/>
        </w:rPr>
      </w:pPr>
      <w:r>
        <w:rPr>
          <w:rFonts w:ascii="Arial" w:cs="Arial" w:eastAsia="Arial" w:hAnsi="Arial"/>
          <w:sz w:val="20"/>
          <w:szCs w:val="20"/>
          <w:color w:val="auto"/>
        </w:rPr>
        <w:t>Three Months Ended</w:t>
      </w:r>
    </w:p>
    <w:p>
      <w:pPr>
        <w:spacing w:after="0" w:line="20" w:lineRule="exact"/>
        <w:rPr>
          <w:sz w:val="20"/>
          <w:szCs w:val="20"/>
          <w:color w:val="auto"/>
        </w:rPr>
      </w:pPr>
    </w:p>
    <w:p>
      <w:pPr>
        <w:jc w:val="center"/>
        <w:ind w:left="7360"/>
        <w:spacing w:after="0"/>
        <w:rPr>
          <w:sz w:val="20"/>
          <w:szCs w:val="20"/>
          <w:color w:val="auto"/>
        </w:rPr>
      </w:pPr>
      <w:r>
        <w:rPr>
          <w:rFonts w:ascii="Arial" w:cs="Arial" w:eastAsia="Arial" w:hAnsi="Arial"/>
          <w:sz w:val="20"/>
          <w:szCs w:val="20"/>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80" w:type="dxa"/>
            <w:vAlign w:val="bottom"/>
            <w:gridSpan w:val="2"/>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2017</w:t>
            </w:r>
          </w:p>
        </w:tc>
        <w:tc>
          <w:tcPr>
            <w:tcW w:w="6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color w:val="auto"/>
                <w:w w:val="89"/>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856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Shipments</w:t>
            </w:r>
          </w:p>
        </w:tc>
        <w:tc>
          <w:tcPr>
            <w:tcW w:w="1640" w:type="dxa"/>
            <w:vAlign w:val="bottom"/>
            <w:gridSpan w:val="3"/>
          </w:tcPr>
          <w:p>
            <w:pPr>
              <w:ind w:left="20"/>
              <w:spacing w:after="0"/>
              <w:rPr>
                <w:sz w:val="20"/>
                <w:szCs w:val="20"/>
                <w:color w:val="auto"/>
              </w:rPr>
            </w:pPr>
            <w:r>
              <w:rPr>
                <w:rFonts w:ascii="Arial" w:cs="Arial" w:eastAsia="Arial" w:hAnsi="Arial"/>
                <w:sz w:val="20"/>
                <w:szCs w:val="20"/>
                <w:i w:val="1"/>
                <w:iCs w:val="1"/>
                <w:color w:val="auto"/>
                <w:w w:val="87"/>
              </w:rPr>
              <w:t>(Tons in Thousands)</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560" w:type="dxa"/>
            <w:vAlign w:val="bottom"/>
            <w:gridSpan w:val="3"/>
            <w:vMerge w:val="continue"/>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Aggregates Product Line (in thousands):</w:t>
            </w:r>
          </w:p>
        </w:tc>
        <w:tc>
          <w:tcPr>
            <w:tcW w:w="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20"/>
                <w:szCs w:val="20"/>
                <w:color w:val="auto"/>
              </w:rPr>
              <w:t>Tons to external customers</w:t>
            </w:r>
          </w:p>
        </w:tc>
        <w:tc>
          <w:tcPr>
            <w:tcW w:w="680" w:type="dxa"/>
            <w:vAlign w:val="bottom"/>
          </w:tcPr>
          <w:p>
            <w:pPr>
              <w:jc w:val="right"/>
              <w:spacing w:after="0"/>
              <w:rPr>
                <w:sz w:val="20"/>
                <w:szCs w:val="20"/>
                <w:color w:val="auto"/>
              </w:rPr>
            </w:pPr>
            <w:r>
              <w:rPr>
                <w:rFonts w:ascii="Arial" w:cs="Arial" w:eastAsia="Arial" w:hAnsi="Arial"/>
                <w:sz w:val="20"/>
                <w:szCs w:val="20"/>
                <w:color w:val="auto"/>
              </w:rPr>
              <w:t>30,418</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30,760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Internal tons used in other product lines</w:t>
            </w: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2,193</w:t>
            </w: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1,921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480" w:type="dxa"/>
            <w:vAlign w:val="bottom"/>
            <w:gridSpan w:val="2"/>
          </w:tcPr>
          <w:p>
            <w:pPr>
              <w:spacing w:after="0"/>
              <w:rPr>
                <w:sz w:val="20"/>
                <w:szCs w:val="20"/>
                <w:color w:val="auto"/>
              </w:rPr>
            </w:pPr>
            <w:r>
              <w:rPr>
                <w:rFonts w:ascii="Arial" w:cs="Arial" w:eastAsia="Arial" w:hAnsi="Arial"/>
                <w:sz w:val="20"/>
                <w:szCs w:val="20"/>
                <w:color w:val="auto"/>
              </w:rPr>
              <w:t>Total aggregates tons</w:t>
            </w:r>
          </w:p>
        </w:tc>
        <w:tc>
          <w:tcPr>
            <w:tcW w:w="10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32,611</w:t>
            </w:r>
          </w:p>
        </w:tc>
        <w:tc>
          <w:tcPr>
            <w:tcW w:w="300" w:type="dxa"/>
            <w:vAlign w:val="bottom"/>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32,681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460" w:type="dxa"/>
            <w:vAlign w:val="bottom"/>
            <w:tcBorders>
              <w:top w:val="single" w:sz="8" w:color="CFF0FC"/>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40" w:type="dxa"/>
            <w:vAlign w:val="bottom"/>
            <w:gridSpan w:val="2"/>
          </w:tcPr>
          <w:p>
            <w:pPr>
              <w:spacing w:after="0"/>
              <w:rPr>
                <w:sz w:val="20"/>
                <w:szCs w:val="20"/>
                <w:color w:val="auto"/>
              </w:rPr>
            </w:pPr>
            <w:r>
              <w:rPr>
                <w:rFonts w:ascii="Arial" w:cs="Arial" w:eastAsia="Arial" w:hAnsi="Arial"/>
                <w:sz w:val="20"/>
                <w:szCs w:val="20"/>
                <w:color w:val="auto"/>
              </w:rPr>
              <w:t>Cement (in thousands):</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gridSpan w:val="2"/>
            <w:shd w:val="clear" w:color="auto" w:fill="CFF0FC"/>
          </w:tcPr>
          <w:p>
            <w:pPr>
              <w:ind w:left="120"/>
              <w:spacing w:after="0"/>
              <w:rPr>
                <w:sz w:val="20"/>
                <w:szCs w:val="20"/>
                <w:color w:val="auto"/>
              </w:rPr>
            </w:pPr>
            <w:r>
              <w:rPr>
                <w:rFonts w:ascii="Arial" w:cs="Arial" w:eastAsia="Arial" w:hAnsi="Arial"/>
                <w:sz w:val="20"/>
                <w:szCs w:val="20"/>
                <w:color w:val="auto"/>
              </w:rPr>
              <w:t>Tons to external customers</w:t>
            </w: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606</w:t>
            </w: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gridSpan w:val="2"/>
          </w:tcPr>
          <w:p>
            <w:pPr>
              <w:ind w:left="120"/>
              <w:spacing w:after="0"/>
              <w:rPr>
                <w:sz w:val="20"/>
                <w:szCs w:val="20"/>
                <w:color w:val="auto"/>
              </w:rPr>
            </w:pPr>
            <w:r>
              <w:rPr>
                <w:rFonts w:ascii="Arial" w:cs="Arial" w:eastAsia="Arial" w:hAnsi="Arial"/>
                <w:sz w:val="20"/>
                <w:szCs w:val="20"/>
                <w:color w:val="auto"/>
              </w:rPr>
              <w:t>Internal tons used in ready mixed concrete</w:t>
            </w:r>
          </w:p>
        </w:tc>
        <w:tc>
          <w:tcPr>
            <w:tcW w:w="680" w:type="dxa"/>
            <w:vAlign w:val="bottom"/>
          </w:tcPr>
          <w:p>
            <w:pPr>
              <w:jc w:val="right"/>
              <w:spacing w:after="0"/>
              <w:rPr>
                <w:sz w:val="20"/>
                <w:szCs w:val="20"/>
                <w:color w:val="auto"/>
              </w:rPr>
            </w:pPr>
            <w:r>
              <w:rPr>
                <w:rFonts w:ascii="Arial" w:cs="Arial" w:eastAsia="Arial" w:hAnsi="Arial"/>
                <w:sz w:val="20"/>
                <w:szCs w:val="20"/>
                <w:color w:val="auto"/>
              </w:rPr>
              <w:t>299</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272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cement tons</w:t>
            </w:r>
          </w:p>
        </w:tc>
        <w:tc>
          <w:tcPr>
            <w:tcW w:w="108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905</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957</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7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Ready Mixed Concrete (in thousands of cubic yards)</w:t>
            </w: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2,056</w:t>
            </w: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1,786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7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Asphalt (in thousands):</w:t>
            </w:r>
          </w:p>
        </w:tc>
        <w:tc>
          <w:tcPr>
            <w:tcW w:w="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20"/>
                <w:szCs w:val="20"/>
                <w:color w:val="auto"/>
              </w:rPr>
              <w:t>Tons to external customers</w:t>
            </w:r>
          </w:p>
        </w:tc>
        <w:tc>
          <w:tcPr>
            <w:tcW w:w="680" w:type="dxa"/>
            <w:vAlign w:val="bottom"/>
          </w:tcPr>
          <w:p>
            <w:pPr>
              <w:jc w:val="right"/>
              <w:spacing w:after="0"/>
              <w:rPr>
                <w:sz w:val="20"/>
                <w:szCs w:val="20"/>
                <w:color w:val="auto"/>
              </w:rPr>
            </w:pPr>
            <w:r>
              <w:rPr>
                <w:rFonts w:ascii="Arial" w:cs="Arial" w:eastAsia="Arial" w:hAnsi="Arial"/>
                <w:sz w:val="20"/>
                <w:szCs w:val="20"/>
                <w:color w:val="auto"/>
              </w:rPr>
              <w:t>153</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Internal tons used in paving business</w:t>
            </w: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124</w:t>
            </w: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80" w:type="dxa"/>
            <w:vAlign w:val="bottom"/>
            <w:gridSpan w:val="2"/>
          </w:tcPr>
          <w:p>
            <w:pPr>
              <w:spacing w:after="0"/>
              <w:rPr>
                <w:sz w:val="20"/>
                <w:szCs w:val="20"/>
                <w:color w:val="auto"/>
              </w:rPr>
            </w:pPr>
            <w:r>
              <w:rPr>
                <w:rFonts w:ascii="Arial" w:cs="Arial" w:eastAsia="Arial" w:hAnsi="Arial"/>
                <w:sz w:val="20"/>
                <w:szCs w:val="20"/>
                <w:color w:val="auto"/>
              </w:rPr>
              <w:t>Total asphalt tons</w:t>
            </w:r>
          </w:p>
        </w:tc>
        <w:tc>
          <w:tcPr>
            <w:tcW w:w="10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277</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For the quarter, shipments to the infrastructure market comprised 37% of aggregates product line volumes. The percentage of shipments going into the infrastructure market remains below the Corporation’s five-year average, attributable to continued under-investment in the nation’s infrastructure and greater private sector nonresidential and residential investments. Also, infrastructure construction activity saw little first-quarter benefit from the Fixing America’s Surface Transportation, or FAST Act. Management expects increased federal, state and local infrastructure activity as the year progresses and the construction season begins in earnest.</w:t>
      </w:r>
    </w:p>
    <w:p>
      <w:pPr>
        <w:spacing w:after="0" w:line="7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nonresidential market represented 32% of first-quarter aggregates product line shipments. The light nonresidential market, which consists primarily of office and retail construction, increased for the quarter; however, lower heavy nonresidential activity, which includes industrial building as well as energy and energy-related construction, was lower, resulting in a 5.0% decrease in overall nonresidential shipments. In-line with management’s expectations, the decline in heavy nonresidential was primarily due to the completion in 2016 of several large energy-related projects in the West Group that were not immediately replaced in the first quarter 2017 and also a more typical start to the Mid-America Group’s construction season.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2017</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residential market accounted for 22% of aggregates product line shipments for the first quarter. Volumes to this segment increased 27%, driven by continued strength in housing across the Corporation’s geographic footprint. Florida, Texas, North Carolina and Georgia, key geographies for the Building Materials business, comprised the top four states for single family housing starts as of February 2017. Additionally, on the metro-level, Austin, Atlanta, Charlotte, Dallas, Orlando, Tampa and Raleigh comprised the top seven for single family unit starts, with all but Dallas experiencing double-digit growth.</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ChemRock/Rail market accounted for the remaining 9% of aggregates product line volumes. The volume decline in this market principally reflects reduced ballast shipments.</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Aggregates product line shipments were relatively flat compared with a record-breaking first quarter 2016; however, the Southeast Group’s volume increased 16.4%. The Mid-America and West Groups shipment decreases of 1.5% and 3.8%, respectively, are relatively modest against a very strong early 2016. Including shipments from acquired businesses, ready mixed concrete shipments increased 15%. Total cement shipments decreased 5.4%, again, versus a challenging prior year comparison. The cement product line has backlog of approximately $98 million and $90 million as of March 31, 2017 and December 31, 2016,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The average selling price by product line for the Building Materials business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20" w:type="dxa"/>
            <w:vAlign w:val="bottom"/>
            <w:gridSpan w:val="4"/>
          </w:tcPr>
          <w:p>
            <w:pPr>
              <w:jc w:val="center"/>
              <w:ind w:right="460"/>
              <w:spacing w:after="0"/>
              <w:rPr>
                <w:sz w:val="20"/>
                <w:szCs w:val="20"/>
                <w:color w:val="auto"/>
              </w:rPr>
            </w:pPr>
            <w:r>
              <w:rPr>
                <w:rFonts w:ascii="Arial" w:cs="Arial" w:eastAsia="Arial" w:hAnsi="Arial"/>
                <w:sz w:val="20"/>
                <w:szCs w:val="20"/>
                <w:color w:val="auto"/>
                <w:w w:val="89"/>
              </w:rPr>
              <w:t>Three Months Ended</w:t>
            </w: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6"/>
        </w:trPr>
        <w:tc>
          <w:tcPr>
            <w:tcW w:w="57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2"/>
          </w:tcPr>
          <w:p>
            <w:pPr>
              <w:jc w:val="center"/>
              <w:ind w:right="960"/>
              <w:spacing w:after="0"/>
              <w:rPr>
                <w:sz w:val="20"/>
                <w:szCs w:val="20"/>
                <w:color w:val="auto"/>
              </w:rPr>
            </w:pPr>
            <w:r>
              <w:rPr>
                <w:rFonts w:ascii="Arial" w:cs="Arial" w:eastAsia="Arial" w:hAnsi="Arial"/>
                <w:sz w:val="20"/>
                <w:szCs w:val="20"/>
                <w:color w:val="auto"/>
                <w:w w:val="89"/>
              </w:rPr>
              <w:t>March 31,</w:t>
            </w:r>
          </w:p>
        </w:tc>
        <w:tc>
          <w:tcPr>
            <w:tcW w:w="13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r>
      <w:tr>
        <w:trPr>
          <w:trHeight w:val="237"/>
        </w:trPr>
        <w:tc>
          <w:tcPr>
            <w:tcW w:w="57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2017</w:t>
            </w: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2016</w:t>
            </w:r>
          </w:p>
        </w:tc>
        <w:tc>
          <w:tcPr>
            <w:tcW w:w="38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rPr>
              <w:t>% Change</w:t>
            </w:r>
          </w:p>
        </w:tc>
        <w:tc>
          <w:tcPr>
            <w:tcW w:w="260" w:type="dxa"/>
            <w:vAlign w:val="bottom"/>
            <w:tcBorders>
              <w:bottom w:val="single" w:sz="8" w:color="CFF0FC"/>
            </w:tcBorders>
          </w:tcPr>
          <w:p>
            <w:pPr>
              <w:spacing w:after="0"/>
              <w:rPr>
                <w:sz w:val="20"/>
                <w:szCs w:val="20"/>
                <w:color w:val="auto"/>
              </w:rPr>
            </w:pPr>
          </w:p>
        </w:tc>
      </w:tr>
      <w:tr>
        <w:trPr>
          <w:trHeight w:val="237"/>
        </w:trPr>
        <w:tc>
          <w:tcPr>
            <w:tcW w:w="5700" w:type="dxa"/>
            <w:vAlign w:val="bottom"/>
            <w:shd w:val="clear" w:color="auto" w:fill="CFF0FC"/>
          </w:tcPr>
          <w:p>
            <w:pPr>
              <w:spacing w:after="0"/>
              <w:rPr>
                <w:sz w:val="20"/>
                <w:szCs w:val="20"/>
                <w:color w:val="auto"/>
              </w:rPr>
            </w:pPr>
            <w:r>
              <w:rPr>
                <w:rFonts w:ascii="Arial" w:cs="Arial" w:eastAsia="Arial" w:hAnsi="Arial"/>
                <w:sz w:val="20"/>
                <w:szCs w:val="20"/>
                <w:color w:val="auto"/>
              </w:rPr>
              <w:t>Aggregates (per ton)</w:t>
            </w:r>
          </w:p>
        </w:tc>
        <w:tc>
          <w:tcPr>
            <w:tcW w:w="1120" w:type="dxa"/>
            <w:vAlign w:val="bottom"/>
            <w:shd w:val="clear" w:color="auto" w:fill="CFF0FC"/>
          </w:tcPr>
          <w:p>
            <w:pPr>
              <w:jc w:val="right"/>
              <w:ind w:right="921"/>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13.73</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13.04</w:t>
            </w:r>
          </w:p>
        </w:tc>
        <w:tc>
          <w:tcPr>
            <w:tcW w:w="38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5.3%</w:t>
            </w:r>
          </w:p>
        </w:tc>
      </w:tr>
      <w:tr>
        <w:trPr>
          <w:trHeight w:val="243"/>
        </w:trPr>
        <w:tc>
          <w:tcPr>
            <w:tcW w:w="5700" w:type="dxa"/>
            <w:vAlign w:val="bottom"/>
          </w:tcPr>
          <w:p>
            <w:pPr>
              <w:spacing w:after="0"/>
              <w:rPr>
                <w:sz w:val="20"/>
                <w:szCs w:val="20"/>
                <w:color w:val="auto"/>
              </w:rPr>
            </w:pPr>
            <w:r>
              <w:rPr>
                <w:rFonts w:ascii="Arial" w:cs="Arial" w:eastAsia="Arial" w:hAnsi="Arial"/>
                <w:sz w:val="20"/>
                <w:szCs w:val="20"/>
                <w:color w:val="auto"/>
              </w:rPr>
              <w:t>Cement (per ton)</w:t>
            </w:r>
          </w:p>
        </w:tc>
        <w:tc>
          <w:tcPr>
            <w:tcW w:w="1120" w:type="dxa"/>
            <w:vAlign w:val="bottom"/>
          </w:tcPr>
          <w:p>
            <w:pPr>
              <w:jc w:val="right"/>
              <w:ind w:right="921"/>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102.54</w:t>
            </w:r>
          </w:p>
        </w:tc>
        <w:tc>
          <w:tcPr>
            <w:tcW w:w="50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100.04</w:t>
            </w:r>
          </w:p>
        </w:tc>
        <w:tc>
          <w:tcPr>
            <w:tcW w:w="38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20"/>
                <w:szCs w:val="20"/>
                <w:color w:val="auto"/>
              </w:rPr>
              <w:t>2.5%</w:t>
            </w:r>
          </w:p>
        </w:tc>
      </w:tr>
      <w:tr>
        <w:trPr>
          <w:trHeight w:val="243"/>
        </w:trPr>
        <w:tc>
          <w:tcPr>
            <w:tcW w:w="5700" w:type="dxa"/>
            <w:vAlign w:val="bottom"/>
            <w:shd w:val="clear" w:color="auto" w:fill="CFF0FC"/>
          </w:tcPr>
          <w:p>
            <w:pPr>
              <w:spacing w:after="0"/>
              <w:rPr>
                <w:sz w:val="20"/>
                <w:szCs w:val="20"/>
                <w:color w:val="auto"/>
              </w:rPr>
            </w:pPr>
            <w:r>
              <w:rPr>
                <w:rFonts w:ascii="Arial" w:cs="Arial" w:eastAsia="Arial" w:hAnsi="Arial"/>
                <w:sz w:val="20"/>
                <w:szCs w:val="20"/>
                <w:color w:val="auto"/>
              </w:rPr>
              <w:t>Ready Mixed Concrete (per cubic yard)</w:t>
            </w:r>
          </w:p>
        </w:tc>
        <w:tc>
          <w:tcPr>
            <w:tcW w:w="1120" w:type="dxa"/>
            <w:vAlign w:val="bottom"/>
            <w:shd w:val="clear" w:color="auto" w:fill="CFF0FC"/>
          </w:tcPr>
          <w:p>
            <w:pPr>
              <w:jc w:val="right"/>
              <w:ind w:right="921"/>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105.84</w:t>
            </w:r>
          </w:p>
        </w:tc>
        <w:tc>
          <w:tcPr>
            <w:tcW w:w="500" w:type="dxa"/>
            <w:vAlign w:val="bottom"/>
            <w:gridSpan w:val="2"/>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102.45</w:t>
            </w:r>
          </w:p>
        </w:tc>
        <w:tc>
          <w:tcPr>
            <w:tcW w:w="3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3.3%</w:t>
            </w:r>
          </w:p>
        </w:tc>
      </w:tr>
      <w:tr>
        <w:trPr>
          <w:trHeight w:val="250"/>
        </w:trPr>
        <w:tc>
          <w:tcPr>
            <w:tcW w:w="5700" w:type="dxa"/>
            <w:vAlign w:val="bottom"/>
          </w:tcPr>
          <w:p>
            <w:pPr>
              <w:spacing w:after="0"/>
              <w:rPr>
                <w:sz w:val="20"/>
                <w:szCs w:val="20"/>
                <w:color w:val="auto"/>
              </w:rPr>
            </w:pPr>
            <w:r>
              <w:rPr>
                <w:rFonts w:ascii="Arial" w:cs="Arial" w:eastAsia="Arial" w:hAnsi="Arial"/>
                <w:sz w:val="20"/>
                <w:szCs w:val="20"/>
                <w:color w:val="auto"/>
              </w:rPr>
              <w:t>Asphalt (per ton)</w:t>
            </w:r>
          </w:p>
        </w:tc>
        <w:tc>
          <w:tcPr>
            <w:tcW w:w="1120" w:type="dxa"/>
            <w:vAlign w:val="bottom"/>
          </w:tcPr>
          <w:p>
            <w:pPr>
              <w:jc w:val="right"/>
              <w:ind w:right="921"/>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37.97</w:t>
            </w:r>
          </w:p>
        </w:tc>
        <w:tc>
          <w:tcPr>
            <w:tcW w:w="50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42.62</w:t>
            </w:r>
          </w:p>
        </w:tc>
        <w:tc>
          <w:tcPr>
            <w:tcW w:w="380" w:type="dxa"/>
            <w:vAlign w:val="bottom"/>
          </w:tcPr>
          <w:p>
            <w:pPr>
              <w:spacing w:after="0"/>
              <w:rPr>
                <w:sz w:val="21"/>
                <w:szCs w:val="21"/>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0"/>
                <w:szCs w:val="20"/>
                <w:color w:val="auto"/>
              </w:rPr>
              <w:t>(10.9)%</w:t>
            </w:r>
          </w:p>
        </w:tc>
      </w:tr>
    </w:tbl>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Solid pricing growth across the product lines and geographies reinforces management’s view of the healthy, underlying demand fundamentals that underpin the Building Materials business. Aggregates pricing gains of 5.3% led all product lines in the first quarter. The cement product line reported renewed pricing growth in advance of the announced $8.00 per ton price increase effective April 1, 2017.</w:t>
      </w:r>
    </w:p>
    <w:p>
      <w:pPr>
        <w:spacing w:after="0" w:line="44"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Building Materials business is significantly affected by weather patterns and seasonal changes. Production and shipment levels for aggregates, cement, ready mixed concrete and asphalt and paving materials correlate with general construction activity levels, most of which occurs in the spring, summer and fall. Thus, production and shipment levels vary by quarter. Operations concentrated in the northern and midwestern United States generally experience more severe winter weather conditions than operations in the southeast and southwest. Excessive rainfall, and conversely excessive drought, can also jeopardize shipments, production and profitability in all markets served by the Corporation. Because of the potentially significant impact of weather on the Corporation’s operations, current period and year to date results are not indicative of expected performance for other interim periods or the full year.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30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2017</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Magnesia Specialties reported first-quarter net sales of $63.3 million compared with $59.5 million, reflecting growth in both the chemicals and lime product lines. Gross profit for the first quarter was $22.3 million compared to $23.0 million and earnings from operations were $19.9 million compared to $20.6 million. Production costs outpaced net sales increases due to higher natural gas prices and planned and unplanned maintenance costs at the Woodville and Manistee plants.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Profit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presents a rollforward of consolidated gross profit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4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Consolidated gross profit, quarter ended March 31, 2016</w:t>
            </w:r>
          </w:p>
        </w:tc>
        <w:tc>
          <w:tcPr>
            <w:tcW w:w="6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145,250</w:t>
            </w:r>
          </w:p>
        </w:tc>
        <w:tc>
          <w:tcPr>
            <w:tcW w:w="100" w:type="dxa"/>
            <w:vAlign w:val="bottom"/>
            <w:tcBorders>
              <w:bottom w:val="single" w:sz="8" w:color="CFF0FC"/>
            </w:tcBorders>
          </w:tcPr>
          <w:p>
            <w:pPr>
              <w:spacing w:after="0"/>
              <w:rPr>
                <w:sz w:val="21"/>
                <w:szCs w:val="21"/>
                <w:color w:val="auto"/>
              </w:rPr>
            </w:pPr>
          </w:p>
        </w:tc>
      </w:tr>
      <w:tr>
        <w:trPr>
          <w:trHeight w:val="237"/>
        </w:trPr>
        <w:tc>
          <w:tcPr>
            <w:tcW w:w="9400" w:type="dxa"/>
            <w:vAlign w:val="bottom"/>
            <w:shd w:val="clear" w:color="auto" w:fill="CFF0FC"/>
          </w:tcPr>
          <w:p>
            <w:pPr>
              <w:spacing w:after="0"/>
              <w:rPr>
                <w:sz w:val="20"/>
                <w:szCs w:val="20"/>
                <w:color w:val="auto"/>
              </w:rPr>
            </w:pPr>
            <w:r>
              <w:rPr>
                <w:rFonts w:ascii="Arial" w:cs="Arial" w:eastAsia="Arial" w:hAnsi="Arial"/>
                <w:sz w:val="20"/>
                <w:szCs w:val="20"/>
                <w:color w:val="auto"/>
              </w:rPr>
              <w:t>Aggregates product line:</w:t>
            </w:r>
          </w:p>
        </w:tc>
        <w:tc>
          <w:tcPr>
            <w:tcW w:w="6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9400" w:type="dxa"/>
            <w:vAlign w:val="bottom"/>
          </w:tcPr>
          <w:p>
            <w:pPr>
              <w:ind w:left="260"/>
              <w:spacing w:after="0"/>
              <w:rPr>
                <w:sz w:val="20"/>
                <w:szCs w:val="20"/>
                <w:color w:val="auto"/>
              </w:rPr>
            </w:pPr>
            <w:r>
              <w:rPr>
                <w:rFonts w:ascii="Arial" w:cs="Arial" w:eastAsia="Arial" w:hAnsi="Arial"/>
                <w:sz w:val="20"/>
                <w:szCs w:val="20"/>
                <w:color w:val="auto"/>
              </w:rPr>
              <w:t>Volume</w:t>
            </w:r>
          </w:p>
        </w:tc>
        <w:tc>
          <w:tcPr>
            <w:tcW w:w="68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20"/>
                <w:szCs w:val="20"/>
                <w:color w:val="auto"/>
              </w:rPr>
              <w:t>(909)</w:t>
            </w:r>
          </w:p>
        </w:tc>
      </w:tr>
      <w:tr>
        <w:trPr>
          <w:trHeight w:val="243"/>
        </w:trPr>
        <w:tc>
          <w:tcPr>
            <w:tcW w:w="94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Pricing</w:t>
            </w:r>
          </w:p>
        </w:tc>
        <w:tc>
          <w:tcPr>
            <w:tcW w:w="6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22,425</w:t>
            </w:r>
          </w:p>
        </w:tc>
        <w:tc>
          <w:tcPr>
            <w:tcW w:w="100" w:type="dxa"/>
            <w:vAlign w:val="bottom"/>
            <w:shd w:val="clear" w:color="auto" w:fill="CFF0FC"/>
          </w:tcPr>
          <w:p>
            <w:pPr>
              <w:spacing w:after="0"/>
              <w:rPr>
                <w:sz w:val="21"/>
                <w:szCs w:val="21"/>
                <w:color w:val="auto"/>
              </w:rPr>
            </w:pPr>
          </w:p>
        </w:tc>
      </w:tr>
      <w:tr>
        <w:trPr>
          <w:trHeight w:val="243"/>
        </w:trPr>
        <w:tc>
          <w:tcPr>
            <w:tcW w:w="9400" w:type="dxa"/>
            <w:vAlign w:val="bottom"/>
          </w:tcPr>
          <w:p>
            <w:pPr>
              <w:ind w:left="260"/>
              <w:spacing w:after="0"/>
              <w:rPr>
                <w:sz w:val="20"/>
                <w:szCs w:val="20"/>
                <w:color w:val="auto"/>
              </w:rPr>
            </w:pPr>
            <w:r>
              <w:rPr>
                <w:rFonts w:ascii="Arial" w:cs="Arial" w:eastAsia="Arial" w:hAnsi="Arial"/>
                <w:sz w:val="20"/>
                <w:szCs w:val="20"/>
                <w:color w:val="auto"/>
              </w:rPr>
              <w:t>Cost increases, net</w:t>
            </w:r>
          </w:p>
        </w:tc>
        <w:tc>
          <w:tcPr>
            <w:tcW w:w="68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20"/>
                <w:szCs w:val="20"/>
                <w:color w:val="auto"/>
              </w:rPr>
              <w:t>(24,274)</w:t>
            </w:r>
          </w:p>
        </w:tc>
      </w:tr>
      <w:tr>
        <w:trPr>
          <w:trHeight w:val="237"/>
        </w:trPr>
        <w:tc>
          <w:tcPr>
            <w:tcW w:w="9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Change in aggregates product line gross profit</w:t>
            </w:r>
          </w:p>
        </w:tc>
        <w:tc>
          <w:tcPr>
            <w:tcW w:w="6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(2,758)</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9400" w:type="dxa"/>
            <w:vAlign w:val="bottom"/>
          </w:tcPr>
          <w:p>
            <w:pPr>
              <w:spacing w:after="0"/>
              <w:rPr>
                <w:sz w:val="20"/>
                <w:szCs w:val="20"/>
                <w:color w:val="auto"/>
              </w:rPr>
            </w:pPr>
            <w:r>
              <w:rPr>
                <w:rFonts w:ascii="Arial" w:cs="Arial" w:eastAsia="Arial" w:hAnsi="Arial"/>
                <w:sz w:val="20"/>
                <w:szCs w:val="20"/>
                <w:color w:val="auto"/>
              </w:rPr>
              <w:t>Vertically-integrated product lines</w:t>
            </w:r>
          </w:p>
        </w:tc>
        <w:tc>
          <w:tcPr>
            <w:tcW w:w="6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1,674</w:t>
            </w:r>
          </w:p>
        </w:tc>
        <w:tc>
          <w:tcPr>
            <w:tcW w:w="100" w:type="dxa"/>
            <w:vAlign w:val="bottom"/>
          </w:tcPr>
          <w:p>
            <w:pPr>
              <w:spacing w:after="0"/>
              <w:rPr>
                <w:sz w:val="21"/>
                <w:szCs w:val="21"/>
                <w:color w:val="auto"/>
              </w:rPr>
            </w:pPr>
          </w:p>
        </w:tc>
      </w:tr>
      <w:tr>
        <w:trPr>
          <w:trHeight w:val="243"/>
        </w:trPr>
        <w:tc>
          <w:tcPr>
            <w:tcW w:w="940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6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(683)</w:t>
            </w:r>
          </w:p>
        </w:tc>
      </w:tr>
      <w:tr>
        <w:trPr>
          <w:trHeight w:val="243"/>
        </w:trPr>
        <w:tc>
          <w:tcPr>
            <w:tcW w:w="94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Corporate</w:t>
            </w:r>
          </w:p>
        </w:tc>
        <w:tc>
          <w:tcPr>
            <w:tcW w:w="6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3,584</w:t>
            </w:r>
          </w:p>
        </w:tc>
        <w:tc>
          <w:tcPr>
            <w:tcW w:w="100" w:type="dxa"/>
            <w:vAlign w:val="bottom"/>
            <w:tcBorders>
              <w:bottom w:val="single" w:sz="8" w:color="CFF0FC"/>
            </w:tcBorders>
          </w:tcPr>
          <w:p>
            <w:pPr>
              <w:spacing w:after="0"/>
              <w:rPr>
                <w:sz w:val="21"/>
                <w:szCs w:val="21"/>
                <w:color w:val="auto"/>
              </w:rPr>
            </w:pPr>
          </w:p>
        </w:tc>
      </w:tr>
      <w:tr>
        <w:trPr>
          <w:trHeight w:val="237"/>
        </w:trPr>
        <w:tc>
          <w:tcPr>
            <w:tcW w:w="9400" w:type="dxa"/>
            <w:vAlign w:val="bottom"/>
            <w:shd w:val="clear" w:color="auto" w:fill="CFF0FC"/>
          </w:tcPr>
          <w:p>
            <w:pPr>
              <w:spacing w:after="0"/>
              <w:rPr>
                <w:sz w:val="20"/>
                <w:szCs w:val="20"/>
                <w:color w:val="auto"/>
              </w:rPr>
            </w:pPr>
            <w:r>
              <w:rPr>
                <w:rFonts w:ascii="Arial" w:cs="Arial" w:eastAsia="Arial" w:hAnsi="Arial"/>
                <w:sz w:val="20"/>
                <w:szCs w:val="20"/>
                <w:color w:val="auto"/>
              </w:rPr>
              <w:t>Change in consolidated gross profit</w:t>
            </w:r>
          </w:p>
        </w:tc>
        <w:tc>
          <w:tcPr>
            <w:tcW w:w="6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1,817</w:t>
            </w:r>
          </w:p>
        </w:tc>
        <w:tc>
          <w:tcPr>
            <w:tcW w:w="100" w:type="dxa"/>
            <w:vAlign w:val="bottom"/>
            <w:shd w:val="clear" w:color="auto" w:fill="CFF0FC"/>
          </w:tcPr>
          <w:p>
            <w:pPr>
              <w:spacing w:after="0"/>
              <w:rPr>
                <w:sz w:val="20"/>
                <w:szCs w:val="20"/>
                <w:color w:val="auto"/>
              </w:rPr>
            </w:pPr>
          </w:p>
        </w:tc>
      </w:tr>
      <w:tr>
        <w:trPr>
          <w:trHeight w:val="237"/>
        </w:trPr>
        <w:tc>
          <w:tcPr>
            <w:tcW w:w="9400" w:type="dxa"/>
            <w:vAlign w:val="bottom"/>
          </w:tcPr>
          <w:p>
            <w:pPr>
              <w:spacing w:after="0"/>
              <w:rPr>
                <w:sz w:val="20"/>
                <w:szCs w:val="20"/>
                <w:color w:val="auto"/>
              </w:rPr>
            </w:pPr>
            <w:r>
              <w:rPr>
                <w:rFonts w:ascii="Arial" w:cs="Arial" w:eastAsia="Arial" w:hAnsi="Arial"/>
                <w:sz w:val="20"/>
                <w:szCs w:val="20"/>
                <w:color w:val="auto"/>
              </w:rPr>
              <w:t>Consolidated gross profit, quarter ended March 31, 2017</w:t>
            </w:r>
          </w:p>
        </w:tc>
        <w:tc>
          <w:tcPr>
            <w:tcW w:w="6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147,067</w:t>
            </w:r>
          </w:p>
        </w:tc>
        <w:tc>
          <w:tcPr>
            <w:tcW w:w="100" w:type="dxa"/>
            <w:vAlign w:val="bottom"/>
          </w:tcPr>
          <w:p>
            <w:pPr>
              <w:spacing w:after="0"/>
              <w:rPr>
                <w:sz w:val="20"/>
                <w:szCs w:val="20"/>
                <w:color w:val="auto"/>
              </w:rPr>
            </w:pPr>
          </w:p>
        </w:tc>
      </w:tr>
      <w:tr>
        <w:trPr>
          <w:trHeight w:val="20"/>
        </w:trPr>
        <w:tc>
          <w:tcPr>
            <w:tcW w:w="9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60" w:type="dxa"/>
            <w:vAlign w:val="bottom"/>
            <w:gridSpan w:val="3"/>
          </w:tcPr>
          <w:p>
            <w:pPr>
              <w:spacing w:after="0"/>
              <w:rPr>
                <w:sz w:val="20"/>
                <w:szCs w:val="20"/>
                <w:color w:val="auto"/>
              </w:rPr>
            </w:pPr>
            <w:r>
              <w:rPr>
                <w:rFonts w:ascii="Arial" w:cs="Arial" w:eastAsia="Arial" w:hAnsi="Arial"/>
                <w:sz w:val="20"/>
                <w:szCs w:val="20"/>
                <w:color w:val="auto"/>
              </w:rPr>
              <w:t>Gross profit (loss) by business is as follows:</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60" w:type="dxa"/>
            <w:vAlign w:val="bottom"/>
            <w:gridSpan w:val="3"/>
          </w:tcPr>
          <w:p>
            <w:pPr>
              <w:jc w:val="center"/>
              <w:spacing w:after="0"/>
              <w:rPr>
                <w:sz w:val="20"/>
                <w:szCs w:val="20"/>
                <w:color w:val="auto"/>
              </w:rPr>
            </w:pPr>
            <w:r>
              <w:rPr>
                <w:rFonts w:ascii="Arial" w:cs="Arial" w:eastAsia="Arial" w:hAnsi="Arial"/>
                <w:sz w:val="20"/>
                <w:szCs w:val="20"/>
                <w:color w:val="auto"/>
                <w:w w:val="89"/>
              </w:rPr>
              <w:t>Three Months Ended</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89"/>
              </w:rPr>
              <w:t>March 31,</w:t>
            </w:r>
          </w:p>
        </w:tc>
        <w:tc>
          <w:tcPr>
            <w:tcW w:w="1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2017</w:t>
            </w:r>
          </w:p>
        </w:tc>
        <w:tc>
          <w:tcPr>
            <w:tcW w:w="9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941"/>
              <w:spacing w:after="0"/>
              <w:rPr>
                <w:sz w:val="20"/>
                <w:szCs w:val="20"/>
                <w:color w:val="auto"/>
              </w:rPr>
            </w:pPr>
            <w:r>
              <w:rPr>
                <w:rFonts w:ascii="Arial" w:cs="Arial" w:eastAsia="Arial" w:hAnsi="Arial"/>
                <w:sz w:val="20"/>
                <w:szCs w:val="20"/>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760" w:type="dxa"/>
            <w:vAlign w:val="bottom"/>
            <w:gridSpan w:val="3"/>
            <w:vMerge w:val="restart"/>
          </w:tcPr>
          <w:p>
            <w:pPr>
              <w:spacing w:after="0"/>
              <w:rPr>
                <w:sz w:val="20"/>
                <w:szCs w:val="20"/>
                <w:color w:val="auto"/>
              </w:rPr>
            </w:pPr>
            <w:r>
              <w:rPr>
                <w:rFonts w:ascii="Arial" w:cs="Arial" w:eastAsia="Arial" w:hAnsi="Arial"/>
                <w:sz w:val="20"/>
                <w:szCs w:val="20"/>
                <w:color w:val="auto"/>
              </w:rPr>
              <w:t>Gross profit (loss):</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160" w:type="dxa"/>
            <w:vAlign w:val="bottom"/>
            <w:gridSpan w:val="3"/>
          </w:tcPr>
          <w:p>
            <w:pPr>
              <w:jc w:val="center"/>
              <w:spacing w:after="0"/>
              <w:rPr>
                <w:sz w:val="20"/>
                <w:szCs w:val="20"/>
                <w:color w:val="auto"/>
              </w:rPr>
            </w:pPr>
            <w:r>
              <w:rPr>
                <w:rFonts w:ascii="Arial" w:cs="Arial" w:eastAsia="Arial" w:hAnsi="Arial"/>
                <w:sz w:val="20"/>
                <w:szCs w:val="20"/>
                <w:i w:val="1"/>
                <w:iCs w:val="1"/>
                <w:color w:val="auto"/>
                <w:w w:val="91"/>
              </w:rPr>
              <w:t>(Dollars in Thousands)</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760" w:type="dxa"/>
            <w:vAlign w:val="bottom"/>
            <w:gridSpan w:val="3"/>
            <w:vMerge w:val="continue"/>
          </w:tcPr>
          <w:p>
            <w:pPr>
              <w:spacing w:after="0"/>
              <w:rPr>
                <w:sz w:val="16"/>
                <w:szCs w:val="16"/>
                <w:color w:val="auto"/>
              </w:rPr>
            </w:pPr>
          </w:p>
        </w:tc>
        <w:tc>
          <w:tcPr>
            <w:tcW w:w="1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12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Arial" w:cs="Arial" w:eastAsia="Arial" w:hAnsi="Arial"/>
                <w:sz w:val="20"/>
                <w:szCs w:val="20"/>
                <w:color w:val="auto"/>
              </w:rPr>
              <w:t>Aggregates</w:t>
            </w:r>
          </w:p>
        </w:tc>
        <w:tc>
          <w:tcPr>
            <w:tcW w:w="2820" w:type="dxa"/>
            <w:vAlign w:val="bottom"/>
            <w:gridSpan w:val="2"/>
          </w:tcPr>
          <w:p>
            <w:pPr>
              <w:jc w:val="right"/>
              <w:ind w:right="136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79,278</w:t>
            </w:r>
          </w:p>
        </w:tc>
        <w:tc>
          <w:tcPr>
            <w:tcW w:w="380" w:type="dxa"/>
            <w:vAlign w:val="bottom"/>
          </w:tcPr>
          <w:p>
            <w:pPr>
              <w:spacing w:after="0"/>
              <w:rPr>
                <w:sz w:val="21"/>
                <w:szCs w:val="21"/>
                <w:color w:val="auto"/>
              </w:rPr>
            </w:pPr>
          </w:p>
        </w:tc>
        <w:tc>
          <w:tcPr>
            <w:tcW w:w="880" w:type="dxa"/>
            <w:vAlign w:val="bottom"/>
          </w:tcPr>
          <w:p>
            <w:pPr>
              <w:jc w:val="right"/>
              <w:ind w:right="681"/>
              <w:spacing w:after="0"/>
              <w:rPr>
                <w:sz w:val="20"/>
                <w:szCs w:val="20"/>
                <w:color w:val="auto"/>
              </w:rPr>
            </w:pPr>
            <w:r>
              <w:rPr>
                <w:rFonts w:ascii="Arial" w:cs="Arial" w:eastAsia="Arial" w:hAnsi="Arial"/>
                <w:sz w:val="20"/>
                <w:szCs w:val="20"/>
                <w:color w:val="auto"/>
                <w:w w:val="71"/>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82,036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Cement</w:t>
            </w:r>
          </w:p>
        </w:tc>
        <w:tc>
          <w:tcPr>
            <w:tcW w:w="12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30,910</w:t>
            </w: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32,615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Arial" w:cs="Arial" w:eastAsia="Arial" w:hAnsi="Arial"/>
                <w:sz w:val="20"/>
                <w:szCs w:val="20"/>
                <w:color w:val="auto"/>
              </w:rPr>
              <w:t>Ready Mixed Concrete</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19,793</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17,900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Asphalt and Paving</w:t>
            </w:r>
          </w:p>
        </w:tc>
        <w:tc>
          <w:tcPr>
            <w:tcW w:w="12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320"/>
              <w:spacing w:after="0"/>
              <w:rPr>
                <w:sz w:val="20"/>
                <w:szCs w:val="20"/>
                <w:color w:val="auto"/>
              </w:rPr>
            </w:pPr>
            <w:r>
              <w:rPr>
                <w:rFonts w:ascii="Arial" w:cs="Arial" w:eastAsia="Arial" w:hAnsi="Arial"/>
                <w:sz w:val="20"/>
                <w:szCs w:val="20"/>
                <w:color w:val="auto"/>
              </w:rPr>
              <w:t>(4,790)</w:t>
            </w:r>
          </w:p>
        </w:tc>
        <w:tc>
          <w:tcPr>
            <w:tcW w:w="88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(6,276)</w:t>
            </w:r>
          </w:p>
        </w:tc>
        <w:tc>
          <w:tcPr>
            <w:tcW w:w="0" w:type="dxa"/>
            <w:vAlign w:val="bottom"/>
          </w:tcPr>
          <w:p>
            <w:pPr>
              <w:spacing w:after="0"/>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20"/>
                <w:szCs w:val="20"/>
                <w:color w:val="auto"/>
              </w:rPr>
              <w:t>Total Building Materials Business</w:t>
            </w:r>
          </w:p>
        </w:tc>
        <w:tc>
          <w:tcPr>
            <w:tcW w:w="126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125,191</w:t>
            </w:r>
          </w:p>
        </w:tc>
        <w:tc>
          <w:tcPr>
            <w:tcW w:w="3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126,275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2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22,315</w:t>
            </w: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22,998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spacing w:after="0"/>
              <w:rPr>
                <w:sz w:val="20"/>
                <w:szCs w:val="20"/>
                <w:color w:val="auto"/>
              </w:rPr>
            </w:pPr>
            <w:r>
              <w:rPr>
                <w:rFonts w:ascii="Arial" w:cs="Arial" w:eastAsia="Arial" w:hAnsi="Arial"/>
                <w:sz w:val="20"/>
                <w:szCs w:val="20"/>
                <w:color w:val="auto"/>
              </w:rPr>
              <w:t>Corporate</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20"/>
                <w:szCs w:val="20"/>
                <w:color w:val="auto"/>
              </w:rPr>
              <w:t>(439)</w:t>
            </w:r>
          </w:p>
        </w:tc>
        <w:tc>
          <w:tcPr>
            <w:tcW w:w="880" w:type="dxa"/>
            <w:vAlign w:val="bottom"/>
          </w:tcPr>
          <w:p>
            <w:pPr>
              <w:spacing w:after="0"/>
              <w:rPr>
                <w:sz w:val="21"/>
                <w:szCs w:val="21"/>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20"/>
                <w:szCs w:val="20"/>
                <w:color w:val="auto"/>
              </w:rPr>
              <w:t>(4,023)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Borders>
              <w:top w:val="single" w:sz="8" w:color="CFF0FD"/>
              <w:bottom w:val="single" w:sz="8" w:color="CFF0FD"/>
            </w:tcBorders>
            <w:gridSpan w:val="2"/>
            <w:shd w:val="clear" w:color="auto" w:fill="CFF0FD"/>
          </w:tcPr>
          <w:p>
            <w:pPr>
              <w:spacing w:after="0"/>
              <w:rPr>
                <w:sz w:val="20"/>
                <w:szCs w:val="20"/>
                <w:color w:val="auto"/>
              </w:rPr>
            </w:pPr>
            <w:r>
              <w:rPr>
                <w:rFonts w:ascii="Arial" w:cs="Arial" w:eastAsia="Arial" w:hAnsi="Arial"/>
                <w:sz w:val="20"/>
                <w:szCs w:val="20"/>
                <w:color w:val="auto"/>
              </w:rPr>
              <w:t>Total</w:t>
            </w:r>
          </w:p>
        </w:tc>
        <w:tc>
          <w:tcPr>
            <w:tcW w:w="1260" w:type="dxa"/>
            <w:vAlign w:val="bottom"/>
            <w:tcBorders>
              <w:top w:val="single" w:sz="8" w:color="CFF0FD"/>
              <w:bottom w:val="single" w:sz="8" w:color="CFF0FD"/>
            </w:tcBorders>
            <w:shd w:val="clear" w:color="auto" w:fill="CFF0FD"/>
          </w:tcPr>
          <w:p>
            <w:pPr>
              <w:spacing w:after="0"/>
              <w:rPr>
                <w:sz w:val="20"/>
                <w:szCs w:val="20"/>
                <w:color w:val="auto"/>
              </w:rPr>
            </w:pPr>
          </w:p>
        </w:tc>
        <w:tc>
          <w:tcPr>
            <w:tcW w:w="1560" w:type="dxa"/>
            <w:vAlign w:val="bottom"/>
            <w:tcBorders>
              <w:top w:val="single" w:sz="8" w:color="auto"/>
              <w:bottom w:val="single" w:sz="8" w:color="auto"/>
            </w:tcBorders>
            <w:shd w:val="clear" w:color="auto" w:fill="CFF0FD"/>
          </w:tcPr>
          <w:p>
            <w:pPr>
              <w:jc w:val="right"/>
              <w:ind w:right="1361"/>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shd w:val="clear" w:color="auto" w:fill="CFF0FD"/>
          </w:tcPr>
          <w:p>
            <w:pPr>
              <w:jc w:val="right"/>
              <w:spacing w:after="0"/>
              <w:rPr>
                <w:sz w:val="20"/>
                <w:szCs w:val="20"/>
                <w:color w:val="auto"/>
              </w:rPr>
            </w:pPr>
            <w:r>
              <w:rPr>
                <w:rFonts w:ascii="Arial" w:cs="Arial" w:eastAsia="Arial" w:hAnsi="Arial"/>
                <w:sz w:val="20"/>
                <w:szCs w:val="20"/>
                <w:color w:val="auto"/>
              </w:rPr>
              <w:t>147,067</w:t>
            </w:r>
          </w:p>
        </w:tc>
        <w:tc>
          <w:tcPr>
            <w:tcW w:w="380" w:type="dxa"/>
            <w:vAlign w:val="bottom"/>
            <w:tcBorders>
              <w:top w:val="single" w:sz="8" w:color="CFF0FD"/>
              <w:bottom w:val="single" w:sz="8" w:color="CFF0FD"/>
            </w:tcBorders>
            <w:shd w:val="clear" w:color="auto" w:fill="CFF0FD"/>
          </w:tcPr>
          <w:p>
            <w:pPr>
              <w:spacing w:after="0"/>
              <w:rPr>
                <w:sz w:val="20"/>
                <w:szCs w:val="20"/>
                <w:color w:val="auto"/>
              </w:rPr>
            </w:pPr>
          </w:p>
        </w:tc>
        <w:tc>
          <w:tcPr>
            <w:tcW w:w="880" w:type="dxa"/>
            <w:vAlign w:val="bottom"/>
            <w:tcBorders>
              <w:top w:val="single" w:sz="8" w:color="auto"/>
              <w:bottom w:val="single" w:sz="8" w:color="auto"/>
            </w:tcBorders>
            <w:shd w:val="clear" w:color="auto" w:fill="CFF0FD"/>
          </w:tcPr>
          <w:p>
            <w:pPr>
              <w:jc w:val="right"/>
              <w:ind w:right="681"/>
              <w:spacing w:after="0"/>
              <w:rPr>
                <w:sz w:val="20"/>
                <w:szCs w:val="20"/>
                <w:color w:val="auto"/>
              </w:rPr>
            </w:pPr>
            <w:r>
              <w:rPr>
                <w:rFonts w:ascii="Arial" w:cs="Arial" w:eastAsia="Arial" w:hAnsi="Arial"/>
                <w:sz w:val="20"/>
                <w:szCs w:val="20"/>
                <w:color w:val="auto"/>
                <w:w w:val="71"/>
              </w:rPr>
              <w:t>$</w:t>
            </w:r>
          </w:p>
        </w:tc>
        <w:tc>
          <w:tcPr>
            <w:tcW w:w="1580" w:type="dxa"/>
            <w:vAlign w:val="bottom"/>
            <w:tcBorders>
              <w:top w:val="single" w:sz="8" w:color="auto"/>
              <w:bottom w:val="single" w:sz="8" w:color="auto"/>
            </w:tcBorders>
            <w:shd w:val="clear" w:color="auto" w:fill="CFF0FD"/>
          </w:tcPr>
          <w:p>
            <w:pPr>
              <w:jc w:val="right"/>
              <w:spacing w:after="0"/>
              <w:rPr>
                <w:sz w:val="20"/>
                <w:szCs w:val="20"/>
                <w:color w:val="auto"/>
              </w:rPr>
            </w:pPr>
            <w:r>
              <w:rPr>
                <w:rFonts w:ascii="Arial" w:cs="Arial" w:eastAsia="Arial" w:hAnsi="Arial"/>
                <w:sz w:val="20"/>
                <w:szCs w:val="20"/>
                <w:color w:val="auto"/>
              </w:rPr>
              <w:t>145,250</w:t>
            </w:r>
          </w:p>
        </w:tc>
        <w:tc>
          <w:tcPr>
            <w:tcW w:w="100" w:type="dxa"/>
            <w:vAlign w:val="bottom"/>
            <w:tcBorders>
              <w:top w:val="single" w:sz="8" w:color="CFF0FD"/>
              <w:bottom w:val="single" w:sz="8" w:color="CFF0FD"/>
            </w:tcBorders>
            <w:shd w:val="clear" w:color="auto" w:fill="CFF0F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31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2017</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consolidated gross margin (excluding freight and delivery revenues) for the quarter was 18.6%, a 120-basis-point decline compared with the prior-year quarter. Gross margin (excluding freight and delivery revenues) for the Building Materials business was 17.2%, reflecting a greater share of total sales in the quarter from both the Corporation’s long-haul and vertically-integrated markets. The reduction in gross margin of 150 basis points also reflects the investment made in preparation for the higher demand expected through the balance of the year, the fixed cost nature of the business during a seasonally lower volume quarter and carefully executed inventory management plans. Cement kiln maintenance costs were $4.2 million for the quarter compared with $5.6 million.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Consolidated SG&amp;A was 8.8% of net sales compared with 7.9% in the prior-year quarter. The increase of 90 basis points reflects a higher first-quarter accrual rate related to incentive compensation costs compared with the prior-year quarter. Earnings from operations for the quarter were $77.2 million compared with $86.0 million in the prior-year quarter.</w:t>
      </w:r>
    </w:p>
    <w:p>
      <w:pPr>
        <w:spacing w:after="0" w:line="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Among other items, other operating income and expenses, net, includes gains and losses on the sale of assets; recoveries and writeoffs related to customer accounts receivable; rental, royalty and services income; accretion expense, depreciation expense and gains and losses related to asset retirement obligations. For the first quarter, consolidated other operating income and expenses, net, was an expense of $0.4 million and $0.6 million in 2017 and 2016, respectively.</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Other nonoperating income and expenses, net, includes pension and postretirement benefit cost, excluding service cost; foreign currency transaction gains and losses; interest; equity adjustments for nonconsolidated affiliates and other miscellaneous income. For the first quarter, nonoperating income and expenses, net, was income of $0.5 million in 2017 and expense of $1.2 million in 2016. The increase is attributable to higher income earned from nonconsolidated affiliates.</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estimated effective income tax rate for the quarter was 25.6%, which, as a result of the adoption of ASU 2016-09 (see Note 1), reflects a 400 basis point favorable impact from excess tax benefits related to stock-based compensation, which are treated as discrete events effective January 1, 2017.</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Cash provided by operating activities for the three months ended March 31, 2017 was $74.0 million compared with $68.3 million for the same period in 2016. Operating cash flow is primarily derived from consolidated net earnings before deducting depreciation, depletion and amortization, and the impact of changes in working capital. Depreciation, depletion and amortization were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2900" w:type="dxa"/>
            <w:vAlign w:val="bottom"/>
            <w:gridSpan w:val="4"/>
          </w:tcPr>
          <w:p>
            <w:pPr>
              <w:jc w:val="center"/>
              <w:ind w:left="461"/>
              <w:spacing w:after="0"/>
              <w:rPr>
                <w:sz w:val="20"/>
                <w:szCs w:val="20"/>
                <w:color w:val="auto"/>
              </w:rPr>
            </w:pPr>
            <w:r>
              <w:rPr>
                <w:rFonts w:ascii="Arial" w:cs="Arial" w:eastAsia="Arial" w:hAnsi="Arial"/>
                <w:sz w:val="20"/>
                <w:szCs w:val="20"/>
                <w:color w:val="auto"/>
                <w:w w:val="88"/>
              </w:rPr>
              <w:t>Three Months Ended</w:t>
            </w:r>
          </w:p>
        </w:tc>
        <w:tc>
          <w:tcPr>
            <w:tcW w:w="680" w:type="dxa"/>
            <w:vAlign w:val="bottom"/>
          </w:tcPr>
          <w:p>
            <w:pPr>
              <w:spacing w:after="0"/>
              <w:rPr>
                <w:sz w:val="21"/>
                <w:szCs w:val="21"/>
                <w:color w:val="auto"/>
              </w:rPr>
            </w:pPr>
          </w:p>
        </w:tc>
      </w:tr>
      <w:tr>
        <w:trPr>
          <w:trHeight w:val="246"/>
        </w:trPr>
        <w:tc>
          <w:tcPr>
            <w:tcW w:w="44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center"/>
              <w:ind w:right="361"/>
              <w:spacing w:after="0"/>
              <w:rPr>
                <w:sz w:val="20"/>
                <w:szCs w:val="20"/>
                <w:color w:val="auto"/>
              </w:rPr>
            </w:pPr>
            <w:r>
              <w:rPr>
                <w:rFonts w:ascii="Arial" w:cs="Arial" w:eastAsia="Arial" w:hAnsi="Arial"/>
                <w:sz w:val="20"/>
                <w:szCs w:val="20"/>
                <w:color w:val="auto"/>
                <w:w w:val="92"/>
              </w:rPr>
              <w:t>March 31,</w:t>
            </w:r>
          </w:p>
        </w:tc>
        <w:tc>
          <w:tcPr>
            <w:tcW w:w="680" w:type="dxa"/>
            <w:vAlign w:val="bottom"/>
            <w:tcBorders>
              <w:bottom w:val="single" w:sz="8" w:color="auto"/>
            </w:tcBorders>
          </w:tcPr>
          <w:p>
            <w:pPr>
              <w:spacing w:after="0"/>
              <w:rPr>
                <w:sz w:val="21"/>
                <w:szCs w:val="21"/>
                <w:color w:val="auto"/>
              </w:rPr>
            </w:pPr>
          </w:p>
        </w:tc>
      </w:tr>
      <w:tr>
        <w:trPr>
          <w:trHeight w:val="237"/>
        </w:trPr>
        <w:tc>
          <w:tcPr>
            <w:tcW w:w="4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2017</w:t>
            </w:r>
          </w:p>
        </w:tc>
        <w:tc>
          <w:tcPr>
            <w:tcW w:w="7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2016</w:t>
            </w:r>
          </w:p>
        </w:tc>
        <w:tc>
          <w:tcPr>
            <w:tcW w:w="680" w:type="dxa"/>
            <w:vAlign w:val="bottom"/>
            <w:tcBorders>
              <w:bottom w:val="single" w:sz="8" w:color="auto"/>
            </w:tcBorders>
          </w:tcPr>
          <w:p>
            <w:pPr>
              <w:spacing w:after="0"/>
              <w:rPr>
                <w:sz w:val="20"/>
                <w:szCs w:val="20"/>
                <w:color w:val="auto"/>
              </w:rPr>
            </w:pPr>
          </w:p>
        </w:tc>
      </w:tr>
      <w:tr>
        <w:trPr>
          <w:trHeight w:val="233"/>
        </w:trPr>
        <w:tc>
          <w:tcPr>
            <w:tcW w:w="4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900" w:type="dxa"/>
            <w:vAlign w:val="bottom"/>
            <w:gridSpan w:val="4"/>
          </w:tcPr>
          <w:p>
            <w:pPr>
              <w:jc w:val="center"/>
              <w:ind w:left="461"/>
              <w:spacing w:after="0"/>
              <w:rPr>
                <w:sz w:val="20"/>
                <w:szCs w:val="20"/>
                <w:color w:val="auto"/>
              </w:rPr>
            </w:pPr>
            <w:r>
              <w:rPr>
                <w:rFonts w:ascii="Arial" w:cs="Arial" w:eastAsia="Arial" w:hAnsi="Arial"/>
                <w:sz w:val="20"/>
                <w:szCs w:val="20"/>
                <w:i w:val="1"/>
                <w:iCs w:val="1"/>
                <w:color w:val="auto"/>
                <w:w w:val="92"/>
              </w:rPr>
              <w:t>(Dollars in Thousands)</w:t>
            </w:r>
          </w:p>
        </w:tc>
        <w:tc>
          <w:tcPr>
            <w:tcW w:w="680" w:type="dxa"/>
            <w:vAlign w:val="bottom"/>
          </w:tcPr>
          <w:p>
            <w:pPr>
              <w:spacing w:after="0"/>
              <w:rPr>
                <w:sz w:val="20"/>
                <w:szCs w:val="20"/>
                <w:color w:val="auto"/>
              </w:rPr>
            </w:pPr>
          </w:p>
        </w:tc>
      </w:tr>
      <w:tr>
        <w:trPr>
          <w:trHeight w:val="246"/>
        </w:trPr>
        <w:tc>
          <w:tcPr>
            <w:tcW w:w="4460" w:type="dxa"/>
            <w:vAlign w:val="bottom"/>
          </w:tcPr>
          <w:p>
            <w:pPr>
              <w:spacing w:after="0"/>
              <w:rPr>
                <w:sz w:val="20"/>
                <w:szCs w:val="20"/>
                <w:color w:val="auto"/>
              </w:rPr>
            </w:pPr>
            <w:r>
              <w:rPr>
                <w:rFonts w:ascii="Arial" w:cs="Arial" w:eastAsia="Arial" w:hAnsi="Arial"/>
                <w:sz w:val="20"/>
                <w:szCs w:val="20"/>
                <w:color w:val="auto"/>
              </w:rPr>
              <w:t>Depreciation</w:t>
            </w:r>
          </w:p>
        </w:tc>
        <w:tc>
          <w:tcPr>
            <w:tcW w:w="4400" w:type="dxa"/>
            <w:vAlign w:val="bottom"/>
            <w:gridSpan w:val="2"/>
          </w:tcPr>
          <w:p>
            <w:pPr>
              <w:jc w:val="right"/>
              <w:ind w:right="821"/>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21"/>
              <w:spacing w:after="0"/>
              <w:rPr>
                <w:sz w:val="20"/>
                <w:szCs w:val="20"/>
                <w:color w:val="auto"/>
              </w:rPr>
            </w:pPr>
            <w:r>
              <w:rPr>
                <w:rFonts w:ascii="Arial" w:cs="Arial" w:eastAsia="Arial" w:hAnsi="Arial"/>
                <w:sz w:val="20"/>
                <w:szCs w:val="20"/>
                <w:color w:val="auto"/>
                <w:w w:val="91"/>
              </w:rPr>
              <w:t>62,988</w:t>
            </w:r>
          </w:p>
        </w:tc>
        <w:tc>
          <w:tcPr>
            <w:tcW w:w="1180" w:type="dxa"/>
            <w:vAlign w:val="bottom"/>
            <w:gridSpan w:val="2"/>
          </w:tcPr>
          <w:p>
            <w:pPr>
              <w:jc w:val="right"/>
              <w:ind w:right="801"/>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21"/>
              <w:spacing w:after="0"/>
              <w:rPr>
                <w:sz w:val="20"/>
                <w:szCs w:val="20"/>
                <w:color w:val="auto"/>
              </w:rPr>
            </w:pPr>
            <w:r>
              <w:rPr>
                <w:rFonts w:ascii="Arial" w:cs="Arial" w:eastAsia="Arial" w:hAnsi="Arial"/>
                <w:sz w:val="20"/>
                <w:szCs w:val="20"/>
                <w:color w:val="auto"/>
                <w:w w:val="88"/>
              </w:rPr>
              <w:t>61,353</w:t>
            </w:r>
          </w:p>
        </w:tc>
      </w:tr>
      <w:tr>
        <w:trPr>
          <w:trHeight w:val="243"/>
        </w:trPr>
        <w:tc>
          <w:tcPr>
            <w:tcW w:w="4460" w:type="dxa"/>
            <w:vAlign w:val="bottom"/>
            <w:shd w:val="clear" w:color="auto" w:fill="CFF0FC"/>
          </w:tcPr>
          <w:p>
            <w:pPr>
              <w:spacing w:after="0"/>
              <w:rPr>
                <w:sz w:val="20"/>
                <w:szCs w:val="20"/>
                <w:color w:val="auto"/>
              </w:rPr>
            </w:pPr>
            <w:r>
              <w:rPr>
                <w:rFonts w:ascii="Arial" w:cs="Arial" w:eastAsia="Arial" w:hAnsi="Arial"/>
                <w:sz w:val="20"/>
                <w:szCs w:val="20"/>
                <w:color w:val="auto"/>
              </w:rPr>
              <w:t>Depletion</w:t>
            </w:r>
          </w:p>
        </w:tc>
        <w:tc>
          <w:tcPr>
            <w:tcW w:w="33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3,436</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3,236</w:t>
            </w:r>
          </w:p>
        </w:tc>
      </w:tr>
      <w:tr>
        <w:trPr>
          <w:trHeight w:val="243"/>
        </w:trPr>
        <w:tc>
          <w:tcPr>
            <w:tcW w:w="44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Amortization</w:t>
            </w:r>
          </w:p>
        </w:tc>
        <w:tc>
          <w:tcPr>
            <w:tcW w:w="3380" w:type="dxa"/>
            <w:vAlign w:val="bottom"/>
            <w:tcBorders>
              <w:bottom w:val="single" w:sz="8" w:color="CFF0FC"/>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3,952</w:t>
            </w:r>
          </w:p>
        </w:tc>
        <w:tc>
          <w:tcPr>
            <w:tcW w:w="18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3,821</w:t>
            </w:r>
          </w:p>
        </w:tc>
      </w:tr>
      <w:tr>
        <w:trPr>
          <w:trHeight w:val="237"/>
        </w:trPr>
        <w:tc>
          <w:tcPr>
            <w:tcW w:w="4460" w:type="dxa"/>
            <w:vAlign w:val="bottom"/>
            <w:tcBorders>
              <w:bottom w:val="single" w:sz="8" w:color="CFF0FC"/>
            </w:tcBorders>
            <w:shd w:val="clear" w:color="auto" w:fill="CFF0FC"/>
          </w:tcPr>
          <w:p>
            <w:pPr>
              <w:spacing w:after="0"/>
              <w:rPr>
                <w:sz w:val="20"/>
                <w:szCs w:val="20"/>
                <w:color w:val="auto"/>
              </w:rPr>
            </w:pPr>
          </w:p>
        </w:tc>
        <w:tc>
          <w:tcPr>
            <w:tcW w:w="33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21"/>
              <w:spacing w:after="0"/>
              <w:rPr>
                <w:sz w:val="20"/>
                <w:szCs w:val="20"/>
                <w:color w:val="auto"/>
              </w:rPr>
            </w:pPr>
            <w:r>
              <w:rPr>
                <w:rFonts w:ascii="Arial" w:cs="Arial" w:eastAsia="Arial" w:hAnsi="Arial"/>
                <w:sz w:val="20"/>
                <w:szCs w:val="20"/>
                <w:color w:val="auto"/>
                <w:w w:val="71"/>
              </w:rPr>
              <w:t>$</w:t>
            </w:r>
          </w:p>
        </w:tc>
        <w:tc>
          <w:tcPr>
            <w:tcW w:w="70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91"/>
              </w:rPr>
              <w:t>70,376</w:t>
            </w:r>
          </w:p>
        </w:tc>
        <w:tc>
          <w:tcPr>
            <w:tcW w:w="1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801"/>
              <w:spacing w:after="0"/>
              <w:rPr>
                <w:sz w:val="20"/>
                <w:szCs w:val="20"/>
                <w:color w:val="auto"/>
              </w:rPr>
            </w:pPr>
            <w:r>
              <w:rPr>
                <w:rFonts w:ascii="Arial" w:cs="Arial" w:eastAsia="Arial" w:hAnsi="Arial"/>
                <w:sz w:val="20"/>
                <w:szCs w:val="20"/>
                <w:color w:val="auto"/>
                <w:w w:val="71"/>
              </w:rPr>
              <w:t>$</w:t>
            </w:r>
          </w:p>
        </w:tc>
        <w:tc>
          <w:tcPr>
            <w:tcW w:w="68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88"/>
              </w:rPr>
              <w:t>68,410</w:t>
            </w:r>
          </w:p>
        </w:tc>
      </w:tr>
      <w:tr>
        <w:trPr>
          <w:trHeight w:val="20"/>
        </w:trPr>
        <w:tc>
          <w:tcPr>
            <w:tcW w:w="4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32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2017</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seasonal nature of the aggregates-led construction business impacts quarterly operating cash flow when compared with the full year. Full-year 2016 net cash provided by operating activities was $689.2 million compared with $68.3 million for the first three months of 2016.</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three months ended March 31, 2017, the Corporation had capital spending of $102.1 million. Full-year capital spending is expected to approximate $400 million - $500 million.</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Corporation can repurchase its common stock through open-market purchases pursuant to authority granted by its Board of Directors or through private transactions at such prices and upon such terms as the Chief Executive Officer deems appropriate. During the first quarter, the Corporation repurchased 458,000 shares of common stock for $100 million. At March 31, 2017, 14,669,000 shares of common stock were remaining under the Corporation’s repurchase authorization.</w:t>
      </w:r>
    </w:p>
    <w:p>
      <w:pPr>
        <w:spacing w:after="0" w:line="8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Credit Agreement (which consists of a $700 million Revolving Facility) requires the Corporation’s ratio of consolidated debt-to-consolidated earnings before interest, taxes, depreciation, depletion and amortization (EBITDA), as defined, for the trailing-twelve month period (the Ratio) to not exceed 3.50x as of the end of any fiscal quarter, provided that the Corporation may exclude from the Ratio debt incurred in connection with certain acquisitions during the quarter or the three preceding quarters so long as the Ratio calculated without such exclusion does not exceed 3.75x. Additionally, if there are no amounts outstanding under the Revolving Facility and the Trade Receivable Facility, consolidated debt, including debt for which the Corporation is a co-borrower, may be reduced by the Corporation’s unrestricted cash and cash equivalents in excess of $50 million, such reduction not to exceed $200 million, for purposes of the covenant calculation.</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Ratio is calculated as debt, including debt for which the Corporation is a co-borrower, divided by consolidated EBITDA, as defined by the Corporation’s Credit Agreement, for the trailing-twelve months. Consolidated EBITDA is generally defined as earnings before interest expense, income tax expense, and depreciation, depletion and amortization expense for continuing operations. Additionally, stock-based compensation expense is added back and interest income is deducted in the calculation of consolidated EBITDA. Certain other nonrecurring noncash items, if they occur, can affect the calculation of consolidated EBITDA.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33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2017</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March 31, 2017, the Corporation’s ratio of consolidated debt-to-consolidated EBITDA, as defined by the Corporation’s Credit Agreement, for the trailing-twelve months EBITDA was 1.89 times and was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2"/>
          </w:tcPr>
          <w:p>
            <w:pPr>
              <w:jc w:val="center"/>
              <w:ind w:right="300"/>
              <w:spacing w:after="0"/>
              <w:rPr>
                <w:sz w:val="20"/>
                <w:szCs w:val="20"/>
                <w:color w:val="auto"/>
              </w:rPr>
            </w:pPr>
            <w:r>
              <w:rPr>
                <w:rFonts w:ascii="Arial" w:cs="Arial" w:eastAsia="Arial" w:hAnsi="Arial"/>
                <w:sz w:val="20"/>
                <w:szCs w:val="20"/>
                <w:color w:val="auto"/>
                <w:w w:val="93"/>
              </w:rPr>
              <w:t>April 1, 2016 to</w:t>
            </w:r>
          </w:p>
        </w:tc>
        <w:tc>
          <w:tcPr>
            <w:tcW w:w="0" w:type="dxa"/>
            <w:vAlign w:val="bottom"/>
          </w:tcPr>
          <w:p>
            <w:pPr>
              <w:spacing w:after="0"/>
              <w:rPr>
                <w:sz w:val="1"/>
                <w:szCs w:val="1"/>
                <w:color w:val="auto"/>
              </w:rPr>
            </w:pPr>
          </w:p>
        </w:tc>
      </w:tr>
      <w:tr>
        <w:trPr>
          <w:trHeight w:val="246"/>
        </w:trPr>
        <w:tc>
          <w:tcPr>
            <w:tcW w:w="9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2"/>
          </w:tcPr>
          <w:p>
            <w:pPr>
              <w:jc w:val="center"/>
              <w:ind w:right="300"/>
              <w:spacing w:after="0"/>
              <w:rPr>
                <w:sz w:val="20"/>
                <w:szCs w:val="20"/>
                <w:color w:val="auto"/>
              </w:rPr>
            </w:pPr>
            <w:r>
              <w:rPr>
                <w:rFonts w:ascii="Arial" w:cs="Arial" w:eastAsia="Arial" w:hAnsi="Arial"/>
                <w:sz w:val="20"/>
                <w:szCs w:val="20"/>
                <w:color w:val="auto"/>
                <w:w w:val="90"/>
              </w:rPr>
              <w:t>March 31, 2017</w:t>
            </w:r>
          </w:p>
        </w:tc>
        <w:tc>
          <w:tcPr>
            <w:tcW w:w="0" w:type="dxa"/>
            <w:vAlign w:val="bottom"/>
          </w:tcPr>
          <w:p>
            <w:pPr>
              <w:spacing w:after="0"/>
              <w:rPr>
                <w:sz w:val="1"/>
                <w:szCs w:val="1"/>
                <w:color w:val="auto"/>
              </w:rPr>
            </w:pPr>
          </w:p>
        </w:tc>
      </w:tr>
      <w:tr>
        <w:trPr>
          <w:trHeight w:val="233"/>
        </w:trPr>
        <w:tc>
          <w:tcPr>
            <w:tcW w:w="90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center"/>
              <w:ind w:right="101"/>
              <w:spacing w:after="0"/>
              <w:rPr>
                <w:sz w:val="20"/>
                <w:szCs w:val="20"/>
                <w:color w:val="auto"/>
              </w:rPr>
            </w:pPr>
            <w:r>
              <w:rPr>
                <w:rFonts w:ascii="Arial" w:cs="Arial" w:eastAsia="Arial" w:hAnsi="Arial"/>
                <w:sz w:val="20"/>
                <w:szCs w:val="20"/>
                <w:i w:val="1"/>
                <w:iCs w:val="1"/>
                <w:color w:val="auto"/>
                <w:w w:val="92"/>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9000" w:type="dxa"/>
            <w:vAlign w:val="bottom"/>
          </w:tcPr>
          <w:p>
            <w:pPr>
              <w:spacing w:after="0"/>
              <w:rPr>
                <w:sz w:val="20"/>
                <w:szCs w:val="20"/>
                <w:color w:val="auto"/>
              </w:rPr>
            </w:pPr>
            <w:r>
              <w:rPr>
                <w:rFonts w:ascii="Arial" w:cs="Arial" w:eastAsia="Arial" w:hAnsi="Arial"/>
                <w:sz w:val="20"/>
                <w:szCs w:val="20"/>
                <w:color w:val="auto"/>
              </w:rPr>
              <w:t>Earnings from continuing operations attributable to Martin Marietta</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422,725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shd w:val="clear" w:color="auto" w:fill="CFF0FC"/>
          </w:tcPr>
          <w:p>
            <w:pPr>
              <w:spacing w:after="0"/>
              <w:rPr>
                <w:sz w:val="20"/>
                <w:szCs w:val="20"/>
                <w:color w:val="auto"/>
              </w:rPr>
            </w:pPr>
            <w:r>
              <w:rPr>
                <w:rFonts w:ascii="Arial" w:cs="Arial" w:eastAsia="Arial" w:hAnsi="Arial"/>
                <w:sz w:val="20"/>
                <w:szCs w:val="20"/>
                <w:color w:val="auto"/>
              </w:rPr>
              <w:t>Add back:</w:t>
            </w: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tcPr>
          <w:p>
            <w:pPr>
              <w:ind w:left="260"/>
              <w:spacing w:after="0"/>
              <w:rPr>
                <w:sz w:val="20"/>
                <w:szCs w:val="20"/>
                <w:color w:val="auto"/>
              </w:rPr>
            </w:pPr>
            <w:r>
              <w:rPr>
                <w:rFonts w:ascii="Arial" w:cs="Arial" w:eastAsia="Arial" w:hAnsi="Arial"/>
                <w:sz w:val="20"/>
                <w:szCs w:val="20"/>
                <w:color w:val="auto"/>
              </w:rPr>
              <w:t>Interest expense</w:t>
            </w: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82,493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Income tax expense</w:t>
            </w: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176,379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tcPr>
          <w:p>
            <w:pPr>
              <w:ind w:left="260"/>
              <w:spacing w:after="0"/>
              <w:rPr>
                <w:sz w:val="20"/>
                <w:szCs w:val="20"/>
                <w:color w:val="auto"/>
              </w:rPr>
            </w:pPr>
            <w:r>
              <w:rPr>
                <w:rFonts w:ascii="Arial" w:cs="Arial" w:eastAsia="Arial" w:hAnsi="Arial"/>
                <w:sz w:val="20"/>
                <w:szCs w:val="20"/>
                <w:color w:val="auto"/>
              </w:rPr>
              <w:t>Depreciation, depletion and amortization expense</w:t>
            </w: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284,917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Stock-based compensation expense</w:t>
            </w: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23,528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tcPr>
          <w:p>
            <w:pPr>
              <w:spacing w:after="0"/>
              <w:rPr>
                <w:sz w:val="20"/>
                <w:szCs w:val="20"/>
                <w:color w:val="auto"/>
              </w:rPr>
            </w:pPr>
            <w:r>
              <w:rPr>
                <w:rFonts w:ascii="Arial" w:cs="Arial" w:eastAsia="Arial" w:hAnsi="Arial"/>
                <w:sz w:val="20"/>
                <w:szCs w:val="20"/>
                <w:color w:val="auto"/>
              </w:rPr>
              <w:t>Deduct:</w:t>
            </w:r>
          </w:p>
        </w:tc>
        <w:tc>
          <w:tcPr>
            <w:tcW w:w="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income</w:t>
            </w:r>
          </w:p>
        </w:tc>
        <w:tc>
          <w:tcPr>
            <w:tcW w:w="180" w:type="dxa"/>
            <w:vAlign w:val="bottom"/>
            <w:shd w:val="clear" w:color="auto" w:fill="CFF0FC"/>
          </w:tcPr>
          <w:p>
            <w:pPr>
              <w:spacing w:after="0"/>
              <w:rPr>
                <w:sz w:val="21"/>
                <w:szCs w:val="21"/>
                <w:color w:val="auto"/>
              </w:rPr>
            </w:pPr>
          </w:p>
        </w:tc>
        <w:tc>
          <w:tcPr>
            <w:tcW w:w="22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(215)</w:t>
            </w:r>
          </w:p>
        </w:tc>
        <w:tc>
          <w:tcPr>
            <w:tcW w:w="0" w:type="dxa"/>
            <w:vAlign w:val="bottom"/>
          </w:tcPr>
          <w:p>
            <w:pPr>
              <w:spacing w:after="0"/>
              <w:rPr>
                <w:sz w:val="1"/>
                <w:szCs w:val="1"/>
                <w:color w:val="auto"/>
              </w:rPr>
            </w:pPr>
          </w:p>
        </w:tc>
      </w:tr>
      <w:tr>
        <w:trPr>
          <w:trHeight w:val="243"/>
        </w:trPr>
        <w:tc>
          <w:tcPr>
            <w:tcW w:w="9000" w:type="dxa"/>
            <w:vAlign w:val="bottom"/>
          </w:tcPr>
          <w:p>
            <w:pPr>
              <w:ind w:left="260"/>
              <w:spacing w:after="0"/>
              <w:rPr>
                <w:sz w:val="20"/>
                <w:szCs w:val="20"/>
                <w:color w:val="auto"/>
              </w:rPr>
            </w:pPr>
            <w:r>
              <w:rPr>
                <w:rFonts w:ascii="Arial" w:cs="Arial" w:eastAsia="Arial" w:hAnsi="Arial"/>
                <w:sz w:val="20"/>
                <w:szCs w:val="20"/>
                <w:color w:val="auto"/>
              </w:rPr>
              <w:t>Nonrecurring gains</w:t>
            </w:r>
          </w:p>
        </w:tc>
        <w:tc>
          <w:tcPr>
            <w:tcW w:w="180" w:type="dxa"/>
            <w:vAlign w:val="bottom"/>
          </w:tcPr>
          <w:p>
            <w:pPr>
              <w:spacing w:after="0"/>
              <w:rPr>
                <w:sz w:val="21"/>
                <w:szCs w:val="21"/>
                <w:color w:val="auto"/>
              </w:rPr>
            </w:pPr>
          </w:p>
        </w:tc>
        <w:tc>
          <w:tcPr>
            <w:tcW w:w="2240" w:type="dxa"/>
            <w:vAlign w:val="bottom"/>
            <w:gridSpan w:val="2"/>
          </w:tcPr>
          <w:p>
            <w:pPr>
              <w:jc w:val="right"/>
              <w:ind w:right="60"/>
              <w:spacing w:after="0"/>
              <w:rPr>
                <w:sz w:val="20"/>
                <w:szCs w:val="20"/>
                <w:color w:val="auto"/>
              </w:rPr>
            </w:pPr>
            <w:r>
              <w:rPr>
                <w:rFonts w:ascii="Arial" w:cs="Arial" w:eastAsia="Arial" w:hAnsi="Arial"/>
                <w:sz w:val="20"/>
                <w:szCs w:val="20"/>
                <w:color w:val="auto"/>
              </w:rPr>
              <w:t>(5,225)</w:t>
            </w:r>
          </w:p>
        </w:tc>
        <w:tc>
          <w:tcPr>
            <w:tcW w:w="0" w:type="dxa"/>
            <w:vAlign w:val="bottom"/>
          </w:tcPr>
          <w:p>
            <w:pPr>
              <w:spacing w:after="0"/>
              <w:rPr>
                <w:sz w:val="1"/>
                <w:szCs w:val="1"/>
                <w:color w:val="auto"/>
              </w:rPr>
            </w:pPr>
          </w:p>
        </w:tc>
      </w:tr>
      <w:tr>
        <w:trPr>
          <w:trHeight w:val="237"/>
        </w:trPr>
        <w:tc>
          <w:tcPr>
            <w:tcW w:w="9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Consolidated EBITDA, as defined by the Corporation’s Credit Agreement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984,602</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Arial" w:cs="Arial" w:eastAsia="Arial" w:hAnsi="Arial"/>
                <w:sz w:val="20"/>
                <w:szCs w:val="20"/>
                <w:color w:val="auto"/>
              </w:rPr>
              <w:t>Consolidated net debt, as defined and including debt for which the</w:t>
            </w:r>
          </w:p>
        </w:tc>
        <w:tc>
          <w:tcPr>
            <w:tcW w:w="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900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Corporation is a co-borrower, at March 31, 2017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1,862,886</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9000" w:type="dxa"/>
            <w:vAlign w:val="bottom"/>
            <w:shd w:val="clear" w:color="auto" w:fill="CFF0FC"/>
          </w:tcPr>
          <w:p>
            <w:pPr>
              <w:spacing w:after="0" w:line="207" w:lineRule="exact"/>
              <w:rPr>
                <w:sz w:val="20"/>
                <w:szCs w:val="20"/>
                <w:color w:val="auto"/>
              </w:rPr>
            </w:pPr>
            <w:r>
              <w:rPr>
                <w:rFonts w:ascii="Arial" w:cs="Arial" w:eastAsia="Arial" w:hAnsi="Arial"/>
                <w:sz w:val="20"/>
                <w:szCs w:val="20"/>
                <w:color w:val="auto"/>
              </w:rPr>
              <w:t>Consolidated debt-to-consolidated EBITDA, as defined by the Corporation’s</w:t>
            </w:r>
          </w:p>
        </w:tc>
        <w:tc>
          <w:tcPr>
            <w:tcW w:w="18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Credit Agreement, at March 31, 2017 for the trailing-twelve</w:t>
            </w:r>
          </w:p>
        </w:tc>
        <w:tc>
          <w:tcPr>
            <w:tcW w:w="18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90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months EBITDA</w:t>
            </w:r>
          </w:p>
        </w:tc>
        <w:tc>
          <w:tcPr>
            <w:tcW w:w="180" w:type="dxa"/>
            <w:vAlign w:val="bottom"/>
            <w:shd w:val="clear" w:color="auto" w:fill="CFF0FC"/>
          </w:tcPr>
          <w:p>
            <w:pPr>
              <w:spacing w:after="0"/>
              <w:rPr>
                <w:sz w:val="21"/>
                <w:szCs w:val="21"/>
                <w:color w:val="auto"/>
              </w:rPr>
            </w:pPr>
          </w:p>
        </w:tc>
        <w:tc>
          <w:tcPr>
            <w:tcW w:w="22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1.89x</w:t>
            </w:r>
          </w:p>
        </w:tc>
        <w:tc>
          <w:tcPr>
            <w:tcW w:w="0" w:type="dxa"/>
            <w:vAlign w:val="bottom"/>
          </w:tcPr>
          <w:p>
            <w:pPr>
              <w:spacing w:after="0"/>
              <w:rPr>
                <w:sz w:val="1"/>
                <w:szCs w:val="1"/>
                <w:color w:val="auto"/>
              </w:rPr>
            </w:pPr>
          </w:p>
        </w:tc>
      </w:tr>
      <w:tr>
        <w:trPr>
          <w:trHeight w:val="20"/>
        </w:trPr>
        <w:tc>
          <w:tcPr>
            <w:tcW w:w="90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Trade Receivable Facility contains a cross-default provision to the Corporation’s other debt agreements. In the event of a default on the Ratio, the lenders can terminate the Credit Agreement and Trade Receivable Facility and declare any outstanding balances as immediately due. Outstanding amounts on the Trade Receivable Facility have been classified as a current liability on the Corporation’s consolidated balance sheet.</w:t>
      </w:r>
    </w:p>
    <w:p>
      <w:pPr>
        <w:spacing w:after="0" w:line="8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Cash on hand, along with the Corporation’s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meet capital expenditures and discretionary investment needs, fund certain acquisition opportunities that may arise and allow for payment of dividends for the foreseeable future. At March 31, 2017, the Corporation had $497.5 million of unused borrowing capacity under its Revolving Facility and Trade Receivable Facility, subject to complying with the related leverage covenant. The Revolving Facility expires on November 29, 2018 and the Trade Receivable Facility expires on September 27, 2017.</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Floating Rate Notes have been classified as noncurrent liability as the Corporation has the intent and ability to refinance on a long-term basis before or at its maturity on June 30, 2017.</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Corporation may be required to obtain financing to fund certain strategic acquisitions, if any such opportunities arise, or to refinance outstanding debt. Any strategic acquisition of size for cash would likely require an appropriate balance of newly-issued equity with debt in order to maintain a composite investment-grade credit rating. Furthermore,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2017</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Corporation is exposed to the credit markets, through the interest cost related to its variable-rate debt, which included borrowings under its Revolving Facility and Trade Receivable Facility at March 31, 2017. The Corporation is currently rated at an investment-grade level by all three credit rating agencies.</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Corporation outlined the risks associated with its business in its Annual Report on Form 10-K for the year ended December 31, 2016. Management continues to evaluate its exposure to all operating risks on an ongoing basis.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OUTLOOK</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The Corporation is encouraged by positive trends in the markets it serves and its ability to execute its strategic business plans. Notably:</w:t>
      </w:r>
    </w:p>
    <w:p>
      <w:pPr>
        <w:spacing w:after="0" w:line="119" w:lineRule="exact"/>
        <w:rPr>
          <w:sz w:val="20"/>
          <w:szCs w:val="20"/>
          <w:color w:val="auto"/>
        </w:rPr>
      </w:pPr>
    </w:p>
    <w:p>
      <w:pPr>
        <w:ind w:left="760" w:hanging="374"/>
        <w:spacing w:after="0"/>
        <w:tabs>
          <w:tab w:leader="none" w:pos="7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Public sector growth is expected to continue in 2017 as new monies flow into the system.  FAST Act projects should accelerate</w:t>
      </w:r>
    </w:p>
    <w:p>
      <w:pPr>
        <w:spacing w:after="0" w:line="27" w:lineRule="exact"/>
        <w:rPr>
          <w:sz w:val="20"/>
          <w:szCs w:val="20"/>
          <w:color w:val="auto"/>
        </w:rPr>
      </w:pPr>
    </w:p>
    <w:p>
      <w:pPr>
        <w:jc w:val="both"/>
        <w:ind w:left="760"/>
        <w:spacing w:after="0" w:line="241" w:lineRule="auto"/>
        <w:rPr>
          <w:sz w:val="20"/>
          <w:szCs w:val="20"/>
          <w:color w:val="auto"/>
        </w:rPr>
      </w:pPr>
      <w:r>
        <w:rPr>
          <w:rFonts w:ascii="Arial" w:cs="Arial" w:eastAsia="Arial" w:hAnsi="Arial"/>
          <w:sz w:val="20"/>
          <w:szCs w:val="20"/>
          <w:color w:val="auto"/>
        </w:rPr>
        <w:t xml:space="preserve">through the year, supported by ongoing activity funded through </w:t>
      </w:r>
      <w:r>
        <w:rPr>
          <w:rFonts w:ascii="Arial" w:cs="Arial" w:eastAsia="Arial" w:hAnsi="Arial"/>
          <w:sz w:val="20"/>
          <w:szCs w:val="20"/>
          <w:i w:val="1"/>
          <w:iCs w:val="1"/>
          <w:color w:val="auto"/>
        </w:rPr>
        <w:t>Transportation Infrastructure Finance and Innovation</w:t>
      </w:r>
      <w:r>
        <w:rPr>
          <w:rFonts w:ascii="Arial" w:cs="Arial" w:eastAsia="Arial" w:hAnsi="Arial"/>
          <w:sz w:val="20"/>
          <w:szCs w:val="20"/>
          <w:color w:val="auto"/>
        </w:rPr>
        <w:t xml:space="preserve"> </w:t>
      </w:r>
      <w:r>
        <w:rPr>
          <w:rFonts w:ascii="Arial" w:cs="Arial" w:eastAsia="Arial" w:hAnsi="Arial"/>
          <w:sz w:val="20"/>
          <w:szCs w:val="20"/>
          <w:i w:val="1"/>
          <w:iCs w:val="1"/>
          <w:color w:val="auto"/>
        </w:rPr>
        <w:t>Act</w:t>
      </w:r>
      <w:r>
        <w:rPr>
          <w:rFonts w:ascii="Arial" w:cs="Arial" w:eastAsia="Arial" w:hAnsi="Arial"/>
          <w:sz w:val="20"/>
          <w:szCs w:val="20"/>
          <w:color w:val="auto"/>
        </w:rPr>
        <w:t>. Additionally, state and local initiatives increasing infrastructure funding, including the state and local ballot initiatives passed</w:t>
      </w:r>
      <w:r>
        <w:rPr>
          <w:rFonts w:ascii="Arial" w:cs="Arial" w:eastAsia="Arial" w:hAnsi="Arial"/>
          <w:sz w:val="20"/>
          <w:szCs w:val="20"/>
          <w:i w:val="1"/>
          <w:iCs w:val="1"/>
          <w:color w:val="auto"/>
        </w:rPr>
        <w:t xml:space="preserve"> </w:t>
      </w:r>
      <w:r>
        <w:rPr>
          <w:rFonts w:ascii="Arial" w:cs="Arial" w:eastAsia="Arial" w:hAnsi="Arial"/>
          <w:sz w:val="20"/>
          <w:szCs w:val="20"/>
          <w:color w:val="auto"/>
        </w:rPr>
        <w:t>over the past 24 months, are expected to grow and continue to play an expanded role in public-sector activity.</w:t>
      </w:r>
    </w:p>
    <w:p>
      <w:pPr>
        <w:spacing w:after="0" w:line="88" w:lineRule="exact"/>
        <w:rPr>
          <w:sz w:val="20"/>
          <w:szCs w:val="20"/>
          <w:color w:val="auto"/>
        </w:rPr>
      </w:pPr>
    </w:p>
    <w:p>
      <w:pPr>
        <w:jc w:val="both"/>
        <w:ind w:left="760" w:hanging="374"/>
        <w:spacing w:after="0" w:line="263" w:lineRule="auto"/>
        <w:tabs>
          <w:tab w:leader="none" w:pos="7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Nonresidential construction is expected to modestly increase in both the heavy industrial and commercial sectors. The Dodge Momentum Index is at its highest level since 2009, signaling continued growth. Additional energy-related economic activity, including follow-on public and private construction activity, will be mixed. While $47 billion of new energy-related projects are scheduled to start in 2017 and 2018, the certainty and timing of commencement will affect nonresidential growth.</w:t>
      </w:r>
    </w:p>
    <w:p>
      <w:pPr>
        <w:spacing w:after="0" w:line="68" w:lineRule="exact"/>
        <w:rPr>
          <w:rFonts w:ascii="Arial" w:cs="Arial" w:eastAsia="Arial" w:hAnsi="Arial"/>
          <w:sz w:val="19"/>
          <w:szCs w:val="19"/>
          <w:color w:val="auto"/>
        </w:rPr>
      </w:pPr>
    </w:p>
    <w:p>
      <w:pPr>
        <w:jc w:val="both"/>
        <w:ind w:left="760" w:hanging="374"/>
        <w:spacing w:after="0" w:line="250" w:lineRule="auto"/>
        <w:tabs>
          <w:tab w:leader="none" w:pos="7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Residential construction is expected to continue to experience growth, particularly in key Martin Marietta markets, driven by employment gains, historically low levels of construction activity over the previous several years, low mortgage rates, new lot construction and higher multi-family rental rates.</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If you are interested in Martin Marietta stock, management recommends that, at a minimum, you read the Corporation’s current annual report and Forms 10-K, 10-Q and 8-K reports to the Securities and Exchange Commission (SEC) over the past year. The Corporation’s recent proxy statement for the annual meeting of shareholders also contains important information. These and other materials that have been filed with the SEC are accessible through the Corporation’s website at www.martinmarietta.com and are also available at the SEC’s website at www.sec.gov. You may also write or call the Corporation’s Corporate Secretary, who will provide copies of such reports.</w:t>
      </w:r>
    </w:p>
    <w:p>
      <w:pPr>
        <w:spacing w:after="0" w:line="5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Investors are cautioned that all statements in this Form 10-Q that relate to the future involve risks and uncertainties, and are based on assumptions that the Corporation believes in good faith are reasonable but which may be materially different from actual results. Forward-looking statements give the investor management’s expectations or forecasts of future events. You can identify these statements by the fact that they do not relate only to historical or current facts. They may use words such as "anticipate," "expect," "should be," "believe," “will”, and other words of similar meaning in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35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First Quarter Ended March 31, 2017</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connection with future events or future operating or financial performance. Any or all of management’s forward-looking statements here and in other publications may turn out to be wrong.</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Factors that the Corporation currently believes could cause actual results to differ materially from the forward-looking statements in this Form 10-Q include, but are not limited to, the performance of the United States economy and the resolution and impact of the debt ceiling and sequestration issues; widespread decline in aggregates pricing; the history of both cement and ready mixed concrete being subject to significant changes in supply, demand and price; the termination, capping and/or reduction or suspension of the federal and/or state gasoline tax(es) or other revenue related to infrastructure construction; the level and timing of federal and state transportation funding, most particularly in Texas, North Carolina, Iowa, Colorado and Georgia; the ability of states and/or other entities to finance approved projects either with tax revenues or alternative financing structures; levels of construction spending in the markets the Corporation serves; a reduction in defense spending, and the subsequent impact on construction activity on or near military bases; a decline in the commercial component of the nonresidential construction market, notably office and retail space; a further slowdown in energy-related drilling activity, particularly in Texas; a slowdown in residential construction recovery; a reduction in construction activity and related shipments due to a decline in funding under the domestic farm bill; unfavorable weather conditions, particularly Atlantic Ocean hurricane activity, the late start to spring or the early onset of winter and the impact of a drought or excessive rainfall in the markets served by the Corporation; the volatility of fuel costs, particularly diesel fuel, and the impact on the cost of other consumables, namely steel, explosives, tires and conveyor belts, and with respect to the Magnesia Specialties business, natural gas; continued increases in the cost of other repair and supply parts; unexpected equipment failures, unscheduled maintenance, industrial accident or other prolonged and/or significant disruption to cement production facilities; increasing governmental regulation, including environmental laws; transportation availability, notably the availability of railcars and locomotive power to move trains to supply the Corporation’s Texas, Florida, North Carolina and Gulf Coast markets; increased transportation costs, including increases from higher passed-through energy and other costs to comply with tightening regulations as well as higher volumes of rail and water shipments; availability of trucks and licensed drivers for transport of the Corporation’s materials, particularly in areas with significant energy-related activity, such as Texas and Colorado; availability and cost of construction equipment in the United States; weakening in the steel industry markets served by the Corporation’s dolomitic lime products; proper functioning of information technology and automated operating systems to manage or support operations; inflation and its effect on both production and interest costs; ability to successfully integrate acquisitions quickly and in a cost-effective manner and achieve anticipated profitability to maintain compliance with the Corporation’s leverage ratio debt covenant; changes in tax laws, the interpretation of such laws and/or administrative practices that would increase the Corporation’s tax rate; violation of the Corporation’s debt covenant if price and/or volumes return to previous levels of instability; downward pressure on the Corporation’s common stock price and its impact on goodwill impairment evaluations; reduction of the Corporation’s credit rating to non-investment grade resulting from strategic acquisitions; and other risk factors listed from time to time found in the Corporation’s filings with the SEC. Other factors besides those listed here may also adversely affect the Corporation, and may be material to the Corporation. The Corporation assumes no obligation to update any such forward-looking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36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Ended March 31, 2017</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RESULTS OF OPERATIONS</w:t>
      </w:r>
    </w:p>
    <w:p>
      <w:pPr>
        <w:jc w:val="center"/>
        <w:ind w:right="-19"/>
        <w:spacing w:after="0"/>
        <w:rPr>
          <w:sz w:val="20"/>
          <w:szCs w:val="20"/>
          <w:color w:val="auto"/>
        </w:rPr>
      </w:pPr>
      <w:r>
        <w:rPr>
          <w:rFonts w:ascii="Arial" w:cs="Arial" w:eastAsia="Arial" w:hAnsi="Arial"/>
          <w:sz w:val="20"/>
          <w:szCs w:val="20"/>
          <w:color w:val="auto"/>
        </w:rPr>
        <w:t>First Quarter Ended March 31, 2017</w:t>
      </w:r>
    </w:p>
    <w:p>
      <w:pPr>
        <w:jc w:val="center"/>
        <w:ind w:right="-19"/>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Shareholders may obtain, without charge, a copy of Martin Marietta’s Annual Report on Form 10-K, as filed with the Securities and Exchange Commission for the fiscal year ended December 31, 2016, by writing to:</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Martin Marietta</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Attn: Corporate Secretary</w:t>
      </w:r>
    </w:p>
    <w:p>
      <w:pPr>
        <w:ind w:left="260"/>
        <w:spacing w:after="0"/>
        <w:rPr>
          <w:sz w:val="20"/>
          <w:szCs w:val="20"/>
          <w:color w:val="auto"/>
        </w:rPr>
      </w:pPr>
      <w:r>
        <w:rPr>
          <w:rFonts w:ascii="Arial" w:cs="Arial" w:eastAsia="Arial" w:hAnsi="Arial"/>
          <w:sz w:val="20"/>
          <w:szCs w:val="20"/>
          <w:color w:val="auto"/>
        </w:rPr>
        <w:t>2710 Wycliff Road</w:t>
      </w:r>
    </w:p>
    <w:p>
      <w:pPr>
        <w:ind w:left="260"/>
        <w:spacing w:after="0"/>
        <w:rPr>
          <w:sz w:val="20"/>
          <w:szCs w:val="20"/>
          <w:color w:val="auto"/>
        </w:rPr>
      </w:pPr>
      <w:r>
        <w:rPr>
          <w:rFonts w:ascii="Arial" w:cs="Arial" w:eastAsia="Arial" w:hAnsi="Arial"/>
          <w:sz w:val="20"/>
          <w:szCs w:val="20"/>
          <w:color w:val="auto"/>
        </w:rPr>
        <w:t>Raleigh, North Carolina 27607-3033</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Additionally, Martin Marietta’s Annual Report, press releases and filings with the Securities and Exchange Commission, including Forms 10-K, 10-Q, 8-K and 11-K, can generally be accessed via the Corporation’s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510-4776</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www.martinmarietta.com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Information included on the Corporation’s website is not incorporated into, or otherwise create a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37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21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Corporation’s operations are highly dependent upon the interest rate-sensitive construction and steelmaking industries. Consequently, these marketplaces could experience lower levels of economic activity in an environment of rising interest rates or escalating costs.</w:t>
      </w:r>
    </w:p>
    <w:p>
      <w:pPr>
        <w:spacing w:after="0" w:line="1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Management has considered the current economic environment and its potential impact to the Corporation’s business. Demand for aggregates products, particularly in the infrastructure construction market, is affected by federal and state budget and deficit issues. Further, delays or cancellations of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Demand in the residential construction market is affected by interest rates. The Federal Reserve kept the federal funds rate at or under one percent during the three months ended March 31, 2017. The residential construction market accounted for 21% of the Corporation’s aggregates product line shipments in 2016.</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Aside from these inherent risks from within its operations, the Corporation’s earnings are also affected by changes in short-term interest rates. However, rising interest rates are not necessarily predictive of weaker operating results. Historically, the Corporation’s profitability increased during periods of rising interest rates. In essence, the Corporation’s underlying business generally serves as a natural hedge to rising interest rates.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Variable-Rate Borrowing Facilities. </w:t>
      </w:r>
      <w:r>
        <w:rPr>
          <w:rFonts w:ascii="Arial" w:cs="Arial" w:eastAsia="Arial" w:hAnsi="Arial"/>
          <w:sz w:val="19"/>
          <w:szCs w:val="19"/>
          <w:color w:val="auto"/>
        </w:rPr>
        <w:t>At March 31, 2017, the Corporation had a $700 million Credit Agreement and a $300 million Trade</w:t>
      </w:r>
      <w:r>
        <w:rPr>
          <w:rFonts w:ascii="Arial" w:cs="Arial" w:eastAsia="Arial" w:hAnsi="Arial"/>
          <w:sz w:val="19"/>
          <w:szCs w:val="19"/>
          <w:i w:val="1"/>
          <w:iCs w:val="1"/>
          <w:color w:val="auto"/>
        </w:rPr>
        <w:t xml:space="preserve"> </w:t>
      </w:r>
      <w:r>
        <w:rPr>
          <w:rFonts w:ascii="Arial" w:cs="Arial" w:eastAsia="Arial" w:hAnsi="Arial"/>
          <w:sz w:val="19"/>
          <w:szCs w:val="19"/>
          <w:color w:val="auto"/>
        </w:rPr>
        <w:t>Receivable Facility. The Corporation also has $300 million variable-rate senior notes. Borrowings under these facilities bear interest at a variable interest rate. A hypothetical 100-basis-point increase in interest rates on borrowings of $800.0 million, which was the collective outstanding balance at March 31, 2017, would increase interest expense by $8.0 million on an annual basis.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Pension Expense. </w:t>
      </w:r>
      <w:r>
        <w:rPr>
          <w:rFonts w:ascii="Arial" w:cs="Arial" w:eastAsia="Arial" w:hAnsi="Arial"/>
          <w:sz w:val="18"/>
          <w:szCs w:val="18"/>
          <w:color w:val="auto"/>
        </w:rPr>
        <w:t>The Corporation’s results of operations are affected by its pension expense. Assumptions that affect pension expense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discount rate and, for the defined benefit pension plans only, the expected long-term rate of return on assets. Therefore, the Corporation has interest rate risk associated with these factors. The impact of hypothetical changes in these assumptions on the Corporation’s annual pension expense is discussed in the Corporation’s Annual Report on Form 10-K for the year ended December 31, 2016.</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Energy Costs</w:t>
      </w:r>
      <w:r>
        <w:rPr>
          <w:rFonts w:ascii="Arial" w:cs="Arial" w:eastAsia="Arial" w:hAnsi="Arial"/>
          <w:sz w:val="20"/>
          <w:szCs w:val="20"/>
          <w:color w:val="auto"/>
        </w:rPr>
        <w:t>. Energy costs, including diesel fuel, natural gas, coal and liquid asphalt, represent significant production costs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Corporation. The cement operations and Magnesia Specialties business have fixed price agreements covering 100% of its 2017 coal requirements. A hypothetical 10% change in the Corporation’s energy prices in 2017 as compared with 2016, assuming constant volumes, would change 2017 energy expense by $23.1 million. However, the impact would be partially offset by the change in the amount capitalized into inventory standards.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38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jc w:val="center"/>
        <w:spacing w:after="0"/>
        <w:rPr>
          <w:sz w:val="20"/>
          <w:szCs w:val="20"/>
          <w:color w:val="auto"/>
        </w:rPr>
      </w:pPr>
      <w:r>
        <w:rPr>
          <w:rFonts w:ascii="Arial" w:cs="Arial" w:eastAsia="Arial" w:hAnsi="Arial"/>
          <w:sz w:val="20"/>
          <w:szCs w:val="20"/>
          <w:color w:val="auto"/>
        </w:rPr>
        <w:t>(Continued)</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i w:val="1"/>
          <w:iCs w:val="1"/>
          <w:color w:val="auto"/>
        </w:rPr>
        <w:t xml:space="preserve">Commodity risk. </w:t>
      </w:r>
      <w:r>
        <w:rPr>
          <w:rFonts w:ascii="Arial" w:cs="Arial" w:eastAsia="Arial" w:hAnsi="Arial"/>
          <w:sz w:val="19"/>
          <w:szCs w:val="19"/>
          <w:color w:val="auto"/>
        </w:rPr>
        <w:t>Cement is a commodity and competition is based principally on price, which is highly sensitive to changes in supply and</w:t>
      </w:r>
      <w:r>
        <w:rPr>
          <w:rFonts w:ascii="Arial" w:cs="Arial" w:eastAsia="Arial" w:hAnsi="Arial"/>
          <w:sz w:val="19"/>
          <w:szCs w:val="19"/>
          <w:i w:val="1"/>
          <w:iCs w:val="1"/>
          <w:color w:val="auto"/>
        </w:rPr>
        <w:t xml:space="preserve"> </w:t>
      </w:r>
      <w:r>
        <w:rPr>
          <w:rFonts w:ascii="Arial" w:cs="Arial" w:eastAsia="Arial" w:hAnsi="Arial"/>
          <w:sz w:val="19"/>
          <w:szCs w:val="19"/>
          <w:color w:val="auto"/>
        </w:rPr>
        <w:t>demand. Prices are often subject to material changes in response to relatively minor fluctuations in supply and demand, general economic conditions and other market conditions beyond the Corporation’s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Corporation’s business, financial condition and results of operations. Assuming net sales for the cement product line for full-year 2017 of $380 million to $400 million, a hypothetical 10% change in sales price would impact net sales by $38 million to $40 million.</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March 31, 2017, an evaluation was performed under the supervision and with the participation of the Corporation’s management, including the Chief Executive Officer and Chief Financial Officer, of the effectiveness of the design and the operation of the Corporation’s disclosure controls and procedures. Based on that evaluation, the Corporation’s management, including the Chief Executive Officer and Chief Financial Officer, concluded that the Corporation’s disclosure controls and procedures were effective as of March 31, 2017. There were no changes in the Corporation’s internal control over financial reporting during the most recently completed fiscal quarter that materially affected, or are reasonably likely to materially affect, the Corporation’s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39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w:t>
      </w:r>
      <w:r>
        <w:rPr>
          <w:rFonts w:ascii="Arial" w:cs="Arial" w:eastAsia="Arial" w:hAnsi="Arial"/>
          <w:sz w:val="20"/>
          <w:szCs w:val="20"/>
          <w:color w:val="auto"/>
        </w:rPr>
        <w:t xml:space="preserve">. </w:t>
      </w:r>
      <w:r>
        <w:rPr>
          <w:rFonts w:ascii="Arial" w:cs="Arial" w:eastAsia="Arial" w:hAnsi="Arial"/>
          <w:sz w:val="20"/>
          <w:szCs w:val="20"/>
          <w:i w:val="1"/>
          <w:iCs w:val="1"/>
          <w:color w:val="auto"/>
        </w:rPr>
        <w:t>Item 3. Legal Proceedings</w:t>
      </w:r>
      <w:r>
        <w:rPr>
          <w:rFonts w:ascii="Arial" w:cs="Arial" w:eastAsia="Arial" w:hAnsi="Arial"/>
          <w:sz w:val="20"/>
          <w:szCs w:val="20"/>
          <w:color w:val="auto"/>
        </w:rPr>
        <w:t xml:space="preserve"> of the Martin Marietta Annual Report on Form 10-K for the year ended December 31, 2016.</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 Item 1A. Risk Factors and Forward-Looking Statements</w:t>
      </w:r>
      <w:r>
        <w:rPr>
          <w:rFonts w:ascii="Arial" w:cs="Arial" w:eastAsia="Arial" w:hAnsi="Arial"/>
          <w:sz w:val="20"/>
          <w:szCs w:val="20"/>
          <w:color w:val="auto"/>
        </w:rPr>
        <w:t xml:space="preserve"> of the Martin Marietta Annual Report on Form 10-K for the year ended December 31, 2016.</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Securities and Use of Proceeds</w:t>
      </w:r>
      <w:r>
        <w:rPr>
          <w:rFonts w:ascii="Arial" w:cs="Arial" w:eastAsia="Arial" w:hAnsi="Arial"/>
          <w:sz w:val="20"/>
          <w:szCs w:val="20"/>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jc w:val="center"/>
              <w:ind w:right="21"/>
              <w:spacing w:after="0"/>
              <w:rPr>
                <w:sz w:val="20"/>
                <w:szCs w:val="20"/>
                <w:color w:val="auto"/>
              </w:rPr>
            </w:pPr>
            <w:r>
              <w:rPr>
                <w:rFonts w:ascii="Arial" w:cs="Arial" w:eastAsia="Arial" w:hAnsi="Arial"/>
                <w:sz w:val="20"/>
                <w:szCs w:val="20"/>
                <w:color w:val="auto"/>
                <w:w w:val="89"/>
              </w:rPr>
              <w:t>Total Number of Shares</w:t>
            </w:r>
          </w:p>
        </w:tc>
        <w:tc>
          <w:tcPr>
            <w:tcW w:w="140" w:type="dxa"/>
            <w:vAlign w:val="bottom"/>
          </w:tcPr>
          <w:p>
            <w:pPr>
              <w:spacing w:after="0"/>
              <w:rPr>
                <w:sz w:val="21"/>
                <w:szCs w:val="21"/>
                <w:color w:val="auto"/>
              </w:rPr>
            </w:pPr>
          </w:p>
        </w:tc>
        <w:tc>
          <w:tcPr>
            <w:tcW w:w="1860" w:type="dxa"/>
            <w:vAlign w:val="bottom"/>
          </w:tcPr>
          <w:p>
            <w:pPr>
              <w:jc w:val="right"/>
              <w:ind w:right="21"/>
              <w:spacing w:after="0"/>
              <w:rPr>
                <w:sz w:val="20"/>
                <w:szCs w:val="20"/>
                <w:color w:val="auto"/>
              </w:rPr>
            </w:pPr>
            <w:r>
              <w:rPr>
                <w:rFonts w:ascii="Arial" w:cs="Arial" w:eastAsia="Arial" w:hAnsi="Arial"/>
                <w:sz w:val="20"/>
                <w:szCs w:val="20"/>
                <w:color w:val="auto"/>
                <w:w w:val="92"/>
              </w:rPr>
              <w:t>Maximum Number of</w:t>
            </w:r>
          </w:p>
        </w:tc>
      </w:tr>
      <w:tr>
        <w:trPr>
          <w:trHeight w:val="243"/>
        </w:trPr>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jc w:val="center"/>
              <w:ind w:right="21"/>
              <w:spacing w:after="0"/>
              <w:rPr>
                <w:sz w:val="20"/>
                <w:szCs w:val="20"/>
                <w:color w:val="auto"/>
              </w:rPr>
            </w:pPr>
            <w:r>
              <w:rPr>
                <w:rFonts w:ascii="Arial" w:cs="Arial" w:eastAsia="Arial" w:hAnsi="Arial"/>
                <w:sz w:val="20"/>
                <w:szCs w:val="20"/>
                <w:color w:val="auto"/>
                <w:w w:val="86"/>
              </w:rPr>
              <w:t>Purchased as Part of</w:t>
            </w:r>
          </w:p>
        </w:tc>
        <w:tc>
          <w:tcPr>
            <w:tcW w:w="140" w:type="dxa"/>
            <w:vAlign w:val="bottom"/>
          </w:tcPr>
          <w:p>
            <w:pPr>
              <w:spacing w:after="0"/>
              <w:rPr>
                <w:sz w:val="21"/>
                <w:szCs w:val="21"/>
                <w:color w:val="auto"/>
              </w:rPr>
            </w:pPr>
          </w:p>
        </w:tc>
        <w:tc>
          <w:tcPr>
            <w:tcW w:w="1860" w:type="dxa"/>
            <w:vAlign w:val="bottom"/>
          </w:tcPr>
          <w:p>
            <w:pPr>
              <w:jc w:val="right"/>
              <w:ind w:right="101"/>
              <w:spacing w:after="0"/>
              <w:rPr>
                <w:sz w:val="20"/>
                <w:szCs w:val="20"/>
                <w:color w:val="auto"/>
              </w:rPr>
            </w:pPr>
            <w:r>
              <w:rPr>
                <w:rFonts w:ascii="Arial" w:cs="Arial" w:eastAsia="Arial" w:hAnsi="Arial"/>
                <w:sz w:val="20"/>
                <w:szCs w:val="20"/>
                <w:color w:val="auto"/>
                <w:w w:val="90"/>
              </w:rPr>
              <w:t>Shares that May Yet</w:t>
            </w:r>
          </w:p>
        </w:tc>
      </w:tr>
      <w:tr>
        <w:trPr>
          <w:trHeight w:val="243"/>
        </w:trPr>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121"/>
              <w:spacing w:after="0"/>
              <w:rPr>
                <w:sz w:val="20"/>
                <w:szCs w:val="20"/>
                <w:color w:val="auto"/>
              </w:rPr>
            </w:pPr>
            <w:r>
              <w:rPr>
                <w:rFonts w:ascii="Arial" w:cs="Arial" w:eastAsia="Arial" w:hAnsi="Arial"/>
                <w:sz w:val="20"/>
                <w:szCs w:val="20"/>
                <w:color w:val="auto"/>
                <w:w w:val="97"/>
              </w:rPr>
              <w:t>Total Number of</w:t>
            </w:r>
          </w:p>
        </w:tc>
        <w:tc>
          <w:tcPr>
            <w:tcW w:w="140" w:type="dxa"/>
            <w:vAlign w:val="bottom"/>
          </w:tcPr>
          <w:p>
            <w:pPr>
              <w:spacing w:after="0"/>
              <w:rPr>
                <w:sz w:val="21"/>
                <w:szCs w:val="21"/>
                <w:color w:val="auto"/>
              </w:rPr>
            </w:pPr>
          </w:p>
        </w:tc>
        <w:tc>
          <w:tcPr>
            <w:tcW w:w="1460" w:type="dxa"/>
            <w:vAlign w:val="bottom"/>
            <w:gridSpan w:val="3"/>
          </w:tcPr>
          <w:p>
            <w:pPr>
              <w:ind w:left="40"/>
              <w:spacing w:after="0"/>
              <w:rPr>
                <w:sz w:val="20"/>
                <w:szCs w:val="20"/>
                <w:color w:val="auto"/>
              </w:rPr>
            </w:pPr>
            <w:r>
              <w:rPr>
                <w:rFonts w:ascii="Arial" w:cs="Arial" w:eastAsia="Arial" w:hAnsi="Arial"/>
                <w:sz w:val="20"/>
                <w:szCs w:val="20"/>
                <w:color w:val="auto"/>
              </w:rPr>
              <w:t>Average Price</w:t>
            </w:r>
          </w:p>
        </w:tc>
        <w:tc>
          <w:tcPr>
            <w:tcW w:w="2020" w:type="dxa"/>
            <w:vAlign w:val="bottom"/>
          </w:tcPr>
          <w:p>
            <w:pPr>
              <w:jc w:val="center"/>
              <w:ind w:right="21"/>
              <w:spacing w:after="0"/>
              <w:rPr>
                <w:sz w:val="20"/>
                <w:szCs w:val="20"/>
                <w:color w:val="auto"/>
              </w:rPr>
            </w:pPr>
            <w:r>
              <w:rPr>
                <w:rFonts w:ascii="Arial" w:cs="Arial" w:eastAsia="Arial" w:hAnsi="Arial"/>
                <w:sz w:val="20"/>
                <w:szCs w:val="20"/>
                <w:color w:val="auto"/>
                <w:w w:val="92"/>
              </w:rPr>
              <w:t>Publicly Announced</w:t>
            </w:r>
          </w:p>
        </w:tc>
        <w:tc>
          <w:tcPr>
            <w:tcW w:w="140" w:type="dxa"/>
            <w:vAlign w:val="bottom"/>
          </w:tcPr>
          <w:p>
            <w:pPr>
              <w:spacing w:after="0"/>
              <w:rPr>
                <w:sz w:val="21"/>
                <w:szCs w:val="21"/>
                <w:color w:val="auto"/>
              </w:rPr>
            </w:pPr>
          </w:p>
        </w:tc>
        <w:tc>
          <w:tcPr>
            <w:tcW w:w="1860" w:type="dxa"/>
            <w:vAlign w:val="bottom"/>
          </w:tcPr>
          <w:p>
            <w:pPr>
              <w:jc w:val="right"/>
              <w:ind w:right="101"/>
              <w:spacing w:after="0"/>
              <w:rPr>
                <w:sz w:val="20"/>
                <w:szCs w:val="20"/>
                <w:color w:val="auto"/>
              </w:rPr>
            </w:pPr>
            <w:r>
              <w:rPr>
                <w:rFonts w:ascii="Arial" w:cs="Arial" w:eastAsia="Arial" w:hAnsi="Arial"/>
                <w:sz w:val="20"/>
                <w:szCs w:val="20"/>
                <w:color w:val="auto"/>
                <w:w w:val="89"/>
              </w:rPr>
              <w:t>be Purchased Under</w:t>
            </w:r>
          </w:p>
        </w:tc>
      </w:tr>
      <w:tr>
        <w:trPr>
          <w:trHeight w:val="246"/>
        </w:trPr>
        <w:tc>
          <w:tcPr>
            <w:tcW w:w="20" w:type="dxa"/>
            <w:vAlign w:val="bottom"/>
          </w:tcPr>
          <w:p>
            <w:pPr>
              <w:spacing w:after="0"/>
              <w:rPr>
                <w:sz w:val="21"/>
                <w:szCs w:val="21"/>
                <w:color w:val="auto"/>
              </w:rPr>
            </w:pPr>
          </w:p>
        </w:tc>
        <w:tc>
          <w:tcPr>
            <w:tcW w:w="4140" w:type="dxa"/>
            <w:vAlign w:val="bottom"/>
            <w:gridSpan w:val="2"/>
          </w:tcPr>
          <w:p>
            <w:pPr>
              <w:ind w:left="1740"/>
              <w:spacing w:after="0"/>
              <w:rPr>
                <w:sz w:val="20"/>
                <w:szCs w:val="20"/>
                <w:color w:val="auto"/>
              </w:rPr>
            </w:pPr>
            <w:r>
              <w:rPr>
                <w:rFonts w:ascii="Arial" w:cs="Arial" w:eastAsia="Arial" w:hAnsi="Arial"/>
                <w:sz w:val="19"/>
                <w:szCs w:val="19"/>
                <w:color w:val="auto"/>
              </w:rPr>
              <w:t>Period</w:t>
            </w:r>
          </w:p>
        </w:tc>
        <w:tc>
          <w:tcPr>
            <w:tcW w:w="1640" w:type="dxa"/>
            <w:vAlign w:val="bottom"/>
          </w:tcPr>
          <w:p>
            <w:pPr>
              <w:jc w:val="right"/>
              <w:ind w:right="81"/>
              <w:spacing w:after="0"/>
              <w:rPr>
                <w:sz w:val="20"/>
                <w:szCs w:val="20"/>
                <w:color w:val="auto"/>
              </w:rPr>
            </w:pPr>
            <w:r>
              <w:rPr>
                <w:rFonts w:ascii="Arial" w:cs="Arial" w:eastAsia="Arial" w:hAnsi="Arial"/>
                <w:sz w:val="20"/>
                <w:szCs w:val="20"/>
                <w:color w:val="auto"/>
                <w:w w:val="87"/>
              </w:rPr>
              <w:t>Shares Purchased</w:t>
            </w:r>
          </w:p>
        </w:tc>
        <w:tc>
          <w:tcPr>
            <w:tcW w:w="140" w:type="dxa"/>
            <w:vAlign w:val="bottom"/>
          </w:tcPr>
          <w:p>
            <w:pPr>
              <w:spacing w:after="0"/>
              <w:rPr>
                <w:sz w:val="21"/>
                <w:szCs w:val="21"/>
                <w:color w:val="auto"/>
              </w:rPr>
            </w:pPr>
          </w:p>
        </w:tc>
        <w:tc>
          <w:tcPr>
            <w:tcW w:w="1460" w:type="dxa"/>
            <w:vAlign w:val="bottom"/>
            <w:gridSpan w:val="3"/>
          </w:tcPr>
          <w:p>
            <w:pPr>
              <w:ind w:left="20"/>
              <w:spacing w:after="0"/>
              <w:rPr>
                <w:sz w:val="20"/>
                <w:szCs w:val="20"/>
                <w:color w:val="auto"/>
              </w:rPr>
            </w:pPr>
            <w:r>
              <w:rPr>
                <w:rFonts w:ascii="Arial" w:cs="Arial" w:eastAsia="Arial" w:hAnsi="Arial"/>
                <w:sz w:val="20"/>
                <w:szCs w:val="20"/>
                <w:color w:val="auto"/>
              </w:rPr>
              <w:t>Paid per Share</w:t>
            </w:r>
          </w:p>
        </w:tc>
        <w:tc>
          <w:tcPr>
            <w:tcW w:w="2020" w:type="dxa"/>
            <w:vAlign w:val="bottom"/>
          </w:tcPr>
          <w:p>
            <w:pPr>
              <w:jc w:val="center"/>
              <w:ind w:right="21"/>
              <w:spacing w:after="0"/>
              <w:rPr>
                <w:sz w:val="20"/>
                <w:szCs w:val="20"/>
                <w:color w:val="auto"/>
              </w:rPr>
            </w:pPr>
            <w:r>
              <w:rPr>
                <w:rFonts w:ascii="Arial" w:cs="Arial" w:eastAsia="Arial" w:hAnsi="Arial"/>
                <w:sz w:val="20"/>
                <w:szCs w:val="20"/>
                <w:color w:val="auto"/>
                <w:w w:val="88"/>
              </w:rPr>
              <w:t>Plans or Programs</w:t>
            </w:r>
          </w:p>
        </w:tc>
        <w:tc>
          <w:tcPr>
            <w:tcW w:w="2000" w:type="dxa"/>
            <w:vAlign w:val="bottom"/>
            <w:gridSpan w:val="2"/>
          </w:tcPr>
          <w:p>
            <w:pPr>
              <w:jc w:val="right"/>
              <w:ind w:right="21"/>
              <w:spacing w:after="0"/>
              <w:rPr>
                <w:sz w:val="20"/>
                <w:szCs w:val="20"/>
                <w:color w:val="auto"/>
              </w:rPr>
            </w:pPr>
            <w:r>
              <w:rPr>
                <w:rFonts w:ascii="Arial" w:cs="Arial" w:eastAsia="Arial" w:hAnsi="Arial"/>
                <w:sz w:val="20"/>
                <w:szCs w:val="20"/>
                <w:color w:val="auto"/>
                <w:w w:val="93"/>
              </w:rPr>
              <w:t>the Plans or Programs</w:t>
            </w:r>
          </w:p>
        </w:tc>
      </w:tr>
      <w:tr>
        <w:trPr>
          <w:trHeight w:val="237"/>
        </w:trPr>
        <w:tc>
          <w:tcPr>
            <w:tcW w:w="20" w:type="dxa"/>
            <w:vAlign w:val="bottom"/>
          </w:tcPr>
          <w:p>
            <w:pPr>
              <w:spacing w:after="0"/>
              <w:rPr>
                <w:sz w:val="20"/>
                <w:szCs w:val="20"/>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January 1, 2017 - January 31, 2017</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ind w:right="62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0"/>
                <w:szCs w:val="20"/>
                <w:color w:val="auto"/>
              </w:rPr>
            </w:pPr>
          </w:p>
        </w:tc>
        <w:tc>
          <w:tcPr>
            <w:tcW w:w="34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2020" w:type="dxa"/>
            <w:vAlign w:val="bottom"/>
            <w:tcBorders>
              <w:top w:val="single" w:sz="8" w:color="auto"/>
            </w:tcBorders>
          </w:tcPr>
          <w:p>
            <w:pPr>
              <w:jc w:val="right"/>
              <w:ind w:right="80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0"/>
                <w:szCs w:val="20"/>
                <w:color w:val="auto"/>
              </w:rPr>
            </w:pPr>
          </w:p>
        </w:tc>
        <w:tc>
          <w:tcPr>
            <w:tcW w:w="186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15,126,633</w:t>
            </w:r>
          </w:p>
        </w:tc>
      </w:tr>
      <w:tr>
        <w:trPr>
          <w:trHeight w:val="243"/>
        </w:trPr>
        <w:tc>
          <w:tcPr>
            <w:tcW w:w="20" w:type="dxa"/>
            <w:vAlign w:val="bottom"/>
          </w:tcPr>
          <w:p>
            <w:pPr>
              <w:spacing w:after="0"/>
              <w:rPr>
                <w:sz w:val="21"/>
                <w:szCs w:val="21"/>
                <w:color w:val="auto"/>
              </w:rPr>
            </w:pPr>
          </w:p>
        </w:tc>
        <w:tc>
          <w:tcPr>
            <w:tcW w:w="41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February 1, 2017 - February 28, 2017</w:t>
            </w:r>
          </w:p>
        </w:tc>
        <w:tc>
          <w:tcPr>
            <w:tcW w:w="16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362,987</w:t>
            </w:r>
          </w:p>
        </w:tc>
        <w:tc>
          <w:tcPr>
            <w:tcW w:w="480" w:type="dxa"/>
            <w:vAlign w:val="bottom"/>
            <w:gridSpan w:val="2"/>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217.77</w:t>
            </w:r>
          </w:p>
        </w:tc>
        <w:tc>
          <w:tcPr>
            <w:tcW w:w="120" w:type="dxa"/>
            <w:vAlign w:val="bottom"/>
            <w:shd w:val="clear" w:color="auto" w:fill="CFF0FC"/>
          </w:tcPr>
          <w:p>
            <w:pPr>
              <w:spacing w:after="0"/>
              <w:rPr>
                <w:sz w:val="21"/>
                <w:szCs w:val="21"/>
                <w:color w:val="auto"/>
              </w:rPr>
            </w:pPr>
          </w:p>
        </w:tc>
        <w:tc>
          <w:tcPr>
            <w:tcW w:w="20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362,987</w:t>
            </w:r>
          </w:p>
        </w:tc>
        <w:tc>
          <w:tcPr>
            <w:tcW w:w="200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14,763,646</w:t>
            </w:r>
          </w:p>
        </w:tc>
      </w:tr>
      <w:tr>
        <w:trPr>
          <w:trHeight w:val="250"/>
        </w:trPr>
        <w:tc>
          <w:tcPr>
            <w:tcW w:w="20" w:type="dxa"/>
            <w:vAlign w:val="bottom"/>
          </w:tcPr>
          <w:p>
            <w:pPr>
              <w:spacing w:after="0"/>
              <w:rPr>
                <w:sz w:val="21"/>
                <w:szCs w:val="21"/>
                <w:color w:val="auto"/>
              </w:rPr>
            </w:pPr>
          </w:p>
        </w:tc>
        <w:tc>
          <w:tcPr>
            <w:tcW w:w="4140" w:type="dxa"/>
            <w:vAlign w:val="bottom"/>
            <w:gridSpan w:val="2"/>
          </w:tcPr>
          <w:p>
            <w:pPr>
              <w:spacing w:after="0"/>
              <w:rPr>
                <w:sz w:val="20"/>
                <w:szCs w:val="20"/>
                <w:color w:val="auto"/>
              </w:rPr>
            </w:pPr>
            <w:r>
              <w:rPr>
                <w:rFonts w:ascii="Arial" w:cs="Arial" w:eastAsia="Arial" w:hAnsi="Arial"/>
                <w:sz w:val="20"/>
                <w:szCs w:val="20"/>
                <w:color w:val="auto"/>
              </w:rPr>
              <w:t>March 1, 2017 - March 31, 2017</w:t>
            </w:r>
          </w:p>
        </w:tc>
        <w:tc>
          <w:tcPr>
            <w:tcW w:w="1640" w:type="dxa"/>
            <w:vAlign w:val="bottom"/>
          </w:tcPr>
          <w:p>
            <w:pPr>
              <w:jc w:val="right"/>
              <w:ind w:right="21"/>
              <w:spacing w:after="0"/>
              <w:rPr>
                <w:sz w:val="20"/>
                <w:szCs w:val="20"/>
                <w:color w:val="auto"/>
              </w:rPr>
            </w:pPr>
            <w:r>
              <w:rPr>
                <w:rFonts w:ascii="Arial" w:cs="Arial" w:eastAsia="Arial" w:hAnsi="Arial"/>
                <w:sz w:val="20"/>
                <w:szCs w:val="20"/>
                <w:color w:val="auto"/>
              </w:rPr>
              <w:t>94,755</w:t>
            </w:r>
          </w:p>
        </w:tc>
        <w:tc>
          <w:tcPr>
            <w:tcW w:w="48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221.13</w:t>
            </w:r>
          </w:p>
        </w:tc>
        <w:tc>
          <w:tcPr>
            <w:tcW w:w="120" w:type="dxa"/>
            <w:vAlign w:val="bottom"/>
          </w:tcPr>
          <w:p>
            <w:pPr>
              <w:spacing w:after="0"/>
              <w:rPr>
                <w:sz w:val="21"/>
                <w:szCs w:val="21"/>
                <w:color w:val="auto"/>
              </w:rPr>
            </w:pPr>
          </w:p>
        </w:tc>
        <w:tc>
          <w:tcPr>
            <w:tcW w:w="2020" w:type="dxa"/>
            <w:vAlign w:val="bottom"/>
          </w:tcPr>
          <w:p>
            <w:pPr>
              <w:jc w:val="right"/>
              <w:ind w:right="21"/>
              <w:spacing w:after="0"/>
              <w:rPr>
                <w:sz w:val="20"/>
                <w:szCs w:val="20"/>
                <w:color w:val="auto"/>
              </w:rPr>
            </w:pPr>
            <w:r>
              <w:rPr>
                <w:rFonts w:ascii="Arial" w:cs="Arial" w:eastAsia="Arial" w:hAnsi="Arial"/>
                <w:sz w:val="20"/>
                <w:szCs w:val="20"/>
                <w:color w:val="auto"/>
              </w:rPr>
              <w:t>94,755</w:t>
            </w:r>
          </w:p>
        </w:tc>
        <w:tc>
          <w:tcPr>
            <w:tcW w:w="2000" w:type="dxa"/>
            <w:vAlign w:val="bottom"/>
            <w:gridSpan w:val="2"/>
          </w:tcPr>
          <w:p>
            <w:pPr>
              <w:jc w:val="right"/>
              <w:ind w:right="21"/>
              <w:spacing w:after="0"/>
              <w:rPr>
                <w:sz w:val="20"/>
                <w:szCs w:val="20"/>
                <w:color w:val="auto"/>
              </w:rPr>
            </w:pPr>
            <w:r>
              <w:rPr>
                <w:rFonts w:ascii="Arial" w:cs="Arial" w:eastAsia="Arial" w:hAnsi="Arial"/>
                <w:sz w:val="20"/>
                <w:szCs w:val="20"/>
                <w:color w:val="auto"/>
              </w:rPr>
              <w:t>14,668,891</w:t>
            </w:r>
          </w:p>
        </w:tc>
      </w:tr>
    </w:tbl>
    <w:p>
      <w:pPr>
        <w:spacing w:after="0" w:line="200" w:lineRule="exact"/>
        <w:rPr>
          <w:sz w:val="20"/>
          <w:szCs w:val="20"/>
          <w:color w:val="auto"/>
        </w:rPr>
      </w:pP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Reference is made to the press release dated February 10, 2015 for the December 31, 2014 fourth-quarter and full-year results and announcement of the share repurchase program. The Corporation’s Board of Directors authorized a maximum of 20 million shares to be repurchased under the program. The program does not have an expiration date.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40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March 31,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6. Exhibits.</w:t>
      </w:r>
    </w:p>
    <w:p>
      <w:pPr>
        <w:spacing w:after="0" w:line="229" w:lineRule="exact"/>
        <w:rPr>
          <w:sz w:val="20"/>
          <w:szCs w:val="20"/>
          <w:color w:val="auto"/>
        </w:rPr>
      </w:pPr>
    </w:p>
    <w:p>
      <w:pPr>
        <w:ind w:left="20"/>
        <w:spacing w:after="0"/>
        <w:tabs>
          <w:tab w:leader="none" w:pos="5800" w:val="left"/>
        </w:tabs>
        <w:rPr>
          <w:sz w:val="20"/>
          <w:szCs w:val="20"/>
          <w:color w:val="auto"/>
        </w:rPr>
      </w:pPr>
      <w:r>
        <w:rPr>
          <w:rFonts w:ascii="Arial" w:cs="Arial" w:eastAsia="Arial" w:hAnsi="Arial"/>
          <w:sz w:val="20"/>
          <w:szCs w:val="20"/>
          <w:u w:val="single" w:color="auto"/>
          <w:color w:val="auto"/>
        </w:rPr>
        <w:t>Exhibit No.</w:t>
      </w:r>
      <w:r>
        <w:rPr>
          <w:sz w:val="20"/>
          <w:szCs w:val="20"/>
          <w:color w:val="auto"/>
        </w:rPr>
        <w:tab/>
      </w:r>
      <w:r>
        <w:rPr>
          <w:rFonts w:ascii="Arial" w:cs="Arial" w:eastAsia="Arial" w:hAnsi="Arial"/>
          <w:sz w:val="16"/>
          <w:szCs w:val="16"/>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19050</wp:posOffset>
            </wp:positionV>
            <wp:extent cx="65862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00" w:type="dxa"/>
            <w:vAlign w:val="bottom"/>
          </w:tcPr>
          <w:p>
            <w:pPr>
              <w:spacing w:after="0"/>
              <w:rPr>
                <w:sz w:val="20"/>
                <w:szCs w:val="20"/>
                <w:color w:val="auto"/>
              </w:rPr>
            </w:pPr>
            <w:r>
              <w:rPr>
                <w:rFonts w:ascii="Arial" w:cs="Arial" w:eastAsia="Arial" w:hAnsi="Arial"/>
                <w:sz w:val="20"/>
                <w:szCs w:val="20"/>
                <w:color w:val="auto"/>
              </w:rPr>
              <w:t>10.01</w:t>
            </w:r>
          </w:p>
        </w:tc>
        <w:tc>
          <w:tcPr>
            <w:tcW w:w="10520" w:type="dxa"/>
            <w:vAlign w:val="bottom"/>
          </w:tcPr>
          <w:p>
            <w:pPr>
              <w:ind w:left="140"/>
              <w:spacing w:after="0"/>
              <w:rPr>
                <w:sz w:val="20"/>
                <w:szCs w:val="20"/>
                <w:color w:val="auto"/>
              </w:rPr>
            </w:pPr>
            <w:r>
              <w:rPr>
                <w:rFonts w:ascii="Arial" w:cs="Arial" w:eastAsia="Arial" w:hAnsi="Arial"/>
                <w:sz w:val="20"/>
                <w:szCs w:val="20"/>
                <w:color w:val="auto"/>
              </w:rPr>
              <w:t>Martin Marietta Form of Performance Share Unit Award Agreement*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10.02</w:t>
            </w:r>
          </w:p>
        </w:tc>
        <w:tc>
          <w:tcPr>
            <w:tcW w:w="10520" w:type="dxa"/>
            <w:vAlign w:val="bottom"/>
          </w:tcPr>
          <w:p>
            <w:pPr>
              <w:ind w:left="140"/>
              <w:spacing w:after="0"/>
              <w:rPr>
                <w:sz w:val="20"/>
                <w:szCs w:val="20"/>
                <w:color w:val="auto"/>
              </w:rPr>
            </w:pPr>
            <w:r>
              <w:rPr>
                <w:rFonts w:ascii="Arial" w:cs="Arial" w:eastAsia="Arial" w:hAnsi="Arial"/>
                <w:sz w:val="20"/>
                <w:szCs w:val="20"/>
                <w:color w:val="auto"/>
              </w:rPr>
              <w:t>Martin Marietta Form of Performance-Based Restricted Stock Unit Award Agreement*</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31.01</w:t>
            </w:r>
          </w:p>
        </w:tc>
        <w:tc>
          <w:tcPr>
            <w:tcW w:w="10520" w:type="dxa"/>
            <w:vAlign w:val="bottom"/>
          </w:tcPr>
          <w:p>
            <w:pPr>
              <w:ind w:left="140"/>
              <w:spacing w:after="0"/>
              <w:rPr>
                <w:sz w:val="20"/>
                <w:szCs w:val="20"/>
                <w:color w:val="auto"/>
              </w:rPr>
            </w:pPr>
            <w:r>
              <w:rPr>
                <w:rFonts w:ascii="Arial" w:cs="Arial" w:eastAsia="Arial" w:hAnsi="Arial"/>
                <w:sz w:val="20"/>
                <w:szCs w:val="20"/>
                <w:color w:val="auto"/>
                <w:w w:val="94"/>
              </w:rPr>
              <w:t>Certification dated May 10, 2017 of Chief Executive Officer pursuant to Securities and Exchange Act of 1934 rule 13a-14 as</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31.02</w:t>
            </w:r>
          </w:p>
        </w:tc>
        <w:tc>
          <w:tcPr>
            <w:tcW w:w="10520" w:type="dxa"/>
            <w:vAlign w:val="bottom"/>
          </w:tcPr>
          <w:p>
            <w:pPr>
              <w:ind w:left="140"/>
              <w:spacing w:after="0"/>
              <w:rPr>
                <w:sz w:val="20"/>
                <w:szCs w:val="20"/>
                <w:color w:val="auto"/>
              </w:rPr>
            </w:pPr>
            <w:r>
              <w:rPr>
                <w:rFonts w:ascii="Arial" w:cs="Arial" w:eastAsia="Arial" w:hAnsi="Arial"/>
                <w:sz w:val="20"/>
                <w:szCs w:val="20"/>
                <w:color w:val="auto"/>
                <w:w w:val="95"/>
              </w:rPr>
              <w:t>Certification dated May 10, 2017 of Chief Financial Officer pursuant to Securities and Exchange Act of 1934 rule 13a-14 as</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32.01</w:t>
            </w:r>
          </w:p>
        </w:tc>
        <w:tc>
          <w:tcPr>
            <w:tcW w:w="10520" w:type="dxa"/>
            <w:vAlign w:val="bottom"/>
          </w:tcPr>
          <w:p>
            <w:pPr>
              <w:ind w:left="140"/>
              <w:spacing w:after="0"/>
              <w:rPr>
                <w:sz w:val="20"/>
                <w:szCs w:val="20"/>
                <w:color w:val="auto"/>
              </w:rPr>
            </w:pPr>
            <w:r>
              <w:rPr>
                <w:rFonts w:ascii="Arial" w:cs="Arial" w:eastAsia="Arial" w:hAnsi="Arial"/>
                <w:sz w:val="20"/>
                <w:szCs w:val="20"/>
                <w:color w:val="auto"/>
                <w:w w:val="90"/>
              </w:rPr>
              <w:t>Written Statement dated May 10, 2017 of Chief Executive Officer required by 18 U.S.C. 1350, as adopted pursuant to Section 906</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of the Sarbanes-Oxley Act of 2002</w:t>
            </w:r>
          </w:p>
        </w:tc>
      </w:tr>
      <w:tr>
        <w:trPr>
          <w:trHeight w:val="438"/>
        </w:trPr>
        <w:tc>
          <w:tcPr>
            <w:tcW w:w="900" w:type="dxa"/>
            <w:vAlign w:val="bottom"/>
          </w:tcPr>
          <w:p>
            <w:pPr>
              <w:spacing w:after="0"/>
              <w:rPr>
                <w:sz w:val="20"/>
                <w:szCs w:val="20"/>
                <w:color w:val="auto"/>
              </w:rPr>
            </w:pPr>
            <w:r>
              <w:rPr>
                <w:rFonts w:ascii="Arial" w:cs="Arial" w:eastAsia="Arial" w:hAnsi="Arial"/>
                <w:sz w:val="20"/>
                <w:szCs w:val="20"/>
                <w:color w:val="auto"/>
              </w:rPr>
              <w:t>32.02</w:t>
            </w:r>
          </w:p>
        </w:tc>
        <w:tc>
          <w:tcPr>
            <w:tcW w:w="10520" w:type="dxa"/>
            <w:vAlign w:val="bottom"/>
          </w:tcPr>
          <w:p>
            <w:pPr>
              <w:ind w:left="140"/>
              <w:spacing w:after="0"/>
              <w:rPr>
                <w:sz w:val="20"/>
                <w:szCs w:val="20"/>
                <w:color w:val="auto"/>
              </w:rPr>
            </w:pPr>
            <w:r>
              <w:rPr>
                <w:rFonts w:ascii="Arial" w:cs="Arial" w:eastAsia="Arial" w:hAnsi="Arial"/>
                <w:sz w:val="20"/>
                <w:szCs w:val="20"/>
                <w:color w:val="auto"/>
                <w:w w:val="90"/>
              </w:rPr>
              <w:t>Written Statement dated May 10, 2017 of Chief Financial Officer required by 18 U.S.C. 1350, as adopted pursuant to Section 906</w:t>
            </w:r>
          </w:p>
        </w:tc>
      </w:tr>
      <w:tr>
        <w:trPr>
          <w:trHeight w:val="250"/>
        </w:trPr>
        <w:tc>
          <w:tcPr>
            <w:tcW w:w="900" w:type="dxa"/>
            <w:vAlign w:val="bottom"/>
          </w:tcPr>
          <w:p>
            <w:pPr>
              <w:spacing w:after="0"/>
              <w:rPr>
                <w:sz w:val="21"/>
                <w:szCs w:val="21"/>
                <w:color w:val="auto"/>
              </w:rPr>
            </w:pPr>
          </w:p>
        </w:tc>
        <w:tc>
          <w:tcPr>
            <w:tcW w:w="10520" w:type="dxa"/>
            <w:vAlign w:val="bottom"/>
          </w:tcPr>
          <w:p>
            <w:pPr>
              <w:ind w:left="140"/>
              <w:spacing w:after="0"/>
              <w:rPr>
                <w:sz w:val="20"/>
                <w:szCs w:val="20"/>
                <w:color w:val="auto"/>
              </w:rPr>
            </w:pPr>
            <w:r>
              <w:rPr>
                <w:rFonts w:ascii="Arial" w:cs="Arial" w:eastAsia="Arial" w:hAnsi="Arial"/>
                <w:sz w:val="20"/>
                <w:szCs w:val="20"/>
                <w:color w:val="auto"/>
              </w:rPr>
              <w:t>of the Sarbanes-Oxley Act of 2002</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95</w:t>
            </w:r>
          </w:p>
        </w:tc>
        <w:tc>
          <w:tcPr>
            <w:tcW w:w="10520" w:type="dxa"/>
            <w:vAlign w:val="bottom"/>
          </w:tcPr>
          <w:p>
            <w:pPr>
              <w:ind w:left="140"/>
              <w:spacing w:after="0"/>
              <w:rPr>
                <w:sz w:val="20"/>
                <w:szCs w:val="20"/>
                <w:color w:val="auto"/>
              </w:rPr>
            </w:pPr>
            <w:r>
              <w:rPr>
                <w:rFonts w:ascii="Arial" w:cs="Arial" w:eastAsia="Arial" w:hAnsi="Arial"/>
                <w:sz w:val="20"/>
                <w:szCs w:val="20"/>
                <w:color w:val="auto"/>
              </w:rPr>
              <w:t>Mine Safety Disclosures</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101.INS</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Instance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101.SCH</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Schema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101.CAL</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Calculation Linkbase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101.LAB</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Label Linkbase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101.PRE</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Presentation Linkbase Document</w:t>
            </w:r>
          </w:p>
        </w:tc>
      </w:tr>
      <w:tr>
        <w:trPr>
          <w:trHeight w:val="459"/>
        </w:trPr>
        <w:tc>
          <w:tcPr>
            <w:tcW w:w="900" w:type="dxa"/>
            <w:vAlign w:val="bottom"/>
          </w:tcPr>
          <w:p>
            <w:pPr>
              <w:spacing w:after="0"/>
              <w:rPr>
                <w:sz w:val="20"/>
                <w:szCs w:val="20"/>
                <w:color w:val="auto"/>
              </w:rPr>
            </w:pPr>
            <w:r>
              <w:rPr>
                <w:rFonts w:ascii="Arial" w:cs="Arial" w:eastAsia="Arial" w:hAnsi="Arial"/>
                <w:sz w:val="20"/>
                <w:szCs w:val="20"/>
                <w:color w:val="auto"/>
              </w:rPr>
              <w:t>101.DEF</w:t>
            </w:r>
          </w:p>
        </w:tc>
        <w:tc>
          <w:tcPr>
            <w:tcW w:w="10520" w:type="dxa"/>
            <w:vAlign w:val="bottom"/>
          </w:tcPr>
          <w:p>
            <w:pPr>
              <w:ind w:left="140"/>
              <w:spacing w:after="0"/>
              <w:rPr>
                <w:sz w:val="20"/>
                <w:szCs w:val="20"/>
                <w:color w:val="auto"/>
              </w:rPr>
            </w:pPr>
            <w:r>
              <w:rPr>
                <w:rFonts w:ascii="Arial" w:cs="Arial" w:eastAsia="Arial" w:hAnsi="Arial"/>
                <w:sz w:val="20"/>
                <w:szCs w:val="20"/>
                <w:color w:val="auto"/>
              </w:rPr>
              <w:t>XBRL Taxonomy Extension Definition Linkbase</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41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20"/>
                <w:szCs w:val="20"/>
                <w:color w:val="auto"/>
              </w:rPr>
              <w:t>MARTIN MARIETTA MATERIALS, INC.</w:t>
            </w:r>
          </w:p>
        </w:tc>
      </w:tr>
      <w:tr>
        <w:trPr>
          <w:trHeight w:val="250"/>
        </w:trPr>
        <w:tc>
          <w:tcPr>
            <w:tcW w:w="42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200" w:type="dxa"/>
            <w:vAlign w:val="bottom"/>
          </w:tcPr>
          <w:p>
            <w:pPr>
              <w:jc w:val="center"/>
              <w:ind w:right="1961"/>
              <w:spacing w:after="0"/>
              <w:rPr>
                <w:sz w:val="20"/>
                <w:szCs w:val="20"/>
                <w:color w:val="auto"/>
              </w:rPr>
            </w:pPr>
            <w:r>
              <w:rPr>
                <w:rFonts w:ascii="Arial" w:cs="Arial" w:eastAsia="Arial" w:hAnsi="Arial"/>
                <w:sz w:val="20"/>
                <w:szCs w:val="20"/>
                <w:color w:val="auto"/>
                <w:w w:val="89"/>
              </w:rPr>
              <w:t>(Registrant)</w:t>
            </w:r>
          </w:p>
        </w:tc>
      </w:tr>
      <w:tr>
        <w:trPr>
          <w:trHeight w:val="455"/>
        </w:trPr>
        <w:tc>
          <w:tcPr>
            <w:tcW w:w="4200" w:type="dxa"/>
            <w:vAlign w:val="bottom"/>
          </w:tcPr>
          <w:p>
            <w:pPr>
              <w:spacing w:after="0"/>
              <w:rPr>
                <w:sz w:val="20"/>
                <w:szCs w:val="20"/>
                <w:color w:val="auto"/>
              </w:rPr>
            </w:pPr>
            <w:r>
              <w:rPr>
                <w:rFonts w:ascii="Arial" w:cs="Arial" w:eastAsia="Arial" w:hAnsi="Arial"/>
                <w:sz w:val="20"/>
                <w:szCs w:val="20"/>
                <w:color w:val="auto"/>
              </w:rPr>
              <w:t>Date: May 10, 2017</w:t>
            </w:r>
          </w:p>
        </w:tc>
        <w:tc>
          <w:tcPr>
            <w:tcW w:w="7220" w:type="dxa"/>
            <w:vAlign w:val="bottom"/>
            <w:gridSpan w:val="2"/>
          </w:tcPr>
          <w:p>
            <w:pPr>
              <w:ind w:left="2620"/>
              <w:spacing w:after="0"/>
              <w:rPr>
                <w:sz w:val="20"/>
                <w:szCs w:val="20"/>
                <w:color w:val="auto"/>
              </w:rPr>
            </w:pPr>
            <w:r>
              <w:rPr>
                <w:rFonts w:ascii="Arial" w:cs="Arial" w:eastAsia="Arial" w:hAnsi="Arial"/>
                <w:sz w:val="20"/>
                <w:szCs w:val="20"/>
                <w:color w:val="auto"/>
              </w:rPr>
              <w:t>By: /s/ Anne H. Lloyd</w:t>
            </w:r>
          </w:p>
        </w:tc>
      </w:tr>
      <w:tr>
        <w:trPr>
          <w:trHeight w:val="206"/>
        </w:trPr>
        <w:tc>
          <w:tcPr>
            <w:tcW w:w="42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2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Anne H. Lloyd</w:t>
            </w:r>
          </w:p>
        </w:tc>
      </w:tr>
      <w:tr>
        <w:trPr>
          <w:trHeight w:val="230"/>
        </w:trPr>
        <w:tc>
          <w:tcPr>
            <w:tcW w:w="42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20"/>
                <w:szCs w:val="20"/>
                <w:color w:val="auto"/>
              </w:rPr>
              <w:t>Executive Vice President and</w:t>
            </w:r>
          </w:p>
        </w:tc>
      </w:tr>
      <w:tr>
        <w:trPr>
          <w:trHeight w:val="250"/>
        </w:trPr>
        <w:tc>
          <w:tcPr>
            <w:tcW w:w="42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200" w:type="dxa"/>
            <w:vAlign w:val="bottom"/>
          </w:tcPr>
          <w:p>
            <w:pPr>
              <w:jc w:val="center"/>
              <w:ind w:right="1961"/>
              <w:spacing w:after="0"/>
              <w:rPr>
                <w:sz w:val="20"/>
                <w:szCs w:val="20"/>
                <w:color w:val="auto"/>
              </w:rPr>
            </w:pPr>
            <w:r>
              <w:rPr>
                <w:rFonts w:ascii="Arial" w:cs="Arial" w:eastAsia="Arial" w:hAnsi="Arial"/>
                <w:sz w:val="20"/>
                <w:szCs w:val="20"/>
                <w:color w:val="auto"/>
                <w:w w:val="94"/>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42 of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40" w:type="dxa"/>
            <w:vAlign w:val="bottom"/>
          </w:tcPr>
          <w:p>
            <w:pPr>
              <w:jc w:val="center"/>
              <w:ind w:right="1081"/>
              <w:spacing w:after="0"/>
              <w:rPr>
                <w:sz w:val="20"/>
                <w:szCs w:val="20"/>
                <w:color w:val="auto"/>
              </w:rPr>
            </w:pPr>
            <w:r>
              <w:rPr>
                <w:rFonts w:ascii="Arial" w:cs="Arial" w:eastAsia="Arial" w:hAnsi="Arial"/>
                <w:sz w:val="20"/>
                <w:szCs w:val="20"/>
                <w:color w:val="auto"/>
                <w:w w:val="97"/>
              </w:rPr>
              <w:t>MARTIN MARIETTA MATERIALS, INC. AND CONSOLIDATED SUBSIDIARIES</w:t>
            </w:r>
          </w:p>
        </w:tc>
      </w:tr>
      <w:tr>
        <w:trPr>
          <w:trHeight w:val="230"/>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40" w:type="dxa"/>
            <w:vAlign w:val="bottom"/>
          </w:tcPr>
          <w:p>
            <w:pPr>
              <w:jc w:val="center"/>
              <w:ind w:right="1081"/>
              <w:spacing w:after="0"/>
              <w:rPr>
                <w:sz w:val="20"/>
                <w:szCs w:val="20"/>
                <w:color w:val="auto"/>
              </w:rPr>
            </w:pPr>
            <w:r>
              <w:rPr>
                <w:rFonts w:ascii="Arial" w:cs="Arial" w:eastAsia="Arial" w:hAnsi="Arial"/>
                <w:sz w:val="20"/>
                <w:szCs w:val="20"/>
                <w:color w:val="auto"/>
                <w:w w:val="93"/>
              </w:rPr>
              <w:t>FORM 10-Q</w:t>
            </w:r>
          </w:p>
        </w:tc>
      </w:tr>
      <w:tr>
        <w:trPr>
          <w:trHeight w:val="250"/>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tcPr>
          <w:p>
            <w:pPr>
              <w:jc w:val="center"/>
              <w:ind w:right="1061"/>
              <w:spacing w:after="0"/>
              <w:rPr>
                <w:sz w:val="20"/>
                <w:szCs w:val="20"/>
                <w:color w:val="auto"/>
              </w:rPr>
            </w:pPr>
            <w:r>
              <w:rPr>
                <w:rFonts w:ascii="Arial" w:cs="Arial" w:eastAsia="Arial" w:hAnsi="Arial"/>
                <w:sz w:val="20"/>
                <w:szCs w:val="20"/>
                <w:color w:val="auto"/>
                <w:w w:val="89"/>
              </w:rPr>
              <w:t>For the Quarter Ended March 31, 2017</w:t>
            </w:r>
          </w:p>
        </w:tc>
      </w:tr>
      <w:tr>
        <w:trPr>
          <w:trHeight w:val="446"/>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40" w:type="dxa"/>
            <w:vAlign w:val="bottom"/>
          </w:tcPr>
          <w:p>
            <w:pPr>
              <w:jc w:val="center"/>
              <w:ind w:right="1081"/>
              <w:spacing w:after="0"/>
              <w:rPr>
                <w:sz w:val="20"/>
                <w:szCs w:val="20"/>
                <w:color w:val="auto"/>
              </w:rPr>
            </w:pPr>
            <w:r>
              <w:rPr>
                <w:rFonts w:ascii="Arial" w:cs="Arial" w:eastAsia="Arial" w:hAnsi="Arial"/>
                <w:sz w:val="20"/>
                <w:szCs w:val="20"/>
                <w:color w:val="auto"/>
              </w:rPr>
              <w:t>EXHIBIT INDEX</w:t>
            </w:r>
          </w:p>
        </w:tc>
      </w:tr>
      <w:tr>
        <w:trPr>
          <w:trHeight w:val="464"/>
        </w:trPr>
        <w:tc>
          <w:tcPr>
            <w:tcW w:w="10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w w:val="99"/>
              </w:rPr>
              <w:t>Exhibit No.</w:t>
            </w:r>
          </w:p>
        </w:tc>
        <w:tc>
          <w:tcPr>
            <w:tcW w:w="120" w:type="dxa"/>
            <w:vAlign w:val="bottom"/>
          </w:tcPr>
          <w:p>
            <w:pPr>
              <w:spacing w:after="0"/>
              <w:rPr>
                <w:sz w:val="24"/>
                <w:szCs w:val="24"/>
                <w:color w:val="auto"/>
              </w:rPr>
            </w:pPr>
          </w:p>
        </w:tc>
        <w:tc>
          <w:tcPr>
            <w:tcW w:w="10240" w:type="dxa"/>
            <w:vAlign w:val="bottom"/>
            <w:tcBorders>
              <w:bottom w:val="single" w:sz="8" w:color="auto"/>
            </w:tcBorders>
          </w:tcPr>
          <w:p>
            <w:pPr>
              <w:ind w:left="4700"/>
              <w:spacing w:after="0"/>
              <w:rPr>
                <w:sz w:val="20"/>
                <w:szCs w:val="20"/>
                <w:color w:val="auto"/>
              </w:rPr>
            </w:pPr>
            <w:r>
              <w:rPr>
                <w:rFonts w:ascii="Arial" w:cs="Arial" w:eastAsia="Arial" w:hAnsi="Arial"/>
                <w:sz w:val="20"/>
                <w:szCs w:val="20"/>
                <w:color w:val="auto"/>
              </w:rPr>
              <w:t>Document</w:t>
            </w:r>
          </w:p>
        </w:tc>
      </w:tr>
      <w:tr>
        <w:trPr>
          <w:trHeight w:val="461"/>
        </w:trPr>
        <w:tc>
          <w:tcPr>
            <w:tcW w:w="1060" w:type="dxa"/>
            <w:vAlign w:val="bottom"/>
          </w:tcPr>
          <w:p>
            <w:pPr>
              <w:spacing w:after="0"/>
              <w:rPr>
                <w:sz w:val="20"/>
                <w:szCs w:val="20"/>
                <w:color w:val="auto"/>
              </w:rPr>
            </w:pPr>
            <w:r>
              <w:rPr>
                <w:rFonts w:ascii="Arial" w:cs="Arial" w:eastAsia="Arial" w:hAnsi="Arial"/>
                <w:sz w:val="20"/>
                <w:szCs w:val="20"/>
                <w:color w:val="auto"/>
              </w:rPr>
              <w:t>10.01</w:t>
            </w:r>
          </w:p>
        </w:tc>
        <w:tc>
          <w:tcPr>
            <w:tcW w:w="10360" w:type="dxa"/>
            <w:vAlign w:val="bottom"/>
            <w:gridSpan w:val="2"/>
          </w:tcPr>
          <w:p>
            <w:pPr>
              <w:ind w:left="100"/>
              <w:spacing w:after="0"/>
              <w:rPr>
                <w:sz w:val="20"/>
                <w:szCs w:val="20"/>
                <w:color w:val="auto"/>
              </w:rPr>
            </w:pPr>
            <w:r>
              <w:rPr>
                <w:rFonts w:ascii="Arial" w:cs="Arial" w:eastAsia="Arial" w:hAnsi="Arial"/>
                <w:sz w:val="20"/>
                <w:szCs w:val="20"/>
                <w:color w:val="auto"/>
              </w:rPr>
              <w:t>Martin Marietta Form of Performance Share Unit Award Agreement*</w:t>
            </w:r>
          </w:p>
        </w:tc>
      </w:tr>
      <w:tr>
        <w:trPr>
          <w:trHeight w:val="459"/>
        </w:trPr>
        <w:tc>
          <w:tcPr>
            <w:tcW w:w="1060" w:type="dxa"/>
            <w:vAlign w:val="bottom"/>
          </w:tcPr>
          <w:p>
            <w:pPr>
              <w:spacing w:after="0"/>
              <w:rPr>
                <w:sz w:val="20"/>
                <w:szCs w:val="20"/>
                <w:color w:val="auto"/>
              </w:rPr>
            </w:pPr>
            <w:r>
              <w:rPr>
                <w:rFonts w:ascii="Arial" w:cs="Arial" w:eastAsia="Arial" w:hAnsi="Arial"/>
                <w:sz w:val="20"/>
                <w:szCs w:val="20"/>
                <w:color w:val="auto"/>
              </w:rPr>
              <w:t>10.02</w:t>
            </w:r>
          </w:p>
        </w:tc>
        <w:tc>
          <w:tcPr>
            <w:tcW w:w="10360" w:type="dxa"/>
            <w:vAlign w:val="bottom"/>
            <w:gridSpan w:val="2"/>
          </w:tcPr>
          <w:p>
            <w:pPr>
              <w:ind w:left="100"/>
              <w:spacing w:after="0"/>
              <w:rPr>
                <w:sz w:val="20"/>
                <w:szCs w:val="20"/>
                <w:color w:val="auto"/>
              </w:rPr>
            </w:pPr>
            <w:r>
              <w:rPr>
                <w:rFonts w:ascii="Arial" w:cs="Arial" w:eastAsia="Arial" w:hAnsi="Arial"/>
                <w:sz w:val="20"/>
                <w:szCs w:val="20"/>
                <w:color w:val="auto"/>
              </w:rPr>
              <w:t>Martin Marietta Form of Performance-Based Restricted Stock Unit Award Agreement*</w:t>
            </w:r>
          </w:p>
        </w:tc>
      </w:tr>
      <w:tr>
        <w:trPr>
          <w:trHeight w:val="438"/>
        </w:trPr>
        <w:tc>
          <w:tcPr>
            <w:tcW w:w="1060" w:type="dxa"/>
            <w:vAlign w:val="bottom"/>
          </w:tcPr>
          <w:p>
            <w:pPr>
              <w:spacing w:after="0"/>
              <w:rPr>
                <w:sz w:val="20"/>
                <w:szCs w:val="20"/>
                <w:color w:val="auto"/>
              </w:rPr>
            </w:pPr>
            <w:r>
              <w:rPr>
                <w:rFonts w:ascii="Arial" w:cs="Arial" w:eastAsia="Arial" w:hAnsi="Arial"/>
                <w:sz w:val="20"/>
                <w:szCs w:val="20"/>
                <w:color w:val="auto"/>
              </w:rPr>
              <w:t>31.01</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w w:val="93"/>
              </w:rPr>
              <w:t>Certification dated May 10, 2017 of Chief Executive Officer pursuant to Securities and Exchange Act of 1934 rule 13a-14 as</w:t>
            </w:r>
          </w:p>
        </w:tc>
      </w:tr>
      <w:tr>
        <w:trPr>
          <w:trHeight w:val="250"/>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438"/>
        </w:trPr>
        <w:tc>
          <w:tcPr>
            <w:tcW w:w="1060" w:type="dxa"/>
            <w:vAlign w:val="bottom"/>
          </w:tcPr>
          <w:p>
            <w:pPr>
              <w:spacing w:after="0"/>
              <w:rPr>
                <w:sz w:val="20"/>
                <w:szCs w:val="20"/>
                <w:color w:val="auto"/>
              </w:rPr>
            </w:pPr>
            <w:r>
              <w:rPr>
                <w:rFonts w:ascii="Arial" w:cs="Arial" w:eastAsia="Arial" w:hAnsi="Arial"/>
                <w:sz w:val="20"/>
                <w:szCs w:val="20"/>
                <w:color w:val="auto"/>
              </w:rPr>
              <w:t>31.02</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w w:val="94"/>
              </w:rPr>
              <w:t>Certification dated May 10, 2017 of Chief Financial Officer pursuant to Securities and Exchange Act of 1934 rule 13a-14 as</w:t>
            </w:r>
          </w:p>
        </w:tc>
      </w:tr>
      <w:tr>
        <w:trPr>
          <w:trHeight w:val="250"/>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438"/>
        </w:trPr>
        <w:tc>
          <w:tcPr>
            <w:tcW w:w="1060" w:type="dxa"/>
            <w:vAlign w:val="bottom"/>
          </w:tcPr>
          <w:p>
            <w:pPr>
              <w:spacing w:after="0"/>
              <w:rPr>
                <w:sz w:val="20"/>
                <w:szCs w:val="20"/>
                <w:color w:val="auto"/>
              </w:rPr>
            </w:pPr>
            <w:r>
              <w:rPr>
                <w:rFonts w:ascii="Arial" w:cs="Arial" w:eastAsia="Arial" w:hAnsi="Arial"/>
                <w:sz w:val="20"/>
                <w:szCs w:val="20"/>
                <w:color w:val="auto"/>
              </w:rPr>
              <w:t>32.01</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w w:val="92"/>
              </w:rPr>
              <w:t>Written Statement dated May 10, 2017 of Chief Executive Officer required by 18 U.S.C. 1350, as adopted pursuant to Section</w:t>
            </w:r>
          </w:p>
        </w:tc>
      </w:tr>
      <w:tr>
        <w:trPr>
          <w:trHeight w:val="250"/>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906 of the Sarbanes-Oxley Act of 2002</w:t>
            </w:r>
          </w:p>
        </w:tc>
      </w:tr>
      <w:tr>
        <w:trPr>
          <w:trHeight w:val="438"/>
        </w:trPr>
        <w:tc>
          <w:tcPr>
            <w:tcW w:w="1060" w:type="dxa"/>
            <w:vAlign w:val="bottom"/>
          </w:tcPr>
          <w:p>
            <w:pPr>
              <w:spacing w:after="0"/>
              <w:rPr>
                <w:sz w:val="20"/>
                <w:szCs w:val="20"/>
                <w:color w:val="auto"/>
              </w:rPr>
            </w:pPr>
            <w:r>
              <w:rPr>
                <w:rFonts w:ascii="Arial" w:cs="Arial" w:eastAsia="Arial" w:hAnsi="Arial"/>
                <w:sz w:val="20"/>
                <w:szCs w:val="20"/>
                <w:color w:val="auto"/>
              </w:rPr>
              <w:t>32.02</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w w:val="92"/>
              </w:rPr>
              <w:t>Written Statement dated May 10, 2017 of Chief Financial Officer required by 18 U.S.C. 1350, as adopted pursuant to Section</w:t>
            </w:r>
          </w:p>
        </w:tc>
      </w:tr>
      <w:tr>
        <w:trPr>
          <w:trHeight w:val="250"/>
        </w:trPr>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906 of the Sarbanes-Oxley Act of 2002</w:t>
            </w:r>
          </w:p>
        </w:tc>
      </w:tr>
      <w:tr>
        <w:trPr>
          <w:trHeight w:val="459"/>
        </w:trPr>
        <w:tc>
          <w:tcPr>
            <w:tcW w:w="1060" w:type="dxa"/>
            <w:vAlign w:val="bottom"/>
          </w:tcPr>
          <w:p>
            <w:pPr>
              <w:spacing w:after="0"/>
              <w:rPr>
                <w:sz w:val="20"/>
                <w:szCs w:val="20"/>
                <w:color w:val="auto"/>
              </w:rPr>
            </w:pPr>
            <w:r>
              <w:rPr>
                <w:rFonts w:ascii="Arial" w:cs="Arial" w:eastAsia="Arial" w:hAnsi="Arial"/>
                <w:sz w:val="20"/>
                <w:szCs w:val="20"/>
                <w:color w:val="auto"/>
              </w:rPr>
              <w:t>95</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Mine Safety Disclosures</w:t>
            </w:r>
          </w:p>
        </w:tc>
      </w:tr>
      <w:tr>
        <w:trPr>
          <w:trHeight w:val="459"/>
        </w:trPr>
        <w:tc>
          <w:tcPr>
            <w:tcW w:w="1060" w:type="dxa"/>
            <w:vAlign w:val="bottom"/>
          </w:tcPr>
          <w:p>
            <w:pPr>
              <w:spacing w:after="0"/>
              <w:rPr>
                <w:sz w:val="20"/>
                <w:szCs w:val="20"/>
                <w:color w:val="auto"/>
              </w:rPr>
            </w:pPr>
            <w:r>
              <w:rPr>
                <w:rFonts w:ascii="Arial" w:cs="Arial" w:eastAsia="Arial" w:hAnsi="Arial"/>
                <w:sz w:val="20"/>
                <w:szCs w:val="20"/>
                <w:color w:val="auto"/>
              </w:rPr>
              <w:t>101.INS</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XBRL Instance Document</w:t>
            </w:r>
          </w:p>
        </w:tc>
      </w:tr>
      <w:tr>
        <w:trPr>
          <w:trHeight w:val="459"/>
        </w:trPr>
        <w:tc>
          <w:tcPr>
            <w:tcW w:w="1060" w:type="dxa"/>
            <w:vAlign w:val="bottom"/>
          </w:tcPr>
          <w:p>
            <w:pPr>
              <w:spacing w:after="0"/>
              <w:rPr>
                <w:sz w:val="20"/>
                <w:szCs w:val="20"/>
                <w:color w:val="auto"/>
              </w:rPr>
            </w:pPr>
            <w:r>
              <w:rPr>
                <w:rFonts w:ascii="Arial" w:cs="Arial" w:eastAsia="Arial" w:hAnsi="Arial"/>
                <w:sz w:val="20"/>
                <w:szCs w:val="20"/>
                <w:color w:val="auto"/>
              </w:rPr>
              <w:t>101.SCH</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XBRL Taxonomy Extension Schema Document</w:t>
            </w:r>
          </w:p>
        </w:tc>
      </w:tr>
      <w:tr>
        <w:trPr>
          <w:trHeight w:val="459"/>
        </w:trPr>
        <w:tc>
          <w:tcPr>
            <w:tcW w:w="1060" w:type="dxa"/>
            <w:vAlign w:val="bottom"/>
          </w:tcPr>
          <w:p>
            <w:pPr>
              <w:spacing w:after="0"/>
              <w:rPr>
                <w:sz w:val="20"/>
                <w:szCs w:val="20"/>
                <w:color w:val="auto"/>
              </w:rPr>
            </w:pPr>
            <w:r>
              <w:rPr>
                <w:rFonts w:ascii="Arial" w:cs="Arial" w:eastAsia="Arial" w:hAnsi="Arial"/>
                <w:sz w:val="20"/>
                <w:szCs w:val="20"/>
                <w:color w:val="auto"/>
              </w:rPr>
              <w:t>101.CAL</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XBRL Taxonomy Extension Calculation Linkbase Document</w:t>
            </w:r>
          </w:p>
        </w:tc>
      </w:tr>
      <w:tr>
        <w:trPr>
          <w:trHeight w:val="459"/>
        </w:trPr>
        <w:tc>
          <w:tcPr>
            <w:tcW w:w="1060" w:type="dxa"/>
            <w:vAlign w:val="bottom"/>
          </w:tcPr>
          <w:p>
            <w:pPr>
              <w:spacing w:after="0"/>
              <w:rPr>
                <w:sz w:val="20"/>
                <w:szCs w:val="20"/>
                <w:color w:val="auto"/>
              </w:rPr>
            </w:pPr>
            <w:r>
              <w:rPr>
                <w:rFonts w:ascii="Arial" w:cs="Arial" w:eastAsia="Arial" w:hAnsi="Arial"/>
                <w:sz w:val="20"/>
                <w:szCs w:val="20"/>
                <w:color w:val="auto"/>
              </w:rPr>
              <w:t>101.LAB</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XBRL Taxonomy Extension Label Linkbase Document</w:t>
            </w:r>
          </w:p>
        </w:tc>
      </w:tr>
      <w:tr>
        <w:trPr>
          <w:trHeight w:val="459"/>
        </w:trPr>
        <w:tc>
          <w:tcPr>
            <w:tcW w:w="1060" w:type="dxa"/>
            <w:vAlign w:val="bottom"/>
          </w:tcPr>
          <w:p>
            <w:pPr>
              <w:spacing w:after="0"/>
              <w:rPr>
                <w:sz w:val="20"/>
                <w:szCs w:val="20"/>
                <w:color w:val="auto"/>
              </w:rPr>
            </w:pPr>
            <w:r>
              <w:rPr>
                <w:rFonts w:ascii="Arial" w:cs="Arial" w:eastAsia="Arial" w:hAnsi="Arial"/>
                <w:sz w:val="20"/>
                <w:szCs w:val="20"/>
                <w:color w:val="auto"/>
              </w:rPr>
              <w:t>101.PRE</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XBRL Taxonomy Extension Presentation Linkbase Document</w:t>
            </w:r>
          </w:p>
        </w:tc>
      </w:tr>
      <w:tr>
        <w:trPr>
          <w:trHeight w:val="459"/>
        </w:trPr>
        <w:tc>
          <w:tcPr>
            <w:tcW w:w="1060" w:type="dxa"/>
            <w:vAlign w:val="bottom"/>
          </w:tcPr>
          <w:p>
            <w:pPr>
              <w:spacing w:after="0"/>
              <w:rPr>
                <w:sz w:val="20"/>
                <w:szCs w:val="20"/>
                <w:color w:val="auto"/>
              </w:rPr>
            </w:pPr>
            <w:r>
              <w:rPr>
                <w:rFonts w:ascii="Arial" w:cs="Arial" w:eastAsia="Arial" w:hAnsi="Arial"/>
                <w:sz w:val="20"/>
                <w:szCs w:val="20"/>
                <w:color w:val="auto"/>
              </w:rPr>
              <w:t>101.DEF</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20"/>
                <w:szCs w:val="20"/>
                <w:color w:val="auto"/>
              </w:rPr>
              <w:t>XBRL Taxonomy Extension Definition Linkbase</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*Management contract or compensatory plan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43 of 43</w:t>
      </w:r>
    </w:p>
    <w:p>
      <w:pPr>
        <w:sectPr>
          <w:pgSz w:w="11900" w:h="16838" w:orient="portrait"/>
          <w:cols w:equalWidth="0" w:num="1">
            <w:col w:w="11420"/>
          </w:cols>
          <w:pgMar w:left="240" w:top="352"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color w:val="auto"/>
        </w:rPr>
        <w:t>EXHIBIT 10.01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MARTIN MARIETTA MATERIALS,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FORM OF PERFORMANCE SHARE UNIT AWARD AGREEMENT</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THIS PERFORMANCE SHARE UNIT AWARD AGREEMENT, made as of [________] (the “</w:t>
      </w:r>
      <w:r>
        <w:rPr>
          <w:rFonts w:ascii="Arial" w:cs="Arial" w:eastAsia="Arial" w:hAnsi="Arial"/>
          <w:sz w:val="19"/>
          <w:szCs w:val="19"/>
          <w:b w:val="1"/>
          <w:bCs w:val="1"/>
          <w:color w:val="auto"/>
        </w:rPr>
        <w:t>Award Agreement</w:t>
      </w:r>
      <w:r>
        <w:rPr>
          <w:rFonts w:ascii="Arial" w:cs="Arial" w:eastAsia="Arial" w:hAnsi="Arial"/>
          <w:sz w:val="19"/>
          <w:szCs w:val="19"/>
          <w:color w:val="auto"/>
        </w:rPr>
        <w:t>”), between</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Martin Marietta Materials, Inc., a North Carolina corporation (the “</w:t>
      </w:r>
      <w:r>
        <w:rPr>
          <w:rFonts w:ascii="Arial" w:cs="Arial" w:eastAsia="Arial" w:hAnsi="Arial"/>
          <w:sz w:val="20"/>
          <w:szCs w:val="20"/>
          <w:b w:val="1"/>
          <w:bCs w:val="1"/>
          <w:color w:val="auto"/>
        </w:rPr>
        <w:t>Company</w:t>
      </w:r>
      <w:r>
        <w:rPr>
          <w:rFonts w:ascii="Arial" w:cs="Arial" w:eastAsia="Arial" w:hAnsi="Arial"/>
          <w:sz w:val="20"/>
          <w:szCs w:val="20"/>
          <w:color w:val="auto"/>
        </w:rPr>
        <w:t>”), _______________________ (the “</w:t>
      </w:r>
      <w:r>
        <w:rPr>
          <w:rFonts w:ascii="Arial" w:cs="Arial" w:eastAsia="Arial" w:hAnsi="Arial"/>
          <w:sz w:val="20"/>
          <w:szCs w:val="20"/>
          <w:b w:val="1"/>
          <w:bCs w:val="1"/>
          <w:color w:val="auto"/>
        </w:rPr>
        <w:t>Employee</w:t>
      </w:r>
      <w:r>
        <w:rPr>
          <w:rFonts w:ascii="Arial" w:cs="Arial" w:eastAsia="Arial" w:hAnsi="Arial"/>
          <w:sz w:val="20"/>
          <w:szCs w:val="20"/>
          <w:color w:val="auto"/>
        </w:rPr>
        <w:t>”).</w:t>
      </w:r>
    </w:p>
    <w:p>
      <w:pPr>
        <w:spacing w:after="0" w:line="340" w:lineRule="exact"/>
        <w:rPr>
          <w:sz w:val="20"/>
          <w:szCs w:val="20"/>
          <w:color w:val="auto"/>
        </w:rPr>
      </w:pPr>
    </w:p>
    <w:p>
      <w:pPr>
        <w:ind w:left="880" w:hanging="872"/>
        <w:spacing w:after="0"/>
        <w:tabs>
          <w:tab w:leader="none" w:pos="880" w:val="left"/>
        </w:tabs>
        <w:numPr>
          <w:ilvl w:val="0"/>
          <w:numId w:val="24"/>
        </w:numPr>
        <w:rPr>
          <w:rFonts w:ascii="Arial" w:cs="Arial" w:eastAsia="Arial" w:hAnsi="Arial"/>
          <w:sz w:val="21"/>
          <w:szCs w:val="21"/>
          <w:b w:val="1"/>
          <w:bCs w:val="1"/>
          <w:color w:val="auto"/>
        </w:rPr>
      </w:pPr>
      <w:r>
        <w:rPr>
          <w:rFonts w:ascii="Arial" w:cs="Arial" w:eastAsia="Arial" w:hAnsi="Arial"/>
          <w:sz w:val="21"/>
          <w:szCs w:val="21"/>
          <w:b w:val="1"/>
          <w:bCs w:val="1"/>
          <w:color w:val="auto"/>
        </w:rPr>
        <w:t>GRANT</w:t>
      </w:r>
    </w:p>
    <w:p>
      <w:pPr>
        <w:spacing w:after="0" w:line="245" w:lineRule="exact"/>
        <w:rPr>
          <w:sz w:val="20"/>
          <w:szCs w:val="20"/>
          <w:color w:val="auto"/>
        </w:rPr>
      </w:pPr>
    </w:p>
    <w:p>
      <w:pPr>
        <w:jc w:val="both"/>
        <w:ind w:firstLine="877"/>
        <w:spacing w:after="0" w:line="295" w:lineRule="auto"/>
        <w:rPr>
          <w:sz w:val="20"/>
          <w:szCs w:val="20"/>
          <w:color w:val="auto"/>
        </w:rPr>
      </w:pPr>
      <w:r>
        <w:rPr>
          <w:rFonts w:ascii="Arial" w:cs="Arial" w:eastAsia="Arial" w:hAnsi="Arial"/>
          <w:sz w:val="18"/>
          <w:szCs w:val="18"/>
          <w:color w:val="auto"/>
        </w:rPr>
        <w:t>Pursuant to the Martin Marietta Materials, Inc. Amended and Restated Stock-Based Award Plan (the “</w:t>
      </w:r>
      <w:r>
        <w:rPr>
          <w:rFonts w:ascii="Arial" w:cs="Arial" w:eastAsia="Arial" w:hAnsi="Arial"/>
          <w:sz w:val="18"/>
          <w:szCs w:val="18"/>
          <w:b w:val="1"/>
          <w:bCs w:val="1"/>
          <w:color w:val="auto"/>
        </w:rPr>
        <w:t>Plan</w:t>
      </w:r>
      <w:r>
        <w:rPr>
          <w:rFonts w:ascii="Arial" w:cs="Arial" w:eastAsia="Arial" w:hAnsi="Arial"/>
          <w:sz w:val="18"/>
          <w:szCs w:val="18"/>
          <w:color w:val="auto"/>
        </w:rPr>
        <w:t xml:space="preserve">”), the Company hereby grants the Employee </w:t>
      </w:r>
      <w:r>
        <w:rPr>
          <w:rFonts w:ascii="Arial" w:cs="Arial" w:eastAsia="Arial" w:hAnsi="Arial"/>
          <w:sz w:val="18"/>
          <w:szCs w:val="18"/>
          <w:b w:val="1"/>
          <w:bCs w:val="1"/>
          <w:color w:val="auto"/>
        </w:rPr>
        <w:t>__________</w:t>
      </w:r>
      <w:r>
        <w:rPr>
          <w:rFonts w:ascii="Arial" w:cs="Arial" w:eastAsia="Arial" w:hAnsi="Arial"/>
          <w:sz w:val="18"/>
          <w:szCs w:val="18"/>
          <w:color w:val="auto"/>
        </w:rPr>
        <w:t xml:space="preserve"> Performance Share Units (the “</w:t>
      </w:r>
      <w:r>
        <w:rPr>
          <w:rFonts w:ascii="Arial" w:cs="Arial" w:eastAsia="Arial" w:hAnsi="Arial"/>
          <w:sz w:val="18"/>
          <w:szCs w:val="18"/>
          <w:b w:val="1"/>
          <w:bCs w:val="1"/>
          <w:color w:val="auto"/>
        </w:rPr>
        <w:t>Award</w:t>
      </w:r>
      <w:r>
        <w:rPr>
          <w:rFonts w:ascii="Arial" w:cs="Arial" w:eastAsia="Arial" w:hAnsi="Arial"/>
          <w:sz w:val="18"/>
          <w:szCs w:val="18"/>
          <w:color w:val="auto"/>
        </w:rPr>
        <w:t>”) as the target amount of a performance-based stock unit</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award on the terms and conditions contained in this Award Agreement, and subject to the terms and conditions of the Plan. Depending on the Company’s performance as set forth in Section 4 below, the participant may earn zero percent (0%) to two hundred forty percent (240%) of the target number of Performance Share Units awarded. The term “</w:t>
      </w:r>
      <w:r>
        <w:rPr>
          <w:rFonts w:ascii="Arial" w:cs="Arial" w:eastAsia="Arial" w:hAnsi="Arial"/>
          <w:sz w:val="19"/>
          <w:szCs w:val="19"/>
          <w:b w:val="1"/>
          <w:bCs w:val="1"/>
          <w:color w:val="auto"/>
        </w:rPr>
        <w:t>Performance Share Unit</w:t>
      </w:r>
      <w:r>
        <w:rPr>
          <w:rFonts w:ascii="Arial" w:cs="Arial" w:eastAsia="Arial" w:hAnsi="Arial"/>
          <w:sz w:val="19"/>
          <w:szCs w:val="19"/>
          <w:color w:val="auto"/>
        </w:rPr>
        <w:t>” or “</w:t>
      </w:r>
      <w:r>
        <w:rPr>
          <w:rFonts w:ascii="Arial" w:cs="Arial" w:eastAsia="Arial" w:hAnsi="Arial"/>
          <w:sz w:val="19"/>
          <w:szCs w:val="19"/>
          <w:b w:val="1"/>
          <w:bCs w:val="1"/>
          <w:color w:val="auto"/>
        </w:rPr>
        <w:t>PSU(s)</w:t>
      </w:r>
      <w:r>
        <w:rPr>
          <w:rFonts w:ascii="Arial" w:cs="Arial" w:eastAsia="Arial" w:hAnsi="Arial"/>
          <w:sz w:val="19"/>
          <w:szCs w:val="19"/>
          <w:color w:val="auto"/>
        </w:rPr>
        <w:t>” as used in this Award Agreement refers only to the Performance Share Units awarded to the Employee under this Award Agreement.</w:t>
      </w:r>
    </w:p>
    <w:p>
      <w:pPr>
        <w:spacing w:after="0" w:line="183" w:lineRule="exact"/>
        <w:rPr>
          <w:sz w:val="20"/>
          <w:szCs w:val="20"/>
          <w:color w:val="auto"/>
        </w:rPr>
      </w:pPr>
    </w:p>
    <w:p>
      <w:pPr>
        <w:ind w:left="880" w:hanging="872"/>
        <w:spacing w:after="0"/>
        <w:tabs>
          <w:tab w:leader="none" w:pos="880" w:val="left"/>
        </w:tabs>
        <w:numPr>
          <w:ilvl w:val="0"/>
          <w:numId w:val="25"/>
        </w:numPr>
        <w:rPr>
          <w:rFonts w:ascii="Arial" w:cs="Arial" w:eastAsia="Arial" w:hAnsi="Arial"/>
          <w:sz w:val="21"/>
          <w:szCs w:val="21"/>
          <w:b w:val="1"/>
          <w:bCs w:val="1"/>
          <w:color w:val="auto"/>
        </w:rPr>
      </w:pPr>
      <w:r>
        <w:rPr>
          <w:rFonts w:ascii="Arial" w:cs="Arial" w:eastAsia="Arial" w:hAnsi="Arial"/>
          <w:sz w:val="21"/>
          <w:szCs w:val="21"/>
          <w:b w:val="1"/>
          <w:bCs w:val="1"/>
          <w:color w:val="auto"/>
        </w:rPr>
        <w:t>GRANT DATE</w:t>
      </w:r>
    </w:p>
    <w:p>
      <w:pPr>
        <w:spacing w:after="0" w:line="250"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The Grant Date is [___________].</w:t>
      </w:r>
    </w:p>
    <w:p>
      <w:pPr>
        <w:spacing w:after="0" w:line="238" w:lineRule="exact"/>
        <w:rPr>
          <w:rFonts w:ascii="Arial" w:cs="Arial" w:eastAsia="Arial" w:hAnsi="Arial"/>
          <w:sz w:val="21"/>
          <w:szCs w:val="21"/>
          <w:b w:val="1"/>
          <w:bCs w:val="1"/>
          <w:color w:val="auto"/>
        </w:rPr>
      </w:pPr>
    </w:p>
    <w:p>
      <w:pPr>
        <w:ind w:left="880" w:hanging="872"/>
        <w:spacing w:after="0"/>
        <w:tabs>
          <w:tab w:leader="none" w:pos="880" w:val="left"/>
        </w:tabs>
        <w:numPr>
          <w:ilvl w:val="0"/>
          <w:numId w:val="25"/>
        </w:numPr>
        <w:rPr>
          <w:rFonts w:ascii="Arial" w:cs="Arial" w:eastAsia="Arial" w:hAnsi="Arial"/>
          <w:sz w:val="21"/>
          <w:szCs w:val="21"/>
          <w:b w:val="1"/>
          <w:bCs w:val="1"/>
          <w:color w:val="auto"/>
        </w:rPr>
      </w:pPr>
      <w:r>
        <w:rPr>
          <w:rFonts w:ascii="Arial" w:cs="Arial" w:eastAsia="Arial" w:hAnsi="Arial"/>
          <w:sz w:val="21"/>
          <w:szCs w:val="21"/>
          <w:b w:val="1"/>
          <w:bCs w:val="1"/>
          <w:color w:val="auto"/>
        </w:rPr>
        <w:t>MEASUREMENT PERIOD</w:t>
      </w:r>
    </w:p>
    <w:p>
      <w:pPr>
        <w:spacing w:after="0" w:line="25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Subject to the terms and conditions hereof and of the Plan, the measurement period begins on [___________] and ends on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[___________] (the “</w:t>
      </w:r>
      <w:r>
        <w:rPr>
          <w:rFonts w:ascii="Arial" w:cs="Arial" w:eastAsia="Arial" w:hAnsi="Arial"/>
          <w:sz w:val="19"/>
          <w:szCs w:val="19"/>
          <w:b w:val="1"/>
          <w:bCs w:val="1"/>
          <w:color w:val="auto"/>
        </w:rPr>
        <w:t>Measurement Period</w:t>
      </w:r>
      <w:r>
        <w:rPr>
          <w:rFonts w:ascii="Arial" w:cs="Arial" w:eastAsia="Arial" w:hAnsi="Arial"/>
          <w:sz w:val="19"/>
          <w:szCs w:val="19"/>
          <w:color w:val="auto"/>
        </w:rPr>
        <w:t>”). Except as otherwise provided in this Award Agreement or the Plan, the PSUs will become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vested on December 31, [___________], at the end of the Measurement Period (the “</w:t>
      </w:r>
      <w:r>
        <w:rPr>
          <w:rFonts w:ascii="Arial" w:cs="Arial" w:eastAsia="Arial" w:hAnsi="Arial"/>
          <w:sz w:val="18"/>
          <w:szCs w:val="18"/>
          <w:b w:val="1"/>
          <w:bCs w:val="1"/>
          <w:color w:val="auto"/>
        </w:rPr>
        <w:t>Vesting Date</w:t>
      </w:r>
      <w:r>
        <w:rPr>
          <w:rFonts w:ascii="Arial" w:cs="Arial" w:eastAsia="Arial" w:hAnsi="Arial"/>
          <w:sz w:val="18"/>
          <w:szCs w:val="18"/>
          <w:color w:val="auto"/>
        </w:rPr>
        <w:t>”), as described in Section 4 below and</w:t>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subject to Section 7 below.</w:t>
      </w:r>
    </w:p>
    <w:p>
      <w:pPr>
        <w:spacing w:after="0" w:line="221" w:lineRule="exact"/>
        <w:rPr>
          <w:sz w:val="20"/>
          <w:szCs w:val="20"/>
          <w:color w:val="auto"/>
        </w:rPr>
      </w:pPr>
    </w:p>
    <w:p>
      <w:pPr>
        <w:ind w:left="880" w:hanging="872"/>
        <w:spacing w:after="0"/>
        <w:tabs>
          <w:tab w:leader="none" w:pos="880" w:val="left"/>
        </w:tabs>
        <w:numPr>
          <w:ilvl w:val="0"/>
          <w:numId w:val="26"/>
        </w:numPr>
        <w:rPr>
          <w:rFonts w:ascii="Arial" w:cs="Arial" w:eastAsia="Arial" w:hAnsi="Arial"/>
          <w:sz w:val="21"/>
          <w:szCs w:val="21"/>
          <w:b w:val="1"/>
          <w:bCs w:val="1"/>
          <w:color w:val="auto"/>
        </w:rPr>
      </w:pPr>
      <w:r>
        <w:rPr>
          <w:rFonts w:ascii="Arial" w:cs="Arial" w:eastAsia="Arial" w:hAnsi="Arial"/>
          <w:sz w:val="21"/>
          <w:szCs w:val="21"/>
          <w:b w:val="1"/>
          <w:bCs w:val="1"/>
          <w:color w:val="auto"/>
        </w:rPr>
        <w:t>PAYMENT OF PERFORMANCE SHARE UNITS</w:t>
      </w:r>
    </w:p>
    <w:p>
      <w:pPr>
        <w:spacing w:after="0" w:line="250" w:lineRule="exact"/>
        <w:rPr>
          <w:rFonts w:ascii="Arial" w:cs="Arial" w:eastAsia="Arial" w:hAnsi="Arial"/>
          <w:sz w:val="21"/>
          <w:szCs w:val="21"/>
          <w:b w:val="1"/>
          <w:bCs w:val="1"/>
          <w:color w:val="auto"/>
        </w:rPr>
      </w:pPr>
    </w:p>
    <w:p>
      <w:pPr>
        <w:jc w:val="both"/>
        <w:ind w:left="1520" w:hanging="648"/>
        <w:spacing w:after="0" w:line="265" w:lineRule="auto"/>
        <w:tabs>
          <w:tab w:leader="none" w:pos="1520" w:val="left"/>
        </w:tabs>
        <w:numPr>
          <w:ilvl w:val="1"/>
          <w:numId w:val="26"/>
        </w:numPr>
        <w:rPr>
          <w:rFonts w:ascii="Arial" w:cs="Arial" w:eastAsia="Arial" w:hAnsi="Arial"/>
          <w:sz w:val="20"/>
          <w:szCs w:val="20"/>
          <w:color w:val="auto"/>
        </w:rPr>
      </w:pPr>
      <w:r>
        <w:rPr>
          <w:rFonts w:ascii="Arial" w:cs="Arial" w:eastAsia="Arial" w:hAnsi="Arial"/>
          <w:sz w:val="20"/>
          <w:szCs w:val="20"/>
          <w:u w:val="single" w:color="auto"/>
          <w:color w:val="auto"/>
        </w:rPr>
        <w:t>Vesting of Award.</w:t>
      </w:r>
      <w:r>
        <w:rPr>
          <w:rFonts w:ascii="Arial" w:cs="Arial" w:eastAsia="Arial" w:hAnsi="Arial"/>
          <w:sz w:val="20"/>
          <w:szCs w:val="20"/>
          <w:color w:val="auto"/>
        </w:rPr>
        <w:t xml:space="preserve"> Unless forfeited or converted and paid earlier as provided in Sections 7 and 9 below, the Performance Share Units granted hereunder will vest (“</w:t>
      </w:r>
      <w:r>
        <w:rPr>
          <w:rFonts w:ascii="Arial" w:cs="Arial" w:eastAsia="Arial" w:hAnsi="Arial"/>
          <w:sz w:val="20"/>
          <w:szCs w:val="20"/>
          <w:b w:val="1"/>
          <w:bCs w:val="1"/>
          <w:color w:val="auto"/>
        </w:rPr>
        <w:t>Vest</w:t>
      </w:r>
      <w:r>
        <w:rPr>
          <w:rFonts w:ascii="Arial" w:cs="Arial" w:eastAsia="Arial" w:hAnsi="Arial"/>
          <w:sz w:val="20"/>
          <w:szCs w:val="20"/>
          <w:color w:val="auto"/>
        </w:rPr>
        <w:t>” or “</w:t>
      </w:r>
      <w:r>
        <w:rPr>
          <w:rFonts w:ascii="Arial" w:cs="Arial" w:eastAsia="Arial" w:hAnsi="Arial"/>
          <w:sz w:val="20"/>
          <w:szCs w:val="20"/>
          <w:b w:val="1"/>
          <w:bCs w:val="1"/>
          <w:color w:val="auto"/>
        </w:rPr>
        <w:t>Vesting</w:t>
      </w:r>
      <w:r>
        <w:rPr>
          <w:rFonts w:ascii="Arial" w:cs="Arial" w:eastAsia="Arial" w:hAnsi="Arial"/>
          <w:sz w:val="20"/>
          <w:szCs w:val="20"/>
          <w:color w:val="auto"/>
        </w:rPr>
        <w:t>”) based on the achievement of the performance goals specified in Section 4(b) and, other than as provided in Sections 7 and 9 below, provided that the Employee is employed by the Company or an Affiliate (as defined in the Plan) on the Vesting Date.</w:t>
      </w:r>
    </w:p>
    <w:p>
      <w:pPr>
        <w:spacing w:after="0" w:line="199" w:lineRule="exact"/>
        <w:rPr>
          <w:rFonts w:ascii="Arial" w:cs="Arial" w:eastAsia="Arial" w:hAnsi="Arial"/>
          <w:sz w:val="20"/>
          <w:szCs w:val="20"/>
          <w:color w:val="auto"/>
        </w:rPr>
      </w:pPr>
    </w:p>
    <w:p>
      <w:pPr>
        <w:jc w:val="both"/>
        <w:ind w:left="1520" w:hanging="648"/>
        <w:spacing w:after="0" w:line="247" w:lineRule="auto"/>
        <w:tabs>
          <w:tab w:leader="none" w:pos="1520"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Performance Goals.</w:t>
      </w:r>
      <w:r>
        <w:rPr>
          <w:rFonts w:ascii="Arial" w:cs="Arial" w:eastAsia="Arial" w:hAnsi="Arial"/>
          <w:sz w:val="21"/>
          <w:szCs w:val="21"/>
          <w:color w:val="auto"/>
        </w:rPr>
        <w:t xml:space="preserve"> The percentage of the Award that Vests and will be paid with respect to the Measurement Period in connection with the PSUs (the “</w:t>
      </w:r>
      <w:r>
        <w:rPr>
          <w:rFonts w:ascii="Arial" w:cs="Arial" w:eastAsia="Arial" w:hAnsi="Arial"/>
          <w:sz w:val="21"/>
          <w:szCs w:val="21"/>
          <w:b w:val="1"/>
          <w:bCs w:val="1"/>
          <w:color w:val="auto"/>
        </w:rPr>
        <w:t>Final Vesting Percentage</w:t>
      </w:r>
      <w:r>
        <w:rPr>
          <w:rFonts w:ascii="Arial" w:cs="Arial" w:eastAsia="Arial" w:hAnsi="Arial"/>
          <w:sz w:val="21"/>
          <w:szCs w:val="21"/>
          <w:color w:val="auto"/>
        </w:rPr>
        <w:t>”) is conditioned on the satisfaction of the performance goals set forth in the table below and the other terms and conditions of this Section 4(b) during the Measurement Period, which have been established by the Management Development and Compensation Committee of the Board of Directors of the Company (the “</w:t>
      </w:r>
      <w:r>
        <w:rPr>
          <w:rFonts w:ascii="Arial" w:cs="Arial" w:eastAsia="Arial" w:hAnsi="Arial"/>
          <w:sz w:val="21"/>
          <w:szCs w:val="21"/>
          <w:b w:val="1"/>
          <w:bCs w:val="1"/>
          <w:color w:val="auto"/>
        </w:rPr>
        <w:t>Committee</w:t>
      </w:r>
      <w:r>
        <w:rPr>
          <w:rFonts w:ascii="Arial" w:cs="Arial" w:eastAsia="Arial" w:hAnsi="Arial"/>
          <w:sz w:val="21"/>
          <w:szCs w:val="21"/>
          <w:color w:val="auto"/>
        </w:rPr>
        <w:t>”).</w:t>
      </w:r>
    </w:p>
    <w:p>
      <w:pPr>
        <w:spacing w:after="0" w:line="215" w:lineRule="exact"/>
        <w:rPr>
          <w:rFonts w:ascii="Arial" w:cs="Arial" w:eastAsia="Arial" w:hAnsi="Arial"/>
          <w:sz w:val="21"/>
          <w:szCs w:val="21"/>
          <w:color w:val="auto"/>
        </w:rPr>
      </w:pPr>
    </w:p>
    <w:p>
      <w:pPr>
        <w:jc w:val="both"/>
        <w:ind w:left="2180" w:hanging="430"/>
        <w:spacing w:after="0" w:line="253" w:lineRule="auto"/>
        <w:tabs>
          <w:tab w:leader="none" w:pos="2180" w:val="left"/>
        </w:tabs>
        <w:numPr>
          <w:ilvl w:val="2"/>
          <w:numId w:val="26"/>
        </w:numPr>
        <w:rPr>
          <w:rFonts w:ascii="Arial" w:cs="Arial" w:eastAsia="Arial" w:hAnsi="Arial"/>
          <w:sz w:val="21"/>
          <w:szCs w:val="21"/>
          <w:color w:val="auto"/>
        </w:rPr>
      </w:pPr>
      <w:r>
        <w:rPr>
          <w:rFonts w:ascii="Arial" w:cs="Arial" w:eastAsia="Arial" w:hAnsi="Arial"/>
          <w:sz w:val="21"/>
          <w:szCs w:val="21"/>
          <w:color w:val="auto"/>
        </w:rPr>
        <w:t>The Final Vesting Percentage will be equal to the product of the Weighted Achievement Percentage (as determined below) multiplied by the Relative TSR Multiplier (as determined below), in each case as certified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ind w:left="980" w:hanging="430"/>
        <w:spacing w:after="0"/>
        <w:tabs>
          <w:tab w:leader="none" w:pos="980" w:val="left"/>
        </w:tabs>
        <w:numPr>
          <w:ilvl w:val="0"/>
          <w:numId w:val="27"/>
        </w:numPr>
        <w:rPr>
          <w:rFonts w:ascii="Arial" w:cs="Arial" w:eastAsia="Arial" w:hAnsi="Arial"/>
          <w:sz w:val="19"/>
          <w:szCs w:val="19"/>
          <w:color w:val="auto"/>
        </w:rPr>
      </w:pPr>
      <w:r>
        <w:rPr>
          <w:rFonts w:ascii="Arial" w:cs="Arial" w:eastAsia="Arial" w:hAnsi="Arial"/>
          <w:sz w:val="19"/>
          <w:szCs w:val="19"/>
          <w:color w:val="auto"/>
        </w:rPr>
        <w:t>Following the end of the Measurement Period, the Company will perform two calculations as set forth below:</w:t>
      </w:r>
    </w:p>
    <w:p>
      <w:pPr>
        <w:spacing w:after="0" w:line="42" w:lineRule="exact"/>
        <w:rPr>
          <w:rFonts w:ascii="Arial" w:cs="Arial" w:eastAsia="Arial" w:hAnsi="Arial"/>
          <w:sz w:val="19"/>
          <w:szCs w:val="19"/>
          <w:color w:val="auto"/>
        </w:rPr>
      </w:pPr>
    </w:p>
    <w:p>
      <w:pPr>
        <w:jc w:val="both"/>
        <w:ind w:left="1880" w:hanging="222"/>
        <w:spacing w:after="0" w:line="288" w:lineRule="auto"/>
        <w:tabs>
          <w:tab w:leader="none" w:pos="1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For each fiscal year of the Company during the Measurement Period, the Company will determine the annual achievement (as a percentage) of each Measure (as set forth in the table below) for such fiscal year against the Annual Goals set forth in the table below, and then apply such achievement percentages to the applicable Target Share Percentages set forth therein to determine the total Target Share Percentage earned for such fiscal year; provided that performance achievement above the “</w:t>
      </w:r>
      <w:r>
        <w:rPr>
          <w:rFonts w:ascii="Arial" w:cs="Arial" w:eastAsia="Arial" w:hAnsi="Arial"/>
          <w:sz w:val="18"/>
          <w:szCs w:val="18"/>
          <w:b w:val="1"/>
          <w:bCs w:val="1"/>
          <w:color w:val="auto"/>
        </w:rPr>
        <w:t>Target</w:t>
      </w:r>
      <w:r>
        <w:rPr>
          <w:rFonts w:ascii="Arial" w:cs="Arial" w:eastAsia="Arial" w:hAnsi="Arial"/>
          <w:sz w:val="18"/>
          <w:szCs w:val="18"/>
          <w:color w:val="auto"/>
        </w:rPr>
        <w:t>” level will be deemed to be Target level for such fiscal year. The “</w:t>
      </w:r>
      <w:r>
        <w:rPr>
          <w:rFonts w:ascii="Arial" w:cs="Arial" w:eastAsia="Arial" w:hAnsi="Arial"/>
          <w:sz w:val="18"/>
          <w:szCs w:val="18"/>
          <w:b w:val="1"/>
          <w:bCs w:val="1"/>
          <w:color w:val="auto"/>
        </w:rPr>
        <w:t>Annual Weighted</w:t>
      </w:r>
      <w:r>
        <w:rPr>
          <w:rFonts w:ascii="Arial" w:cs="Arial" w:eastAsia="Arial" w:hAnsi="Arial"/>
          <w:sz w:val="18"/>
          <w:szCs w:val="18"/>
          <w:color w:val="auto"/>
        </w:rPr>
        <w:t xml:space="preserve"> </w:t>
      </w:r>
      <w:r>
        <w:rPr>
          <w:rFonts w:ascii="Arial" w:cs="Arial" w:eastAsia="Arial" w:hAnsi="Arial"/>
          <w:sz w:val="18"/>
          <w:szCs w:val="18"/>
          <w:b w:val="1"/>
          <w:bCs w:val="1"/>
          <w:color w:val="auto"/>
        </w:rPr>
        <w:t>Achievement Level</w:t>
      </w:r>
      <w:r>
        <w:rPr>
          <w:rFonts w:ascii="Arial" w:cs="Arial" w:eastAsia="Arial" w:hAnsi="Arial"/>
          <w:sz w:val="18"/>
          <w:szCs w:val="18"/>
          <w:color w:val="auto"/>
        </w:rPr>
        <w:t>” is the sum of total Target Share Percentages for each of the three fiscal years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Measurement Period, which for the avoidance of doubt, may not exceed 100%.</w:t>
      </w:r>
    </w:p>
    <w:p>
      <w:pPr>
        <w:spacing w:after="0" w:line="182" w:lineRule="exact"/>
        <w:rPr>
          <w:rFonts w:ascii="Arial" w:cs="Arial" w:eastAsia="Arial" w:hAnsi="Arial"/>
          <w:sz w:val="18"/>
          <w:szCs w:val="18"/>
          <w:color w:val="auto"/>
        </w:rPr>
      </w:pPr>
    </w:p>
    <w:p>
      <w:pPr>
        <w:jc w:val="both"/>
        <w:ind w:left="1880" w:hanging="222"/>
        <w:spacing w:after="0" w:line="277" w:lineRule="auto"/>
        <w:tabs>
          <w:tab w:leader="none" w:pos="1880" w:val="left"/>
        </w:tabs>
        <w:numPr>
          <w:ilvl w:val="1"/>
          <w:numId w:val="27"/>
        </w:numPr>
        <w:rPr>
          <w:rFonts w:ascii="Arial" w:cs="Arial" w:eastAsia="Arial" w:hAnsi="Arial"/>
          <w:sz w:val="19"/>
          <w:szCs w:val="19"/>
          <w:color w:val="auto"/>
        </w:rPr>
      </w:pPr>
      <w:r>
        <w:rPr>
          <w:rFonts w:ascii="Arial" w:cs="Arial" w:eastAsia="Arial" w:hAnsi="Arial"/>
          <w:sz w:val="19"/>
          <w:szCs w:val="19"/>
          <w:color w:val="auto"/>
        </w:rPr>
        <w:t>After the end of the Measurement Period, the Company will determine (and the Committee will certify) the cumulative achievement (as a percentage) of each Measure for the entire Measurement Period against the Cumulative Goals set forth in the table below, and then apply such achievement percentages to the applicable Target Share Percentages set forth therein to determine the total Target Share Percentage earned for the Measurement Period (such percentage, the “</w:t>
      </w:r>
      <w:r>
        <w:rPr>
          <w:rFonts w:ascii="Arial" w:cs="Arial" w:eastAsia="Arial" w:hAnsi="Arial"/>
          <w:sz w:val="19"/>
          <w:szCs w:val="19"/>
          <w:b w:val="1"/>
          <w:bCs w:val="1"/>
          <w:color w:val="auto"/>
        </w:rPr>
        <w:t>Cumulative Weighted</w:t>
      </w:r>
      <w:r>
        <w:rPr>
          <w:rFonts w:ascii="Arial" w:cs="Arial" w:eastAsia="Arial" w:hAnsi="Arial"/>
          <w:sz w:val="19"/>
          <w:szCs w:val="19"/>
          <w:color w:val="auto"/>
        </w:rPr>
        <w:t xml:space="preserve"> </w:t>
      </w:r>
      <w:r>
        <w:rPr>
          <w:rFonts w:ascii="Arial" w:cs="Arial" w:eastAsia="Arial" w:hAnsi="Arial"/>
          <w:sz w:val="19"/>
          <w:szCs w:val="19"/>
          <w:b w:val="1"/>
          <w:bCs w:val="1"/>
          <w:color w:val="auto"/>
        </w:rPr>
        <w:t>Achievement Level</w:t>
      </w:r>
      <w:r>
        <w:rPr>
          <w:rFonts w:ascii="Arial" w:cs="Arial" w:eastAsia="Arial" w:hAnsi="Arial"/>
          <w:sz w:val="19"/>
          <w:szCs w:val="19"/>
          <w:color w:val="auto"/>
        </w:rPr>
        <w:t>”), which for the avoidance of doubt, may not exceed 200%.</w:t>
      </w:r>
    </w:p>
    <w:p>
      <w:pPr>
        <w:spacing w:after="0" w:line="182" w:lineRule="exact"/>
        <w:rPr>
          <w:rFonts w:ascii="Arial" w:cs="Arial" w:eastAsia="Arial" w:hAnsi="Arial"/>
          <w:sz w:val="19"/>
          <w:szCs w:val="19"/>
          <w:color w:val="auto"/>
        </w:rPr>
      </w:pPr>
    </w:p>
    <w:p>
      <w:pPr>
        <w:ind w:left="980" w:hanging="430"/>
        <w:spacing w:after="0" w:line="270" w:lineRule="auto"/>
        <w:tabs>
          <w:tab w:leader="none" w:pos="980"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w:t>
      </w:r>
      <w:r>
        <w:rPr>
          <w:rFonts w:ascii="Arial" w:cs="Arial" w:eastAsia="Arial" w:hAnsi="Arial"/>
          <w:sz w:val="21"/>
          <w:szCs w:val="21"/>
          <w:b w:val="1"/>
          <w:bCs w:val="1"/>
          <w:color w:val="auto"/>
        </w:rPr>
        <w:t>Weighted Achievement Percentage</w:t>
      </w:r>
      <w:r>
        <w:rPr>
          <w:rFonts w:ascii="Arial" w:cs="Arial" w:eastAsia="Arial" w:hAnsi="Arial"/>
          <w:sz w:val="21"/>
          <w:szCs w:val="21"/>
          <w:color w:val="auto"/>
        </w:rPr>
        <w:t>” will be deemed to be equal to the greater of (i) the Annual Weighted Achievement Level or (ii) the Cumulative Weighted Achievement Level.</w:t>
      </w:r>
    </w:p>
    <w:p>
      <w:pPr>
        <w:spacing w:after="0" w:line="191" w:lineRule="exact"/>
        <w:rPr>
          <w:rFonts w:ascii="Arial" w:cs="Arial" w:eastAsia="Arial" w:hAnsi="Arial"/>
          <w:sz w:val="21"/>
          <w:szCs w:val="21"/>
          <w:color w:val="auto"/>
        </w:rPr>
      </w:pPr>
    </w:p>
    <w:p>
      <w:pPr>
        <w:jc w:val="both"/>
        <w:ind w:left="980" w:hanging="430"/>
        <w:spacing w:after="0" w:line="258" w:lineRule="auto"/>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After the end of the Measurement Period, the total units earned, if any, are adjusted by applying a modifier based on the total shareholder return, or “</w:t>
      </w:r>
      <w:r>
        <w:rPr>
          <w:rFonts w:ascii="Arial" w:cs="Arial" w:eastAsia="Arial" w:hAnsi="Arial"/>
          <w:sz w:val="20"/>
          <w:szCs w:val="20"/>
          <w:b w:val="1"/>
          <w:bCs w:val="1"/>
          <w:color w:val="auto"/>
        </w:rPr>
        <w:t>TSR</w:t>
      </w:r>
      <w:r>
        <w:rPr>
          <w:rFonts w:ascii="Arial" w:cs="Arial" w:eastAsia="Arial" w:hAnsi="Arial"/>
          <w:sz w:val="20"/>
          <w:szCs w:val="20"/>
          <w:color w:val="auto"/>
        </w:rPr>
        <w:t>” (as defined below) during the Measurement Period (“</w:t>
      </w:r>
      <w:r>
        <w:rPr>
          <w:rFonts w:ascii="Arial" w:cs="Arial" w:eastAsia="Arial" w:hAnsi="Arial"/>
          <w:sz w:val="20"/>
          <w:szCs w:val="20"/>
          <w:b w:val="1"/>
          <w:bCs w:val="1"/>
          <w:color w:val="auto"/>
        </w:rPr>
        <w:t>rTSR</w:t>
      </w:r>
      <w:r>
        <w:rPr>
          <w:rFonts w:ascii="Arial" w:cs="Arial" w:eastAsia="Arial" w:hAnsi="Arial"/>
          <w:sz w:val="20"/>
          <w:szCs w:val="20"/>
          <w:color w:val="auto"/>
        </w:rPr>
        <w:t>”) of the Company as compared to the rTSR of the S&amp;P 500 companies for the three-year period (the “</w:t>
      </w:r>
      <w:r>
        <w:rPr>
          <w:rFonts w:ascii="Arial" w:cs="Arial" w:eastAsia="Arial" w:hAnsi="Arial"/>
          <w:sz w:val="20"/>
          <w:szCs w:val="20"/>
          <w:b w:val="1"/>
          <w:bCs w:val="1"/>
          <w:color w:val="auto"/>
        </w:rPr>
        <w:t>Relative</w:t>
      </w:r>
      <w:r>
        <w:rPr>
          <w:rFonts w:ascii="Arial" w:cs="Arial" w:eastAsia="Arial" w:hAnsi="Arial"/>
          <w:sz w:val="20"/>
          <w:szCs w:val="20"/>
          <w:color w:val="auto"/>
        </w:rPr>
        <w:t xml:space="preserve"> </w:t>
      </w:r>
      <w:r>
        <w:rPr>
          <w:rFonts w:ascii="Arial" w:cs="Arial" w:eastAsia="Arial" w:hAnsi="Arial"/>
          <w:sz w:val="20"/>
          <w:szCs w:val="20"/>
          <w:b w:val="1"/>
          <w:bCs w:val="1"/>
          <w:color w:val="auto"/>
        </w:rPr>
        <w:t>TSR Multiplier</w:t>
      </w:r>
      <w:r>
        <w:rPr>
          <w:rFonts w:ascii="Arial" w:cs="Arial" w:eastAsia="Arial" w:hAnsi="Arial"/>
          <w:sz w:val="20"/>
          <w:szCs w:val="20"/>
          <w:color w:val="auto"/>
        </w:rPr>
        <w:t>”), as set forth in the table below. If the Company’s rTSR is at the 50</w:t>
      </w:r>
      <w:r>
        <w:rPr>
          <w:rFonts w:ascii="Arial" w:cs="Arial" w:eastAsia="Arial" w:hAnsi="Arial"/>
          <w:sz w:val="16"/>
          <w:szCs w:val="16"/>
          <w:color w:val="auto"/>
        </w:rPr>
        <w:t>th</w:t>
      </w:r>
      <w:r>
        <w:rPr>
          <w:rFonts w:ascii="Arial" w:cs="Arial" w:eastAsia="Arial" w:hAnsi="Arial"/>
          <w:sz w:val="20"/>
          <w:szCs w:val="20"/>
          <w:b w:val="1"/>
          <w:bCs w:val="1"/>
          <w:color w:val="auto"/>
        </w:rPr>
        <w:t xml:space="preserve"> </w:t>
      </w:r>
      <w:r>
        <w:rPr>
          <w:rFonts w:ascii="Arial" w:cs="Arial" w:eastAsia="Arial" w:hAnsi="Arial"/>
          <w:sz w:val="20"/>
          <w:szCs w:val="20"/>
          <w:color w:val="auto"/>
        </w:rPr>
        <w:t>percentile of the S&amp;P</w:t>
      </w:r>
      <w:r>
        <w:rPr>
          <w:rFonts w:ascii="Arial" w:cs="Arial" w:eastAsia="Arial" w:hAnsi="Arial"/>
          <w:sz w:val="20"/>
          <w:szCs w:val="20"/>
          <w:b w:val="1"/>
          <w:bCs w:val="1"/>
          <w:color w:val="auto"/>
        </w:rPr>
        <w:t xml:space="preserve"> </w:t>
      </w:r>
      <w:r>
        <w:rPr>
          <w:rFonts w:ascii="Arial" w:cs="Arial" w:eastAsia="Arial" w:hAnsi="Arial"/>
          <w:sz w:val="20"/>
          <w:szCs w:val="20"/>
          <w:color w:val="auto"/>
        </w:rPr>
        <w:t>500, the modifier will be 100%. If the Company's rTSR is at or above the 75th percentile of S&amp;P 500 companies, the modifier will be 120%. If the Company's rTSR is below the 25th percentile, the modifier will be 80%. If the rTSR is between the 25</w:t>
      </w:r>
      <w:r>
        <w:rPr>
          <w:rFonts w:ascii="Arial" w:cs="Arial" w:eastAsia="Arial" w:hAnsi="Arial"/>
          <w:sz w:val="16"/>
          <w:szCs w:val="16"/>
          <w:color w:val="auto"/>
        </w:rPr>
        <w:t>th</w:t>
      </w:r>
      <w:r>
        <w:rPr>
          <w:rFonts w:ascii="Arial" w:cs="Arial" w:eastAsia="Arial" w:hAnsi="Arial"/>
          <w:sz w:val="20"/>
          <w:szCs w:val="20"/>
          <w:color w:val="auto"/>
        </w:rPr>
        <w:t xml:space="preserve"> and 75</w:t>
      </w:r>
      <w:r>
        <w:rPr>
          <w:rFonts w:ascii="Arial" w:cs="Arial" w:eastAsia="Arial" w:hAnsi="Arial"/>
          <w:sz w:val="16"/>
          <w:szCs w:val="16"/>
          <w:color w:val="auto"/>
        </w:rPr>
        <w:t>th</w:t>
      </w:r>
      <w:r>
        <w:rPr>
          <w:rFonts w:ascii="Arial" w:cs="Arial" w:eastAsia="Arial" w:hAnsi="Arial"/>
          <w:sz w:val="20"/>
          <w:szCs w:val="20"/>
          <w:color w:val="auto"/>
        </w:rPr>
        <w:t xml:space="preserve"> percentiles, the modifier will be determined by interpolation. For the avoidance of doubt, the maximum amount of the award including the Relative TSR Multiplier may not exceed 240%.</w:t>
      </w:r>
    </w:p>
    <w:p>
      <w:pPr>
        <w:spacing w:after="0" w:line="206" w:lineRule="exact"/>
        <w:rPr>
          <w:sz w:val="20"/>
          <w:szCs w:val="20"/>
          <w:color w:val="auto"/>
        </w:rPr>
      </w:pPr>
    </w:p>
    <w:p>
      <w:pPr>
        <w:ind w:left="120"/>
        <w:spacing w:after="0"/>
        <w:tabs>
          <w:tab w:leader="none" w:pos="380" w:val="left"/>
        </w:tabs>
        <w:rPr>
          <w:sz w:val="20"/>
          <w:szCs w:val="20"/>
          <w:color w:val="auto"/>
        </w:rPr>
      </w:pPr>
      <w:r>
        <w:rPr>
          <w:rFonts w:ascii="Arial" w:cs="Arial" w:eastAsia="Arial" w:hAnsi="Arial"/>
          <w:sz w:val="21"/>
          <w:szCs w:val="21"/>
          <w:color w:val="auto"/>
        </w:rPr>
        <w:t>[</w:t>
        <w:tab/>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337820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2" w:right="239" w:bottom="1440" w:gutter="0" w:footer="0" w:header="0"/>
        </w:sectPr>
      </w:pPr>
    </w:p>
    <w:bookmarkStart w:id="46" w:name="page47"/>
    <w:bookmarkEnd w:id="46"/>
    <w:tbl>
      <w:tblPr>
        <w:tblLayout w:type="fixed"/>
        <w:tblInd w:w="10" w:type="dxa"/>
        <w:tblCellMar>
          <w:top w:w="0" w:type="dxa"/>
          <w:left w:w="0" w:type="dxa"/>
          <w:bottom w:w="0" w:type="dxa"/>
          <w:right w:w="0" w:type="dxa"/>
        </w:tblCellMar>
      </w:tblPr>
      <w:tr>
        <w:trPr>
          <w:trHeight w:val="343"/>
        </w:trPr>
        <w:tc>
          <w:tcPr>
            <w:tcW w:w="2860" w:type="dxa"/>
            <w:vAlign w:val="bottom"/>
            <w:tcBorders>
              <w:top w:val="single" w:sz="8" w:color="auto"/>
              <w:left w:val="single" w:sz="8" w:color="auto"/>
              <w:bottom w:val="single" w:sz="8" w:color="C6D9F1"/>
              <w:right w:val="single" w:sz="8" w:color="C6D9F1"/>
            </w:tcBorders>
            <w:shd w:val="clear" w:color="auto" w:fill="C6D9F1"/>
          </w:tcPr>
          <w:p>
            <w:pPr>
              <w:jc w:val="center"/>
              <w:spacing w:after="0"/>
              <w:rPr>
                <w:sz w:val="20"/>
                <w:szCs w:val="20"/>
                <w:color w:val="auto"/>
              </w:rPr>
            </w:pPr>
            <w:r>
              <w:rPr>
                <w:rFonts w:ascii="Arial" w:cs="Arial" w:eastAsia="Arial" w:hAnsi="Arial"/>
                <w:sz w:val="18"/>
                <w:szCs w:val="18"/>
                <w:b w:val="1"/>
                <w:bCs w:val="1"/>
                <w:i w:val="1"/>
                <w:iCs w:val="1"/>
                <w:color w:val="auto"/>
                <w:w w:val="86"/>
              </w:rPr>
              <w:t>Percentage of Target PSUs That Vest</w:t>
            </w:r>
          </w:p>
        </w:tc>
        <w:tc>
          <w:tcPr>
            <w:tcW w:w="1040" w:type="dxa"/>
            <w:vAlign w:val="bottom"/>
            <w:tcBorders>
              <w:top w:val="single" w:sz="8" w:color="auto"/>
              <w:bottom w:val="single" w:sz="8" w:color="C6D9F1"/>
              <w:right w:val="single" w:sz="8" w:color="auto"/>
            </w:tcBorders>
            <w:shd w:val="clear" w:color="auto" w:fill="C6D9F1"/>
          </w:tcPr>
          <w:p>
            <w:pPr>
              <w:spacing w:after="0"/>
              <w:rPr>
                <w:sz w:val="24"/>
                <w:szCs w:val="24"/>
                <w:color w:val="auto"/>
              </w:rPr>
            </w:pPr>
          </w:p>
        </w:tc>
        <w:tc>
          <w:tcPr>
            <w:tcW w:w="2420" w:type="dxa"/>
            <w:vAlign w:val="bottom"/>
            <w:tcBorders>
              <w:top w:val="single" w:sz="8" w:color="auto"/>
              <w:bottom w:val="single" w:sz="8" w:color="C6D9F1"/>
              <w:right w:val="single" w:sz="8" w:color="auto"/>
            </w:tcBorders>
            <w:shd w:val="clear" w:color="auto" w:fill="C6D9F1"/>
          </w:tcPr>
          <w:p>
            <w:pPr>
              <w:jc w:val="center"/>
              <w:spacing w:after="0"/>
              <w:rPr>
                <w:sz w:val="20"/>
                <w:szCs w:val="20"/>
                <w:color w:val="auto"/>
              </w:rPr>
            </w:pPr>
            <w:r>
              <w:rPr>
                <w:rFonts w:ascii="Arial" w:cs="Arial" w:eastAsia="Arial" w:hAnsi="Arial"/>
                <w:sz w:val="18"/>
                <w:szCs w:val="18"/>
                <w:b w:val="1"/>
                <w:bCs w:val="1"/>
                <w:i w:val="1"/>
                <w:iCs w:val="1"/>
                <w:color w:val="auto"/>
                <w:w w:val="94"/>
              </w:rPr>
              <w:t>50%</w:t>
            </w:r>
          </w:p>
        </w:tc>
        <w:tc>
          <w:tcPr>
            <w:tcW w:w="2440" w:type="dxa"/>
            <w:vAlign w:val="bottom"/>
            <w:tcBorders>
              <w:top w:val="single" w:sz="8" w:color="auto"/>
              <w:bottom w:val="single" w:sz="8" w:color="C6D9F1"/>
              <w:right w:val="single" w:sz="8" w:color="auto"/>
            </w:tcBorders>
            <w:shd w:val="clear" w:color="auto" w:fill="C6D9F1"/>
          </w:tcPr>
          <w:p>
            <w:pPr>
              <w:jc w:val="center"/>
              <w:spacing w:after="0"/>
              <w:rPr>
                <w:sz w:val="20"/>
                <w:szCs w:val="20"/>
                <w:color w:val="auto"/>
              </w:rPr>
            </w:pPr>
            <w:r>
              <w:rPr>
                <w:rFonts w:ascii="Arial" w:cs="Arial" w:eastAsia="Arial" w:hAnsi="Arial"/>
                <w:sz w:val="18"/>
                <w:szCs w:val="18"/>
                <w:b w:val="1"/>
                <w:bCs w:val="1"/>
                <w:i w:val="1"/>
                <w:iCs w:val="1"/>
                <w:color w:val="auto"/>
                <w:w w:val="91"/>
              </w:rPr>
              <w:t>100%</w:t>
            </w:r>
          </w:p>
        </w:tc>
        <w:tc>
          <w:tcPr>
            <w:tcW w:w="2440" w:type="dxa"/>
            <w:vAlign w:val="bottom"/>
            <w:tcBorders>
              <w:top w:val="single" w:sz="8" w:color="auto"/>
              <w:bottom w:val="single" w:sz="8" w:color="C6D9F1"/>
              <w:right w:val="single" w:sz="8" w:color="auto"/>
            </w:tcBorders>
            <w:shd w:val="clear" w:color="auto" w:fill="C6D9F1"/>
          </w:tcPr>
          <w:p>
            <w:pPr>
              <w:jc w:val="center"/>
              <w:spacing w:after="0"/>
              <w:rPr>
                <w:sz w:val="20"/>
                <w:szCs w:val="20"/>
                <w:color w:val="auto"/>
              </w:rPr>
            </w:pPr>
            <w:r>
              <w:rPr>
                <w:rFonts w:ascii="Arial" w:cs="Arial" w:eastAsia="Arial" w:hAnsi="Arial"/>
                <w:sz w:val="18"/>
                <w:szCs w:val="18"/>
                <w:b w:val="1"/>
                <w:bCs w:val="1"/>
                <w:i w:val="1"/>
                <w:iCs w:val="1"/>
                <w:color w:val="auto"/>
                <w:w w:val="91"/>
              </w:rPr>
              <w:t>200%</w:t>
            </w:r>
          </w:p>
        </w:tc>
      </w:tr>
      <w:tr>
        <w:trPr>
          <w:trHeight w:val="282"/>
        </w:trPr>
        <w:tc>
          <w:tcPr>
            <w:tcW w:w="2860" w:type="dxa"/>
            <w:vAlign w:val="bottom"/>
            <w:tcBorders>
              <w:top w:val="single" w:sz="8" w:color="auto"/>
              <w:left w:val="single" w:sz="8" w:color="auto"/>
              <w:bottom w:val="single" w:sz="8" w:color="DDD9C4"/>
              <w:right w:val="single" w:sz="8" w:color="auto"/>
            </w:tcBorders>
            <w:shd w:val="clear" w:color="auto" w:fill="DDD9C4"/>
          </w:tcPr>
          <w:p>
            <w:pPr>
              <w:jc w:val="center"/>
              <w:spacing w:after="0"/>
              <w:rPr>
                <w:sz w:val="20"/>
                <w:szCs w:val="20"/>
                <w:color w:val="auto"/>
              </w:rPr>
            </w:pPr>
            <w:r>
              <w:rPr>
                <w:rFonts w:ascii="Arial" w:cs="Arial" w:eastAsia="Arial" w:hAnsi="Arial"/>
                <w:sz w:val="18"/>
                <w:szCs w:val="18"/>
                <w:b w:val="1"/>
                <w:bCs w:val="1"/>
                <w:color w:val="auto"/>
                <w:w w:val="90"/>
              </w:rPr>
              <w:t>Measure</w:t>
            </w:r>
          </w:p>
        </w:tc>
        <w:tc>
          <w:tcPr>
            <w:tcW w:w="1040" w:type="dxa"/>
            <w:vAlign w:val="bottom"/>
            <w:tcBorders>
              <w:top w:val="single" w:sz="8" w:color="auto"/>
              <w:bottom w:val="single" w:sz="8" w:color="DDD9C4"/>
              <w:right w:val="single" w:sz="8" w:color="auto"/>
            </w:tcBorders>
            <w:shd w:val="clear" w:color="auto" w:fill="DDD9C4"/>
          </w:tcPr>
          <w:p>
            <w:pPr>
              <w:ind w:left="220"/>
              <w:spacing w:after="0"/>
              <w:rPr>
                <w:sz w:val="20"/>
                <w:szCs w:val="20"/>
                <w:color w:val="auto"/>
              </w:rPr>
            </w:pPr>
            <w:r>
              <w:rPr>
                <w:rFonts w:ascii="Arial" w:cs="Arial" w:eastAsia="Arial" w:hAnsi="Arial"/>
                <w:sz w:val="18"/>
                <w:szCs w:val="18"/>
                <w:b w:val="1"/>
                <w:bCs w:val="1"/>
                <w:color w:val="auto"/>
              </w:rPr>
              <w:t>Weight</w:t>
            </w:r>
          </w:p>
        </w:tc>
        <w:tc>
          <w:tcPr>
            <w:tcW w:w="2420" w:type="dxa"/>
            <w:vAlign w:val="bottom"/>
            <w:tcBorders>
              <w:top w:val="single" w:sz="8" w:color="auto"/>
              <w:bottom w:val="single" w:sz="8" w:color="DDD9C4"/>
              <w:right w:val="single" w:sz="8" w:color="auto"/>
            </w:tcBorders>
            <w:shd w:val="clear" w:color="auto" w:fill="DDD9C4"/>
          </w:tcPr>
          <w:p>
            <w:pPr>
              <w:ind w:left="800"/>
              <w:spacing w:after="0"/>
              <w:rPr>
                <w:sz w:val="20"/>
                <w:szCs w:val="20"/>
                <w:color w:val="auto"/>
              </w:rPr>
            </w:pPr>
            <w:r>
              <w:rPr>
                <w:rFonts w:ascii="Arial" w:cs="Arial" w:eastAsia="Arial" w:hAnsi="Arial"/>
                <w:sz w:val="18"/>
                <w:szCs w:val="18"/>
                <w:b w:val="1"/>
                <w:bCs w:val="1"/>
                <w:color w:val="auto"/>
              </w:rPr>
              <w:t>Threshold</w:t>
            </w:r>
          </w:p>
        </w:tc>
        <w:tc>
          <w:tcPr>
            <w:tcW w:w="2440" w:type="dxa"/>
            <w:vAlign w:val="bottom"/>
            <w:tcBorders>
              <w:top w:val="single" w:sz="8" w:color="auto"/>
              <w:bottom w:val="single" w:sz="8" w:color="DDD9C4"/>
              <w:right w:val="single" w:sz="8" w:color="auto"/>
            </w:tcBorders>
            <w:shd w:val="clear" w:color="auto" w:fill="DDD9C4"/>
          </w:tcPr>
          <w:p>
            <w:pPr>
              <w:ind w:left="960"/>
              <w:spacing w:after="0"/>
              <w:rPr>
                <w:sz w:val="20"/>
                <w:szCs w:val="20"/>
                <w:color w:val="auto"/>
              </w:rPr>
            </w:pPr>
            <w:r>
              <w:rPr>
                <w:rFonts w:ascii="Arial" w:cs="Arial" w:eastAsia="Arial" w:hAnsi="Arial"/>
                <w:sz w:val="18"/>
                <w:szCs w:val="18"/>
                <w:b w:val="1"/>
                <w:bCs w:val="1"/>
                <w:color w:val="auto"/>
              </w:rPr>
              <w:t>Target</w:t>
            </w:r>
          </w:p>
        </w:tc>
        <w:tc>
          <w:tcPr>
            <w:tcW w:w="2440" w:type="dxa"/>
            <w:vAlign w:val="bottom"/>
            <w:tcBorders>
              <w:top w:val="single" w:sz="8" w:color="auto"/>
              <w:bottom w:val="single" w:sz="8" w:color="DDD9C4"/>
              <w:right w:val="single" w:sz="8" w:color="auto"/>
            </w:tcBorders>
            <w:shd w:val="clear" w:color="auto" w:fill="DDD9C4"/>
          </w:tcPr>
          <w:p>
            <w:pPr>
              <w:ind w:left="800"/>
              <w:spacing w:after="0"/>
              <w:rPr>
                <w:sz w:val="20"/>
                <w:szCs w:val="20"/>
                <w:color w:val="auto"/>
              </w:rPr>
            </w:pPr>
            <w:r>
              <w:rPr>
                <w:rFonts w:ascii="Arial" w:cs="Arial" w:eastAsia="Arial" w:hAnsi="Arial"/>
                <w:sz w:val="18"/>
                <w:szCs w:val="18"/>
                <w:b w:val="1"/>
                <w:bCs w:val="1"/>
                <w:color w:val="auto"/>
              </w:rPr>
              <w:t>Maximum</w:t>
            </w:r>
          </w:p>
        </w:tc>
      </w:tr>
      <w:tr>
        <w:trPr>
          <w:trHeight w:val="345"/>
        </w:trPr>
        <w:tc>
          <w:tcPr>
            <w:tcW w:w="2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[Measure 1]</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[___]%</w:t>
            </w:r>
          </w:p>
        </w:tc>
        <w:tc>
          <w:tcPr>
            <w:tcW w:w="2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[______]</w:t>
            </w:r>
          </w:p>
        </w:tc>
        <w:tc>
          <w:tcPr>
            <w:tcW w:w="2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[______]</w:t>
            </w:r>
          </w:p>
        </w:tc>
        <w:tc>
          <w:tcPr>
            <w:tcW w:w="2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[______]</w:t>
            </w:r>
          </w:p>
        </w:tc>
      </w:tr>
      <w:tr>
        <w:trPr>
          <w:trHeight w:val="149"/>
        </w:trPr>
        <w:tc>
          <w:tcPr>
            <w:tcW w:w="2860" w:type="dxa"/>
            <w:vAlign w:val="bottom"/>
            <w:tcBorders>
              <w:left w:val="single" w:sz="8" w:color="auto"/>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2420" w:type="dxa"/>
            <w:vAlign w:val="bottom"/>
            <w:tcBorders>
              <w:bottom w:val="single" w:sz="8" w:color="auto"/>
              <w:right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r>
      <w:tr>
        <w:trPr>
          <w:trHeight w:val="345"/>
        </w:trPr>
        <w:tc>
          <w:tcPr>
            <w:tcW w:w="2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[Measure 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[___]%</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[_______]</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[______]</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[______]</w:t>
            </w:r>
          </w:p>
        </w:tc>
      </w:tr>
      <w:tr>
        <w:trPr>
          <w:trHeight w:val="149"/>
        </w:trPr>
        <w:tc>
          <w:tcPr>
            <w:tcW w:w="2860" w:type="dxa"/>
            <w:vAlign w:val="bottom"/>
            <w:tcBorders>
              <w:left w:val="single" w:sz="8" w:color="auto"/>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2420" w:type="dxa"/>
            <w:vAlign w:val="bottom"/>
            <w:tcBorders>
              <w:bottom w:val="single" w:sz="8" w:color="auto"/>
              <w:right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r>
      <w:tr>
        <w:trPr>
          <w:trHeight w:val="345"/>
        </w:trPr>
        <w:tc>
          <w:tcPr>
            <w:tcW w:w="2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[Measure 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[__]%</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[_______]</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[______]</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[______</w:t>
            </w:r>
          </w:p>
        </w:tc>
      </w:tr>
      <w:tr>
        <w:trPr>
          <w:trHeight w:val="149"/>
        </w:trPr>
        <w:tc>
          <w:tcPr>
            <w:tcW w:w="2860" w:type="dxa"/>
            <w:vAlign w:val="bottom"/>
            <w:tcBorders>
              <w:left w:val="single" w:sz="8" w:color="auto"/>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2420" w:type="dxa"/>
            <w:vAlign w:val="bottom"/>
            <w:tcBorders>
              <w:bottom w:val="single" w:sz="8" w:color="auto"/>
              <w:right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c>
          <w:tcPr>
            <w:tcW w:w="244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1480" w:hanging="608"/>
        <w:spacing w:after="0" w:line="249" w:lineRule="auto"/>
        <w:tabs>
          <w:tab w:leader="none" w:pos="1480"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Shares Payable.</w:t>
      </w:r>
      <w:r>
        <w:rPr>
          <w:rFonts w:ascii="Arial" w:cs="Arial" w:eastAsia="Arial" w:hAnsi="Arial"/>
          <w:sz w:val="21"/>
          <w:szCs w:val="21"/>
          <w:color w:val="auto"/>
        </w:rPr>
        <w:t xml:space="preserve"> On the Vesting Date, a number of PSUs equal to the target number of PSUs awarded in this Award Agreement multiplied by the Final Vesting Percentage will Vest and be converted into shares of Stock on a one-for-one basis. The resulting shares of Stock will be delivered to the Employee as soon as practicable following the Vesting Date (but in no event later than 60 days following the Vesting Date).</w:t>
      </w:r>
    </w:p>
    <w:p>
      <w:pPr>
        <w:spacing w:after="0" w:line="213" w:lineRule="exact"/>
        <w:rPr>
          <w:rFonts w:ascii="Arial" w:cs="Arial" w:eastAsia="Arial" w:hAnsi="Arial"/>
          <w:sz w:val="21"/>
          <w:szCs w:val="21"/>
          <w:color w:val="auto"/>
        </w:rPr>
      </w:pPr>
    </w:p>
    <w:p>
      <w:pPr>
        <w:ind w:left="1480" w:hanging="608"/>
        <w:spacing w:after="0" w:line="264" w:lineRule="auto"/>
        <w:tabs>
          <w:tab w:leader="none" w:pos="1480"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Payment Determination.</w:t>
      </w:r>
      <w:r>
        <w:rPr>
          <w:rFonts w:ascii="Arial" w:cs="Arial" w:eastAsia="Arial" w:hAnsi="Arial"/>
          <w:sz w:val="21"/>
          <w:szCs w:val="21"/>
          <w:color w:val="auto"/>
        </w:rPr>
        <w:t xml:space="preserve"> The Committee may exercise its discretion to reduce the Final Vesting Percentage (but not below 100%) if the Company’s TSR for the Measurement Period is less than zero (0).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47" w:name="page48"/>
    <w:bookmarkEnd w:id="47"/>
    <w:p>
      <w:pPr>
        <w:jc w:val="both"/>
        <w:ind w:left="1480" w:hanging="608"/>
        <w:spacing w:after="0" w:line="268" w:lineRule="auto"/>
        <w:tabs>
          <w:tab w:leader="none" w:pos="1480"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Non-Recurring Events.</w:t>
      </w:r>
      <w:r>
        <w:rPr>
          <w:rFonts w:ascii="Arial" w:cs="Arial" w:eastAsia="Arial" w:hAnsi="Arial"/>
          <w:sz w:val="19"/>
          <w:szCs w:val="19"/>
          <w:color w:val="auto"/>
        </w:rPr>
        <w:t xml:space="preserve"> The Committee shall have the sole authority to certify the achievement level, Final Vesting Percentage and the number of PSUs earned at the end of the Measurement Period, which shall include an adjustment to the actual achievement of the performance goals by the Company to reflect the following, but in each case only to the extent such adjustment would have a positive impact on the determination of the level at which such performance measure was achieved</w:t>
      </w:r>
      <w:r>
        <w:rPr>
          <w:rFonts w:ascii="Arial" w:cs="Arial" w:eastAsia="Arial" w:hAnsi="Arial"/>
          <w:sz w:val="18"/>
          <w:szCs w:val="18"/>
          <w:color w:val="auto"/>
        </w:rPr>
        <w:t>: (i) items relating to changes in accounting principles and changes in law that affect reported</w:t>
      </w:r>
      <w:r>
        <w:rPr>
          <w:rFonts w:ascii="Arial" w:cs="Arial" w:eastAsia="Arial" w:hAnsi="Arial"/>
          <w:sz w:val="19"/>
          <w:szCs w:val="19"/>
          <w:color w:val="auto"/>
        </w:rPr>
        <w:t xml:space="preserve"> </w:t>
      </w:r>
      <w:r>
        <w:rPr>
          <w:rFonts w:ascii="Arial" w:cs="Arial" w:eastAsia="Arial" w:hAnsi="Arial"/>
          <w:sz w:val="18"/>
          <w:szCs w:val="18"/>
          <w:color w:val="auto"/>
        </w:rPr>
        <w:t xml:space="preserve">results; (ii) items relating to financing activities, </w:t>
      </w:r>
      <w:r>
        <w:rPr>
          <w:rFonts w:ascii="Arial" w:cs="Arial" w:eastAsia="Arial" w:hAnsi="Arial"/>
          <w:sz w:val="19"/>
          <w:szCs w:val="19"/>
          <w:color w:val="auto"/>
        </w:rPr>
        <w:t>refinancing or sale or repurchase of bank loans or debt securities</w:t>
      </w:r>
      <w:r>
        <w:rPr>
          <w:rFonts w:ascii="Arial" w:cs="Arial" w:eastAsia="Arial" w:hAnsi="Arial"/>
          <w:sz w:val="18"/>
          <w:szCs w:val="18"/>
          <w:color w:val="auto"/>
        </w:rPr>
        <w:t>;</w:t>
      </w:r>
    </w:p>
    <w:p>
      <w:pPr>
        <w:spacing w:after="0" w:line="4" w:lineRule="exact"/>
        <w:rPr>
          <w:rFonts w:ascii="Arial" w:cs="Arial" w:eastAsia="Arial" w:hAnsi="Arial"/>
          <w:sz w:val="19"/>
          <w:szCs w:val="19"/>
          <w:color w:val="auto"/>
        </w:rPr>
      </w:pPr>
    </w:p>
    <w:p>
      <w:pPr>
        <w:jc w:val="both"/>
        <w:ind w:left="1480"/>
        <w:spacing w:after="0" w:line="271" w:lineRule="auto"/>
        <w:tabs>
          <w:tab w:leader="none" w:pos="1885" w:val="left"/>
        </w:tabs>
        <w:numPr>
          <w:ilvl w:val="2"/>
          <w:numId w:val="29"/>
        </w:numPr>
        <w:rPr>
          <w:rFonts w:ascii="Arial" w:cs="Arial" w:eastAsia="Arial" w:hAnsi="Arial"/>
          <w:sz w:val="19"/>
          <w:szCs w:val="19"/>
          <w:color w:val="auto"/>
        </w:rPr>
      </w:pPr>
      <w:r>
        <w:rPr>
          <w:rFonts w:ascii="Arial" w:cs="Arial" w:eastAsia="Arial" w:hAnsi="Arial"/>
          <w:sz w:val="19"/>
          <w:szCs w:val="19"/>
          <w:color w:val="auto"/>
        </w:rPr>
        <w:t>items relating to expenses for restructuring, reorganizations, discontinued operations, non-core businesses in continuing operations, acquisitions or dispositions (whether or not completed during the Measurement Period)</w:t>
      </w:r>
      <w:r>
        <w:rPr>
          <w:rFonts w:ascii="Arial" w:cs="Arial" w:eastAsia="Arial" w:hAnsi="Arial"/>
          <w:sz w:val="18"/>
          <w:szCs w:val="18"/>
          <w:color w:val="auto"/>
        </w:rPr>
        <w:t>;</w:t>
      </w:r>
    </w:p>
    <w:p>
      <w:pPr>
        <w:jc w:val="both"/>
        <w:ind w:left="1480"/>
        <w:spacing w:after="0" w:line="266" w:lineRule="auto"/>
        <w:tabs>
          <w:tab w:leader="none" w:pos="1856" w:val="left"/>
        </w:tabs>
        <w:numPr>
          <w:ilvl w:val="2"/>
          <w:numId w:val="29"/>
        </w:numPr>
        <w:rPr>
          <w:rFonts w:ascii="Arial" w:cs="Arial" w:eastAsia="Arial" w:hAnsi="Arial"/>
          <w:sz w:val="19"/>
          <w:szCs w:val="19"/>
          <w:color w:val="auto"/>
        </w:rPr>
      </w:pPr>
      <w:r>
        <w:rPr>
          <w:rFonts w:ascii="Arial" w:cs="Arial" w:eastAsia="Arial" w:hAnsi="Arial"/>
          <w:sz w:val="19"/>
          <w:szCs w:val="19"/>
          <w:color w:val="auto"/>
        </w:rPr>
        <w:t xml:space="preserve">other non-operating items; (v) items attributable to any stock dividend, stock split, combination or exchange of stock occurring during the Measurement Period; (vi) items relating to costs or accruals associated with discrete tax items or </w:t>
      </w:r>
      <w:r>
        <w:rPr>
          <w:rFonts w:ascii="Arial" w:cs="Arial" w:eastAsia="Arial" w:hAnsi="Arial"/>
          <w:sz w:val="18"/>
          <w:szCs w:val="18"/>
          <w:color w:val="auto"/>
        </w:rPr>
        <w:t>changes in tax laws; (vii) items relating to partnership arrangements; (viii) items relating to gains or losses for</w:t>
      </w:r>
      <w:r>
        <w:rPr>
          <w:rFonts w:ascii="Arial" w:cs="Arial" w:eastAsia="Arial" w:hAnsi="Arial"/>
          <w:sz w:val="19"/>
          <w:szCs w:val="19"/>
          <w:color w:val="auto"/>
        </w:rPr>
        <w:t xml:space="preserve"> environmental or litigation reserve adjustments, litigation, arbitration or claim judgments or settlements</w:t>
      </w:r>
      <w:r>
        <w:rPr>
          <w:rFonts w:ascii="Arial" w:cs="Arial" w:eastAsia="Arial" w:hAnsi="Arial"/>
          <w:sz w:val="18"/>
          <w:szCs w:val="18"/>
          <w:color w:val="auto"/>
        </w:rPr>
        <w:t>; (ix) items</w:t>
      </w:r>
      <w:r>
        <w:rPr>
          <w:rFonts w:ascii="Arial" w:cs="Arial" w:eastAsia="Arial" w:hAnsi="Arial"/>
          <w:sz w:val="19"/>
          <w:szCs w:val="19"/>
          <w:color w:val="auto"/>
        </w:rPr>
        <w:t xml:space="preserve"> </w:t>
      </w:r>
      <w:r>
        <w:rPr>
          <w:rFonts w:ascii="Arial" w:cs="Arial" w:eastAsia="Arial" w:hAnsi="Arial"/>
          <w:sz w:val="18"/>
          <w:szCs w:val="18"/>
          <w:color w:val="auto"/>
        </w:rPr>
        <w:t xml:space="preserve">relating to </w:t>
      </w:r>
      <w:r>
        <w:rPr>
          <w:rFonts w:ascii="Arial" w:cs="Arial" w:eastAsia="Arial" w:hAnsi="Arial"/>
          <w:sz w:val="19"/>
          <w:szCs w:val="19"/>
          <w:color w:val="auto"/>
        </w:rPr>
        <w:t>foreign exchange losses, currency fluctuations or changes to the prices of raw materials;</w:t>
      </w:r>
      <w:r>
        <w:rPr>
          <w:rFonts w:ascii="Arial" w:cs="Arial" w:eastAsia="Arial" w:hAnsi="Arial"/>
          <w:sz w:val="18"/>
          <w:szCs w:val="18"/>
          <w:color w:val="auto"/>
        </w:rPr>
        <w:t xml:space="preserve"> (x) items relating to </w:t>
      </w:r>
      <w:r>
        <w:rPr>
          <w:rFonts w:ascii="Arial" w:cs="Arial" w:eastAsia="Arial" w:hAnsi="Arial"/>
          <w:sz w:val="19"/>
          <w:szCs w:val="19"/>
          <w:color w:val="auto"/>
        </w:rPr>
        <w:t>amortization of intangible assets, impairments of goodwill and other intangible assets, asset write</w:t>
      </w:r>
      <w:r>
        <w:rPr>
          <w:rFonts w:ascii="Arial" w:cs="Arial" w:eastAsia="Arial" w:hAnsi="Arial"/>
          <w:sz w:val="18"/>
          <w:szCs w:val="18"/>
          <w:color w:val="auto"/>
        </w:rPr>
        <w:t xml:space="preserve"> </w:t>
      </w:r>
      <w:r>
        <w:rPr>
          <w:rFonts w:ascii="Arial" w:cs="Arial" w:eastAsia="Arial" w:hAnsi="Arial"/>
          <w:sz w:val="19"/>
          <w:szCs w:val="19"/>
          <w:color w:val="auto"/>
        </w:rPr>
        <w:t>downs, non-cash interest expense, capital charges, or other financial and general and administrative expenses; (xi) items relating to costs or accruals associated with collective bargaining agreements, strike and/or strike preparation, business interruption, curtailments, natural disasters or force majeure events; (xii) items relating to mark to market gains or losses; (xiii) items relating to accruals of any amounts for payments of bonuses or payments under the cash incentive plan, performance stock unit agreement, restricted stock unit agreement or any other compensation arrangement maintained by the Company; (xiv) items</w:t>
      </w:r>
    </w:p>
    <w:p>
      <w:pPr>
        <w:spacing w:after="0" w:line="3" w:lineRule="exact"/>
        <w:rPr>
          <w:rFonts w:ascii="Arial" w:cs="Arial" w:eastAsia="Arial" w:hAnsi="Arial"/>
          <w:sz w:val="19"/>
          <w:szCs w:val="19"/>
          <w:color w:val="auto"/>
        </w:rPr>
      </w:pPr>
    </w:p>
    <w:p>
      <w:pPr>
        <w:jc w:val="both"/>
        <w:ind w:left="1480"/>
        <w:spacing w:after="0" w:line="280" w:lineRule="auto"/>
        <w:rPr>
          <w:rFonts w:ascii="Arial" w:cs="Arial" w:eastAsia="Arial" w:hAnsi="Arial"/>
          <w:sz w:val="19"/>
          <w:szCs w:val="19"/>
          <w:color w:val="auto"/>
        </w:rPr>
      </w:pPr>
      <w:r>
        <w:rPr>
          <w:rFonts w:ascii="Arial" w:cs="Arial" w:eastAsia="Arial" w:hAnsi="Arial"/>
          <w:sz w:val="19"/>
          <w:szCs w:val="19"/>
          <w:color w:val="auto"/>
        </w:rPr>
        <w:t>relating to an event not directly related to the operations of the Company, subsidiary, division, business segment or business unit; (xv) items relating to a change in the fiscal year of the Company; (xvi) items relating to unbudgeted capital expenditures; (xvii) items relating to the issuance or repurchase of equity securities and other changes in the number of outstanding shares; and (xviii) items relating to any other unusual or nonrecurring events</w:t>
      </w:r>
      <w:r>
        <w:rPr>
          <w:rFonts w:ascii="Arial" w:cs="Arial" w:eastAsia="Arial" w:hAnsi="Arial"/>
          <w:sz w:val="18"/>
          <w:szCs w:val="18"/>
          <w:color w:val="auto"/>
        </w:rPr>
        <w:t>.</w:t>
      </w:r>
    </w:p>
    <w:p>
      <w:pPr>
        <w:spacing w:after="0" w:line="179" w:lineRule="exact"/>
        <w:rPr>
          <w:rFonts w:ascii="Arial" w:cs="Arial" w:eastAsia="Arial" w:hAnsi="Arial"/>
          <w:sz w:val="19"/>
          <w:szCs w:val="19"/>
          <w:color w:val="auto"/>
        </w:rPr>
      </w:pPr>
    </w:p>
    <w:p>
      <w:pPr>
        <w:ind w:left="880" w:hanging="872"/>
        <w:spacing w:after="0"/>
        <w:tabs>
          <w:tab w:leader="none" w:pos="880" w:val="left"/>
        </w:tabs>
        <w:numPr>
          <w:ilvl w:val="0"/>
          <w:numId w:val="30"/>
        </w:numPr>
        <w:rPr>
          <w:rFonts w:ascii="Arial" w:cs="Arial" w:eastAsia="Arial" w:hAnsi="Arial"/>
          <w:sz w:val="21"/>
          <w:szCs w:val="21"/>
          <w:b w:val="1"/>
          <w:bCs w:val="1"/>
          <w:color w:val="auto"/>
        </w:rPr>
      </w:pPr>
      <w:r>
        <w:rPr>
          <w:rFonts w:ascii="Arial" w:cs="Arial" w:eastAsia="Arial" w:hAnsi="Arial"/>
          <w:sz w:val="21"/>
          <w:szCs w:val="21"/>
          <w:b w:val="1"/>
          <w:bCs w:val="1"/>
          <w:color w:val="auto"/>
        </w:rPr>
        <w:t>DIVIDEND EQUIVALENTS</w:t>
      </w:r>
    </w:p>
    <w:p>
      <w:pPr>
        <w:spacing w:after="0" w:line="215"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19"/>
          <w:szCs w:val="19"/>
          <w:color w:val="auto"/>
        </w:rPr>
        <w:t>On the date that the Awards Vest, dividend equivalents will be credited to the Employee in an amount equal to the</w:t>
      </w:r>
    </w:p>
    <w:p>
      <w:pPr>
        <w:spacing w:after="0" w:line="4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aggregate amount of dividends paid on a share of Stock during the period commencing with the Grant Date and ending on the Vesting Date multiplied by the number of PSUs that vest in accordance with this Award Agreement. The dividend equivalent amounts shall be paid in cash as soon as practicable following the Vesting Date (but in no event later than 60 days following the Vesting Date) from the general assets of the Corporation and shall be treated and reported as additional compensation for the year in which payment is made.</w:t>
      </w:r>
    </w:p>
    <w:p>
      <w:pPr>
        <w:spacing w:after="0" w:line="188" w:lineRule="exact"/>
        <w:rPr>
          <w:sz w:val="20"/>
          <w:szCs w:val="20"/>
          <w:color w:val="auto"/>
        </w:rPr>
      </w:pPr>
    </w:p>
    <w:p>
      <w:pPr>
        <w:ind w:left="880" w:hanging="872"/>
        <w:spacing w:after="0"/>
        <w:tabs>
          <w:tab w:leader="none" w:pos="880" w:val="left"/>
        </w:tabs>
        <w:numPr>
          <w:ilvl w:val="0"/>
          <w:numId w:val="31"/>
        </w:numPr>
        <w:rPr>
          <w:rFonts w:ascii="Arial" w:cs="Arial" w:eastAsia="Arial" w:hAnsi="Arial"/>
          <w:sz w:val="21"/>
          <w:szCs w:val="21"/>
          <w:b w:val="1"/>
          <w:bCs w:val="1"/>
          <w:color w:val="auto"/>
        </w:rPr>
      </w:pPr>
      <w:r>
        <w:rPr>
          <w:rFonts w:ascii="Arial" w:cs="Arial" w:eastAsia="Arial" w:hAnsi="Arial"/>
          <w:sz w:val="21"/>
          <w:szCs w:val="21"/>
          <w:b w:val="1"/>
          <w:bCs w:val="1"/>
          <w:color w:val="auto"/>
        </w:rPr>
        <w:t>TRANSFERABLE ONLY UPON DEATH</w:t>
      </w:r>
    </w:p>
    <w:p>
      <w:pPr>
        <w:spacing w:after="0" w:line="251" w:lineRule="exact"/>
        <w:rPr>
          <w:sz w:val="20"/>
          <w:szCs w:val="20"/>
          <w:color w:val="auto"/>
        </w:rPr>
      </w:pPr>
    </w:p>
    <w:p>
      <w:pPr>
        <w:ind w:firstLine="877"/>
        <w:spacing w:after="0" w:line="264" w:lineRule="auto"/>
        <w:rPr>
          <w:sz w:val="20"/>
          <w:szCs w:val="20"/>
          <w:color w:val="auto"/>
        </w:rPr>
      </w:pPr>
      <w:r>
        <w:rPr>
          <w:rFonts w:ascii="Arial" w:cs="Arial" w:eastAsia="Arial" w:hAnsi="Arial"/>
          <w:sz w:val="21"/>
          <w:szCs w:val="21"/>
          <w:color w:val="auto"/>
        </w:rPr>
        <w:t>This Performance Share Unit grant shall not be assignable or transferable by the Employee except by will or the laws of descent and distribution.</w:t>
      </w:r>
    </w:p>
    <w:p>
      <w:pPr>
        <w:spacing w:after="0" w:line="192" w:lineRule="exact"/>
        <w:rPr>
          <w:sz w:val="20"/>
          <w:szCs w:val="20"/>
          <w:color w:val="auto"/>
        </w:rPr>
      </w:pPr>
    </w:p>
    <w:p>
      <w:pPr>
        <w:ind w:left="880" w:hanging="872"/>
        <w:spacing w:after="0"/>
        <w:tabs>
          <w:tab w:leader="none" w:pos="880" w:val="left"/>
        </w:tabs>
        <w:numPr>
          <w:ilvl w:val="0"/>
          <w:numId w:val="32"/>
        </w:numPr>
        <w:rPr>
          <w:rFonts w:ascii="Arial" w:cs="Arial" w:eastAsia="Arial" w:hAnsi="Arial"/>
          <w:sz w:val="21"/>
          <w:szCs w:val="21"/>
          <w:b w:val="1"/>
          <w:bCs w:val="1"/>
          <w:color w:val="auto"/>
        </w:rPr>
      </w:pPr>
      <w:r>
        <w:rPr>
          <w:rFonts w:ascii="Arial" w:cs="Arial" w:eastAsia="Arial" w:hAnsi="Arial"/>
          <w:sz w:val="21"/>
          <w:szCs w:val="21"/>
          <w:b w:val="1"/>
          <w:bCs w:val="1"/>
          <w:color w:val="auto"/>
        </w:rPr>
        <w:t>TERMINATION, RETIREMENT, DISABILITY OR DEATH</w:t>
      </w:r>
    </w:p>
    <w:p>
      <w:pPr>
        <w:spacing w:after="0" w:line="250" w:lineRule="exact"/>
        <w:rPr>
          <w:rFonts w:ascii="Arial" w:cs="Arial" w:eastAsia="Arial" w:hAnsi="Arial"/>
          <w:sz w:val="21"/>
          <w:szCs w:val="21"/>
          <w:b w:val="1"/>
          <w:bCs w:val="1"/>
          <w:color w:val="auto"/>
        </w:rPr>
      </w:pPr>
    </w:p>
    <w:p>
      <w:pPr>
        <w:jc w:val="both"/>
        <w:ind w:left="1740" w:hanging="868"/>
        <w:spacing w:after="0" w:line="249" w:lineRule="auto"/>
        <w:tabs>
          <w:tab w:leader="none" w:pos="1740" w:val="left"/>
        </w:tabs>
        <w:numPr>
          <w:ilvl w:val="1"/>
          <w:numId w:val="32"/>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If the Employee’s employment with the Company is terminated prior to the Vesting Date for any reason other than on account of death, Disability or Retirement (in each case, as defined below), whether by the Employee or by the Company, and in the latter case whether with or without cause, then the Performance Share Units will be forfeited upon such termination.</w:t>
      </w:r>
    </w:p>
    <w:p>
      <w:pPr>
        <w:spacing w:after="0" w:line="213" w:lineRule="exact"/>
        <w:rPr>
          <w:rFonts w:ascii="Arial" w:cs="Arial" w:eastAsia="Arial" w:hAnsi="Arial"/>
          <w:sz w:val="21"/>
          <w:szCs w:val="21"/>
          <w:color w:val="auto"/>
        </w:rPr>
      </w:pPr>
    </w:p>
    <w:p>
      <w:pPr>
        <w:jc w:val="both"/>
        <w:ind w:left="1740" w:hanging="868"/>
        <w:spacing w:after="0" w:line="274" w:lineRule="auto"/>
        <w:tabs>
          <w:tab w:leader="none" w:pos="1740"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Retirement or Disability</w:t>
      </w:r>
      <w:r>
        <w:rPr>
          <w:rFonts w:ascii="Arial" w:cs="Arial" w:eastAsia="Arial" w:hAnsi="Arial"/>
          <w:sz w:val="19"/>
          <w:szCs w:val="19"/>
          <w:color w:val="auto"/>
        </w:rPr>
        <w:t>. If the Employee’s employment with the Company is terminated prior to the Vesting Date upon Retirement (as defined below) or as the result of a disability under circumstances entitling the Employee to the commencement of benefits under a long-term disability plan maintained by the Company (“</w:t>
      </w:r>
      <w:r>
        <w:rPr>
          <w:rFonts w:ascii="Arial" w:cs="Arial" w:eastAsia="Arial" w:hAnsi="Arial"/>
          <w:sz w:val="19"/>
          <w:szCs w:val="19"/>
          <w:b w:val="1"/>
          <w:bCs w:val="1"/>
          <w:color w:val="auto"/>
        </w:rPr>
        <w:t>Disability</w:t>
      </w:r>
      <w:r>
        <w:rPr>
          <w:rFonts w:ascii="Arial" w:cs="Arial" w:eastAsia="Arial" w:hAnsi="Arial"/>
          <w:sz w:val="19"/>
          <w:szCs w:val="19"/>
          <w:color w:val="auto"/>
        </w:rPr>
        <w:t>”), then the terms of all outstanding PSUs will be unaffected by such Retirement or Disability and the PSUs will be paid in accordance with Section 4 above. “</w:t>
      </w:r>
      <w:r>
        <w:rPr>
          <w:rFonts w:ascii="Arial" w:cs="Arial" w:eastAsia="Arial" w:hAnsi="Arial"/>
          <w:sz w:val="19"/>
          <w:szCs w:val="19"/>
          <w:b w:val="1"/>
          <w:bCs w:val="1"/>
          <w:color w:val="auto"/>
        </w:rPr>
        <w:t>Retirement</w:t>
      </w:r>
      <w:r>
        <w:rPr>
          <w:rFonts w:ascii="Arial" w:cs="Arial" w:eastAsia="Arial" w:hAnsi="Arial"/>
          <w:sz w:val="19"/>
          <w:szCs w:val="19"/>
          <w:color w:val="auto"/>
        </w:rPr>
        <w:t>” is defined as termination of employment with the Corporation after reaching age 62 under circumstances that qualify for normal retirement in accordance with the Martin Marietta Materials, Inc. Pension Plan; provided, that, the Committee may in its sole discretion classify an Employee’s termination of employment as Retirement under other circumstances.</w:t>
      </w:r>
    </w:p>
    <w:p>
      <w:pPr>
        <w:spacing w:after="0" w:line="192" w:lineRule="exact"/>
        <w:rPr>
          <w:rFonts w:ascii="Arial" w:cs="Arial" w:eastAsia="Arial" w:hAnsi="Arial"/>
          <w:sz w:val="19"/>
          <w:szCs w:val="19"/>
          <w:color w:val="auto"/>
        </w:rPr>
      </w:pPr>
    </w:p>
    <w:p>
      <w:pPr>
        <w:jc w:val="both"/>
        <w:ind w:left="1740" w:hanging="868"/>
        <w:spacing w:after="0" w:line="271" w:lineRule="auto"/>
        <w:tabs>
          <w:tab w:leader="none" w:pos="1740"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Death</w:t>
      </w:r>
      <w:r>
        <w:rPr>
          <w:rFonts w:ascii="Arial" w:cs="Arial" w:eastAsia="Arial" w:hAnsi="Arial"/>
          <w:sz w:val="20"/>
          <w:szCs w:val="20"/>
          <w:color w:val="auto"/>
        </w:rPr>
        <w:t>. If, prior to the Vesting Date, the Employee dies while employed by the Company or after termination by reason of Retirement or Disability, then the terms of all outstanding PSUs will be unaffected by such death and the PSUs will be paid in accordance with Section 4 above to the Employee’s estate or beneficiary.</w:t>
      </w:r>
    </w:p>
    <w:p>
      <w:pPr>
        <w:spacing w:after="0" w:line="193" w:lineRule="exact"/>
        <w:rPr>
          <w:rFonts w:ascii="Arial" w:cs="Arial" w:eastAsia="Arial" w:hAnsi="Arial"/>
          <w:sz w:val="20"/>
          <w:szCs w:val="20"/>
          <w:color w:val="auto"/>
        </w:rPr>
      </w:pPr>
    </w:p>
    <w:p>
      <w:pPr>
        <w:ind w:left="1740" w:hanging="868"/>
        <w:spacing w:after="0" w:line="264" w:lineRule="auto"/>
        <w:tabs>
          <w:tab w:leader="none" w:pos="1740" w:val="left"/>
        </w:tabs>
        <w:numPr>
          <w:ilvl w:val="1"/>
          <w:numId w:val="32"/>
        </w:numPr>
        <w:rPr>
          <w:rFonts w:ascii="Arial" w:cs="Arial" w:eastAsia="Arial" w:hAnsi="Arial"/>
          <w:sz w:val="21"/>
          <w:szCs w:val="21"/>
          <w:color w:val="auto"/>
        </w:rPr>
      </w:pPr>
      <w:r>
        <w:rPr>
          <w:rFonts w:ascii="Arial" w:cs="Arial" w:eastAsia="Arial" w:hAnsi="Arial"/>
          <w:sz w:val="21"/>
          <w:szCs w:val="21"/>
          <w:u w:val="single" w:color="auto"/>
          <w:color w:val="auto"/>
        </w:rPr>
        <w:t>Committee Negative Discretion</w:t>
      </w:r>
      <w:r>
        <w:rPr>
          <w:rFonts w:ascii="Arial" w:cs="Arial" w:eastAsia="Arial" w:hAnsi="Arial"/>
          <w:sz w:val="21"/>
          <w:szCs w:val="21"/>
          <w:color w:val="auto"/>
        </w:rPr>
        <w:t>. Prior to the date on which the PSUs are distributed hereunder, the Committee may in its sole discretion decide to reduce or eliminate any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479" w:gutter="0" w:footer="0" w:header="0"/>
        </w:sectPr>
      </w:pPr>
    </w:p>
    <w:bookmarkStart w:id="48" w:name="page49"/>
    <w:bookmarkEnd w:id="48"/>
    <w:p>
      <w:pPr>
        <w:ind w:left="1740"/>
        <w:spacing w:after="0" w:line="264" w:lineRule="auto"/>
        <w:rPr>
          <w:sz w:val="20"/>
          <w:szCs w:val="20"/>
          <w:color w:val="auto"/>
        </w:rPr>
      </w:pPr>
      <w:r>
        <w:rPr>
          <w:rFonts w:ascii="Arial" w:cs="Arial" w:eastAsia="Arial" w:hAnsi="Arial"/>
          <w:sz w:val="21"/>
          <w:szCs w:val="21"/>
          <w:color w:val="auto"/>
        </w:rPr>
        <w:t>amount otherwise payable with respect to an award under this Sections 7. The Committee’s determinations shall be binding and conclusive on all parties.</w:t>
      </w:r>
    </w:p>
    <w:p>
      <w:pPr>
        <w:spacing w:after="0" w:line="192" w:lineRule="exact"/>
        <w:rPr>
          <w:sz w:val="20"/>
          <w:szCs w:val="20"/>
          <w:color w:val="auto"/>
        </w:rPr>
      </w:pPr>
    </w:p>
    <w:p>
      <w:pPr>
        <w:ind w:left="880" w:hanging="872"/>
        <w:spacing w:after="0"/>
        <w:tabs>
          <w:tab w:leader="none" w:pos="880" w:val="left"/>
        </w:tabs>
        <w:numPr>
          <w:ilvl w:val="0"/>
          <w:numId w:val="33"/>
        </w:numPr>
        <w:rPr>
          <w:rFonts w:ascii="Arial" w:cs="Arial" w:eastAsia="Arial" w:hAnsi="Arial"/>
          <w:sz w:val="21"/>
          <w:szCs w:val="21"/>
          <w:b w:val="1"/>
          <w:bCs w:val="1"/>
          <w:color w:val="auto"/>
        </w:rPr>
      </w:pPr>
      <w:r>
        <w:rPr>
          <w:rFonts w:ascii="Arial" w:cs="Arial" w:eastAsia="Arial" w:hAnsi="Arial"/>
          <w:sz w:val="21"/>
          <w:szCs w:val="21"/>
          <w:b w:val="1"/>
          <w:bCs w:val="1"/>
          <w:color w:val="auto"/>
        </w:rPr>
        <w:t>TAX WITHHOLDING</w:t>
      </w:r>
    </w:p>
    <w:p>
      <w:pPr>
        <w:spacing w:after="0" w:line="251"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color w:val="auto"/>
        </w:rPr>
        <w:t>At the time PSUs are converted into shares of Stock and delivered to the Employee, the Employee will recognize ordinary income based on the value of the Stock payable in accordance with Section 4. The Company shall withhold applicable taxes as required by law at the time of such Vesting by deducting shares of Stock from the payment to satisfy the obligation prior to the delivery of the certificates for shares of Stock. Withholding will be at the minimum rates prescribed by law; therefore, the Employee may owe additional taxes as a result of the distribution. If the Employee terminates employment on account of Disability or Retirement and the PSUs are not forfeited, the Company may require the Employee to pay to the Company or withhold from the Employee’s compensation, by canceling PSUs or otherwise, an amount equal to satisfy the obligation to withhold federal employment taxes as required by law.</w:t>
      </w:r>
    </w:p>
    <w:p>
      <w:pPr>
        <w:spacing w:after="0" w:line="186" w:lineRule="exact"/>
        <w:rPr>
          <w:sz w:val="20"/>
          <w:szCs w:val="20"/>
          <w:color w:val="auto"/>
        </w:rPr>
      </w:pPr>
    </w:p>
    <w:p>
      <w:pPr>
        <w:ind w:left="880" w:hanging="872"/>
        <w:spacing w:after="0"/>
        <w:tabs>
          <w:tab w:leader="none" w:pos="880" w:val="left"/>
        </w:tabs>
        <w:numPr>
          <w:ilvl w:val="0"/>
          <w:numId w:val="34"/>
        </w:numPr>
        <w:rPr>
          <w:rFonts w:ascii="Arial" w:cs="Arial" w:eastAsia="Arial" w:hAnsi="Arial"/>
          <w:sz w:val="21"/>
          <w:szCs w:val="21"/>
          <w:b w:val="1"/>
          <w:bCs w:val="1"/>
          <w:color w:val="auto"/>
        </w:rPr>
      </w:pPr>
      <w:r>
        <w:rPr>
          <w:rFonts w:ascii="Arial" w:cs="Arial" w:eastAsia="Arial" w:hAnsi="Arial"/>
          <w:sz w:val="21"/>
          <w:szCs w:val="21"/>
          <w:b w:val="1"/>
          <w:bCs w:val="1"/>
          <w:color w:val="auto"/>
        </w:rPr>
        <w:t>CHANGE IN CONTROL</w:t>
      </w:r>
    </w:p>
    <w:p>
      <w:pPr>
        <w:spacing w:after="0" w:line="251"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20"/>
          <w:szCs w:val="20"/>
          <w:color w:val="auto"/>
        </w:rPr>
        <w:t>In the event of a Change in Control, to the extent that the successor or surviving company in the Change of Control event does not assume or substitute for the PSUs (or in which the Company is the ultimate parent corporation and does not continue the PSUs) on substantially similar terms or with substantially equivalent economic benefits (as determined by the Committee prior to the Change of Control) as Awards outstanding under the Plan immediately prior to the Change of Control event, all outstanding PSUs will be deemed non-forfeitable and the Vesting Percentage will be the greater of (1) the Vesting Percentage as determined by the performance during the Measurement Period up to the day before the effective date of the Change in Control, as determined by the Committee in its sole discretion or (2) the target Vesting Percentage (100%). The PSUs will be distributed in shares of Stock or the consideration received in exchange for shares of Stock in connection with such Change in Control no later than 15 days following the date of such Change in Control.</w:t>
      </w:r>
    </w:p>
    <w:p>
      <w:pPr>
        <w:spacing w:after="0" w:line="200" w:lineRule="exact"/>
        <w:rPr>
          <w:sz w:val="20"/>
          <w:szCs w:val="20"/>
          <w:color w:val="auto"/>
        </w:rPr>
      </w:pPr>
    </w:p>
    <w:p>
      <w:pPr>
        <w:ind w:left="880" w:hanging="872"/>
        <w:spacing w:after="0"/>
        <w:tabs>
          <w:tab w:leader="none" w:pos="880" w:val="left"/>
        </w:tabs>
        <w:numPr>
          <w:ilvl w:val="0"/>
          <w:numId w:val="35"/>
        </w:numPr>
        <w:rPr>
          <w:rFonts w:ascii="Arial" w:cs="Arial" w:eastAsia="Arial" w:hAnsi="Arial"/>
          <w:sz w:val="21"/>
          <w:szCs w:val="21"/>
          <w:b w:val="1"/>
          <w:bCs w:val="1"/>
          <w:color w:val="auto"/>
        </w:rPr>
      </w:pPr>
      <w:r>
        <w:rPr>
          <w:rFonts w:ascii="Arial" w:cs="Arial" w:eastAsia="Arial" w:hAnsi="Arial"/>
          <w:sz w:val="21"/>
          <w:szCs w:val="21"/>
          <w:b w:val="1"/>
          <w:bCs w:val="1"/>
          <w:color w:val="auto"/>
        </w:rPr>
        <w:t>AMENDMENT AND TERMINATION OF PLAN OR AWARDS</w:t>
      </w:r>
    </w:p>
    <w:p>
      <w:pPr>
        <w:spacing w:after="0" w:line="251"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As provided in Section 7 of the Plan, subject to certain limitations contained within Section 7, the Board of Directors may at any time amend, suspend or discontinue the Plan and the Committee may at any time alter or amend all Award Agreements under the Plan. Notwithstanding Section 7 of the Plan, no such amendment, suspension or discontinuance of the Plan or alteration or amendment of this Award Agreement shall accelerate any distribution under the Plan or, except with the Employee’s express written consent, adversely affect any PSU granted under this Award Agreement; provided, however, that the Board of Directors or the Committee may amend the Plan or this Award Agreement to the extent it deems appropriate to cause this Award Agreement or the PSUs hereunder to comply with Section 409A of the Code (including the distribution requirements thereunder) or be exempt from Section 409A of the Code or the tax penalty under Section 409A(a)(1)(B) of the Code. If the Plan and the Award Agreement are terminated in a manner consistent with the requirements of Treas. Reg. § 1.409A-3(j)(4)(ix), the Board of Directors may, in its sole discretion, accelerate the conversion of PSUs to shares of Stock and immediately distribute such shares of Stock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9" w:name="page50"/>
    <w:bookmarkEnd w:id="49"/>
    <w:p>
      <w:pPr>
        <w:ind w:left="880" w:hanging="872"/>
        <w:spacing w:after="0"/>
        <w:tabs>
          <w:tab w:leader="none" w:pos="880" w:val="left"/>
        </w:tabs>
        <w:numPr>
          <w:ilvl w:val="0"/>
          <w:numId w:val="36"/>
        </w:numPr>
        <w:rPr>
          <w:rFonts w:ascii="Arial" w:cs="Arial" w:eastAsia="Arial" w:hAnsi="Arial"/>
          <w:sz w:val="21"/>
          <w:szCs w:val="21"/>
          <w:b w:val="1"/>
          <w:bCs w:val="1"/>
          <w:color w:val="auto"/>
        </w:rPr>
      </w:pPr>
      <w:r>
        <w:rPr>
          <w:rFonts w:ascii="Arial" w:cs="Arial" w:eastAsia="Arial" w:hAnsi="Arial"/>
          <w:sz w:val="21"/>
          <w:szCs w:val="21"/>
          <w:b w:val="1"/>
          <w:bCs w:val="1"/>
          <w:color w:val="auto"/>
        </w:rPr>
        <w:t>EXECUTION OF AWARD AGREEMENT</w:t>
      </w:r>
    </w:p>
    <w:p>
      <w:pPr>
        <w:spacing w:after="0" w:line="251" w:lineRule="exact"/>
        <w:rPr>
          <w:sz w:val="20"/>
          <w:szCs w:val="20"/>
          <w:color w:val="auto"/>
        </w:rPr>
      </w:pPr>
    </w:p>
    <w:p>
      <w:pPr>
        <w:jc w:val="both"/>
        <w:ind w:firstLine="877"/>
        <w:spacing w:after="0" w:line="315" w:lineRule="auto"/>
        <w:rPr>
          <w:sz w:val="20"/>
          <w:szCs w:val="20"/>
          <w:color w:val="auto"/>
        </w:rPr>
      </w:pPr>
      <w:r>
        <w:rPr>
          <w:rFonts w:ascii="Arial" w:cs="Arial" w:eastAsia="Arial" w:hAnsi="Arial"/>
          <w:sz w:val="18"/>
          <w:szCs w:val="18"/>
          <w:color w:val="auto"/>
        </w:rPr>
        <w:t>No PSU granted under this Award Agreement is distributable nor is this Award Agreement enforceable until this Award Agreement has been fully executed by the Company and the Employee. By executing this Award Agreement, the Employee shall be deemed to have accepted and consented to any action taken under the Plan by the Committee, the Board of Directors or their delegates.</w:t>
      </w:r>
    </w:p>
    <w:p>
      <w:pPr>
        <w:spacing w:after="0" w:line="151" w:lineRule="exact"/>
        <w:rPr>
          <w:sz w:val="20"/>
          <w:szCs w:val="20"/>
          <w:color w:val="auto"/>
        </w:rPr>
      </w:pPr>
    </w:p>
    <w:p>
      <w:pPr>
        <w:ind w:left="880" w:hanging="872"/>
        <w:spacing w:after="0"/>
        <w:tabs>
          <w:tab w:leader="none" w:pos="880" w:val="left"/>
        </w:tabs>
        <w:numPr>
          <w:ilvl w:val="0"/>
          <w:numId w:val="37"/>
        </w:numPr>
        <w:rPr>
          <w:rFonts w:ascii="Arial" w:cs="Arial" w:eastAsia="Arial" w:hAnsi="Arial"/>
          <w:sz w:val="21"/>
          <w:szCs w:val="21"/>
          <w:b w:val="1"/>
          <w:bCs w:val="1"/>
          <w:color w:val="auto"/>
        </w:rPr>
      </w:pPr>
      <w:r>
        <w:rPr>
          <w:rFonts w:ascii="Arial" w:cs="Arial" w:eastAsia="Arial" w:hAnsi="Arial"/>
          <w:sz w:val="21"/>
          <w:szCs w:val="21"/>
          <w:b w:val="1"/>
          <w:bCs w:val="1"/>
          <w:color w:val="auto"/>
        </w:rPr>
        <w:t>MISCELLANEOUS</w:t>
      </w:r>
    </w:p>
    <w:p>
      <w:pPr>
        <w:spacing w:after="0" w:line="250" w:lineRule="exact"/>
        <w:rPr>
          <w:rFonts w:ascii="Arial" w:cs="Arial" w:eastAsia="Arial" w:hAnsi="Arial"/>
          <w:sz w:val="21"/>
          <w:szCs w:val="21"/>
          <w:b w:val="1"/>
          <w:bCs w:val="1"/>
          <w:color w:val="auto"/>
        </w:rPr>
      </w:pPr>
    </w:p>
    <w:p>
      <w:pPr>
        <w:jc w:val="both"/>
        <w:ind w:left="1760" w:hanging="739"/>
        <w:spacing w:after="0" w:line="247" w:lineRule="auto"/>
        <w:tabs>
          <w:tab w:leader="none" w:pos="1760" w:val="left"/>
        </w:tabs>
        <w:numPr>
          <w:ilvl w:val="1"/>
          <w:numId w:val="37"/>
        </w:numPr>
        <w:rPr>
          <w:rFonts w:ascii="Arial" w:cs="Arial" w:eastAsia="Arial" w:hAnsi="Arial"/>
          <w:sz w:val="21"/>
          <w:szCs w:val="21"/>
          <w:color w:val="auto"/>
        </w:rPr>
      </w:pPr>
      <w:r>
        <w:rPr>
          <w:rFonts w:ascii="Arial" w:cs="Arial" w:eastAsia="Arial" w:hAnsi="Arial"/>
          <w:sz w:val="21"/>
          <w:szCs w:val="21"/>
          <w:color w:val="auto"/>
        </w:rPr>
        <w:t>Nothing contained in the Award Agreement confers on the Employee the rights of a shareholder with respect to this Performance Share Unit award prior to Vesting and before the Employee becomes the holder of record of the shares of Stock payable. Except as provided in Section 9 of the Plan, no adjustment will be made for dividends or other rights, and grants of dividend equivalents pursuant to Section 5 will not be considered to be a grant of any other shareholder right.</w:t>
      </w:r>
    </w:p>
    <w:p>
      <w:pPr>
        <w:spacing w:after="0" w:line="215" w:lineRule="exact"/>
        <w:rPr>
          <w:rFonts w:ascii="Arial" w:cs="Arial" w:eastAsia="Arial" w:hAnsi="Arial"/>
          <w:sz w:val="21"/>
          <w:szCs w:val="21"/>
          <w:color w:val="auto"/>
        </w:rPr>
      </w:pPr>
    </w:p>
    <w:p>
      <w:pPr>
        <w:ind w:left="1760" w:hanging="739"/>
        <w:spacing w:after="0" w:line="348" w:lineRule="auto"/>
        <w:tabs>
          <w:tab w:leader="none" w:pos="17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For purposes of this Award Agreement, the Employee will be considered to be in the employ of the Company during an approved leave of absence unless otherwise provided in an agreement between the Employee and the Company.</w:t>
      </w:r>
    </w:p>
    <w:p>
      <w:pPr>
        <w:spacing w:after="0" w:line="129" w:lineRule="exact"/>
        <w:rPr>
          <w:rFonts w:ascii="Arial" w:cs="Arial" w:eastAsia="Arial" w:hAnsi="Arial"/>
          <w:sz w:val="18"/>
          <w:szCs w:val="18"/>
          <w:color w:val="auto"/>
        </w:rPr>
      </w:pPr>
    </w:p>
    <w:p>
      <w:pPr>
        <w:jc w:val="both"/>
        <w:ind w:left="1760" w:hanging="739"/>
        <w:spacing w:after="0" w:line="253" w:lineRule="auto"/>
        <w:tabs>
          <w:tab w:leader="none" w:pos="1760" w:val="left"/>
        </w:tabs>
        <w:numPr>
          <w:ilvl w:val="1"/>
          <w:numId w:val="37"/>
        </w:numPr>
        <w:rPr>
          <w:rFonts w:ascii="Arial" w:cs="Arial" w:eastAsia="Arial" w:hAnsi="Arial"/>
          <w:sz w:val="21"/>
          <w:szCs w:val="21"/>
          <w:color w:val="auto"/>
        </w:rPr>
      </w:pPr>
      <w:r>
        <w:rPr>
          <w:rFonts w:ascii="Arial" w:cs="Arial" w:eastAsia="Arial" w:hAnsi="Arial"/>
          <w:sz w:val="21"/>
          <w:szCs w:val="21"/>
          <w:color w:val="auto"/>
        </w:rPr>
        <w:t>Nothing contained in this Award Agreement or in any Performance Share Unit granted hereunder shall confer upon any Employee any right of continued employment by the Company, expressed or implied, nor limit in any way the right of the Company to terminate the Employee’s employment at any time.</w:t>
      </w:r>
    </w:p>
    <w:p>
      <w:pPr>
        <w:spacing w:after="0" w:line="208" w:lineRule="exact"/>
        <w:rPr>
          <w:rFonts w:ascii="Arial" w:cs="Arial" w:eastAsia="Arial" w:hAnsi="Arial"/>
          <w:sz w:val="21"/>
          <w:szCs w:val="21"/>
          <w:color w:val="auto"/>
        </w:rPr>
      </w:pPr>
    </w:p>
    <w:p>
      <w:pPr>
        <w:ind w:left="1760" w:hanging="739"/>
        <w:spacing w:after="0" w:line="264" w:lineRule="auto"/>
        <w:tabs>
          <w:tab w:leader="none" w:pos="1760" w:val="left"/>
        </w:tabs>
        <w:numPr>
          <w:ilvl w:val="1"/>
          <w:numId w:val="37"/>
        </w:numPr>
        <w:rPr>
          <w:rFonts w:ascii="Arial" w:cs="Arial" w:eastAsia="Arial" w:hAnsi="Arial"/>
          <w:sz w:val="21"/>
          <w:szCs w:val="21"/>
          <w:color w:val="auto"/>
        </w:rPr>
      </w:pPr>
      <w:r>
        <w:rPr>
          <w:rFonts w:ascii="Arial" w:cs="Arial" w:eastAsia="Arial" w:hAnsi="Arial"/>
          <w:sz w:val="21"/>
          <w:szCs w:val="21"/>
          <w:color w:val="auto"/>
        </w:rPr>
        <w:t>Except as provided under Section 6 herein, neither these PSUs nor any of the rights or obligations hereunder shall be assigned or delegated by either party hereto.</w:t>
      </w:r>
    </w:p>
    <w:p>
      <w:pPr>
        <w:spacing w:after="0" w:line="198" w:lineRule="exact"/>
        <w:rPr>
          <w:rFonts w:ascii="Arial" w:cs="Arial" w:eastAsia="Arial" w:hAnsi="Arial"/>
          <w:sz w:val="21"/>
          <w:szCs w:val="21"/>
          <w:color w:val="auto"/>
        </w:rPr>
      </w:pPr>
    </w:p>
    <w:p>
      <w:pPr>
        <w:ind w:left="1760" w:hanging="739"/>
        <w:spacing w:after="0" w:line="264" w:lineRule="auto"/>
        <w:tabs>
          <w:tab w:leader="none" w:pos="1760" w:val="left"/>
        </w:tabs>
        <w:numPr>
          <w:ilvl w:val="1"/>
          <w:numId w:val="37"/>
        </w:numPr>
        <w:rPr>
          <w:rFonts w:ascii="Arial" w:cs="Arial" w:eastAsia="Arial" w:hAnsi="Arial"/>
          <w:sz w:val="21"/>
          <w:szCs w:val="21"/>
          <w:color w:val="auto"/>
        </w:rPr>
      </w:pPr>
      <w:r>
        <w:rPr>
          <w:rFonts w:ascii="Arial" w:cs="Arial" w:eastAsia="Arial" w:hAnsi="Arial"/>
          <w:sz w:val="21"/>
          <w:szCs w:val="21"/>
          <w:color w:val="auto"/>
        </w:rPr>
        <w:t>Capitalized terms used but not defined in this Award Agreement shall have the meanings assigned to such terms in the Plan.</w:t>
      </w:r>
    </w:p>
    <w:p>
      <w:pPr>
        <w:spacing w:after="0" w:line="198" w:lineRule="exact"/>
        <w:rPr>
          <w:rFonts w:ascii="Arial" w:cs="Arial" w:eastAsia="Arial" w:hAnsi="Arial"/>
          <w:sz w:val="21"/>
          <w:szCs w:val="21"/>
          <w:color w:val="auto"/>
        </w:rPr>
      </w:pPr>
    </w:p>
    <w:p>
      <w:pPr>
        <w:ind w:left="1760" w:hanging="739"/>
        <w:spacing w:after="0" w:line="264" w:lineRule="auto"/>
        <w:tabs>
          <w:tab w:leader="none" w:pos="1760" w:val="left"/>
        </w:tabs>
        <w:numPr>
          <w:ilvl w:val="1"/>
          <w:numId w:val="37"/>
        </w:numPr>
        <w:rPr>
          <w:rFonts w:ascii="Arial" w:cs="Arial" w:eastAsia="Arial" w:hAnsi="Arial"/>
          <w:sz w:val="21"/>
          <w:szCs w:val="21"/>
          <w:color w:val="auto"/>
        </w:rPr>
      </w:pPr>
      <w:r>
        <w:rPr>
          <w:rFonts w:ascii="Arial" w:cs="Arial" w:eastAsia="Arial" w:hAnsi="Arial"/>
          <w:sz w:val="21"/>
          <w:szCs w:val="21"/>
          <w:color w:val="auto"/>
        </w:rPr>
        <w:t>To the extent there is a conflict between the terms of the Plan and this Award Agreement, the terms of the Plan shall govern.</w:t>
      </w:r>
    </w:p>
    <w:p>
      <w:pPr>
        <w:spacing w:after="0" w:line="198" w:lineRule="exact"/>
        <w:rPr>
          <w:rFonts w:ascii="Arial" w:cs="Arial" w:eastAsia="Arial" w:hAnsi="Arial"/>
          <w:sz w:val="21"/>
          <w:szCs w:val="21"/>
          <w:color w:val="auto"/>
        </w:rPr>
      </w:pPr>
    </w:p>
    <w:p>
      <w:pPr>
        <w:jc w:val="both"/>
        <w:ind w:left="1760" w:hanging="739"/>
        <w:spacing w:after="0" w:line="272" w:lineRule="auto"/>
        <w:tabs>
          <w:tab w:leader="none" w:pos="1760" w:val="left"/>
        </w:tabs>
        <w:numPr>
          <w:ilvl w:val="1"/>
          <w:numId w:val="37"/>
        </w:numPr>
        <w:rPr>
          <w:rFonts w:ascii="Arial" w:cs="Arial" w:eastAsia="Arial" w:hAnsi="Arial"/>
          <w:sz w:val="19"/>
          <w:szCs w:val="19"/>
          <w:color w:val="auto"/>
        </w:rPr>
      </w:pPr>
      <w:r>
        <w:rPr>
          <w:rFonts w:ascii="Arial" w:cs="Arial" w:eastAsia="Arial" w:hAnsi="Arial"/>
          <w:sz w:val="19"/>
          <w:szCs w:val="19"/>
          <w:color w:val="auto"/>
        </w:rPr>
        <w:t>In lieu of receiving documents in paper format, Employee hereby agrees and consents, to electronic delivery of all documents in connection with the PSUs granted hereunder, including any documents the Corporation elects to or is required to deliver (including, but not limited to, the Prospectus related to Employee’s Award, any supplements to that Prospectus, and agreements, account statements, monthly or annual reports, and all other forms or communications required to be delivered to Employee pursuant to applicable securities laws). Electronic delivery of a document to Employee may be via a location on an intranet site or a third-party’s Internet site to which Employee has access. By electronically accepting this Award, Participant acknowledges that he or she has received and read, and agrees that this Award shall be subject to, the terms of this Grant Notice, the Plan, the Standard Terms and Conditions, and the Long Term Plan (including, but not limited to, the Committee’s discretionary authority under the Long Term Plan to determine the number of Stock Units payable with respect to the Award).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50" w:name="page51"/>
    <w:bookmarkEnd w:id="50"/>
    <w:p>
      <w:pPr>
        <w:ind w:left="1760"/>
        <w:spacing w:after="0" w:line="263" w:lineRule="auto"/>
        <w:rPr>
          <w:sz w:val="20"/>
          <w:szCs w:val="20"/>
          <w:color w:val="auto"/>
        </w:rPr>
      </w:pPr>
      <w:r>
        <w:rPr>
          <w:rFonts w:ascii="Arial" w:cs="Arial" w:eastAsia="Arial" w:hAnsi="Arial"/>
          <w:sz w:val="20"/>
          <w:szCs w:val="20"/>
          <w:color w:val="auto"/>
        </w:rPr>
        <w:t>THE PARTICIPANT WILL BE DEEMED TO HAVE ACCEPTED THE AWARD AND THE STANDARD TERMS AND CONDITIONS IF THE PARTICIPANT DOES NOT OBJECT IN WRITING WITHIN NINETY</w:t>
      </w:r>
    </w:p>
    <w:p>
      <w:pPr>
        <w:ind w:left="1760" w:firstLine="3"/>
        <w:spacing w:after="0" w:line="246" w:lineRule="auto"/>
        <w:tabs>
          <w:tab w:leader="none" w:pos="2190" w:val="left"/>
        </w:tabs>
        <w:numPr>
          <w:ilvl w:val="1"/>
          <w:numId w:val="38"/>
        </w:numPr>
        <w:rPr>
          <w:rFonts w:ascii="Arial" w:cs="Arial" w:eastAsia="Arial" w:hAnsi="Arial"/>
          <w:sz w:val="21"/>
          <w:szCs w:val="21"/>
          <w:color w:val="auto"/>
        </w:rPr>
      </w:pPr>
      <w:r>
        <w:rPr>
          <w:rFonts w:ascii="Arial" w:cs="Arial" w:eastAsia="Arial" w:hAnsi="Arial"/>
          <w:sz w:val="21"/>
          <w:szCs w:val="21"/>
          <w:color w:val="auto"/>
        </w:rPr>
        <w:t>DAYS FOLLOWING DELIVERY OF THE GRANT NOTICE AND THESE STANDARD TERMS AND CONDITIONS.</w:t>
      </w:r>
    </w:p>
    <w:p>
      <w:pPr>
        <w:spacing w:after="0" w:line="115" w:lineRule="exact"/>
        <w:rPr>
          <w:rFonts w:ascii="Arial" w:cs="Arial" w:eastAsia="Arial" w:hAnsi="Arial"/>
          <w:sz w:val="21"/>
          <w:szCs w:val="21"/>
          <w:color w:val="auto"/>
        </w:rPr>
      </w:pPr>
    </w:p>
    <w:p>
      <w:pPr>
        <w:ind w:left="880" w:hanging="872"/>
        <w:spacing w:after="0"/>
        <w:tabs>
          <w:tab w:leader="none" w:pos="880" w:val="left"/>
        </w:tabs>
        <w:numPr>
          <w:ilvl w:val="0"/>
          <w:numId w:val="39"/>
        </w:numPr>
        <w:rPr>
          <w:rFonts w:ascii="Arial" w:cs="Arial" w:eastAsia="Arial" w:hAnsi="Arial"/>
          <w:sz w:val="21"/>
          <w:szCs w:val="21"/>
          <w:b w:val="1"/>
          <w:bCs w:val="1"/>
          <w:color w:val="auto"/>
        </w:rPr>
      </w:pPr>
      <w:r>
        <w:rPr>
          <w:rFonts w:ascii="Arial" w:cs="Arial" w:eastAsia="Arial" w:hAnsi="Arial"/>
          <w:sz w:val="21"/>
          <w:szCs w:val="21"/>
          <w:b w:val="1"/>
          <w:bCs w:val="1"/>
          <w:color w:val="auto"/>
        </w:rPr>
        <w:t>NOTICES</w:t>
      </w:r>
    </w:p>
    <w:p>
      <w:pPr>
        <w:spacing w:after="0" w:line="250"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19"/>
          <w:szCs w:val="19"/>
          <w:color w:val="auto"/>
        </w:rPr>
        <w:t>Notices and all other communications provided for in this Award Agreement shall be in writing and shall be deemed to have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been duly given when personally delivered or when mailed by overnight mail courier service, postage prepaid, addressed as follows:</w:t>
      </w:r>
    </w:p>
    <w:p>
      <w:pPr>
        <w:spacing w:after="0" w:line="25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If to the Employee, to the most recent</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address on file with the Company.</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If to the Company, to:</w:t>
      </w:r>
    </w:p>
    <w:p>
      <w:pPr>
        <w:spacing w:after="0" w:line="24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Martin Marietta Materials, Inc.</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2710 Wycliff Road</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Raleigh, NC 27607</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Fax: (855) 783-4603</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Attn: Corporate Secretary</w:t>
      </w:r>
    </w:p>
    <w:p>
      <w:pPr>
        <w:spacing w:after="0" w:line="227"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or to such other address or such other person as the Employee or the Company shall designate in writing in accordance with this Section 13, except that notices regarding changes in notices shall be effective only upon receipt.</w:t>
      </w:r>
    </w:p>
    <w:p>
      <w:pPr>
        <w:spacing w:after="0" w:line="192" w:lineRule="exact"/>
        <w:rPr>
          <w:sz w:val="20"/>
          <w:szCs w:val="20"/>
          <w:color w:val="auto"/>
        </w:rPr>
      </w:pPr>
    </w:p>
    <w:p>
      <w:pPr>
        <w:ind w:left="880" w:hanging="872"/>
        <w:spacing w:after="0"/>
        <w:tabs>
          <w:tab w:leader="none" w:pos="880" w:val="left"/>
        </w:tabs>
        <w:numPr>
          <w:ilvl w:val="0"/>
          <w:numId w:val="40"/>
        </w:numPr>
        <w:rPr>
          <w:rFonts w:ascii="Arial" w:cs="Arial" w:eastAsia="Arial" w:hAnsi="Arial"/>
          <w:sz w:val="21"/>
          <w:szCs w:val="21"/>
          <w:b w:val="1"/>
          <w:bCs w:val="1"/>
          <w:color w:val="auto"/>
        </w:rPr>
      </w:pPr>
      <w:r>
        <w:rPr>
          <w:rFonts w:ascii="Arial" w:cs="Arial" w:eastAsia="Arial" w:hAnsi="Arial"/>
          <w:sz w:val="21"/>
          <w:szCs w:val="21"/>
          <w:b w:val="1"/>
          <w:bCs w:val="1"/>
          <w:color w:val="auto"/>
        </w:rPr>
        <w:t>GOVERNING LAW</w:t>
      </w:r>
    </w:p>
    <w:p>
      <w:pPr>
        <w:spacing w:after="0" w:line="250"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This Award Agreement shall be governed by the laws of the State of North Carolina.</w:t>
      </w:r>
    </w:p>
    <w:p>
      <w:pPr>
        <w:spacing w:after="0" w:line="245" w:lineRule="exact"/>
        <w:rPr>
          <w:sz w:val="20"/>
          <w:szCs w:val="20"/>
          <w:color w:val="auto"/>
        </w:rPr>
      </w:pPr>
    </w:p>
    <w:p>
      <w:pPr>
        <w:ind w:right="20" w:firstLine="877"/>
        <w:spacing w:after="0" w:line="264" w:lineRule="auto"/>
        <w:rPr>
          <w:sz w:val="20"/>
          <w:szCs w:val="20"/>
          <w:color w:val="auto"/>
        </w:rPr>
      </w:pPr>
      <w:r>
        <w:rPr>
          <w:rFonts w:ascii="Arial" w:cs="Arial" w:eastAsia="Arial" w:hAnsi="Arial"/>
          <w:sz w:val="21"/>
          <w:szCs w:val="21"/>
          <w:color w:val="auto"/>
        </w:rPr>
        <w:t>IN WITNESS WHEREOF, the Company has caused this Award Agreement to be executed and the Employee has hereunto set his hand as of the day and year first above written.</w:t>
      </w:r>
    </w:p>
    <w:p>
      <w:pPr>
        <w:spacing w:after="0" w:line="192"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auto"/>
        </w:rPr>
        <w:t>MARTIN MARIETTA MATERIALS, INC.</w:t>
      </w:r>
    </w:p>
    <w:p>
      <w:pPr>
        <w:spacing w:after="0" w:line="251" w:lineRule="exact"/>
        <w:rPr>
          <w:sz w:val="20"/>
          <w:szCs w:val="20"/>
          <w:color w:val="auto"/>
        </w:rPr>
      </w:pPr>
    </w:p>
    <w:p>
      <w:pPr>
        <w:ind w:left="1680"/>
        <w:spacing w:after="0"/>
        <w:tabs>
          <w:tab w:leader="none" w:pos="23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Roselyn Bar_______________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-15875</wp:posOffset>
            </wp:positionV>
            <wp:extent cx="18034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03400" cy="8890"/>
                    </a:xfrm>
                    <a:prstGeom prst="rect">
                      <a:avLst/>
                    </a:prstGeom>
                    <a:noFill/>
                  </pic:spPr>
                </pic:pic>
              </a:graphicData>
            </a:graphic>
          </wp:anchor>
        </w:drawing>
      </w:r>
    </w:p>
    <w:p>
      <w:pPr>
        <w:ind w:left="6160"/>
        <w:spacing w:after="0"/>
        <w:rPr>
          <w:sz w:val="20"/>
          <w:szCs w:val="20"/>
          <w:color w:val="auto"/>
        </w:rPr>
      </w:pPr>
      <w:r>
        <w:rPr>
          <w:rFonts w:ascii="Arial" w:cs="Arial" w:eastAsia="Arial" w:hAnsi="Arial"/>
          <w:sz w:val="20"/>
          <w:szCs w:val="20"/>
          <w:color w:val="auto"/>
        </w:rPr>
        <w:t>Executive Vice President, General Counsel and Corporate</w:t>
      </w:r>
    </w:p>
    <w:p>
      <w:pPr>
        <w:spacing w:after="0" w:line="13" w:lineRule="exact"/>
        <w:rPr>
          <w:sz w:val="20"/>
          <w:szCs w:val="20"/>
          <w:color w:val="auto"/>
        </w:rPr>
      </w:pPr>
    </w:p>
    <w:p>
      <w:pPr>
        <w:ind w:left="6160"/>
        <w:spacing w:after="0"/>
        <w:rPr>
          <w:sz w:val="20"/>
          <w:szCs w:val="20"/>
          <w:color w:val="auto"/>
        </w:rPr>
      </w:pPr>
      <w:r>
        <w:rPr>
          <w:rFonts w:ascii="Arial" w:cs="Arial" w:eastAsia="Arial" w:hAnsi="Arial"/>
          <w:sz w:val="21"/>
          <w:szCs w:val="21"/>
          <w:color w:val="auto"/>
        </w:rPr>
        <w:t>Secretary</w:t>
      </w:r>
    </w:p>
    <w:p>
      <w:pPr>
        <w:spacing w:after="0" w:line="221"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auto"/>
        </w:rPr>
        <w:t>EMPLOYEE</w:t>
      </w:r>
    </w:p>
    <w:p>
      <w:pPr>
        <w:spacing w:after="0" w:line="200" w:lineRule="exact"/>
        <w:rPr>
          <w:sz w:val="20"/>
          <w:szCs w:val="20"/>
          <w:color w:val="auto"/>
        </w:rPr>
      </w:pPr>
    </w:p>
    <w:p>
      <w:pPr>
        <w:spacing w:after="0" w:line="294" w:lineRule="exact"/>
        <w:rPr>
          <w:sz w:val="20"/>
          <w:szCs w:val="20"/>
          <w:color w:val="auto"/>
        </w:rPr>
      </w:pPr>
    </w:p>
    <w:p>
      <w:pPr>
        <w:ind w:left="1680"/>
        <w:spacing w:after="0"/>
        <w:rPr>
          <w:sz w:val="20"/>
          <w:szCs w:val="20"/>
          <w:color w:val="auto"/>
        </w:rPr>
      </w:pPr>
      <w:r>
        <w:rPr>
          <w:rFonts w:ascii="Arial" w:cs="Arial" w:eastAsia="Arial" w:hAnsi="Arial"/>
          <w:sz w:val="21"/>
          <w:szCs w:val="21"/>
          <w:color w:val="auto"/>
        </w:rPr>
        <w:t>By:____________________________</w:t>
      </w:r>
    </w:p>
    <w:p>
      <w:pPr>
        <w:spacing w:after="0" w:line="20" w:lineRule="exact"/>
        <w:rPr>
          <w:sz w:val="20"/>
          <w:szCs w:val="20"/>
          <w:color w:val="auto"/>
        </w:rPr>
      </w:pPr>
    </w:p>
    <w:p>
      <w:pPr>
        <w:ind w:left="1680"/>
        <w:spacing w:after="0"/>
        <w:rPr>
          <w:sz w:val="20"/>
          <w:szCs w:val="20"/>
          <w:color w:val="auto"/>
        </w:rPr>
      </w:pPr>
      <w:r>
        <w:rPr>
          <w:rFonts w:ascii="Arial" w:cs="Arial" w:eastAsia="Arial" w:hAnsi="Arial"/>
          <w:sz w:val="21"/>
          <w:szCs w:val="21"/>
          <w:color w:val="auto"/>
        </w:rPr>
        <w:t>Employee’s Signature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42"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color w:val="auto"/>
        </w:rPr>
        <w:t>EXHIBIT 10.02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MARTIN MARIETTA MATERIALS, INC.</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FORM OF PERFORMANCE-BASED RESTRICTED STOCK UNIT AWARD AGREEMENT</w:t>
      </w:r>
    </w:p>
    <w:p>
      <w:pPr>
        <w:spacing w:after="0" w:line="200" w:lineRule="exact"/>
        <w:rPr>
          <w:sz w:val="20"/>
          <w:szCs w:val="20"/>
          <w:color w:val="auto"/>
        </w:rPr>
      </w:pPr>
    </w:p>
    <w:p>
      <w:pPr>
        <w:spacing w:after="0" w:line="28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THIS RESTRICTED STOCK UNIT AWARD AGREEMENT (the “</w:t>
      </w:r>
      <w:r>
        <w:rPr>
          <w:rFonts w:ascii="Arial" w:cs="Arial" w:eastAsia="Arial" w:hAnsi="Arial"/>
          <w:sz w:val="20"/>
          <w:szCs w:val="20"/>
          <w:b w:val="1"/>
          <w:bCs w:val="1"/>
          <w:color w:val="auto"/>
        </w:rPr>
        <w:t>Award Agreement</w:t>
      </w:r>
      <w:r>
        <w:rPr>
          <w:rFonts w:ascii="Arial" w:cs="Arial" w:eastAsia="Arial" w:hAnsi="Arial"/>
          <w:sz w:val="20"/>
          <w:szCs w:val="20"/>
          <w:color w:val="auto"/>
        </w:rPr>
        <w:t>”), made as of ______________,</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between  Martin  Marietta  Materials,  Inc.,  a  North  Carolina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_____________________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Employee</w:t>
      </w:r>
      <w:r>
        <w:rPr>
          <w:rFonts w:ascii="Arial" w:cs="Arial" w:eastAsia="Arial" w:hAnsi="Arial"/>
          <w:sz w:val="21"/>
          <w:szCs w:val="21"/>
          <w:color w:val="auto"/>
        </w:rPr>
        <w:t>”).</w:t>
      </w:r>
    </w:p>
    <w:p>
      <w:pPr>
        <w:spacing w:after="0" w:line="329" w:lineRule="exact"/>
        <w:rPr>
          <w:sz w:val="20"/>
          <w:szCs w:val="20"/>
          <w:color w:val="auto"/>
        </w:rPr>
      </w:pPr>
    </w:p>
    <w:p>
      <w:pPr>
        <w:ind w:left="880" w:hanging="872"/>
        <w:spacing w:after="0"/>
        <w:tabs>
          <w:tab w:leader="none" w:pos="880" w:val="left"/>
        </w:tabs>
        <w:numPr>
          <w:ilvl w:val="0"/>
          <w:numId w:val="41"/>
        </w:numPr>
        <w:rPr>
          <w:rFonts w:ascii="Arial" w:cs="Arial" w:eastAsia="Arial" w:hAnsi="Arial"/>
          <w:sz w:val="21"/>
          <w:szCs w:val="21"/>
          <w:b w:val="1"/>
          <w:bCs w:val="1"/>
          <w:color w:val="auto"/>
        </w:rPr>
      </w:pPr>
      <w:r>
        <w:rPr>
          <w:rFonts w:ascii="Arial" w:cs="Arial" w:eastAsia="Arial" w:hAnsi="Arial"/>
          <w:sz w:val="21"/>
          <w:szCs w:val="21"/>
          <w:b w:val="1"/>
          <w:bCs w:val="1"/>
          <w:color w:val="auto"/>
        </w:rPr>
        <w:t>GRANT</w:t>
      </w:r>
    </w:p>
    <w:p>
      <w:pPr>
        <w:spacing w:after="0" w:line="245" w:lineRule="exact"/>
        <w:rPr>
          <w:sz w:val="20"/>
          <w:szCs w:val="20"/>
          <w:color w:val="auto"/>
        </w:rPr>
      </w:pPr>
    </w:p>
    <w:p>
      <w:pPr>
        <w:ind w:firstLine="877"/>
        <w:spacing w:after="0" w:line="295" w:lineRule="auto"/>
        <w:rPr>
          <w:sz w:val="20"/>
          <w:szCs w:val="20"/>
          <w:color w:val="auto"/>
        </w:rPr>
      </w:pPr>
      <w:r>
        <w:rPr>
          <w:rFonts w:ascii="Arial" w:cs="Arial" w:eastAsia="Arial" w:hAnsi="Arial"/>
          <w:sz w:val="18"/>
          <w:szCs w:val="18"/>
          <w:color w:val="auto"/>
        </w:rPr>
        <w:t>Pursuant to the Martin Marietta Materials, Inc. Amended and Restated Stock-Based Award Plan (the “</w:t>
      </w:r>
      <w:r>
        <w:rPr>
          <w:rFonts w:ascii="Arial" w:cs="Arial" w:eastAsia="Arial" w:hAnsi="Arial"/>
          <w:sz w:val="18"/>
          <w:szCs w:val="18"/>
          <w:b w:val="1"/>
          <w:bCs w:val="1"/>
          <w:color w:val="auto"/>
        </w:rPr>
        <w:t>Plan</w:t>
      </w:r>
      <w:r>
        <w:rPr>
          <w:rFonts w:ascii="Arial" w:cs="Arial" w:eastAsia="Arial" w:hAnsi="Arial"/>
          <w:sz w:val="18"/>
          <w:szCs w:val="18"/>
          <w:color w:val="auto"/>
        </w:rPr>
        <w:t>”), the Company hereby grants the Employee ____________ Restricted Stock Units on the terms and conditions contained in this Award Agreement, and</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subject to the terms and conditions of the Plan. The term “</w:t>
      </w:r>
      <w:r>
        <w:rPr>
          <w:rFonts w:ascii="Arial" w:cs="Arial" w:eastAsia="Arial" w:hAnsi="Arial"/>
          <w:sz w:val="21"/>
          <w:szCs w:val="21"/>
          <w:b w:val="1"/>
          <w:bCs w:val="1"/>
          <w:color w:val="auto"/>
        </w:rPr>
        <w:t>Restricted Stock Unit</w:t>
      </w:r>
      <w:r>
        <w:rPr>
          <w:rFonts w:ascii="Arial" w:cs="Arial" w:eastAsia="Arial" w:hAnsi="Arial"/>
          <w:sz w:val="21"/>
          <w:szCs w:val="21"/>
          <w:color w:val="auto"/>
        </w:rPr>
        <w:t>” or “</w:t>
      </w:r>
      <w:r>
        <w:rPr>
          <w:rFonts w:ascii="Arial" w:cs="Arial" w:eastAsia="Arial" w:hAnsi="Arial"/>
          <w:sz w:val="21"/>
          <w:szCs w:val="21"/>
          <w:b w:val="1"/>
          <w:bCs w:val="1"/>
          <w:color w:val="auto"/>
        </w:rPr>
        <w:t>Unit(s)</w:t>
      </w:r>
      <w:r>
        <w:rPr>
          <w:rFonts w:ascii="Arial" w:cs="Arial" w:eastAsia="Arial" w:hAnsi="Arial"/>
          <w:sz w:val="21"/>
          <w:szCs w:val="21"/>
          <w:color w:val="auto"/>
        </w:rPr>
        <w:t xml:space="preserve">” or </w:t>
      </w:r>
      <w:r>
        <w:rPr>
          <w:rFonts w:ascii="Arial" w:cs="Arial" w:eastAsia="Arial" w:hAnsi="Arial"/>
          <w:sz w:val="21"/>
          <w:szCs w:val="21"/>
          <w:b w:val="1"/>
          <w:bCs w:val="1"/>
          <w:color w:val="auto"/>
        </w:rPr>
        <w:t>“RSU(s)”</w:t>
      </w:r>
      <w:r>
        <w:rPr>
          <w:rFonts w:ascii="Arial" w:cs="Arial" w:eastAsia="Arial" w:hAnsi="Arial"/>
          <w:sz w:val="21"/>
          <w:szCs w:val="21"/>
          <w:color w:val="auto"/>
        </w:rPr>
        <w:t xml:space="preserve"> as used in this Award Agreement refers only to the Restricted Stock Units awarded to the Employee under this Award Agreement.</w:t>
      </w:r>
    </w:p>
    <w:p>
      <w:pPr>
        <w:spacing w:after="0" w:line="210" w:lineRule="exact"/>
        <w:rPr>
          <w:sz w:val="20"/>
          <w:szCs w:val="20"/>
          <w:color w:val="auto"/>
        </w:rPr>
      </w:pPr>
    </w:p>
    <w:p>
      <w:pPr>
        <w:ind w:left="880" w:hanging="872"/>
        <w:spacing w:after="0"/>
        <w:tabs>
          <w:tab w:leader="none" w:pos="880" w:val="left"/>
        </w:tabs>
        <w:numPr>
          <w:ilvl w:val="0"/>
          <w:numId w:val="42"/>
        </w:numPr>
        <w:rPr>
          <w:rFonts w:ascii="Arial" w:cs="Arial" w:eastAsia="Arial" w:hAnsi="Arial"/>
          <w:sz w:val="21"/>
          <w:szCs w:val="21"/>
          <w:b w:val="1"/>
          <w:bCs w:val="1"/>
          <w:color w:val="auto"/>
        </w:rPr>
      </w:pPr>
      <w:r>
        <w:rPr>
          <w:rFonts w:ascii="Arial" w:cs="Arial" w:eastAsia="Arial" w:hAnsi="Arial"/>
          <w:sz w:val="21"/>
          <w:szCs w:val="21"/>
          <w:b w:val="1"/>
          <w:bCs w:val="1"/>
          <w:color w:val="auto"/>
        </w:rPr>
        <w:t>GRANT DATE</w:t>
      </w:r>
    </w:p>
    <w:p>
      <w:pPr>
        <w:spacing w:after="0" w:line="250"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The Grant Date is ______________.</w:t>
      </w:r>
    </w:p>
    <w:p>
      <w:pPr>
        <w:spacing w:after="0" w:line="238" w:lineRule="exact"/>
        <w:rPr>
          <w:rFonts w:ascii="Arial" w:cs="Arial" w:eastAsia="Arial" w:hAnsi="Arial"/>
          <w:sz w:val="21"/>
          <w:szCs w:val="21"/>
          <w:b w:val="1"/>
          <w:bCs w:val="1"/>
          <w:color w:val="auto"/>
        </w:rPr>
      </w:pPr>
    </w:p>
    <w:p>
      <w:pPr>
        <w:ind w:left="880" w:hanging="872"/>
        <w:spacing w:after="0"/>
        <w:tabs>
          <w:tab w:leader="none" w:pos="880" w:val="left"/>
        </w:tabs>
        <w:numPr>
          <w:ilvl w:val="0"/>
          <w:numId w:val="42"/>
        </w:numPr>
        <w:rPr>
          <w:rFonts w:ascii="Arial" w:cs="Arial" w:eastAsia="Arial" w:hAnsi="Arial"/>
          <w:sz w:val="21"/>
          <w:szCs w:val="21"/>
          <w:b w:val="1"/>
          <w:bCs w:val="1"/>
          <w:color w:val="auto"/>
        </w:rPr>
      </w:pPr>
      <w:r>
        <w:rPr>
          <w:rFonts w:ascii="Arial" w:cs="Arial" w:eastAsia="Arial" w:hAnsi="Arial"/>
          <w:sz w:val="21"/>
          <w:szCs w:val="21"/>
          <w:b w:val="1"/>
          <w:bCs w:val="1"/>
          <w:color w:val="auto"/>
        </w:rPr>
        <w:t>RESTRICTION PERIOD AND PERFORMANCE REQUIREMENT</w:t>
      </w:r>
    </w:p>
    <w:p>
      <w:pPr>
        <w:spacing w:after="0" w:line="251" w:lineRule="exact"/>
        <w:rPr>
          <w:sz w:val="20"/>
          <w:szCs w:val="20"/>
          <w:color w:val="auto"/>
        </w:rPr>
      </w:pPr>
    </w:p>
    <w:p>
      <w:pPr>
        <w:ind w:right="20" w:firstLine="877"/>
        <w:spacing w:after="0" w:line="264" w:lineRule="auto"/>
        <w:rPr>
          <w:sz w:val="20"/>
          <w:szCs w:val="20"/>
          <w:color w:val="auto"/>
        </w:rPr>
      </w:pPr>
      <w:r>
        <w:rPr>
          <w:rFonts w:ascii="Arial" w:cs="Arial" w:eastAsia="Arial" w:hAnsi="Arial"/>
          <w:sz w:val="21"/>
          <w:szCs w:val="21"/>
          <w:color w:val="auto"/>
        </w:rPr>
        <w:t>Subject to the terms and conditions hereof and of the Plan, the restriction period begins on the Grant Date and ends on the following schedule (each such date, the “</w:t>
      </w:r>
      <w:r>
        <w:rPr>
          <w:rFonts w:ascii="Arial" w:cs="Arial" w:eastAsia="Arial" w:hAnsi="Arial"/>
          <w:sz w:val="21"/>
          <w:szCs w:val="21"/>
          <w:b w:val="1"/>
          <w:bCs w:val="1"/>
          <w:color w:val="auto"/>
        </w:rPr>
        <w:t>Vesting Date</w:t>
      </w:r>
      <w:r>
        <w:rPr>
          <w:rFonts w:ascii="Arial" w:cs="Arial" w:eastAsia="Arial" w:hAnsi="Arial"/>
          <w:sz w:val="21"/>
          <w:szCs w:val="21"/>
          <w:color w:val="auto"/>
        </w:rPr>
        <w:t>” and such period, the “</w:t>
      </w:r>
      <w:r>
        <w:rPr>
          <w:rFonts w:ascii="Arial" w:cs="Arial" w:eastAsia="Arial" w:hAnsi="Arial"/>
          <w:sz w:val="21"/>
          <w:szCs w:val="21"/>
          <w:b w:val="1"/>
          <w:bCs w:val="1"/>
          <w:color w:val="auto"/>
        </w:rPr>
        <w:t>Restriction Period</w:t>
      </w:r>
      <w:r>
        <w:rPr>
          <w:rFonts w:ascii="Arial" w:cs="Arial" w:eastAsia="Arial" w:hAnsi="Arial"/>
          <w:sz w:val="21"/>
          <w:szCs w:val="21"/>
          <w:color w:val="auto"/>
        </w:rPr>
        <w:t>”):</w:t>
      </w:r>
    </w:p>
    <w:p>
      <w:pPr>
        <w:spacing w:after="0" w:line="191" w:lineRule="exact"/>
        <w:rPr>
          <w:sz w:val="20"/>
          <w:szCs w:val="20"/>
          <w:color w:val="auto"/>
        </w:rPr>
      </w:pPr>
    </w:p>
    <w:tbl>
      <w:tblPr>
        <w:tblLayout w:type="fixed"/>
        <w:tblInd w:w="1810" w:type="dxa"/>
        <w:tblCellMar>
          <w:top w:w="0" w:type="dxa"/>
          <w:left w:w="0" w:type="dxa"/>
          <w:bottom w:w="0" w:type="dxa"/>
          <w:right w:w="0" w:type="dxa"/>
        </w:tblCellMar>
      </w:tblPr>
      <w:tr>
        <w:trPr>
          <w:trHeight w:val="281"/>
        </w:trPr>
        <w:tc>
          <w:tcPr>
            <w:tcW w:w="3920" w:type="dxa"/>
            <w:vAlign w:val="bottom"/>
            <w:tcBorders>
              <w:top w:val="single" w:sz="8" w:color="auto"/>
              <w:left w:val="single" w:sz="8" w:color="auto"/>
              <w:bottom w:val="single" w:sz="8" w:color="auto"/>
              <w:right w:val="single" w:sz="8" w:color="auto"/>
            </w:tcBorders>
          </w:tcPr>
          <w:p>
            <w:pPr>
              <w:jc w:val="right"/>
              <w:ind w:right="1136"/>
              <w:spacing w:after="0"/>
              <w:rPr>
                <w:sz w:val="20"/>
                <w:szCs w:val="20"/>
                <w:color w:val="auto"/>
              </w:rPr>
            </w:pPr>
            <w:r>
              <w:rPr>
                <w:rFonts w:ascii="Arial" w:cs="Arial" w:eastAsia="Arial" w:hAnsi="Arial"/>
                <w:sz w:val="21"/>
                <w:szCs w:val="21"/>
                <w:color w:val="auto"/>
              </w:rPr>
              <w:t>VESTING DATE</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4"/>
              </w:rPr>
              <w:t>NUMBER OF SHARES THAT VEST</w:t>
            </w:r>
          </w:p>
        </w:tc>
      </w:tr>
      <w:tr>
        <w:trPr>
          <w:trHeight w:val="264"/>
        </w:trPr>
        <w:tc>
          <w:tcPr>
            <w:tcW w:w="3920" w:type="dxa"/>
            <w:vAlign w:val="bottom"/>
            <w:tcBorders>
              <w:left w:val="single" w:sz="8" w:color="auto"/>
              <w:bottom w:val="single" w:sz="8" w:color="auto"/>
              <w:right w:val="single" w:sz="8" w:color="auto"/>
            </w:tcBorders>
          </w:tcPr>
          <w:p>
            <w:pPr>
              <w:jc w:val="right"/>
              <w:ind w:right="2456"/>
              <w:spacing w:after="0"/>
              <w:rPr>
                <w:sz w:val="20"/>
                <w:szCs w:val="20"/>
                <w:color w:val="auto"/>
              </w:rPr>
            </w:pPr>
            <w:r>
              <w:rPr>
                <w:rFonts w:ascii="Arial" w:cs="Arial" w:eastAsia="Arial" w:hAnsi="Arial"/>
                <w:sz w:val="21"/>
                <w:szCs w:val="21"/>
                <w:color w:val="auto"/>
                <w:w w:val="88"/>
              </w:rPr>
              <w:t>_____________</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[1/3 of shares]</w:t>
            </w:r>
          </w:p>
        </w:tc>
      </w:tr>
      <w:tr>
        <w:trPr>
          <w:trHeight w:val="264"/>
        </w:trPr>
        <w:tc>
          <w:tcPr>
            <w:tcW w:w="3920" w:type="dxa"/>
            <w:vAlign w:val="bottom"/>
            <w:tcBorders>
              <w:left w:val="single" w:sz="8" w:color="auto"/>
              <w:bottom w:val="single" w:sz="8" w:color="auto"/>
              <w:right w:val="single" w:sz="8" w:color="auto"/>
            </w:tcBorders>
          </w:tcPr>
          <w:p>
            <w:pPr>
              <w:jc w:val="right"/>
              <w:ind w:right="2456"/>
              <w:spacing w:after="0"/>
              <w:rPr>
                <w:sz w:val="20"/>
                <w:szCs w:val="20"/>
                <w:color w:val="auto"/>
              </w:rPr>
            </w:pPr>
            <w:r>
              <w:rPr>
                <w:rFonts w:ascii="Arial" w:cs="Arial" w:eastAsia="Arial" w:hAnsi="Arial"/>
                <w:sz w:val="21"/>
                <w:szCs w:val="21"/>
                <w:color w:val="auto"/>
                <w:w w:val="88"/>
              </w:rPr>
              <w:t>_____________</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[1/3 of shares]</w:t>
            </w:r>
          </w:p>
        </w:tc>
      </w:tr>
      <w:tr>
        <w:trPr>
          <w:trHeight w:val="264"/>
        </w:trPr>
        <w:tc>
          <w:tcPr>
            <w:tcW w:w="3920" w:type="dxa"/>
            <w:vAlign w:val="bottom"/>
            <w:tcBorders>
              <w:left w:val="single" w:sz="8" w:color="auto"/>
              <w:bottom w:val="single" w:sz="8" w:color="auto"/>
              <w:right w:val="single" w:sz="8" w:color="auto"/>
            </w:tcBorders>
          </w:tcPr>
          <w:p>
            <w:pPr>
              <w:jc w:val="right"/>
              <w:ind w:right="2456"/>
              <w:spacing w:after="0"/>
              <w:rPr>
                <w:sz w:val="20"/>
                <w:szCs w:val="20"/>
                <w:color w:val="auto"/>
              </w:rPr>
            </w:pPr>
            <w:r>
              <w:rPr>
                <w:rFonts w:ascii="Arial" w:cs="Arial" w:eastAsia="Arial" w:hAnsi="Arial"/>
                <w:sz w:val="21"/>
                <w:szCs w:val="21"/>
                <w:color w:val="auto"/>
                <w:w w:val="88"/>
              </w:rPr>
              <w:t>_____________</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[1/3 of shares]</w:t>
            </w:r>
          </w:p>
        </w:tc>
      </w:tr>
    </w:tbl>
    <w:p>
      <w:pPr>
        <w:spacing w:after="0" w:line="230" w:lineRule="exact"/>
        <w:rPr>
          <w:sz w:val="20"/>
          <w:szCs w:val="20"/>
          <w:color w:val="auto"/>
        </w:rPr>
      </w:pPr>
    </w:p>
    <w:p>
      <w:pPr>
        <w:spacing w:after="0"/>
        <w:tabs>
          <w:tab w:leader="none" w:pos="7760" w:val="left"/>
        </w:tabs>
        <w:rPr>
          <w:sz w:val="20"/>
          <w:szCs w:val="20"/>
          <w:color w:val="auto"/>
        </w:rPr>
      </w:pPr>
      <w:r>
        <w:rPr>
          <w:rFonts w:ascii="Arial" w:cs="Arial" w:eastAsia="Arial" w:hAnsi="Arial"/>
          <w:sz w:val="19"/>
          <w:szCs w:val="19"/>
          <w:color w:val="auto"/>
        </w:rPr>
        <w:t>provided, that, the vesting of the Restricted Stock Units awarded hereunder are subject to [</w:t>
      </w:r>
      <w:r>
        <w:rPr>
          <w:sz w:val="20"/>
          <w:szCs w:val="20"/>
          <w:color w:val="auto"/>
        </w:rPr>
        <w:tab/>
      </w:r>
      <w:r>
        <w:rPr>
          <w:rFonts w:ascii="Arial" w:cs="Arial" w:eastAsia="Arial" w:hAnsi="Arial"/>
          <w:sz w:val="21"/>
          <w:szCs w:val="21"/>
          <w:color w:val="auto"/>
        </w:rPr>
        <w:t>].</w:t>
      </w:r>
    </w:p>
    <w:p>
      <w:pPr>
        <w:spacing w:after="0" w:line="239" w:lineRule="exact"/>
        <w:rPr>
          <w:sz w:val="20"/>
          <w:szCs w:val="20"/>
          <w:color w:val="auto"/>
        </w:rPr>
      </w:pPr>
    </w:p>
    <w:p>
      <w:pPr>
        <w:ind w:left="880" w:hanging="872"/>
        <w:spacing w:after="0"/>
        <w:tabs>
          <w:tab w:leader="none" w:pos="880" w:val="left"/>
        </w:tabs>
        <w:numPr>
          <w:ilvl w:val="0"/>
          <w:numId w:val="43"/>
        </w:numPr>
        <w:rPr>
          <w:rFonts w:ascii="Arial" w:cs="Arial" w:eastAsia="Arial" w:hAnsi="Arial"/>
          <w:sz w:val="21"/>
          <w:szCs w:val="21"/>
          <w:b w:val="1"/>
          <w:bCs w:val="1"/>
          <w:color w:val="auto"/>
        </w:rPr>
      </w:pPr>
      <w:r>
        <w:rPr>
          <w:rFonts w:ascii="Arial" w:cs="Arial" w:eastAsia="Arial" w:hAnsi="Arial"/>
          <w:sz w:val="21"/>
          <w:szCs w:val="21"/>
          <w:b w:val="1"/>
          <w:bCs w:val="1"/>
          <w:color w:val="auto"/>
        </w:rPr>
        <w:t>AWARD PAYOUT</w:t>
      </w:r>
    </w:p>
    <w:p>
      <w:pPr>
        <w:spacing w:after="0" w:line="251" w:lineRule="exact"/>
        <w:rPr>
          <w:sz w:val="20"/>
          <w:szCs w:val="20"/>
          <w:color w:val="auto"/>
        </w:rPr>
      </w:pPr>
    </w:p>
    <w:p>
      <w:pPr>
        <w:jc w:val="both"/>
        <w:ind w:firstLine="877"/>
        <w:spacing w:after="0" w:line="283" w:lineRule="auto"/>
        <w:rPr>
          <w:sz w:val="20"/>
          <w:szCs w:val="20"/>
          <w:color w:val="auto"/>
        </w:rPr>
      </w:pPr>
      <w:r>
        <w:rPr>
          <w:rFonts w:ascii="Arial" w:cs="Arial" w:eastAsia="Arial" w:hAnsi="Arial"/>
          <w:sz w:val="19"/>
          <w:szCs w:val="19"/>
          <w:color w:val="auto"/>
        </w:rPr>
        <w:t>Unless forfeited or converted and paid earlier as provided in Section 7 or Section 9 below, the Restricted Stock Units granted hereunder will vest (“</w:t>
      </w:r>
      <w:r>
        <w:rPr>
          <w:rFonts w:ascii="Arial" w:cs="Arial" w:eastAsia="Arial" w:hAnsi="Arial"/>
          <w:sz w:val="19"/>
          <w:szCs w:val="19"/>
          <w:b w:val="1"/>
          <w:bCs w:val="1"/>
          <w:color w:val="auto"/>
        </w:rPr>
        <w:t>Vest</w:t>
      </w:r>
      <w:r>
        <w:rPr>
          <w:rFonts w:ascii="Arial" w:cs="Arial" w:eastAsia="Arial" w:hAnsi="Arial"/>
          <w:sz w:val="19"/>
          <w:szCs w:val="19"/>
          <w:color w:val="auto"/>
        </w:rPr>
        <w:t>”) and be converted into shares of Stock and delivered to the Employee as soon as practicable following the Vesting Date (but in no event later than 60 days following the Vesting Date) provided that the Employee is employed by the Company on the Vesting Date. The vesting and conversion from Units to Stock will be one Unit for one share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ind w:left="880" w:hanging="872"/>
        <w:spacing w:after="0"/>
        <w:tabs>
          <w:tab w:leader="none" w:pos="880"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color w:val="auto"/>
        </w:rPr>
        <w:t>DIVIDEND EQUIVALENTS</w:t>
      </w:r>
    </w:p>
    <w:p>
      <w:pPr>
        <w:spacing w:after="0" w:line="251" w:lineRule="exact"/>
        <w:rPr>
          <w:sz w:val="20"/>
          <w:szCs w:val="20"/>
          <w:color w:val="auto"/>
        </w:rPr>
      </w:pPr>
    </w:p>
    <w:p>
      <w:pPr>
        <w:jc w:val="both"/>
        <w:ind w:firstLine="877"/>
        <w:spacing w:after="0" w:line="283" w:lineRule="auto"/>
        <w:rPr>
          <w:sz w:val="20"/>
          <w:szCs w:val="20"/>
          <w:color w:val="auto"/>
        </w:rPr>
      </w:pPr>
      <w:r>
        <w:rPr>
          <w:rFonts w:ascii="Arial" w:cs="Arial" w:eastAsia="Arial" w:hAnsi="Arial"/>
          <w:sz w:val="19"/>
          <w:szCs w:val="19"/>
          <w:color w:val="auto"/>
        </w:rPr>
        <w:t>On the date that the Awards Vest, dividend equivalents will be credited to the Employee in an amount equal to the aggregate amount of dividends paid on a share of Stock during the Restriction Period multiplied by the number of Restricted Stock Units. The dividend equivalent amounts shall be paid in cash as soon as practicable following the Vesting Date from the general assets of the Company and shall be treated and reported as additional compensation for the year in which payment is made.</w:t>
      </w:r>
    </w:p>
    <w:p>
      <w:pPr>
        <w:spacing w:after="0" w:line="179" w:lineRule="exact"/>
        <w:rPr>
          <w:sz w:val="20"/>
          <w:szCs w:val="20"/>
          <w:color w:val="auto"/>
        </w:rPr>
      </w:pPr>
    </w:p>
    <w:p>
      <w:pPr>
        <w:ind w:left="880" w:hanging="872"/>
        <w:spacing w:after="0"/>
        <w:tabs>
          <w:tab w:leader="none" w:pos="880" w:val="left"/>
        </w:tabs>
        <w:numPr>
          <w:ilvl w:val="0"/>
          <w:numId w:val="45"/>
        </w:numPr>
        <w:rPr>
          <w:rFonts w:ascii="Arial" w:cs="Arial" w:eastAsia="Arial" w:hAnsi="Arial"/>
          <w:sz w:val="21"/>
          <w:szCs w:val="21"/>
          <w:b w:val="1"/>
          <w:bCs w:val="1"/>
          <w:color w:val="auto"/>
        </w:rPr>
      </w:pPr>
      <w:r>
        <w:rPr>
          <w:rFonts w:ascii="Arial" w:cs="Arial" w:eastAsia="Arial" w:hAnsi="Arial"/>
          <w:sz w:val="21"/>
          <w:szCs w:val="21"/>
          <w:b w:val="1"/>
          <w:bCs w:val="1"/>
          <w:color w:val="auto"/>
        </w:rPr>
        <w:t>TRANSFERABLE ONLY UPON DEATH</w:t>
      </w:r>
    </w:p>
    <w:p>
      <w:pPr>
        <w:spacing w:after="0" w:line="251" w:lineRule="exact"/>
        <w:rPr>
          <w:sz w:val="20"/>
          <w:szCs w:val="20"/>
          <w:color w:val="auto"/>
        </w:rPr>
      </w:pPr>
    </w:p>
    <w:p>
      <w:pPr>
        <w:ind w:right="20" w:firstLine="877"/>
        <w:spacing w:after="0" w:line="264" w:lineRule="auto"/>
        <w:rPr>
          <w:sz w:val="20"/>
          <w:szCs w:val="20"/>
          <w:color w:val="auto"/>
        </w:rPr>
      </w:pPr>
      <w:r>
        <w:rPr>
          <w:rFonts w:ascii="Arial" w:cs="Arial" w:eastAsia="Arial" w:hAnsi="Arial"/>
          <w:sz w:val="21"/>
          <w:szCs w:val="21"/>
          <w:color w:val="auto"/>
        </w:rPr>
        <w:t>This Restricted Stock Unit grant shall not be assignable or transferable by the Employee except by will or the laws of descent and distribution.</w:t>
      </w:r>
    </w:p>
    <w:p>
      <w:pPr>
        <w:spacing w:after="0" w:line="192" w:lineRule="exact"/>
        <w:rPr>
          <w:sz w:val="20"/>
          <w:szCs w:val="20"/>
          <w:color w:val="auto"/>
        </w:rPr>
      </w:pPr>
    </w:p>
    <w:p>
      <w:pPr>
        <w:ind w:left="880" w:hanging="872"/>
        <w:spacing w:after="0"/>
        <w:tabs>
          <w:tab w:leader="none" w:pos="880"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color w:val="auto"/>
        </w:rPr>
        <w:t>TERMINATION, RETIREMENT, DISABILITY OR DEATH</w:t>
      </w:r>
    </w:p>
    <w:p>
      <w:pPr>
        <w:spacing w:after="0" w:line="250" w:lineRule="exact"/>
        <w:rPr>
          <w:rFonts w:ascii="Arial" w:cs="Arial" w:eastAsia="Arial" w:hAnsi="Arial"/>
          <w:sz w:val="21"/>
          <w:szCs w:val="21"/>
          <w:b w:val="1"/>
          <w:bCs w:val="1"/>
          <w:color w:val="auto"/>
        </w:rPr>
      </w:pPr>
    </w:p>
    <w:p>
      <w:pPr>
        <w:jc w:val="both"/>
        <w:ind w:left="1740" w:hanging="868"/>
        <w:spacing w:after="0" w:line="249" w:lineRule="auto"/>
        <w:tabs>
          <w:tab w:leader="none" w:pos="1740" w:val="left"/>
        </w:tabs>
        <w:numPr>
          <w:ilvl w:val="1"/>
          <w:numId w:val="46"/>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If the Employee’s employment with the Company is terminated prior to the Vesting Date for any reason other than on account of death, Disability or Retirement (in each case, as defined below), whether by the Employee or by the Company, and in the latter case whether with or without cause, then the Units will be forfeited upon such termination.</w:t>
      </w:r>
    </w:p>
    <w:p>
      <w:pPr>
        <w:spacing w:after="0" w:line="213" w:lineRule="exact"/>
        <w:rPr>
          <w:rFonts w:ascii="Arial" w:cs="Arial" w:eastAsia="Arial" w:hAnsi="Arial"/>
          <w:sz w:val="21"/>
          <w:szCs w:val="21"/>
          <w:color w:val="auto"/>
        </w:rPr>
      </w:pPr>
    </w:p>
    <w:p>
      <w:pPr>
        <w:jc w:val="both"/>
        <w:ind w:left="1740" w:hanging="868"/>
        <w:spacing w:after="0" w:line="270" w:lineRule="auto"/>
        <w:tabs>
          <w:tab w:leader="none" w:pos="1740"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Retirement or Disability</w:t>
      </w:r>
      <w:r>
        <w:rPr>
          <w:rFonts w:ascii="Arial" w:cs="Arial" w:eastAsia="Arial" w:hAnsi="Arial"/>
          <w:sz w:val="19"/>
          <w:szCs w:val="19"/>
          <w:color w:val="auto"/>
        </w:rPr>
        <w:t>. If the Employee’s employment with the Company is terminated prior to the Vesting Date upon Retirement (as defined below) or as the result of a disability under circumstances entitling the Employee to the commencement of benefits under a long-term disability plan maintained by the Company (“</w:t>
      </w:r>
      <w:r>
        <w:rPr>
          <w:rFonts w:ascii="Arial" w:cs="Arial" w:eastAsia="Arial" w:hAnsi="Arial"/>
          <w:sz w:val="19"/>
          <w:szCs w:val="19"/>
          <w:b w:val="1"/>
          <w:bCs w:val="1"/>
          <w:color w:val="auto"/>
        </w:rPr>
        <w:t>Disability</w:t>
      </w:r>
      <w:r>
        <w:rPr>
          <w:rFonts w:ascii="Arial" w:cs="Arial" w:eastAsia="Arial" w:hAnsi="Arial"/>
          <w:sz w:val="19"/>
          <w:szCs w:val="19"/>
          <w:color w:val="auto"/>
        </w:rPr>
        <w:t>”), then the terms of all outstanding Units shall be unaffected by such Retirement or Disability once the Performance Requirement in Section 3 above is satisfied; provided, however, that if the Performance Requirement is not satisfied, then the Units will be forfeited upon such termination In the case of the Employee’s termination on account of Retirement or Disability, if the Vesting Date occurs following such termination but before the date which is six months following such termination, to the extent compliance with the requirements of Treas. Reg. § 1.409A-3(i)(2) (or any successor provision) is necessary to avoid the application of an additional tax under Section 409A of the Internal Revenue Code of 1986, as amended (“Section 409A), the date shares of Stock are delivered pursuant to Section 4 shall be postponed until the date that is six months following such termination. “</w:t>
      </w:r>
      <w:r>
        <w:rPr>
          <w:rFonts w:ascii="Arial" w:cs="Arial" w:eastAsia="Arial" w:hAnsi="Arial"/>
          <w:sz w:val="19"/>
          <w:szCs w:val="19"/>
          <w:b w:val="1"/>
          <w:bCs w:val="1"/>
          <w:color w:val="auto"/>
        </w:rPr>
        <w:t>Retirement</w:t>
      </w:r>
      <w:r>
        <w:rPr>
          <w:rFonts w:ascii="Arial" w:cs="Arial" w:eastAsia="Arial" w:hAnsi="Arial"/>
          <w:sz w:val="19"/>
          <w:szCs w:val="19"/>
          <w:color w:val="auto"/>
        </w:rPr>
        <w:t>” is defined as termination of employment with the Company after reaching age 62 under circumstances that qualify for normal retirement in accordance with the Martin Marietta Materials, Inc. Pension Plan; provided, that, the Committee may in its sole discretion classify an Employee’s termination of employment as Retirement under other circumstances.</w:t>
      </w:r>
    </w:p>
    <w:p>
      <w:pPr>
        <w:spacing w:after="0" w:line="205" w:lineRule="exact"/>
        <w:rPr>
          <w:rFonts w:ascii="Arial" w:cs="Arial" w:eastAsia="Arial" w:hAnsi="Arial"/>
          <w:sz w:val="19"/>
          <w:szCs w:val="19"/>
          <w:color w:val="auto"/>
        </w:rPr>
      </w:pPr>
    </w:p>
    <w:p>
      <w:pPr>
        <w:jc w:val="both"/>
        <w:ind w:left="1740" w:right="20" w:hanging="868"/>
        <w:spacing w:after="0" w:line="253" w:lineRule="auto"/>
        <w:tabs>
          <w:tab w:leader="none" w:pos="1740" w:val="left"/>
        </w:tabs>
        <w:numPr>
          <w:ilvl w:val="1"/>
          <w:numId w:val="46"/>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If, prior to the Vesting Date, the Employee dies while employed by the Company or after termination by reason of Retirement or Disability, then the Restriction Period shall lapse and the Vesting Period shall be accelerated and all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53" w:name="page54"/>
    <w:bookmarkEnd w:id="53"/>
    <w:p>
      <w:pPr>
        <w:ind w:left="1740"/>
        <w:spacing w:after="0"/>
        <w:rPr>
          <w:sz w:val="20"/>
          <w:szCs w:val="20"/>
          <w:color w:val="auto"/>
        </w:rPr>
      </w:pPr>
      <w:r>
        <w:rPr>
          <w:rFonts w:ascii="Arial" w:cs="Arial" w:eastAsia="Arial" w:hAnsi="Arial"/>
          <w:sz w:val="19"/>
          <w:szCs w:val="19"/>
          <w:color w:val="auto"/>
        </w:rPr>
        <w:t>outstanding Units shall be converted into shares of Stock and delivered to the Employee’s estate or beneficiary.</w:t>
      </w:r>
    </w:p>
    <w:p>
      <w:pPr>
        <w:spacing w:after="0" w:line="268" w:lineRule="exact"/>
        <w:rPr>
          <w:sz w:val="20"/>
          <w:szCs w:val="20"/>
          <w:color w:val="auto"/>
        </w:rPr>
      </w:pPr>
    </w:p>
    <w:p>
      <w:pPr>
        <w:jc w:val="both"/>
        <w:ind w:left="1740" w:hanging="868"/>
        <w:spacing w:after="0" w:line="292" w:lineRule="auto"/>
        <w:tabs>
          <w:tab w:leader="none" w:pos="1740"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Committee Negative Discretion</w:t>
      </w:r>
      <w:r>
        <w:rPr>
          <w:rFonts w:ascii="Arial" w:cs="Arial" w:eastAsia="Arial" w:hAnsi="Arial"/>
          <w:sz w:val="19"/>
          <w:szCs w:val="19"/>
          <w:color w:val="auto"/>
        </w:rPr>
        <w:t>. Prior to the date on which the Restricted Stock Units are distributed hereunder, the Committee may in its sole discretion decide to reduce or eliminate any amount otherwise payable with respect to Units under this Section 7. The Committee’s determinations shall be binding and conclusive on all parties.</w:t>
      </w:r>
    </w:p>
    <w:p>
      <w:pPr>
        <w:spacing w:after="0" w:line="168" w:lineRule="exact"/>
        <w:rPr>
          <w:rFonts w:ascii="Arial" w:cs="Arial" w:eastAsia="Arial" w:hAnsi="Arial"/>
          <w:sz w:val="19"/>
          <w:szCs w:val="19"/>
          <w:color w:val="auto"/>
        </w:rPr>
      </w:pPr>
    </w:p>
    <w:p>
      <w:pPr>
        <w:ind w:left="880" w:hanging="872"/>
        <w:spacing w:after="0"/>
        <w:tabs>
          <w:tab w:leader="none" w:pos="880" w:val="left"/>
        </w:tabs>
        <w:numPr>
          <w:ilvl w:val="0"/>
          <w:numId w:val="48"/>
        </w:numPr>
        <w:rPr>
          <w:rFonts w:ascii="Arial" w:cs="Arial" w:eastAsia="Arial" w:hAnsi="Arial"/>
          <w:sz w:val="21"/>
          <w:szCs w:val="21"/>
          <w:b w:val="1"/>
          <w:bCs w:val="1"/>
          <w:color w:val="auto"/>
        </w:rPr>
      </w:pPr>
      <w:r>
        <w:rPr>
          <w:rFonts w:ascii="Arial" w:cs="Arial" w:eastAsia="Arial" w:hAnsi="Arial"/>
          <w:sz w:val="21"/>
          <w:szCs w:val="21"/>
          <w:b w:val="1"/>
          <w:bCs w:val="1"/>
          <w:color w:val="auto"/>
        </w:rPr>
        <w:t>TAX WITHHOLDING</w:t>
      </w:r>
    </w:p>
    <w:p>
      <w:pPr>
        <w:spacing w:after="0" w:line="250"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19"/>
          <w:szCs w:val="19"/>
          <w:color w:val="auto"/>
        </w:rPr>
        <w:t>At the time Units are converted into shares of Stock and delivered to the Employee, the Employee will recognize ordinary</w:t>
      </w:r>
    </w:p>
    <w:p>
      <w:pPr>
        <w:spacing w:after="0" w:line="43"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income based on the value of the Stock payable in accordance with Section 4. The Company shall withhold applicable taxes as required by law at the time of such Vesting by deducting shares of Stock from the payment to satisfy the obligation prior to the delivery of the certificates for shares of Stock. Withholding will be at the minimum rates prescribed by law; therefore, the Employee may owe additional taxes as a result of the distribution. The Employee may not request tax to be withheld at greater than the minimum rate. If the Employee terminates employment on account of Disability or Retirement and the Units are not forfeited, the Company may require the Employee to pay to the Company or withhold from the Employee’s compensation, by canceling Units or otherwise, an amount equal to satisfy the obligation to withhold federal employment taxes as required by law.</w:t>
      </w:r>
    </w:p>
    <w:p>
      <w:pPr>
        <w:spacing w:after="0" w:line="204" w:lineRule="exact"/>
        <w:rPr>
          <w:sz w:val="20"/>
          <w:szCs w:val="20"/>
          <w:color w:val="auto"/>
        </w:rPr>
      </w:pPr>
    </w:p>
    <w:p>
      <w:pPr>
        <w:ind w:left="880" w:hanging="872"/>
        <w:spacing w:after="0"/>
        <w:tabs>
          <w:tab w:leader="none" w:pos="880" w:val="left"/>
        </w:tabs>
        <w:numPr>
          <w:ilvl w:val="0"/>
          <w:numId w:val="49"/>
        </w:numPr>
        <w:rPr>
          <w:rFonts w:ascii="Arial" w:cs="Arial" w:eastAsia="Arial" w:hAnsi="Arial"/>
          <w:sz w:val="21"/>
          <w:szCs w:val="21"/>
          <w:b w:val="1"/>
          <w:bCs w:val="1"/>
          <w:color w:val="auto"/>
        </w:rPr>
      </w:pPr>
      <w:r>
        <w:rPr>
          <w:rFonts w:ascii="Arial" w:cs="Arial" w:eastAsia="Arial" w:hAnsi="Arial"/>
          <w:sz w:val="21"/>
          <w:szCs w:val="21"/>
          <w:b w:val="1"/>
          <w:bCs w:val="1"/>
          <w:color w:val="auto"/>
        </w:rPr>
        <w:t>CHANGE IN CONTROL</w:t>
      </w:r>
    </w:p>
    <w:p>
      <w:pPr>
        <w:spacing w:after="0" w:line="251"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1"/>
          <w:szCs w:val="21"/>
          <w:color w:val="auto"/>
        </w:rPr>
        <w:t>In the event of a Change in Control, to the extent that the successor or surviving company in the Change of Control event does not assume or substitute for the RSUs (or in which the Company is the ultimate parent corporation and does not continue the RSUs) on substantially similar terms or with substantially equivalent economic benefits (as determined by the Committee prior to the Change of Control) as Awards outstanding under the Plan immediately prior to the Change of Control event, the Restriction Period of all outstanding Units shall lapse and:</w:t>
      </w:r>
    </w:p>
    <w:p>
      <w:pPr>
        <w:spacing w:after="0" w:line="216" w:lineRule="exact"/>
        <w:rPr>
          <w:sz w:val="20"/>
          <w:szCs w:val="20"/>
          <w:color w:val="auto"/>
        </w:rPr>
      </w:pPr>
    </w:p>
    <w:p>
      <w:pPr>
        <w:jc w:val="both"/>
        <w:ind w:left="1740" w:hanging="868"/>
        <w:spacing w:after="0" w:line="283" w:lineRule="auto"/>
        <w:tabs>
          <w:tab w:leader="none" w:pos="17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if such Change in Control is a “change in the ownership or effective control” of the Company, or “in the ownership of a substantial portion of the assets of” the Company within the meaning of Section 409A(a)(2)(A)(v) of the Code, then, the Vesting Date shall be accelerated, all outstanding Units shall convert to shares of Stock and such shares will be distributed no later than 15 days following the date of such Change in Control; or</w:t>
      </w:r>
    </w:p>
    <w:p>
      <w:pPr>
        <w:spacing w:after="0" w:line="184" w:lineRule="exact"/>
        <w:rPr>
          <w:rFonts w:ascii="Arial" w:cs="Arial" w:eastAsia="Arial" w:hAnsi="Arial"/>
          <w:sz w:val="19"/>
          <w:szCs w:val="19"/>
          <w:color w:val="auto"/>
        </w:rPr>
      </w:pPr>
    </w:p>
    <w:p>
      <w:pPr>
        <w:jc w:val="both"/>
        <w:ind w:left="1740" w:hanging="868"/>
        <w:spacing w:after="0" w:line="277" w:lineRule="auto"/>
        <w:tabs>
          <w:tab w:leader="none" w:pos="17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if such Change in Control is not a “change in the ownership or effective control” of the Company, or “in the ownership of a substantial portion of the assets of” the Company within the meaning of Section 409A(a)(2)(A)(v) of the Code, then, all outstanding Units shall vest and cease to be forfeitable (but the date shares of Stock are delivered pursuant to Section 4 shall not be accelerated) and all outstanding Units shall convert to shares of Stock and be distributed no later than 15 days following the regularly scheduled Vesting Date, without regard to the Employee’s employment status (or changes thereto) following such Change in Control.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4" w:name="page55"/>
    <w:bookmarkEnd w:id="54"/>
    <w:p>
      <w:pPr>
        <w:ind w:left="880" w:hanging="872"/>
        <w:spacing w:after="0"/>
        <w:tabs>
          <w:tab w:leader="none" w:pos="880" w:val="left"/>
        </w:tabs>
        <w:numPr>
          <w:ilvl w:val="0"/>
          <w:numId w:val="51"/>
        </w:numPr>
        <w:rPr>
          <w:rFonts w:ascii="Arial" w:cs="Arial" w:eastAsia="Arial" w:hAnsi="Arial"/>
          <w:sz w:val="21"/>
          <w:szCs w:val="21"/>
          <w:b w:val="1"/>
          <w:bCs w:val="1"/>
          <w:color w:val="auto"/>
        </w:rPr>
      </w:pPr>
      <w:r>
        <w:rPr>
          <w:rFonts w:ascii="Arial" w:cs="Arial" w:eastAsia="Arial" w:hAnsi="Arial"/>
          <w:sz w:val="21"/>
          <w:szCs w:val="21"/>
          <w:b w:val="1"/>
          <w:bCs w:val="1"/>
          <w:color w:val="auto"/>
        </w:rPr>
        <w:t>AMENDMENT AND TERMINATION OF PLAN OR AWARDS</w:t>
      </w:r>
    </w:p>
    <w:p>
      <w:pPr>
        <w:spacing w:after="0" w:line="251"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As provided in Section 7 of the Plan, subject to certain limitations contained within Section 7, the Board of Directors may at any time amend, suspend or discontinue the Plan and the Committee may at any time alter or amend all Award Agreements under the Plan. Notwithstanding Section 7 of the Plan, no such amendment, suspension or discontinuance of the Plan or alteration or amendment of this Award Agreement shall accelerate any distribution under the Plan or, except with the Employee’s express written consent, adversely affect any Restricted Stock Unit granted under this Award Agreement; provided, however, that the Board of Directors or the Committee may amend the Plan or this Award Agreement to the extent it deems appropriate to cause this Agreement or the Units hereunder to comply with Section 409A of the Code (“Section 409A”) (including the distribution requirements thereunder) or be exempt from Section 409A or the tax penalty under Section 409A(a)(1)(B). If the Plan and the Award Agreement are terminated in a manner consistent with the requirements of Treas. Reg. § 1.409A-3(j)(4)(ix), the Board of Directors may, in its sole discretion, accelerate the conversion of Units to shares of Stock and immediately distribute such shares of Stock to the Employee.</w:t>
      </w:r>
    </w:p>
    <w:p>
      <w:pPr>
        <w:spacing w:after="0" w:line="192" w:lineRule="exact"/>
        <w:rPr>
          <w:sz w:val="20"/>
          <w:szCs w:val="20"/>
          <w:color w:val="auto"/>
        </w:rPr>
      </w:pPr>
    </w:p>
    <w:p>
      <w:pPr>
        <w:ind w:left="880" w:hanging="872"/>
        <w:spacing w:after="0"/>
        <w:tabs>
          <w:tab w:leader="none" w:pos="880" w:val="left"/>
        </w:tabs>
        <w:numPr>
          <w:ilvl w:val="0"/>
          <w:numId w:val="52"/>
        </w:numPr>
        <w:rPr>
          <w:rFonts w:ascii="Arial" w:cs="Arial" w:eastAsia="Arial" w:hAnsi="Arial"/>
          <w:sz w:val="21"/>
          <w:szCs w:val="21"/>
          <w:b w:val="1"/>
          <w:bCs w:val="1"/>
          <w:color w:val="auto"/>
        </w:rPr>
      </w:pPr>
      <w:r>
        <w:rPr>
          <w:rFonts w:ascii="Arial" w:cs="Arial" w:eastAsia="Arial" w:hAnsi="Arial"/>
          <w:sz w:val="21"/>
          <w:szCs w:val="21"/>
          <w:b w:val="1"/>
          <w:bCs w:val="1"/>
          <w:color w:val="auto"/>
        </w:rPr>
        <w:t>EXECUTION OF AWARD AGREEMENT</w:t>
      </w:r>
    </w:p>
    <w:p>
      <w:pPr>
        <w:spacing w:after="0" w:line="251"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No Restricted Stock Unit granted under this Award Agreement is distributable nor is this Award Agreement enforceable until this Award Agreement has been fully executed by the Company and the Employee. By executing this Award Agreement, the Employee shall be deemed to have accepted and consented to any action taken under the Plan by the Committee, the Board of Directors or their delegates.</w:t>
      </w:r>
    </w:p>
    <w:p>
      <w:pPr>
        <w:spacing w:after="0" w:line="207" w:lineRule="exact"/>
        <w:rPr>
          <w:sz w:val="20"/>
          <w:szCs w:val="20"/>
          <w:color w:val="auto"/>
        </w:rPr>
      </w:pPr>
    </w:p>
    <w:p>
      <w:pPr>
        <w:ind w:left="880" w:hanging="872"/>
        <w:spacing w:after="0"/>
        <w:tabs>
          <w:tab w:leader="none" w:pos="880" w:val="left"/>
        </w:tabs>
        <w:numPr>
          <w:ilvl w:val="0"/>
          <w:numId w:val="53"/>
        </w:numPr>
        <w:rPr>
          <w:rFonts w:ascii="Arial" w:cs="Arial" w:eastAsia="Arial" w:hAnsi="Arial"/>
          <w:sz w:val="21"/>
          <w:szCs w:val="21"/>
          <w:b w:val="1"/>
          <w:bCs w:val="1"/>
          <w:color w:val="auto"/>
        </w:rPr>
      </w:pPr>
      <w:r>
        <w:rPr>
          <w:rFonts w:ascii="Arial" w:cs="Arial" w:eastAsia="Arial" w:hAnsi="Arial"/>
          <w:sz w:val="21"/>
          <w:szCs w:val="21"/>
          <w:b w:val="1"/>
          <w:bCs w:val="1"/>
          <w:color w:val="auto"/>
        </w:rPr>
        <w:t>MISCELLANEOUS</w:t>
      </w:r>
    </w:p>
    <w:p>
      <w:pPr>
        <w:spacing w:after="0" w:line="250" w:lineRule="exact"/>
        <w:rPr>
          <w:rFonts w:ascii="Arial" w:cs="Arial" w:eastAsia="Arial" w:hAnsi="Arial"/>
          <w:sz w:val="21"/>
          <w:szCs w:val="21"/>
          <w:b w:val="1"/>
          <w:bCs w:val="1"/>
          <w:color w:val="auto"/>
        </w:rPr>
      </w:pPr>
    </w:p>
    <w:p>
      <w:pPr>
        <w:jc w:val="both"/>
        <w:ind w:left="1760" w:hanging="739"/>
        <w:spacing w:after="0" w:line="247" w:lineRule="auto"/>
        <w:tabs>
          <w:tab w:leader="none" w:pos="1760" w:val="left"/>
        </w:tabs>
        <w:numPr>
          <w:ilvl w:val="1"/>
          <w:numId w:val="53"/>
        </w:numPr>
        <w:rPr>
          <w:rFonts w:ascii="Arial" w:cs="Arial" w:eastAsia="Arial" w:hAnsi="Arial"/>
          <w:sz w:val="21"/>
          <w:szCs w:val="21"/>
          <w:color w:val="auto"/>
        </w:rPr>
      </w:pPr>
      <w:r>
        <w:rPr>
          <w:rFonts w:ascii="Arial" w:cs="Arial" w:eastAsia="Arial" w:hAnsi="Arial"/>
          <w:sz w:val="21"/>
          <w:szCs w:val="21"/>
          <w:color w:val="auto"/>
        </w:rPr>
        <w:t>Nothing contained in the Award Agreement confers on the Employee the rights of a shareholder with respect to this Restricted Stock Unit award during the Restriction Period and before the Employee becomes the holder of record of the shares of Stock payable. Except as provided in Section 9 of the Plan, no adjustment will be made for dividends or other rights, and grants of dividend equivalents pursuant to Section 5 will not be considered to be a grant of any other shareholder right.</w:t>
      </w:r>
    </w:p>
    <w:p>
      <w:pPr>
        <w:spacing w:after="0" w:line="215" w:lineRule="exact"/>
        <w:rPr>
          <w:rFonts w:ascii="Arial" w:cs="Arial" w:eastAsia="Arial" w:hAnsi="Arial"/>
          <w:sz w:val="21"/>
          <w:szCs w:val="21"/>
          <w:color w:val="auto"/>
        </w:rPr>
      </w:pPr>
    </w:p>
    <w:p>
      <w:pPr>
        <w:ind w:left="1760" w:hanging="739"/>
        <w:spacing w:after="0" w:line="348" w:lineRule="auto"/>
        <w:tabs>
          <w:tab w:leader="none" w:pos="17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For purposes of this Award Agreement, the Employee will be considered to be in the employ of the Company during an approved leave of absence unless otherwise provided in an agreement between the Employee and the Company.</w:t>
      </w:r>
    </w:p>
    <w:p>
      <w:pPr>
        <w:spacing w:after="0" w:line="129" w:lineRule="exact"/>
        <w:rPr>
          <w:rFonts w:ascii="Arial" w:cs="Arial" w:eastAsia="Arial" w:hAnsi="Arial"/>
          <w:sz w:val="18"/>
          <w:szCs w:val="18"/>
          <w:color w:val="auto"/>
        </w:rPr>
      </w:pPr>
    </w:p>
    <w:p>
      <w:pPr>
        <w:jc w:val="both"/>
        <w:ind w:left="1760" w:hanging="739"/>
        <w:spacing w:after="0" w:line="253" w:lineRule="auto"/>
        <w:tabs>
          <w:tab w:leader="none" w:pos="1760" w:val="left"/>
        </w:tabs>
        <w:numPr>
          <w:ilvl w:val="1"/>
          <w:numId w:val="53"/>
        </w:numPr>
        <w:rPr>
          <w:rFonts w:ascii="Arial" w:cs="Arial" w:eastAsia="Arial" w:hAnsi="Arial"/>
          <w:sz w:val="21"/>
          <w:szCs w:val="21"/>
          <w:color w:val="auto"/>
        </w:rPr>
      </w:pPr>
      <w:r>
        <w:rPr>
          <w:rFonts w:ascii="Arial" w:cs="Arial" w:eastAsia="Arial" w:hAnsi="Arial"/>
          <w:sz w:val="21"/>
          <w:szCs w:val="21"/>
          <w:color w:val="auto"/>
        </w:rPr>
        <w:t>Nothing contained in this Award Agreement or in any Restricted Stock Unit granted hereunder shall confer upon any Employee any right of continued employment by the Company, express or implied, nor limit in any way the right of the Company to terminate the Employee’s employment at any time.</w:t>
      </w:r>
    </w:p>
    <w:p>
      <w:pPr>
        <w:spacing w:after="0" w:line="208" w:lineRule="exact"/>
        <w:rPr>
          <w:rFonts w:ascii="Arial" w:cs="Arial" w:eastAsia="Arial" w:hAnsi="Arial"/>
          <w:sz w:val="21"/>
          <w:szCs w:val="21"/>
          <w:color w:val="auto"/>
        </w:rPr>
      </w:pPr>
    </w:p>
    <w:p>
      <w:pPr>
        <w:ind w:left="1760" w:right="20" w:hanging="739"/>
        <w:spacing w:after="0" w:line="264" w:lineRule="auto"/>
        <w:tabs>
          <w:tab w:leader="none" w:pos="1760" w:val="left"/>
        </w:tabs>
        <w:numPr>
          <w:ilvl w:val="1"/>
          <w:numId w:val="53"/>
        </w:numPr>
        <w:rPr>
          <w:rFonts w:ascii="Arial" w:cs="Arial" w:eastAsia="Arial" w:hAnsi="Arial"/>
          <w:sz w:val="21"/>
          <w:szCs w:val="21"/>
          <w:color w:val="auto"/>
        </w:rPr>
      </w:pPr>
      <w:r>
        <w:rPr>
          <w:rFonts w:ascii="Arial" w:cs="Arial" w:eastAsia="Arial" w:hAnsi="Arial"/>
          <w:sz w:val="21"/>
          <w:szCs w:val="21"/>
          <w:color w:val="auto"/>
        </w:rPr>
        <w:t>Except as provided under Section 6 herein, neither these Units nor any of the rights or obligations hereunder shall be assigned or delegated by either party hereto.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5" w:name="page56"/>
    <w:bookmarkEnd w:id="55"/>
    <w:p>
      <w:pPr>
        <w:ind w:left="1760" w:hanging="739"/>
        <w:spacing w:after="0" w:line="264" w:lineRule="auto"/>
        <w:tabs>
          <w:tab w:leader="none" w:pos="1760" w:val="left"/>
        </w:tabs>
        <w:numPr>
          <w:ilvl w:val="1"/>
          <w:numId w:val="54"/>
        </w:numPr>
        <w:rPr>
          <w:rFonts w:ascii="Arial" w:cs="Arial" w:eastAsia="Arial" w:hAnsi="Arial"/>
          <w:sz w:val="21"/>
          <w:szCs w:val="21"/>
          <w:color w:val="auto"/>
        </w:rPr>
      </w:pPr>
      <w:r>
        <w:rPr>
          <w:rFonts w:ascii="Arial" w:cs="Arial" w:eastAsia="Arial" w:hAnsi="Arial"/>
          <w:sz w:val="21"/>
          <w:szCs w:val="21"/>
          <w:color w:val="auto"/>
        </w:rPr>
        <w:t>Capitalized terms used but not defined in this Award Agreement shall have the meanings assigned to such terms in the Plan.</w:t>
      </w:r>
    </w:p>
    <w:p>
      <w:pPr>
        <w:spacing w:after="0" w:line="198" w:lineRule="exact"/>
        <w:rPr>
          <w:rFonts w:ascii="Arial" w:cs="Arial" w:eastAsia="Arial" w:hAnsi="Arial"/>
          <w:sz w:val="21"/>
          <w:szCs w:val="21"/>
          <w:color w:val="auto"/>
        </w:rPr>
      </w:pPr>
    </w:p>
    <w:p>
      <w:pPr>
        <w:ind w:left="1760" w:hanging="739"/>
        <w:spacing w:after="0" w:line="264" w:lineRule="auto"/>
        <w:tabs>
          <w:tab w:leader="none" w:pos="1760" w:val="left"/>
        </w:tabs>
        <w:numPr>
          <w:ilvl w:val="1"/>
          <w:numId w:val="54"/>
        </w:numPr>
        <w:rPr>
          <w:rFonts w:ascii="Arial" w:cs="Arial" w:eastAsia="Arial" w:hAnsi="Arial"/>
          <w:sz w:val="21"/>
          <w:szCs w:val="21"/>
          <w:color w:val="auto"/>
        </w:rPr>
      </w:pPr>
      <w:r>
        <w:rPr>
          <w:rFonts w:ascii="Arial" w:cs="Arial" w:eastAsia="Arial" w:hAnsi="Arial"/>
          <w:sz w:val="21"/>
          <w:szCs w:val="21"/>
          <w:color w:val="auto"/>
        </w:rPr>
        <w:t>To the extent there is a conflict between the terms of the Plan and this Award Agreement, the terms of the Plan shall govern.</w:t>
      </w:r>
    </w:p>
    <w:p>
      <w:pPr>
        <w:spacing w:after="0" w:line="198" w:lineRule="exact"/>
        <w:rPr>
          <w:rFonts w:ascii="Arial" w:cs="Arial" w:eastAsia="Arial" w:hAnsi="Arial"/>
          <w:sz w:val="21"/>
          <w:szCs w:val="21"/>
          <w:color w:val="auto"/>
        </w:rPr>
      </w:pPr>
    </w:p>
    <w:p>
      <w:pPr>
        <w:jc w:val="both"/>
        <w:ind w:left="1760" w:hanging="739"/>
        <w:spacing w:after="0" w:line="272" w:lineRule="auto"/>
        <w:tabs>
          <w:tab w:leader="none" w:pos="1760" w:val="left"/>
        </w:tabs>
        <w:numPr>
          <w:ilvl w:val="1"/>
          <w:numId w:val="54"/>
        </w:numPr>
        <w:rPr>
          <w:rFonts w:ascii="Arial" w:cs="Arial" w:eastAsia="Arial" w:hAnsi="Arial"/>
          <w:sz w:val="19"/>
          <w:szCs w:val="19"/>
          <w:color w:val="auto"/>
        </w:rPr>
      </w:pPr>
      <w:r>
        <w:rPr>
          <w:rFonts w:ascii="Arial" w:cs="Arial" w:eastAsia="Arial" w:hAnsi="Arial"/>
          <w:sz w:val="19"/>
          <w:szCs w:val="19"/>
          <w:color w:val="auto"/>
        </w:rPr>
        <w:t>In lieu of receiving documents in paper format, Employee hereby agrees and consents, to electronic delivery of all documents in connection with the RSUs granted hereunder, including any documents the Company elects to or is required to deliver (including, but not limited to, the Prospectus related to Employee’s Award, any supplements to that Prospectus, and agreements, account statements, monthly or annual reports, and all other forms or communications required to be delivered to Employee pursuant to applicable securities laws). Electronic delivery of a document to Employee may be via a location on an intranet site or a third-party’s Internet site to which Employee has access. By electronically accepting this Award, Participant acknowledges that he or she has received and read, and agrees that this Award shall be subject to, the terms of this Grant Notice, the Plan, the Standard Terms and Conditions, and the Long Term Plan (including, but not limited to, the Committee’s discretionary authority under the Long Term Plan to determine the number of Stock Units payable with respect to the Award).</w:t>
      </w:r>
    </w:p>
    <w:p>
      <w:pPr>
        <w:spacing w:after="0" w:line="103" w:lineRule="exact"/>
        <w:rPr>
          <w:rFonts w:ascii="Arial" w:cs="Arial" w:eastAsia="Arial" w:hAnsi="Arial"/>
          <w:sz w:val="19"/>
          <w:szCs w:val="19"/>
          <w:color w:val="auto"/>
        </w:rPr>
      </w:pPr>
    </w:p>
    <w:p>
      <w:pPr>
        <w:jc w:val="both"/>
        <w:ind w:left="1760"/>
        <w:spacing w:after="0" w:line="263" w:lineRule="auto"/>
        <w:rPr>
          <w:rFonts w:ascii="Arial" w:cs="Arial" w:eastAsia="Arial" w:hAnsi="Arial"/>
          <w:sz w:val="19"/>
          <w:szCs w:val="19"/>
          <w:color w:val="auto"/>
        </w:rPr>
      </w:pPr>
      <w:r>
        <w:rPr>
          <w:rFonts w:ascii="Arial" w:cs="Arial" w:eastAsia="Arial" w:hAnsi="Arial"/>
          <w:sz w:val="20"/>
          <w:szCs w:val="20"/>
          <w:color w:val="auto"/>
        </w:rPr>
        <w:t>THE PARTICIPANT WILL BE DEEMED TO HAVE ACCEPTED THE AWARD AND THE STANDARD TERMS AND CONDITIONS IF THE PARTICIPANT DOES NOT OBJECT IN WRITING WITHIN NINETY</w:t>
      </w:r>
    </w:p>
    <w:p>
      <w:pPr>
        <w:ind w:left="1760" w:firstLine="3"/>
        <w:spacing w:after="0" w:line="246" w:lineRule="auto"/>
        <w:tabs>
          <w:tab w:leader="none" w:pos="2190" w:val="left"/>
        </w:tabs>
        <w:numPr>
          <w:ilvl w:val="2"/>
          <w:numId w:val="54"/>
        </w:numPr>
        <w:rPr>
          <w:rFonts w:ascii="Arial" w:cs="Arial" w:eastAsia="Arial" w:hAnsi="Arial"/>
          <w:sz w:val="21"/>
          <w:szCs w:val="21"/>
          <w:color w:val="auto"/>
        </w:rPr>
      </w:pPr>
      <w:r>
        <w:rPr>
          <w:rFonts w:ascii="Arial" w:cs="Arial" w:eastAsia="Arial" w:hAnsi="Arial"/>
          <w:sz w:val="21"/>
          <w:szCs w:val="21"/>
          <w:color w:val="auto"/>
        </w:rPr>
        <w:t>DAYS FOLLOWING DELIVERY OF THE GRANT NOTICE AND THESE STANDARD TERMS AND CONDITIONS.</w:t>
      </w:r>
    </w:p>
    <w:p>
      <w:pPr>
        <w:spacing w:after="0" w:line="358" w:lineRule="exact"/>
        <w:rPr>
          <w:rFonts w:ascii="Arial" w:cs="Arial" w:eastAsia="Arial" w:hAnsi="Arial"/>
          <w:sz w:val="21"/>
          <w:szCs w:val="21"/>
          <w:color w:val="auto"/>
        </w:rPr>
      </w:pPr>
    </w:p>
    <w:p>
      <w:pPr>
        <w:ind w:left="880" w:hanging="872"/>
        <w:spacing w:after="0"/>
        <w:tabs>
          <w:tab w:leader="none" w:pos="880" w:val="left"/>
        </w:tabs>
        <w:numPr>
          <w:ilvl w:val="0"/>
          <w:numId w:val="55"/>
        </w:numPr>
        <w:rPr>
          <w:rFonts w:ascii="Arial" w:cs="Arial" w:eastAsia="Arial" w:hAnsi="Arial"/>
          <w:sz w:val="21"/>
          <w:szCs w:val="21"/>
          <w:b w:val="1"/>
          <w:bCs w:val="1"/>
          <w:color w:val="auto"/>
        </w:rPr>
      </w:pPr>
      <w:r>
        <w:rPr>
          <w:rFonts w:ascii="Arial" w:cs="Arial" w:eastAsia="Arial" w:hAnsi="Arial"/>
          <w:sz w:val="21"/>
          <w:szCs w:val="21"/>
          <w:b w:val="1"/>
          <w:bCs w:val="1"/>
          <w:color w:val="auto"/>
        </w:rPr>
        <w:t>NOTICES</w:t>
      </w:r>
    </w:p>
    <w:p>
      <w:pPr>
        <w:spacing w:after="0" w:line="251" w:lineRule="exact"/>
        <w:rPr>
          <w:sz w:val="20"/>
          <w:szCs w:val="20"/>
          <w:color w:val="auto"/>
        </w:rPr>
      </w:pPr>
    </w:p>
    <w:p>
      <w:pPr>
        <w:ind w:right="20" w:firstLine="877"/>
        <w:spacing w:after="0" w:line="317" w:lineRule="auto"/>
        <w:rPr>
          <w:sz w:val="20"/>
          <w:szCs w:val="20"/>
          <w:color w:val="auto"/>
        </w:rPr>
      </w:pPr>
      <w:r>
        <w:rPr>
          <w:rFonts w:ascii="Arial" w:cs="Arial" w:eastAsia="Arial" w:hAnsi="Arial"/>
          <w:sz w:val="19"/>
          <w:szCs w:val="19"/>
          <w:color w:val="auto"/>
        </w:rPr>
        <w:t>Notices and all other communications provided for in this Award Agreement shall be in writing and shall be deemed to have been duly given when personally delivered or when mailed by overnight mail courier service, postage prepaid, addressed as follows: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If to the Employee, to the most recent address</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on file with the Company.</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If to the Company, to:</w:t>
      </w:r>
    </w:p>
    <w:p>
      <w:pPr>
        <w:spacing w:after="0" w:line="24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Martin Marietta Materials, Inc.</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2710 Wycliff Road</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Raleigh, NC 27607</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Fax: (919) 783-4535</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Attn: Corporate Secretary</w:t>
      </w:r>
    </w:p>
    <w:p>
      <w:pPr>
        <w:spacing w:after="0" w:line="227"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or to such other address or such other person as the Employee or the Company shall designate in writing in accordance with this Section 13, except that notices regarding changes in notices shall be effective only upon receipt.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6" w:name="page57"/>
    <w:bookmarkEnd w:id="56"/>
    <w:p>
      <w:pPr>
        <w:ind w:left="880" w:hanging="872"/>
        <w:spacing w:after="0"/>
        <w:tabs>
          <w:tab w:leader="none" w:pos="880" w:val="left"/>
        </w:tabs>
        <w:numPr>
          <w:ilvl w:val="0"/>
          <w:numId w:val="56"/>
        </w:numPr>
        <w:rPr>
          <w:rFonts w:ascii="Arial" w:cs="Arial" w:eastAsia="Arial" w:hAnsi="Arial"/>
          <w:sz w:val="21"/>
          <w:szCs w:val="21"/>
          <w:b w:val="1"/>
          <w:bCs w:val="1"/>
          <w:color w:val="auto"/>
        </w:rPr>
      </w:pPr>
      <w:r>
        <w:rPr>
          <w:rFonts w:ascii="Arial" w:cs="Arial" w:eastAsia="Arial" w:hAnsi="Arial"/>
          <w:sz w:val="21"/>
          <w:szCs w:val="21"/>
          <w:b w:val="1"/>
          <w:bCs w:val="1"/>
          <w:color w:val="auto"/>
        </w:rPr>
        <w:t>GOVERNING LAW</w:t>
      </w:r>
    </w:p>
    <w:p>
      <w:pPr>
        <w:spacing w:after="0" w:line="250"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This Award Agreement shall be governed by the laws of the State of North Carolina.</w:t>
      </w:r>
    </w:p>
    <w:p>
      <w:pPr>
        <w:spacing w:after="0" w:line="245" w:lineRule="exact"/>
        <w:rPr>
          <w:sz w:val="20"/>
          <w:szCs w:val="20"/>
          <w:color w:val="auto"/>
        </w:rPr>
      </w:pPr>
    </w:p>
    <w:p>
      <w:pPr>
        <w:ind w:right="20" w:firstLine="877"/>
        <w:spacing w:after="0" w:line="264" w:lineRule="auto"/>
        <w:rPr>
          <w:sz w:val="20"/>
          <w:szCs w:val="20"/>
          <w:color w:val="auto"/>
        </w:rPr>
      </w:pPr>
      <w:r>
        <w:rPr>
          <w:rFonts w:ascii="Arial" w:cs="Arial" w:eastAsia="Arial" w:hAnsi="Arial"/>
          <w:sz w:val="21"/>
          <w:szCs w:val="21"/>
          <w:color w:val="auto"/>
        </w:rPr>
        <w:t>IN WITNESS WHEREOF, the Company has caused this Award Agreement to be executed and the Employee has hereunto set his hand as of the day and year first above written.</w:t>
      </w:r>
    </w:p>
    <w:p>
      <w:pPr>
        <w:spacing w:after="0" w:line="192"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auto"/>
        </w:rPr>
        <w:t>MARTIN MARIETTA MATERIALS, INC.</w:t>
      </w:r>
    </w:p>
    <w:p>
      <w:pPr>
        <w:spacing w:after="0" w:line="200" w:lineRule="exact"/>
        <w:rPr>
          <w:sz w:val="20"/>
          <w:szCs w:val="20"/>
          <w:color w:val="auto"/>
        </w:rPr>
      </w:pPr>
    </w:p>
    <w:p>
      <w:pPr>
        <w:spacing w:after="0" w:line="294" w:lineRule="exact"/>
        <w:rPr>
          <w:sz w:val="20"/>
          <w:szCs w:val="20"/>
          <w:color w:val="auto"/>
        </w:rPr>
      </w:pPr>
    </w:p>
    <w:p>
      <w:pPr>
        <w:ind w:left="1680"/>
        <w:spacing w:after="0"/>
        <w:tabs>
          <w:tab w:leader="none" w:pos="4840" w:val="left"/>
        </w:tabs>
        <w:rPr>
          <w:sz w:val="20"/>
          <w:szCs w:val="20"/>
          <w:color w:val="auto"/>
        </w:rPr>
      </w:pPr>
      <w:r>
        <w:rPr>
          <w:rFonts w:ascii="Arial" w:cs="Arial" w:eastAsia="Arial" w:hAnsi="Arial"/>
          <w:sz w:val="21"/>
          <w:szCs w:val="21"/>
          <w:color w:val="auto"/>
        </w:rPr>
        <w:t>By: /s/ Roselyn Bar</w:t>
      </w:r>
      <w:r>
        <w:rPr>
          <w:sz w:val="20"/>
          <w:szCs w:val="20"/>
          <w:color w:val="auto"/>
        </w:rPr>
        <w:tab/>
      </w:r>
      <w:r>
        <w:rPr>
          <w:rFonts w:ascii="Arial" w:cs="Arial" w:eastAsia="Arial" w:hAnsi="Arial"/>
          <w:sz w:val="21"/>
          <w:szCs w:val="2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1258570</wp:posOffset>
            </wp:positionH>
            <wp:positionV relativeFrom="paragraph">
              <wp:posOffset>-15875</wp:posOffset>
            </wp:positionV>
            <wp:extent cx="18294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9435" cy="8890"/>
                    </a:xfrm>
                    <a:prstGeom prst="rect">
                      <a:avLst/>
                    </a:prstGeom>
                    <a:noFill/>
                  </pic:spPr>
                </pic:pic>
              </a:graphicData>
            </a:graphic>
          </wp:anchor>
        </w:drawing>
      </w:r>
    </w:p>
    <w:p>
      <w:pPr>
        <w:ind w:left="6160"/>
        <w:spacing w:after="0"/>
        <w:rPr>
          <w:sz w:val="20"/>
          <w:szCs w:val="20"/>
          <w:color w:val="auto"/>
        </w:rPr>
      </w:pPr>
      <w:r>
        <w:rPr>
          <w:rFonts w:ascii="Arial" w:cs="Arial" w:eastAsia="Arial" w:hAnsi="Arial"/>
          <w:sz w:val="20"/>
          <w:szCs w:val="20"/>
          <w:color w:val="auto"/>
        </w:rPr>
        <w:t>Executive Vice President, General Counsel and Corporate</w:t>
      </w:r>
    </w:p>
    <w:p>
      <w:pPr>
        <w:spacing w:after="0" w:line="13" w:lineRule="exact"/>
        <w:rPr>
          <w:sz w:val="20"/>
          <w:szCs w:val="20"/>
          <w:color w:val="auto"/>
        </w:rPr>
      </w:pPr>
    </w:p>
    <w:p>
      <w:pPr>
        <w:ind w:left="6160"/>
        <w:spacing w:after="0"/>
        <w:rPr>
          <w:sz w:val="20"/>
          <w:szCs w:val="20"/>
          <w:color w:val="auto"/>
        </w:rPr>
      </w:pPr>
      <w:r>
        <w:rPr>
          <w:rFonts w:ascii="Arial" w:cs="Arial" w:eastAsia="Arial" w:hAnsi="Arial"/>
          <w:sz w:val="21"/>
          <w:szCs w:val="2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auto"/>
        </w:rPr>
        <w:t>EMPLOYEE</w:t>
      </w:r>
    </w:p>
    <w:p>
      <w:pPr>
        <w:spacing w:after="0" w:line="200" w:lineRule="exact"/>
        <w:rPr>
          <w:sz w:val="20"/>
          <w:szCs w:val="20"/>
          <w:color w:val="auto"/>
        </w:rPr>
      </w:pPr>
    </w:p>
    <w:p>
      <w:pPr>
        <w:spacing w:after="0" w:line="294" w:lineRule="exact"/>
        <w:rPr>
          <w:sz w:val="20"/>
          <w:szCs w:val="20"/>
          <w:color w:val="auto"/>
        </w:rPr>
      </w:pPr>
    </w:p>
    <w:p>
      <w:pPr>
        <w:ind w:left="1680"/>
        <w:spacing w:after="0"/>
        <w:rPr>
          <w:sz w:val="20"/>
          <w:szCs w:val="20"/>
          <w:color w:val="auto"/>
        </w:rPr>
      </w:pPr>
      <w:r>
        <w:rPr>
          <w:rFonts w:ascii="Arial" w:cs="Arial" w:eastAsia="Arial" w:hAnsi="Arial"/>
          <w:sz w:val="21"/>
          <w:szCs w:val="21"/>
          <w:color w:val="auto"/>
        </w:rPr>
        <w:t>By:_____________________________</w:t>
      </w:r>
    </w:p>
    <w:p>
      <w:pPr>
        <w:spacing w:after="0" w:line="20" w:lineRule="exact"/>
        <w:rPr>
          <w:sz w:val="20"/>
          <w:szCs w:val="20"/>
          <w:color w:val="auto"/>
        </w:rPr>
      </w:pPr>
    </w:p>
    <w:p>
      <w:pPr>
        <w:ind w:left="1680"/>
        <w:spacing w:after="0"/>
        <w:rPr>
          <w:sz w:val="20"/>
          <w:szCs w:val="20"/>
          <w:color w:val="auto"/>
        </w:rPr>
      </w:pPr>
      <w:r>
        <w:rPr>
          <w:rFonts w:ascii="Arial" w:cs="Arial" w:eastAsia="Arial" w:hAnsi="Arial"/>
          <w:sz w:val="21"/>
          <w:szCs w:val="21"/>
          <w:color w:val="auto"/>
        </w:rPr>
        <w:t>(Employee’s Signature)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444"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b w:val="1"/>
          <w:bCs w:val="1"/>
          <w:color w:val="auto"/>
        </w:rPr>
        <w:t>EXHIBIT 31.01</w:t>
      </w:r>
    </w:p>
    <w:p>
      <w:pPr>
        <w:spacing w:after="0" w:line="200" w:lineRule="exact"/>
        <w:rPr>
          <w:sz w:val="20"/>
          <w:szCs w:val="20"/>
          <w:color w:val="auto"/>
        </w:rPr>
      </w:pPr>
    </w:p>
    <w:p>
      <w:pPr>
        <w:spacing w:after="0" w:line="286" w:lineRule="exact"/>
        <w:rPr>
          <w:sz w:val="20"/>
          <w:szCs w:val="20"/>
          <w:color w:val="auto"/>
        </w:rPr>
      </w:pPr>
    </w:p>
    <w:p>
      <w:pPr>
        <w:jc w:val="center"/>
        <w:ind w:left="260" w:right="100"/>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229" w:lineRule="exact"/>
        <w:rPr>
          <w:sz w:val="20"/>
          <w:szCs w:val="20"/>
          <w:color w:val="auto"/>
        </w:rPr>
      </w:pPr>
    </w:p>
    <w:p>
      <w:pPr>
        <w:ind w:left="1300" w:hanging="428"/>
        <w:spacing w:after="0"/>
        <w:tabs>
          <w:tab w:leader="none" w:pos="13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9"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28"/>
        <w:spacing w:after="0" w:line="250" w:lineRule="auto"/>
        <w:tabs>
          <w:tab w:leader="none" w:pos="13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5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5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5"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5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5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8" w:name="page59"/>
    <w:bookmarkEnd w:id="58"/>
    <w:p>
      <w:pPr>
        <w:jc w:val="both"/>
        <w:ind w:left="1300" w:hanging="428"/>
        <w:spacing w:after="0" w:line="250" w:lineRule="auto"/>
        <w:tabs>
          <w:tab w:leader="none" w:pos="13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5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80" w:hanging="430"/>
        <w:spacing w:after="0" w:line="260" w:lineRule="auto"/>
        <w:tabs>
          <w:tab w:leader="none" w:pos="2180" w:val="left"/>
        </w:tabs>
        <w:numPr>
          <w:ilvl w:val="1"/>
          <w:numId w:val="5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40" w:type="dxa"/>
            <w:vAlign w:val="bottom"/>
          </w:tcPr>
          <w:p>
            <w:pPr>
              <w:spacing w:after="0"/>
              <w:rPr>
                <w:sz w:val="20"/>
                <w:szCs w:val="20"/>
                <w:color w:val="auto"/>
              </w:rPr>
            </w:pPr>
            <w:r>
              <w:rPr>
                <w:rFonts w:ascii="Arial" w:cs="Arial" w:eastAsia="Arial" w:hAnsi="Arial"/>
                <w:sz w:val="20"/>
                <w:szCs w:val="20"/>
                <w:color w:val="auto"/>
              </w:rPr>
              <w:t>Date: May 10, 2017</w:t>
            </w:r>
          </w:p>
        </w:tc>
        <w:tc>
          <w:tcPr>
            <w:tcW w:w="7180" w:type="dxa"/>
            <w:vAlign w:val="bottom"/>
            <w:gridSpan w:val="2"/>
          </w:tcPr>
          <w:p>
            <w:pPr>
              <w:ind w:left="2620"/>
              <w:spacing w:after="0"/>
              <w:rPr>
                <w:sz w:val="20"/>
                <w:szCs w:val="20"/>
                <w:color w:val="auto"/>
              </w:rPr>
            </w:pPr>
            <w:r>
              <w:rPr>
                <w:rFonts w:ascii="Arial" w:cs="Arial" w:eastAsia="Arial" w:hAnsi="Arial"/>
                <w:sz w:val="20"/>
                <w:szCs w:val="20"/>
                <w:color w:val="auto"/>
              </w:rPr>
              <w:t>By:  /s/ C. Howard Nye</w:t>
            </w:r>
          </w:p>
        </w:tc>
      </w:tr>
      <w:tr>
        <w:trPr>
          <w:trHeight w:val="206"/>
        </w:trPr>
        <w:tc>
          <w:tcPr>
            <w:tcW w:w="4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1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C. Howard Nye</w:t>
            </w:r>
          </w:p>
        </w:tc>
      </w:tr>
      <w:tr>
        <w:trPr>
          <w:trHeight w:val="230"/>
        </w:trPr>
        <w:tc>
          <w:tcPr>
            <w:tcW w:w="4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20"/>
                <w:szCs w:val="20"/>
                <w:color w:val="auto"/>
              </w:rPr>
              <w:t>Chairman, President and</w:t>
            </w:r>
          </w:p>
        </w:tc>
      </w:tr>
      <w:tr>
        <w:trPr>
          <w:trHeight w:val="250"/>
        </w:trPr>
        <w:tc>
          <w:tcPr>
            <w:tcW w:w="4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100" w:type="dxa"/>
            <w:vAlign w:val="bottom"/>
          </w:tcPr>
          <w:p>
            <w:pPr>
              <w:ind w:left="14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420"/>
          </w:cols>
          <w:pgMar w:left="240" w:top="104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b w:val="1"/>
          <w:bCs w:val="1"/>
          <w:color w:val="auto"/>
        </w:rPr>
        <w:t>EXHIBIT 31.02</w:t>
      </w:r>
    </w:p>
    <w:p>
      <w:pPr>
        <w:spacing w:after="0" w:line="200" w:lineRule="exact"/>
        <w:rPr>
          <w:sz w:val="20"/>
          <w:szCs w:val="20"/>
          <w:color w:val="auto"/>
        </w:rPr>
      </w:pPr>
    </w:p>
    <w:p>
      <w:pPr>
        <w:spacing w:after="0" w:line="286" w:lineRule="exact"/>
        <w:rPr>
          <w:sz w:val="20"/>
          <w:szCs w:val="20"/>
          <w:color w:val="auto"/>
        </w:rPr>
      </w:pPr>
    </w:p>
    <w:p>
      <w:pPr>
        <w:jc w:val="center"/>
        <w:ind w:left="260" w:right="100"/>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I, Anne H. Lloyd, certify that:</w:t>
      </w:r>
    </w:p>
    <w:p>
      <w:pPr>
        <w:spacing w:after="0" w:line="229" w:lineRule="exact"/>
        <w:rPr>
          <w:sz w:val="20"/>
          <w:szCs w:val="20"/>
          <w:color w:val="auto"/>
        </w:rPr>
      </w:pPr>
    </w:p>
    <w:p>
      <w:pPr>
        <w:ind w:left="1300" w:hanging="428"/>
        <w:spacing w:after="0"/>
        <w:tabs>
          <w:tab w:leader="none" w:pos="13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9"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28"/>
        <w:spacing w:after="0" w:line="250" w:lineRule="auto"/>
        <w:tabs>
          <w:tab w:leader="none" w:pos="13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59"/>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5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5"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5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5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60" w:name="page61"/>
    <w:bookmarkEnd w:id="60"/>
    <w:p>
      <w:pPr>
        <w:jc w:val="both"/>
        <w:ind w:left="1300" w:hanging="428"/>
        <w:spacing w:after="0" w:line="250" w:lineRule="auto"/>
        <w:tabs>
          <w:tab w:leader="none" w:pos="13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6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80" w:hanging="430"/>
        <w:spacing w:after="0" w:line="260" w:lineRule="auto"/>
        <w:tabs>
          <w:tab w:leader="none" w:pos="2180" w:val="left"/>
        </w:tabs>
        <w:numPr>
          <w:ilvl w:val="1"/>
          <w:numId w:val="6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20" w:type="dxa"/>
            <w:vAlign w:val="bottom"/>
          </w:tcPr>
          <w:p>
            <w:pPr>
              <w:spacing w:after="0"/>
              <w:rPr>
                <w:sz w:val="20"/>
                <w:szCs w:val="20"/>
                <w:color w:val="auto"/>
              </w:rPr>
            </w:pPr>
            <w:r>
              <w:rPr>
                <w:rFonts w:ascii="Arial" w:cs="Arial" w:eastAsia="Arial" w:hAnsi="Arial"/>
                <w:sz w:val="20"/>
                <w:szCs w:val="20"/>
                <w:color w:val="auto"/>
              </w:rPr>
              <w:t>Date: May 10, 2017</w:t>
            </w:r>
          </w:p>
        </w:tc>
        <w:tc>
          <w:tcPr>
            <w:tcW w:w="7200" w:type="dxa"/>
            <w:vAlign w:val="bottom"/>
            <w:gridSpan w:val="2"/>
          </w:tcPr>
          <w:p>
            <w:pPr>
              <w:ind w:left="2640"/>
              <w:spacing w:after="0"/>
              <w:rPr>
                <w:sz w:val="20"/>
                <w:szCs w:val="20"/>
                <w:color w:val="auto"/>
              </w:rPr>
            </w:pPr>
            <w:r>
              <w:rPr>
                <w:rFonts w:ascii="Arial" w:cs="Arial" w:eastAsia="Arial" w:hAnsi="Arial"/>
                <w:sz w:val="20"/>
                <w:szCs w:val="20"/>
                <w:color w:val="auto"/>
              </w:rPr>
              <w:t>By:  /s/ Anne H. Lloyd</w:t>
            </w:r>
          </w:p>
        </w:tc>
      </w:tr>
      <w:tr>
        <w:trPr>
          <w:trHeight w:val="206"/>
        </w:trPr>
        <w:tc>
          <w:tcPr>
            <w:tcW w:w="42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1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Anne H. Lloyd</w:t>
            </w:r>
          </w:p>
        </w:tc>
      </w:tr>
      <w:tr>
        <w:trPr>
          <w:trHeight w:val="230"/>
        </w:trPr>
        <w:tc>
          <w:tcPr>
            <w:tcW w:w="42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20"/>
                <w:szCs w:val="20"/>
                <w:color w:val="auto"/>
              </w:rPr>
              <w:t>Executive Vice President and</w:t>
            </w:r>
          </w:p>
        </w:tc>
      </w:tr>
      <w:tr>
        <w:trPr>
          <w:trHeight w:val="250"/>
        </w:trPr>
        <w:tc>
          <w:tcPr>
            <w:tcW w:w="42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100" w:type="dxa"/>
            <w:vAlign w:val="bottom"/>
          </w:tcPr>
          <w:p>
            <w:pPr>
              <w:ind w:left="14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420"/>
          </w:cols>
          <w:pgMar w:left="240" w:top="104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auto"/>
        </w:rPr>
        <w:t>EXHIBIT 32.01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00" w:lineRule="exact"/>
        <w:rPr>
          <w:sz w:val="20"/>
          <w:szCs w:val="20"/>
          <w:color w:val="auto"/>
        </w:rPr>
      </w:pPr>
    </w:p>
    <w:p>
      <w:pPr>
        <w:spacing w:after="0" w:line="243"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March 31, 2017 (the “Report”) of Martin Marietta Materials, Inc. (the “Registrant”), as filed with the Securities and Exchange Commission on the date hereof, I, C. Howard Nye, the Chief Executive Officer of the Registrant, certify, to the best of my knowledge, that:</w:t>
      </w:r>
    </w:p>
    <w:p>
      <w:pPr>
        <w:spacing w:after="0" w:line="200" w:lineRule="exact"/>
        <w:rPr>
          <w:sz w:val="20"/>
          <w:szCs w:val="20"/>
          <w:color w:val="auto"/>
        </w:rPr>
      </w:pPr>
    </w:p>
    <w:p>
      <w:pPr>
        <w:ind w:left="1740" w:hanging="868"/>
        <w:spacing w:after="0" w:line="260" w:lineRule="auto"/>
        <w:tabs>
          <w:tab w:leader="none" w:pos="17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40" w:right="20" w:hanging="868"/>
        <w:spacing w:after="0" w:line="260" w:lineRule="auto"/>
        <w:tabs>
          <w:tab w:leader="none" w:pos="17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C. Howard Nye</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Chairman, President and</w:t>
      </w:r>
    </w:p>
    <w:p>
      <w:pPr>
        <w:ind w:left="700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Dated: May 10, 2017</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b w:val="1"/>
          <w:bCs w:val="1"/>
          <w:color w:val="auto"/>
        </w:rPr>
        <w:t>EXHIBIT 32.02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00" w:lineRule="exact"/>
        <w:rPr>
          <w:sz w:val="20"/>
          <w:szCs w:val="20"/>
          <w:color w:val="auto"/>
        </w:rPr>
      </w:pPr>
    </w:p>
    <w:p>
      <w:pPr>
        <w:spacing w:after="0" w:line="243"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March 31, 2017 (the “Report”) of Martin Marietta Materials, Inc. (the “Registrant”), as filed with the Securities and Exchange Commission on the date hereof, I, Anne H. Lloyd, the Chief Financial Officer of the Registrant, certify, to the best of my knowledge, that:</w:t>
      </w:r>
    </w:p>
    <w:p>
      <w:pPr>
        <w:spacing w:after="0" w:line="200" w:lineRule="exact"/>
        <w:rPr>
          <w:sz w:val="20"/>
          <w:szCs w:val="20"/>
          <w:color w:val="auto"/>
        </w:rPr>
      </w:pPr>
    </w:p>
    <w:p>
      <w:pPr>
        <w:ind w:left="1740" w:hanging="868"/>
        <w:spacing w:after="0" w:line="260" w:lineRule="auto"/>
        <w:tabs>
          <w:tab w:leader="none" w:pos="17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40" w:right="20" w:hanging="868"/>
        <w:spacing w:after="0" w:line="260" w:lineRule="auto"/>
        <w:tabs>
          <w:tab w:leader="none" w:pos="17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Anne H.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Anne H. Lloyd</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Executive Vice President and</w:t>
      </w:r>
    </w:p>
    <w:p>
      <w:pPr>
        <w:ind w:left="700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May 10, 2017</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36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color w:val="auto"/>
        </w:rPr>
        <w:t>EXHIBIT 95</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operation of the Corporation’s domestic aggregates quarries and mines is subject to regulation by the federal Mine Safety and Health Administration (MSHA) under the Federal Mine Safety and Health Act of 1977 (the “Mine Act”). MSHA inspects the Corporation’s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and are sometimes dismissed.</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Under the Dodd-Frank Wall Street Reform and Consumer Protection Act (the “Dodd-Frank Act”), the Corporation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Corporation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Corporation’s quarries and mines operated outside the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presents the following items regarding certain mining safety and health matters for the three months ended March 31, 2017:</w:t>
      </w:r>
    </w:p>
    <w:p>
      <w:pPr>
        <w:spacing w:after="0" w:line="252" w:lineRule="exact"/>
        <w:rPr>
          <w:sz w:val="20"/>
          <w:szCs w:val="20"/>
          <w:color w:val="auto"/>
        </w:rPr>
      </w:pPr>
    </w:p>
    <w:p>
      <w:pPr>
        <w:jc w:val="both"/>
        <w:ind w:left="500" w:hanging="424"/>
        <w:spacing w:after="0" w:line="259" w:lineRule="auto"/>
        <w:tabs>
          <w:tab w:leader="none" w:pos="500" w:val="left"/>
        </w:tabs>
        <w:numPr>
          <w:ilvl w:val="0"/>
          <w:numId w:val="63"/>
        </w:numPr>
        <w:rPr>
          <w:rFonts w:ascii="Arial" w:cs="Arial" w:eastAsia="Arial" w:hAnsi="Arial"/>
          <w:sz w:val="19"/>
          <w:szCs w:val="19"/>
          <w:b w:val="1"/>
          <w:bCs w:val="1"/>
          <w:color w:val="auto"/>
        </w:rPr>
      </w:pPr>
      <w:r>
        <w:rPr>
          <w:rFonts w:ascii="Arial" w:cs="Arial" w:eastAsia="Arial" w:hAnsi="Arial"/>
          <w:sz w:val="19"/>
          <w:szCs w:val="19"/>
          <w:color w:val="auto"/>
        </w:rPr>
        <w:t>Total number of violations of mandatory health or safety standards that could significantly and substantially contribute to the cause and effect of a mine safety or health hazard under section 104 of the Mine Act for which the Corporation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 “S&amp;S” violation). MSHA inspectors will classify each citation or order written as a “S&amp;S” violation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64" w:name="page65"/>
    <w:bookmarkEnd w:id="64"/>
    <w:p>
      <w:pPr>
        <w:jc w:val="both"/>
        <w:ind w:left="424" w:hanging="424"/>
        <w:spacing w:after="0" w:line="246" w:lineRule="auto"/>
        <w:tabs>
          <w:tab w:leader="none" w:pos="424" w:val="left"/>
        </w:tabs>
        <w:numPr>
          <w:ilvl w:val="0"/>
          <w:numId w:val="64"/>
        </w:numPr>
        <w:rPr>
          <w:rFonts w:ascii="Arial" w:cs="Arial" w:eastAsia="Arial" w:hAnsi="Arial"/>
          <w:sz w:val="20"/>
          <w:szCs w:val="20"/>
          <w:b w:val="1"/>
          <w:bCs w:val="1"/>
          <w:color w:val="auto"/>
        </w:rPr>
      </w:pPr>
      <w:r>
        <w:rPr>
          <w:rFonts w:ascii="Arial" w:cs="Arial" w:eastAsia="Arial" w:hAnsi="Arial"/>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205" w:lineRule="exact"/>
        <w:rPr>
          <w:rFonts w:ascii="Arial" w:cs="Arial" w:eastAsia="Arial" w:hAnsi="Arial"/>
          <w:sz w:val="20"/>
          <w:szCs w:val="20"/>
          <w:b w:val="1"/>
          <w:bCs w:val="1"/>
          <w:color w:val="auto"/>
        </w:rPr>
      </w:pPr>
    </w:p>
    <w:p>
      <w:pPr>
        <w:jc w:val="both"/>
        <w:ind w:left="424" w:hanging="424"/>
        <w:spacing w:after="0" w:line="260" w:lineRule="auto"/>
        <w:tabs>
          <w:tab w:leader="none" w:pos="424" w:val="left"/>
        </w:tabs>
        <w:numPr>
          <w:ilvl w:val="0"/>
          <w:numId w:val="64"/>
        </w:numPr>
        <w:rPr>
          <w:rFonts w:ascii="Arial" w:cs="Arial" w:eastAsia="Arial" w:hAnsi="Arial"/>
          <w:sz w:val="19"/>
          <w:szCs w:val="19"/>
          <w:b w:val="1"/>
          <w:bCs w:val="1"/>
          <w:color w:val="auto"/>
        </w:rPr>
      </w:pPr>
      <w:r>
        <w:rPr>
          <w:rFonts w:ascii="Arial" w:cs="Arial" w:eastAsia="Arial" w:hAnsi="Arial"/>
          <w:sz w:val="19"/>
          <w:szCs w:val="19"/>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194" w:lineRule="exact"/>
        <w:rPr>
          <w:rFonts w:ascii="Arial" w:cs="Arial" w:eastAsia="Arial" w:hAnsi="Arial"/>
          <w:sz w:val="19"/>
          <w:szCs w:val="19"/>
          <w:b w:val="1"/>
          <w:bCs w:val="1"/>
          <w:color w:val="auto"/>
        </w:rPr>
      </w:pPr>
    </w:p>
    <w:p>
      <w:pPr>
        <w:jc w:val="both"/>
        <w:ind w:left="424" w:hanging="424"/>
        <w:spacing w:after="0" w:line="244" w:lineRule="auto"/>
        <w:tabs>
          <w:tab w:leader="none" w:pos="424" w:val="left"/>
        </w:tabs>
        <w:numPr>
          <w:ilvl w:val="0"/>
          <w:numId w:val="64"/>
        </w:numPr>
        <w:rPr>
          <w:rFonts w:ascii="Arial" w:cs="Arial" w:eastAsia="Arial" w:hAnsi="Arial"/>
          <w:sz w:val="20"/>
          <w:szCs w:val="20"/>
          <w:b w:val="1"/>
          <w:bCs w:val="1"/>
          <w:color w:val="auto"/>
        </w:rPr>
      </w:pPr>
      <w:r>
        <w:rPr>
          <w:rFonts w:ascii="Arial" w:cs="Arial" w:eastAsia="Arial" w:hAnsi="Arial"/>
          <w:sz w:val="20"/>
          <w:szCs w:val="20"/>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8" w:lineRule="exact"/>
        <w:rPr>
          <w:rFonts w:ascii="Arial" w:cs="Arial" w:eastAsia="Arial" w:hAnsi="Arial"/>
          <w:sz w:val="20"/>
          <w:szCs w:val="20"/>
          <w:b w:val="1"/>
          <w:bCs w:val="1"/>
          <w:color w:val="auto"/>
        </w:rPr>
      </w:pPr>
    </w:p>
    <w:p>
      <w:pPr>
        <w:jc w:val="both"/>
        <w:ind w:left="424" w:hanging="424"/>
        <w:spacing w:after="0" w:line="263" w:lineRule="auto"/>
        <w:tabs>
          <w:tab w:leader="none" w:pos="424" w:val="left"/>
        </w:tabs>
        <w:numPr>
          <w:ilvl w:val="0"/>
          <w:numId w:val="64"/>
        </w:numPr>
        <w:rPr>
          <w:rFonts w:ascii="Arial" w:cs="Arial" w:eastAsia="Arial" w:hAnsi="Arial"/>
          <w:sz w:val="19"/>
          <w:szCs w:val="19"/>
          <w:b w:val="1"/>
          <w:bCs w:val="1"/>
          <w:color w:val="auto"/>
        </w:rPr>
      </w:pPr>
      <w:r>
        <w:rPr>
          <w:rFonts w:ascii="Arial" w:cs="Arial" w:eastAsia="Arial" w:hAnsi="Arial"/>
          <w:sz w:val="19"/>
          <w:szCs w:val="19"/>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90" w:lineRule="exact"/>
        <w:rPr>
          <w:rFonts w:ascii="Arial" w:cs="Arial" w:eastAsia="Arial" w:hAnsi="Arial"/>
          <w:sz w:val="19"/>
          <w:szCs w:val="19"/>
          <w:b w:val="1"/>
          <w:bCs w:val="1"/>
          <w:color w:val="auto"/>
        </w:rPr>
      </w:pPr>
    </w:p>
    <w:p>
      <w:pPr>
        <w:jc w:val="both"/>
        <w:ind w:left="424" w:hanging="424"/>
        <w:spacing w:after="0" w:line="282" w:lineRule="auto"/>
        <w:tabs>
          <w:tab w:leader="none" w:pos="424"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75" w:lineRule="exact"/>
        <w:rPr>
          <w:rFonts w:ascii="Arial" w:cs="Arial" w:eastAsia="Arial" w:hAnsi="Arial"/>
          <w:sz w:val="18"/>
          <w:szCs w:val="18"/>
          <w:b w:val="1"/>
          <w:bCs w:val="1"/>
          <w:color w:val="auto"/>
        </w:rPr>
      </w:pPr>
    </w:p>
    <w:p>
      <w:pPr>
        <w:jc w:val="both"/>
        <w:ind w:left="424" w:hanging="424"/>
        <w:spacing w:after="0" w:line="291" w:lineRule="auto"/>
        <w:tabs>
          <w:tab w:leader="none" w:pos="424"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437515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4"/>
          </w:cols>
          <w:pgMar w:left="316" w:top="352" w:right="239" w:bottom="1440" w:gutter="0" w:footer="0" w:header="0"/>
        </w:sectPr>
      </w:pPr>
    </w:p>
    <w:bookmarkStart w:id="65" w:name="page66"/>
    <w:bookmarkEnd w:id="65"/>
    <w:p>
      <w:pPr>
        <w:jc w:val="both"/>
        <w:ind w:left="424" w:hanging="424"/>
        <w:spacing w:after="0" w:line="263" w:lineRule="auto"/>
        <w:tabs>
          <w:tab w:leader="none" w:pos="424" w:val="left"/>
        </w:tabs>
        <w:numPr>
          <w:ilvl w:val="0"/>
          <w:numId w:val="65"/>
        </w:numPr>
        <w:rPr>
          <w:rFonts w:ascii="Arial" w:cs="Arial" w:eastAsia="Arial" w:hAnsi="Arial"/>
          <w:sz w:val="19"/>
          <w:szCs w:val="19"/>
          <w:b w:val="1"/>
          <w:bCs w:val="1"/>
          <w:color w:val="auto"/>
        </w:rPr>
      </w:pPr>
      <w:r>
        <w:rPr>
          <w:rFonts w:ascii="Arial" w:cs="Arial" w:eastAsia="Arial" w:hAnsi="Arial"/>
          <w:sz w:val="19"/>
          <w:szCs w:val="19"/>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90" w:lineRule="exact"/>
        <w:rPr>
          <w:rFonts w:ascii="Arial" w:cs="Arial" w:eastAsia="Arial" w:hAnsi="Arial"/>
          <w:sz w:val="19"/>
          <w:szCs w:val="19"/>
          <w:b w:val="1"/>
          <w:bCs w:val="1"/>
          <w:color w:val="auto"/>
        </w:rPr>
      </w:pPr>
    </w:p>
    <w:p>
      <w:pPr>
        <w:ind w:left="424" w:hanging="424"/>
        <w:spacing w:after="0"/>
        <w:tabs>
          <w:tab w:leader="none" w:pos="424" w:val="left"/>
        </w:tabs>
        <w:numPr>
          <w:ilvl w:val="0"/>
          <w:numId w:val="65"/>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pending as of the last day of period.</w:t>
      </w:r>
    </w:p>
    <w:p>
      <w:pPr>
        <w:spacing w:after="0" w:line="229" w:lineRule="exact"/>
        <w:rPr>
          <w:rFonts w:ascii="Arial" w:cs="Arial" w:eastAsia="Arial" w:hAnsi="Arial"/>
          <w:sz w:val="20"/>
          <w:szCs w:val="20"/>
          <w:b w:val="1"/>
          <w:bCs w:val="1"/>
          <w:color w:val="auto"/>
        </w:rPr>
      </w:pPr>
    </w:p>
    <w:p>
      <w:pPr>
        <w:ind w:left="424" w:hanging="424"/>
        <w:spacing w:after="0"/>
        <w:tabs>
          <w:tab w:leader="none" w:pos="424" w:val="left"/>
        </w:tabs>
        <w:numPr>
          <w:ilvl w:val="0"/>
          <w:numId w:val="65"/>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initiated during period.</w:t>
      </w:r>
    </w:p>
    <w:p>
      <w:pPr>
        <w:spacing w:after="0" w:line="229" w:lineRule="exact"/>
        <w:rPr>
          <w:rFonts w:ascii="Arial" w:cs="Arial" w:eastAsia="Arial" w:hAnsi="Arial"/>
          <w:sz w:val="20"/>
          <w:szCs w:val="20"/>
          <w:b w:val="1"/>
          <w:bCs w:val="1"/>
          <w:color w:val="auto"/>
        </w:rPr>
      </w:pPr>
    </w:p>
    <w:p>
      <w:pPr>
        <w:ind w:left="424" w:hanging="424"/>
        <w:spacing w:after="0"/>
        <w:tabs>
          <w:tab w:leader="none" w:pos="424" w:val="left"/>
        </w:tabs>
        <w:numPr>
          <w:ilvl w:val="0"/>
          <w:numId w:val="65"/>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resolved during period.</w:t>
      </w:r>
    </w:p>
    <w:p>
      <w:pPr>
        <w:spacing w:after="0" w:line="200" w:lineRule="exact"/>
        <w:rPr>
          <w:sz w:val="20"/>
          <w:szCs w:val="20"/>
          <w:color w:val="auto"/>
        </w:rPr>
      </w:pPr>
    </w:p>
    <w:p>
      <w:pPr>
        <w:spacing w:after="0" w:line="259" w:lineRule="exact"/>
        <w:rPr>
          <w:sz w:val="20"/>
          <w:szCs w:val="20"/>
          <w:color w:val="auto"/>
        </w:rPr>
      </w:pPr>
    </w:p>
    <w:p>
      <w:pPr>
        <w:jc w:val="both"/>
        <w:ind w:left="44"/>
        <w:spacing w:after="0" w:line="273" w:lineRule="auto"/>
        <w:rPr>
          <w:sz w:val="20"/>
          <w:szCs w:val="20"/>
          <w:color w:val="auto"/>
        </w:rPr>
      </w:pPr>
      <w:r>
        <w:rPr>
          <w:rFonts w:ascii="Arial" w:cs="Arial" w:eastAsia="Arial" w:hAnsi="Arial"/>
          <w:sz w:val="18"/>
          <w:szCs w:val="18"/>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Corporation’s quarries and mines identified, as of March 31, 2017,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83" w:lineRule="exact"/>
        <w:rPr>
          <w:sz w:val="20"/>
          <w:szCs w:val="20"/>
          <w:color w:val="auto"/>
        </w:rPr>
      </w:pPr>
    </w:p>
    <w:p>
      <w:pPr>
        <w:ind w:left="44"/>
        <w:spacing w:after="0"/>
        <w:rPr>
          <w:sz w:val="20"/>
          <w:szCs w:val="20"/>
          <w:color w:val="auto"/>
        </w:rPr>
      </w:pPr>
      <w:r>
        <w:rPr>
          <w:rFonts w:ascii="Arial" w:cs="Arial" w:eastAsia="Arial" w:hAnsi="Arial"/>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769620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4"/>
          </w:cols>
          <w:pgMar w:left="316" w:top="582"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52"/>
        </w:trPr>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60" w:type="dxa"/>
            <w:vAlign w:val="bottom"/>
            <w:gridSpan w:val="3"/>
          </w:tcPr>
          <w:p>
            <w:pPr>
              <w:ind w:left="720"/>
              <w:spacing w:after="0"/>
              <w:rPr>
                <w:sz w:val="20"/>
                <w:szCs w:val="20"/>
                <w:color w:val="auto"/>
              </w:rPr>
            </w:pPr>
            <w:r>
              <w:rPr>
                <w:rFonts w:ascii="Arial" w:cs="Arial" w:eastAsia="Arial" w:hAnsi="Arial"/>
                <w:sz w:val="20"/>
                <w:szCs w:val="20"/>
                <w:color w:val="auto"/>
                <w:w w:val="91"/>
              </w:rPr>
              <w:t>Appendix 1</w:t>
            </w:r>
          </w:p>
        </w:tc>
      </w:tr>
      <w:tr>
        <w:trPr>
          <w:trHeight w:val="446"/>
        </w:trPr>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20"/>
                <w:szCs w:val="20"/>
                <w:b w:val="1"/>
                <w:bCs w:val="1"/>
                <w:color w:val="auto"/>
                <w:w w:val="84"/>
              </w:rPr>
              <w:t>Received Received</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20"/>
                <w:szCs w:val="20"/>
                <w:b w:val="1"/>
                <w:bCs w:val="1"/>
                <w:color w:val="auto"/>
                <w:w w:val="87"/>
              </w:rPr>
              <w:t>Notice of Notice of</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1"/>
              </w:rPr>
              <w:t>Total</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2"/>
              </w:rPr>
              <w:t>Pattern</w:t>
            </w:r>
          </w:p>
        </w:tc>
        <w:tc>
          <w:tcPr>
            <w:tcW w:w="1560" w:type="dxa"/>
            <w:vAlign w:val="bottom"/>
            <w:gridSpan w:val="2"/>
          </w:tcPr>
          <w:p>
            <w:pPr>
              <w:ind w:left="60"/>
              <w:spacing w:after="0"/>
              <w:rPr>
                <w:sz w:val="20"/>
                <w:szCs w:val="20"/>
                <w:color w:val="auto"/>
              </w:rPr>
            </w:pPr>
            <w:r>
              <w:rPr>
                <w:rFonts w:ascii="Arial" w:cs="Arial" w:eastAsia="Arial" w:hAnsi="Arial"/>
                <w:sz w:val="20"/>
                <w:szCs w:val="20"/>
                <w:b w:val="1"/>
                <w:bCs w:val="1"/>
                <w:color w:val="auto"/>
                <w:w w:val="90"/>
              </w:rPr>
              <w:t>Potential Actions</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2"/>
              </w:rPr>
              <w:t>Number</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4"/>
              </w:rPr>
              <w:t>of</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8"/>
              </w:rPr>
              <w:t>to have</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88"/>
              </w:rPr>
              <w:t>Pending</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c>
          <w:tcPr>
            <w:tcW w:w="820" w:type="dxa"/>
            <w:vAlign w:val="bottom"/>
            <w:gridSpan w:val="2"/>
          </w:tcPr>
          <w:p>
            <w:pPr>
              <w:jc w:val="center"/>
              <w:ind w:right="20"/>
              <w:spacing w:after="0"/>
              <w:rPr>
                <w:sz w:val="20"/>
                <w:szCs w:val="20"/>
                <w:color w:val="auto"/>
              </w:rPr>
            </w:pPr>
            <w:r>
              <w:rPr>
                <w:rFonts w:ascii="Arial" w:cs="Arial" w:eastAsia="Arial" w:hAnsi="Arial"/>
                <w:sz w:val="20"/>
                <w:szCs w:val="20"/>
                <w:b w:val="1"/>
                <w:bCs w:val="1"/>
                <w:color w:val="auto"/>
                <w:w w:val="91"/>
              </w:rPr>
              <w:t>Legal</w:t>
            </w: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104(d)</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Arial" w:cs="Arial" w:eastAsia="Arial" w:hAnsi="Arial"/>
                <w:sz w:val="20"/>
                <w:szCs w:val="20"/>
                <w:b w:val="1"/>
                <w:bCs w:val="1"/>
                <w:color w:val="auto"/>
                <w:w w:val="92"/>
              </w:rPr>
              <w:t>Total Dollar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4"/>
              </w:rPr>
              <w:t>of</w:t>
            </w:r>
          </w:p>
        </w:tc>
        <w:tc>
          <w:tcPr>
            <w:tcW w:w="1580" w:type="dxa"/>
            <w:vAlign w:val="bottom"/>
            <w:gridSpan w:val="2"/>
          </w:tcPr>
          <w:p>
            <w:pPr>
              <w:spacing w:after="0"/>
              <w:rPr>
                <w:sz w:val="20"/>
                <w:szCs w:val="20"/>
                <w:color w:val="auto"/>
              </w:rPr>
            </w:pPr>
            <w:r>
              <w:rPr>
                <w:rFonts w:ascii="Arial" w:cs="Arial" w:eastAsia="Arial" w:hAnsi="Arial"/>
                <w:sz w:val="20"/>
                <w:szCs w:val="20"/>
                <w:b w:val="1"/>
                <w:bCs w:val="1"/>
                <w:color w:val="auto"/>
                <w:w w:val="98"/>
              </w:rPr>
              <w:t>Violation Pattern</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81"/>
              </w:rPr>
              <w:t>as of</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7"/>
              </w:rPr>
              <w:t>Actions</w:t>
            </w:r>
          </w:p>
        </w:tc>
        <w:tc>
          <w:tcPr>
            <w:tcW w:w="820" w:type="dxa"/>
            <w:vAlign w:val="bottom"/>
            <w:gridSpan w:val="2"/>
          </w:tcPr>
          <w:p>
            <w:pPr>
              <w:jc w:val="center"/>
              <w:ind w:right="20"/>
              <w:spacing w:after="0"/>
              <w:rPr>
                <w:sz w:val="20"/>
                <w:szCs w:val="20"/>
                <w:color w:val="auto"/>
              </w:rPr>
            </w:pPr>
            <w:r>
              <w:rPr>
                <w:rFonts w:ascii="Arial" w:cs="Arial" w:eastAsia="Arial" w:hAnsi="Arial"/>
                <w:sz w:val="20"/>
                <w:szCs w:val="20"/>
                <w:b w:val="1"/>
                <w:bCs w:val="1"/>
                <w:color w:val="auto"/>
                <w:w w:val="87"/>
              </w:rPr>
              <w:t>Actions</w:t>
            </w: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20" w:type="dxa"/>
            <w:vAlign w:val="bottom"/>
            <w:gridSpan w:val="3"/>
          </w:tcPr>
          <w:p>
            <w:pPr>
              <w:ind w:left="80"/>
              <w:spacing w:after="0"/>
              <w:rPr>
                <w:sz w:val="20"/>
                <w:szCs w:val="20"/>
                <w:color w:val="auto"/>
              </w:rPr>
            </w:pPr>
            <w:r>
              <w:rPr>
                <w:rFonts w:ascii="Arial" w:cs="Arial" w:eastAsia="Arial" w:hAnsi="Arial"/>
                <w:sz w:val="20"/>
                <w:szCs w:val="20"/>
                <w:b w:val="1"/>
                <w:bCs w:val="1"/>
                <w:color w:val="auto"/>
                <w:w w:val="87"/>
              </w:rPr>
              <w:t>Section Section Citations</w:t>
            </w:r>
          </w:p>
        </w:tc>
        <w:tc>
          <w:tcPr>
            <w:tcW w:w="820" w:type="dxa"/>
            <w:vAlign w:val="bottom"/>
          </w:tcPr>
          <w:p>
            <w:pPr>
              <w:ind w:left="120"/>
              <w:spacing w:after="0"/>
              <w:rPr>
                <w:sz w:val="20"/>
                <w:szCs w:val="20"/>
                <w:color w:val="auto"/>
              </w:rPr>
            </w:pPr>
            <w:r>
              <w:rPr>
                <w:rFonts w:ascii="Arial" w:cs="Arial" w:eastAsia="Arial" w:hAnsi="Arial"/>
                <w:sz w:val="20"/>
                <w:szCs w:val="20"/>
                <w:b w:val="1"/>
                <w:bCs w:val="1"/>
                <w:color w:val="auto"/>
                <w:w w:val="94"/>
              </w:rPr>
              <w:t>Section</w:t>
            </w:r>
          </w:p>
        </w:tc>
        <w:tc>
          <w:tcPr>
            <w:tcW w:w="680" w:type="dxa"/>
            <w:vAlign w:val="bottom"/>
          </w:tcPr>
          <w:p>
            <w:pPr>
              <w:ind w:left="60"/>
              <w:spacing w:after="0"/>
              <w:rPr>
                <w:sz w:val="20"/>
                <w:szCs w:val="20"/>
                <w:color w:val="auto"/>
              </w:rPr>
            </w:pPr>
            <w:r>
              <w:rPr>
                <w:rFonts w:ascii="Arial" w:cs="Arial" w:eastAsia="Arial" w:hAnsi="Arial"/>
                <w:sz w:val="20"/>
                <w:szCs w:val="20"/>
                <w:b w:val="1"/>
                <w:bCs w:val="1"/>
                <w:color w:val="auto"/>
                <w:w w:val="82"/>
              </w:rPr>
              <w:t>Section</w:t>
            </w:r>
          </w:p>
        </w:tc>
        <w:tc>
          <w:tcPr>
            <w:tcW w:w="140" w:type="dxa"/>
            <w:vAlign w:val="bottom"/>
          </w:tcPr>
          <w:p>
            <w:pPr>
              <w:spacing w:after="0"/>
              <w:rPr>
                <w:sz w:val="19"/>
                <w:szCs w:val="19"/>
                <w:color w:val="auto"/>
              </w:rPr>
            </w:pPr>
          </w:p>
        </w:tc>
        <w:tc>
          <w:tcPr>
            <w:tcW w:w="1060" w:type="dxa"/>
            <w:vAlign w:val="bottom"/>
          </w:tcPr>
          <w:p>
            <w:pPr>
              <w:jc w:val="center"/>
              <w:ind w:right="101"/>
              <w:spacing w:after="0"/>
              <w:rPr>
                <w:sz w:val="20"/>
                <w:szCs w:val="20"/>
                <w:color w:val="auto"/>
              </w:rPr>
            </w:pPr>
            <w:r>
              <w:rPr>
                <w:rFonts w:ascii="Arial" w:cs="Arial" w:eastAsia="Arial" w:hAnsi="Arial"/>
                <w:sz w:val="20"/>
                <w:szCs w:val="20"/>
                <w:b w:val="1"/>
                <w:bCs w:val="1"/>
                <w:color w:val="auto"/>
                <w:w w:val="89"/>
              </w:rPr>
              <w:t>Value of</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6"/>
              </w:rPr>
              <w:t>Mining</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3"/>
              </w:rPr>
              <w:t>Under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under</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92"/>
              </w:rPr>
              <w:t>Last</w:t>
            </w:r>
          </w:p>
        </w:tc>
        <w:tc>
          <w:tcPr>
            <w:tcW w:w="1660" w:type="dxa"/>
            <w:vAlign w:val="bottom"/>
            <w:gridSpan w:val="3"/>
          </w:tcPr>
          <w:p>
            <w:pPr>
              <w:ind w:left="20"/>
              <w:spacing w:after="0"/>
              <w:rPr>
                <w:sz w:val="20"/>
                <w:szCs w:val="20"/>
                <w:color w:val="auto"/>
              </w:rPr>
            </w:pPr>
            <w:r>
              <w:rPr>
                <w:rFonts w:ascii="Arial" w:cs="Arial" w:eastAsia="Arial" w:hAnsi="Arial"/>
                <w:sz w:val="20"/>
                <w:szCs w:val="20"/>
                <w:b w:val="1"/>
                <w:bCs w:val="1"/>
                <w:color w:val="auto"/>
                <w:w w:val="87"/>
              </w:rPr>
              <w:t>Instituted Resolved</w:t>
            </w: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20"/>
                <w:szCs w:val="20"/>
                <w:b w:val="1"/>
                <w:bCs w:val="1"/>
                <w:color w:val="auto"/>
                <w:w w:val="98"/>
              </w:rPr>
              <w:t>104 S&amp;S 104(b)</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and</w:t>
            </w:r>
          </w:p>
        </w:tc>
        <w:tc>
          <w:tcPr>
            <w:tcW w:w="1500" w:type="dxa"/>
            <w:vAlign w:val="bottom"/>
            <w:gridSpan w:val="2"/>
          </w:tcPr>
          <w:p>
            <w:pPr>
              <w:ind w:left="60"/>
              <w:spacing w:after="0"/>
              <w:rPr>
                <w:sz w:val="20"/>
                <w:szCs w:val="20"/>
                <w:color w:val="auto"/>
              </w:rPr>
            </w:pPr>
            <w:r>
              <w:rPr>
                <w:rFonts w:ascii="Arial" w:cs="Arial" w:eastAsia="Arial" w:hAnsi="Arial"/>
                <w:sz w:val="20"/>
                <w:szCs w:val="20"/>
                <w:b w:val="1"/>
                <w:bCs w:val="1"/>
                <w:color w:val="auto"/>
                <w:w w:val="96"/>
              </w:rPr>
              <w:t>110(b)(2) 107(a)</w:t>
            </w:r>
          </w:p>
        </w:tc>
        <w:tc>
          <w:tcPr>
            <w:tcW w:w="140" w:type="dxa"/>
            <w:vAlign w:val="bottom"/>
          </w:tcPr>
          <w:p>
            <w:pPr>
              <w:spacing w:after="0"/>
              <w:rPr>
                <w:sz w:val="19"/>
                <w:szCs w:val="19"/>
                <w:color w:val="auto"/>
              </w:rPr>
            </w:pPr>
          </w:p>
        </w:tc>
        <w:tc>
          <w:tcPr>
            <w:tcW w:w="1060" w:type="dxa"/>
            <w:vAlign w:val="bottom"/>
          </w:tcPr>
          <w:p>
            <w:pPr>
              <w:jc w:val="center"/>
              <w:ind w:right="101"/>
              <w:spacing w:after="0"/>
              <w:rPr>
                <w:sz w:val="20"/>
                <w:szCs w:val="20"/>
                <w:color w:val="auto"/>
              </w:rPr>
            </w:pPr>
            <w:r>
              <w:rPr>
                <w:rFonts w:ascii="Arial" w:cs="Arial" w:eastAsia="Arial" w:hAnsi="Arial"/>
                <w:sz w:val="20"/>
                <w:szCs w:val="20"/>
                <w:b w:val="1"/>
                <w:bCs w:val="1"/>
                <w:color w:val="auto"/>
                <w:w w:val="98"/>
              </w:rPr>
              <w:t>MSHA</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8"/>
              </w:rPr>
              <w:t>Related</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91"/>
              </w:rPr>
              <w:t>Day of</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3"/>
              </w:rPr>
              <w:t>During</w:t>
            </w:r>
          </w:p>
        </w:tc>
        <w:tc>
          <w:tcPr>
            <w:tcW w:w="820" w:type="dxa"/>
            <w:vAlign w:val="bottom"/>
            <w:gridSpan w:val="2"/>
          </w:tcPr>
          <w:p>
            <w:pPr>
              <w:jc w:val="center"/>
              <w:ind w:right="20"/>
              <w:spacing w:after="0"/>
              <w:rPr>
                <w:sz w:val="20"/>
                <w:szCs w:val="20"/>
                <w:color w:val="auto"/>
              </w:rPr>
            </w:pPr>
            <w:r>
              <w:rPr>
                <w:rFonts w:ascii="Arial" w:cs="Arial" w:eastAsia="Arial" w:hAnsi="Arial"/>
                <w:sz w:val="20"/>
                <w:szCs w:val="20"/>
                <w:b w:val="1"/>
                <w:bCs w:val="1"/>
                <w:color w:val="auto"/>
                <w:w w:val="93"/>
              </w:rPr>
              <w:t>During</w:t>
            </w:r>
          </w:p>
        </w:tc>
      </w:tr>
      <w:tr>
        <w:trPr>
          <w:trHeight w:val="230"/>
        </w:trPr>
        <w:tc>
          <w:tcPr>
            <w:tcW w:w="1000" w:type="dxa"/>
            <w:vAlign w:val="bottom"/>
          </w:tcPr>
          <w:p>
            <w:pPr>
              <w:spacing w:after="0"/>
              <w:rPr>
                <w:sz w:val="19"/>
                <w:szCs w:val="19"/>
                <w:color w:val="auto"/>
              </w:rPr>
            </w:pPr>
          </w:p>
        </w:tc>
        <w:tc>
          <w:tcPr>
            <w:tcW w:w="2180" w:type="dxa"/>
            <w:vAlign w:val="bottom"/>
            <w:gridSpan w:val="3"/>
          </w:tcPr>
          <w:p>
            <w:pPr>
              <w:ind w:left="60"/>
              <w:spacing w:after="0"/>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Orders</w:t>
            </w:r>
          </w:p>
        </w:tc>
        <w:tc>
          <w:tcPr>
            <w:tcW w:w="3520" w:type="dxa"/>
            <w:vAlign w:val="bottom"/>
            <w:gridSpan w:val="5"/>
          </w:tcPr>
          <w:p>
            <w:pPr>
              <w:ind w:left="20"/>
              <w:spacing w:after="0"/>
              <w:rPr>
                <w:sz w:val="20"/>
                <w:szCs w:val="20"/>
                <w:color w:val="auto"/>
              </w:rPr>
            </w:pPr>
            <w:r>
              <w:rPr>
                <w:rFonts w:ascii="Arial" w:cs="Arial" w:eastAsia="Arial" w:hAnsi="Arial"/>
                <w:sz w:val="20"/>
                <w:szCs w:val="20"/>
                <w:b w:val="1"/>
                <w:bCs w:val="1"/>
                <w:color w:val="auto"/>
                <w:w w:val="87"/>
              </w:rPr>
              <w:t>Violations Orders Assessment/$ Fatalities</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6"/>
              </w:rPr>
              <w:t>104(e)</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20" w:type="dxa"/>
            <w:vAlign w:val="bottom"/>
            <w:gridSpan w:val="2"/>
          </w:tcPr>
          <w:p>
            <w:pPr>
              <w:jc w:val="center"/>
              <w:ind w:right="20"/>
              <w:spacing w:after="0"/>
              <w:rPr>
                <w:sz w:val="20"/>
                <w:szCs w:val="20"/>
                <w:color w:val="auto"/>
              </w:rPr>
            </w:pPr>
            <w:r>
              <w:rPr>
                <w:rFonts w:ascii="Arial" w:cs="Arial" w:eastAsia="Arial" w:hAnsi="Arial"/>
                <w:sz w:val="20"/>
                <w:szCs w:val="20"/>
                <w:b w:val="1"/>
                <w:bCs w:val="1"/>
                <w:color w:val="auto"/>
                <w:w w:val="89"/>
              </w:rPr>
              <w:t>Period</w:t>
            </w:r>
          </w:p>
        </w:tc>
      </w:tr>
      <w:tr>
        <w:trPr>
          <w:trHeight w:val="252"/>
        </w:trPr>
        <w:tc>
          <w:tcPr>
            <w:tcW w:w="1000" w:type="dxa"/>
            <w:vAlign w:val="bottom"/>
          </w:tcPr>
          <w:p>
            <w:pPr>
              <w:ind w:left="120"/>
              <w:spacing w:after="0"/>
              <w:rPr>
                <w:sz w:val="20"/>
                <w:szCs w:val="20"/>
                <w:color w:val="auto"/>
              </w:rPr>
            </w:pPr>
            <w:r>
              <w:rPr>
                <w:rFonts w:ascii="Arial" w:cs="Arial" w:eastAsia="Arial" w:hAnsi="Arial"/>
                <w:sz w:val="20"/>
                <w:szCs w:val="20"/>
                <w:b w:val="1"/>
                <w:bCs w:val="1"/>
                <w:color w:val="auto"/>
              </w:rPr>
              <w:t>Location</w:t>
            </w:r>
          </w:p>
        </w:tc>
        <w:tc>
          <w:tcPr>
            <w:tcW w:w="720" w:type="dxa"/>
            <w:vAlign w:val="bottom"/>
          </w:tcPr>
          <w:p>
            <w:pPr>
              <w:jc w:val="right"/>
              <w:ind w:right="161"/>
              <w:spacing w:after="0"/>
              <w:rPr>
                <w:sz w:val="20"/>
                <w:szCs w:val="20"/>
                <w:color w:val="auto"/>
              </w:rPr>
            </w:pPr>
            <w:r>
              <w:rPr>
                <w:rFonts w:ascii="Arial" w:cs="Arial" w:eastAsia="Arial" w:hAnsi="Arial"/>
                <w:sz w:val="20"/>
                <w:szCs w:val="20"/>
                <w:b w:val="1"/>
                <w:bCs w:val="1"/>
                <w:color w:val="auto"/>
              </w:rPr>
              <w:t>ID</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140" w:type="dxa"/>
            <w:vAlign w:val="bottom"/>
          </w:tcPr>
          <w:p>
            <w:pPr>
              <w:spacing w:after="0"/>
              <w:rPr>
                <w:sz w:val="21"/>
                <w:szCs w:val="21"/>
                <w:color w:val="auto"/>
              </w:rPr>
            </w:pPr>
          </w:p>
        </w:tc>
        <w:tc>
          <w:tcPr>
            <w:tcW w:w="1060" w:type="dxa"/>
            <w:vAlign w:val="bottom"/>
          </w:tcPr>
          <w:p>
            <w:pPr>
              <w:jc w:val="center"/>
              <w:ind w:right="101"/>
              <w:spacing w:after="0"/>
              <w:rPr>
                <w:sz w:val="20"/>
                <w:szCs w:val="20"/>
                <w:color w:val="auto"/>
              </w:rPr>
            </w:pPr>
            <w:r>
              <w:rPr>
                <w:rFonts w:ascii="Arial" w:cs="Arial" w:eastAsia="Arial" w:hAnsi="Arial"/>
                <w:sz w:val="20"/>
                <w:szCs w:val="20"/>
                <w:b w:val="1"/>
                <w:bCs w:val="1"/>
                <w:color w:val="auto"/>
                <w:w w:val="84"/>
              </w:rPr>
              <w:t>Proposed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Alexander</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BN5</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American</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20"/>
                <w:szCs w:val="20"/>
                <w:color w:val="auto"/>
              </w:rPr>
              <w:t>Stone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3100189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Anderson</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Creek</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4402963</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Arrowood</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3100059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Asheboro</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3100066</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Bakers</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3100071</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Belgrade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3100064</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Benson</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3101979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Berkeley</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3800072</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Bessemer</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720" w:type="dxa"/>
            <w:vAlign w:val="bottom"/>
            <w:gridSpan w:val="2"/>
          </w:tcPr>
          <w:p>
            <w:pPr>
              <w:spacing w:after="0"/>
              <w:rPr>
                <w:sz w:val="20"/>
                <w:szCs w:val="20"/>
                <w:color w:val="auto"/>
              </w:rPr>
            </w:pPr>
            <w:r>
              <w:rPr>
                <w:rFonts w:ascii="Arial" w:cs="Arial" w:eastAsia="Arial" w:hAnsi="Arial"/>
                <w:sz w:val="20"/>
                <w:szCs w:val="20"/>
                <w:color w:val="auto"/>
                <w:w w:val="92"/>
              </w:rPr>
              <w:t>City Quarry 3101105</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Black</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Ankle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3102220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Bonds</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Gravel Pit</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3101963</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Boonsboro</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1800024</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Burlington</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3100042</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Caldwell</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3101869</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Castle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20"/>
                <w:szCs w:val="20"/>
                <w:color w:val="auto"/>
              </w:rPr>
              <w:t>Hayne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3100063</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Cayce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3800016</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Central</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20"/>
                <w:szCs w:val="20"/>
                <w:color w:val="auto"/>
              </w:rPr>
              <w:t>Rock</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3100050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Charlotte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3100057</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Clarks</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3102009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89"/>
              </w:rPr>
              <w:t>Cumberland</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3102237</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43"/>
        </w:trPr>
        <w:tc>
          <w:tcPr>
            <w:tcW w:w="1000" w:type="dxa"/>
            <w:vAlign w:val="bottom"/>
          </w:tcPr>
          <w:p>
            <w:pPr>
              <w:spacing w:after="0"/>
              <w:rPr>
                <w:sz w:val="20"/>
                <w:szCs w:val="20"/>
                <w:color w:val="auto"/>
              </w:rPr>
            </w:pPr>
            <w:r>
              <w:rPr>
                <w:rFonts w:ascii="Arial" w:cs="Arial" w:eastAsia="Arial" w:hAnsi="Arial"/>
                <w:sz w:val="20"/>
                <w:szCs w:val="20"/>
                <w:color w:val="auto"/>
              </w:rPr>
              <w:t>Denver</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3101971</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Doswell</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4400045</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2</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East</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20"/>
                <w:szCs w:val="20"/>
                <w:color w:val="auto"/>
              </w:rPr>
              <w:t>Alamance</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3102021</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20" w:type="dxa"/>
            <w:vAlign w:val="bottom"/>
          </w:tcPr>
          <w:p>
            <w:pPr>
              <w:spacing w:after="0"/>
              <w:rPr>
                <w:sz w:val="21"/>
                <w:szCs w:val="21"/>
                <w:color w:val="auto"/>
              </w:rPr>
            </w:pPr>
          </w:p>
        </w:tc>
      </w:tr>
      <w:tr>
        <w:trPr>
          <w:trHeight w:val="759"/>
        </w:trPr>
        <w:tc>
          <w:tcPr>
            <w:tcW w:w="10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778"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1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Fountain Quarry</w:t>
            </w:r>
          </w:p>
        </w:tc>
        <w:tc>
          <w:tcPr>
            <w:tcW w:w="9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5"/>
              </w:rPr>
              <w:t>3100065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Arial" w:cs="Arial" w:eastAsia="Arial" w:hAnsi="Arial"/>
                <w:sz w:val="20"/>
                <w:szCs w:val="20"/>
                <w:color w:val="auto"/>
              </w:rPr>
              <w:t>Franklin Quarry</w:t>
            </w:r>
          </w:p>
        </w:tc>
        <w:tc>
          <w:tcPr>
            <w:tcW w:w="960" w:type="dxa"/>
            <w:vAlign w:val="bottom"/>
          </w:tcPr>
          <w:p>
            <w:pPr>
              <w:jc w:val="right"/>
              <w:ind w:right="101"/>
              <w:spacing w:after="0"/>
              <w:rPr>
                <w:sz w:val="20"/>
                <w:szCs w:val="20"/>
                <w:color w:val="auto"/>
              </w:rPr>
            </w:pPr>
            <w:r>
              <w:rPr>
                <w:rFonts w:ascii="Arial" w:cs="Arial" w:eastAsia="Arial" w:hAnsi="Arial"/>
                <w:sz w:val="20"/>
                <w:szCs w:val="20"/>
                <w:color w:val="auto"/>
                <w:w w:val="95"/>
              </w:rPr>
              <w:t>3102130</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Fuquay Quarry</w:t>
            </w:r>
          </w:p>
        </w:tc>
        <w:tc>
          <w:tcPr>
            <w:tcW w:w="9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5"/>
              </w:rPr>
              <w:t>3102055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Arial" w:cs="Arial" w:eastAsia="Arial" w:hAnsi="Arial"/>
                <w:sz w:val="20"/>
                <w:szCs w:val="20"/>
                <w:color w:val="auto"/>
              </w:rPr>
              <w:t>Garner Quarry</w:t>
            </w:r>
          </w:p>
        </w:tc>
        <w:tc>
          <w:tcPr>
            <w:tcW w:w="960" w:type="dxa"/>
            <w:vAlign w:val="bottom"/>
          </w:tcPr>
          <w:p>
            <w:pPr>
              <w:jc w:val="right"/>
              <w:ind w:right="101"/>
              <w:spacing w:after="0"/>
              <w:rPr>
                <w:sz w:val="20"/>
                <w:szCs w:val="20"/>
                <w:color w:val="auto"/>
              </w:rPr>
            </w:pPr>
            <w:r>
              <w:rPr>
                <w:rFonts w:ascii="Arial" w:cs="Arial" w:eastAsia="Arial" w:hAnsi="Arial"/>
                <w:sz w:val="20"/>
                <w:szCs w:val="20"/>
                <w:color w:val="auto"/>
                <w:w w:val="95"/>
              </w:rPr>
              <w:t>3100072</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Georgetown ll</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5"/>
              </w:rPr>
              <w:t>3800525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Arial" w:cs="Arial" w:eastAsia="Arial" w:hAnsi="Arial"/>
                <w:sz w:val="20"/>
                <w:szCs w:val="20"/>
                <w:color w:val="auto"/>
              </w:rPr>
              <w:t>Hickory Quarry</w:t>
            </w:r>
          </w:p>
        </w:tc>
        <w:tc>
          <w:tcPr>
            <w:tcW w:w="960" w:type="dxa"/>
            <w:vAlign w:val="bottom"/>
          </w:tcPr>
          <w:p>
            <w:pPr>
              <w:jc w:val="right"/>
              <w:ind w:right="101"/>
              <w:spacing w:after="0"/>
              <w:rPr>
                <w:sz w:val="20"/>
                <w:szCs w:val="20"/>
                <w:color w:val="auto"/>
              </w:rPr>
            </w:pPr>
            <w:r>
              <w:rPr>
                <w:rFonts w:ascii="Arial" w:cs="Arial" w:eastAsia="Arial" w:hAnsi="Arial"/>
                <w:sz w:val="20"/>
                <w:szCs w:val="20"/>
                <w:color w:val="auto"/>
                <w:w w:val="95"/>
              </w:rPr>
              <w:t>3100043</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Hicone Quarry</w:t>
            </w:r>
          </w:p>
        </w:tc>
        <w:tc>
          <w:tcPr>
            <w:tcW w:w="9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5"/>
              </w:rPr>
              <w:t>3102088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Arial" w:cs="Arial" w:eastAsia="Arial" w:hAnsi="Arial"/>
                <w:sz w:val="20"/>
                <w:szCs w:val="20"/>
                <w:color w:val="auto"/>
                <w:w w:val="89"/>
              </w:rPr>
              <w:t>Jamestown Quarry</w:t>
            </w:r>
          </w:p>
        </w:tc>
        <w:tc>
          <w:tcPr>
            <w:tcW w:w="960" w:type="dxa"/>
            <w:vAlign w:val="bottom"/>
          </w:tcPr>
          <w:p>
            <w:pPr>
              <w:jc w:val="right"/>
              <w:ind w:right="101"/>
              <w:spacing w:after="0"/>
              <w:rPr>
                <w:sz w:val="20"/>
                <w:szCs w:val="20"/>
                <w:color w:val="auto"/>
              </w:rPr>
            </w:pPr>
            <w:r>
              <w:rPr>
                <w:rFonts w:ascii="Arial" w:cs="Arial" w:eastAsia="Arial" w:hAnsi="Arial"/>
                <w:sz w:val="20"/>
                <w:szCs w:val="20"/>
                <w:color w:val="auto"/>
                <w:w w:val="95"/>
              </w:rPr>
              <w:t>3100051</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8"/>
              </w:rPr>
              <w:t>Kannapolis Quarry 3100070</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20" w:type="dxa"/>
            <w:vAlign w:val="bottom"/>
          </w:tcPr>
          <w:p>
            <w:pPr>
              <w:spacing w:after="0" w:line="227" w:lineRule="exact"/>
              <w:rPr>
                <w:sz w:val="20"/>
                <w:szCs w:val="20"/>
                <w:color w:val="auto"/>
              </w:rPr>
            </w:pPr>
            <w:r>
              <w:rPr>
                <w:rFonts w:ascii="Arial" w:cs="Arial" w:eastAsia="Arial" w:hAnsi="Arial"/>
                <w:sz w:val="20"/>
                <w:szCs w:val="20"/>
                <w:color w:val="auto"/>
              </w:rPr>
              <w:t>Kings Mountain</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4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60" w:type="dxa"/>
            <w:vAlign w:val="bottom"/>
          </w:tcPr>
          <w:p>
            <w:pPr>
              <w:jc w:val="right"/>
              <w:ind w:right="101"/>
              <w:spacing w:after="0"/>
              <w:rPr>
                <w:sz w:val="20"/>
                <w:szCs w:val="20"/>
                <w:color w:val="auto"/>
              </w:rPr>
            </w:pPr>
            <w:r>
              <w:rPr>
                <w:rFonts w:ascii="Arial" w:cs="Arial" w:eastAsia="Arial" w:hAnsi="Arial"/>
                <w:sz w:val="20"/>
                <w:szCs w:val="20"/>
                <w:color w:val="auto"/>
                <w:w w:val="95"/>
              </w:rPr>
              <w:t>3100047</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Lemon Springs</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5"/>
              </w:rPr>
              <w:t>3101104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20" w:type="dxa"/>
            <w:vAlign w:val="bottom"/>
          </w:tcPr>
          <w:p>
            <w:pPr>
              <w:spacing w:after="0" w:line="227" w:lineRule="exact"/>
              <w:rPr>
                <w:sz w:val="20"/>
                <w:szCs w:val="20"/>
                <w:color w:val="auto"/>
              </w:rPr>
            </w:pPr>
            <w:r>
              <w:rPr>
                <w:rFonts w:ascii="Arial" w:cs="Arial" w:eastAsia="Arial" w:hAnsi="Arial"/>
                <w:sz w:val="20"/>
                <w:szCs w:val="20"/>
                <w:color w:val="auto"/>
                <w:w w:val="99"/>
              </w:rPr>
              <w:t>Loamy Sand and</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40" w:type="dxa"/>
            <w:vAlign w:val="bottom"/>
            <w:gridSpan w:val="2"/>
          </w:tcPr>
          <w:p>
            <w:pPr>
              <w:spacing w:after="0"/>
              <w:rPr>
                <w:sz w:val="20"/>
                <w:szCs w:val="20"/>
                <w:color w:val="auto"/>
              </w:rPr>
            </w:pPr>
            <w:r>
              <w:rPr>
                <w:rFonts w:ascii="Arial" w:cs="Arial" w:eastAsia="Arial" w:hAnsi="Arial"/>
                <w:sz w:val="20"/>
                <w:szCs w:val="20"/>
                <w:color w:val="auto"/>
              </w:rPr>
              <w:t>Gravel</w:t>
            </w:r>
          </w:p>
        </w:tc>
        <w:tc>
          <w:tcPr>
            <w:tcW w:w="960" w:type="dxa"/>
            <w:vAlign w:val="bottom"/>
          </w:tcPr>
          <w:p>
            <w:pPr>
              <w:jc w:val="right"/>
              <w:ind w:right="101"/>
              <w:spacing w:after="0"/>
              <w:rPr>
                <w:sz w:val="20"/>
                <w:szCs w:val="20"/>
                <w:color w:val="auto"/>
              </w:rPr>
            </w:pPr>
            <w:r>
              <w:rPr>
                <w:rFonts w:ascii="Arial" w:cs="Arial" w:eastAsia="Arial" w:hAnsi="Arial"/>
                <w:sz w:val="20"/>
                <w:szCs w:val="20"/>
                <w:color w:val="auto"/>
                <w:w w:val="95"/>
              </w:rPr>
              <w:t>3800721</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Maiden Quarry</w:t>
            </w:r>
          </w:p>
        </w:tc>
        <w:tc>
          <w:tcPr>
            <w:tcW w:w="9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5"/>
              </w:rPr>
              <w:t>3102125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20" w:type="dxa"/>
            <w:vAlign w:val="bottom"/>
          </w:tcPr>
          <w:p>
            <w:pPr>
              <w:spacing w:after="0" w:line="227" w:lineRule="exact"/>
              <w:rPr>
                <w:sz w:val="20"/>
                <w:szCs w:val="20"/>
                <w:color w:val="auto"/>
              </w:rPr>
            </w:pPr>
            <w:r>
              <w:rPr>
                <w:rFonts w:ascii="Arial" w:cs="Arial" w:eastAsia="Arial" w:hAnsi="Arial"/>
                <w:sz w:val="20"/>
                <w:szCs w:val="20"/>
                <w:color w:val="auto"/>
              </w:rPr>
              <w:t>Mallard Creek</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4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60" w:type="dxa"/>
            <w:vAlign w:val="bottom"/>
          </w:tcPr>
          <w:p>
            <w:pPr>
              <w:jc w:val="right"/>
              <w:ind w:right="101"/>
              <w:spacing w:after="0"/>
              <w:rPr>
                <w:sz w:val="20"/>
                <w:szCs w:val="20"/>
                <w:color w:val="auto"/>
              </w:rPr>
            </w:pPr>
            <w:r>
              <w:rPr>
                <w:rFonts w:ascii="Arial" w:cs="Arial" w:eastAsia="Arial" w:hAnsi="Arial"/>
                <w:sz w:val="20"/>
                <w:szCs w:val="20"/>
                <w:color w:val="auto"/>
                <w:w w:val="95"/>
              </w:rPr>
              <w:t>3102006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w w:val="98"/>
              </w:rPr>
              <w:t>Matthews Quarry</w:t>
            </w:r>
          </w:p>
        </w:tc>
        <w:tc>
          <w:tcPr>
            <w:tcW w:w="9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5"/>
              </w:rPr>
              <w:t>3102084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2"/>
          </w:tcPr>
          <w:p>
            <w:pPr>
              <w:spacing w:after="0"/>
              <w:rPr>
                <w:sz w:val="20"/>
                <w:szCs w:val="20"/>
                <w:color w:val="auto"/>
              </w:rPr>
            </w:pPr>
            <w:r>
              <w:rPr>
                <w:rFonts w:ascii="Arial" w:cs="Arial" w:eastAsia="Arial" w:hAnsi="Arial"/>
                <w:sz w:val="20"/>
                <w:szCs w:val="20"/>
                <w:color w:val="auto"/>
              </w:rPr>
              <w:t>Midlothian Quarry 4403767</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North Columbia</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5"/>
              </w:rPr>
              <w:t>3800146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Arial" w:cs="Arial" w:eastAsia="Arial" w:hAnsi="Arial"/>
                <w:sz w:val="20"/>
                <w:szCs w:val="20"/>
                <w:color w:val="auto"/>
              </w:rPr>
              <w:t>Onslow Quarry</w:t>
            </w:r>
          </w:p>
        </w:tc>
        <w:tc>
          <w:tcPr>
            <w:tcW w:w="960" w:type="dxa"/>
            <w:vAlign w:val="bottom"/>
          </w:tcPr>
          <w:p>
            <w:pPr>
              <w:jc w:val="right"/>
              <w:ind w:right="101"/>
              <w:spacing w:after="0"/>
              <w:rPr>
                <w:sz w:val="20"/>
                <w:szCs w:val="20"/>
                <w:color w:val="auto"/>
              </w:rPr>
            </w:pPr>
            <w:r>
              <w:rPr>
                <w:rFonts w:ascii="Arial" w:cs="Arial" w:eastAsia="Arial" w:hAnsi="Arial"/>
                <w:sz w:val="20"/>
                <w:szCs w:val="20"/>
                <w:color w:val="auto"/>
                <w:w w:val="95"/>
              </w:rPr>
              <w:t>3102120</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Pinesburg</w:t>
            </w:r>
          </w:p>
        </w:tc>
        <w:tc>
          <w:tcPr>
            <w:tcW w:w="9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5"/>
              </w:rPr>
              <w:t>1800021</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305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Arial" w:cs="Arial" w:eastAsia="Arial" w:hAnsi="Arial"/>
                <w:sz w:val="20"/>
                <w:szCs w:val="20"/>
                <w:color w:val="auto"/>
              </w:rPr>
              <w:t>Pomona Quarry</w:t>
            </w:r>
          </w:p>
        </w:tc>
        <w:tc>
          <w:tcPr>
            <w:tcW w:w="960" w:type="dxa"/>
            <w:vAlign w:val="bottom"/>
          </w:tcPr>
          <w:p>
            <w:pPr>
              <w:jc w:val="right"/>
              <w:ind w:right="101"/>
              <w:spacing w:after="0"/>
              <w:rPr>
                <w:sz w:val="20"/>
                <w:szCs w:val="20"/>
                <w:color w:val="auto"/>
              </w:rPr>
            </w:pPr>
            <w:r>
              <w:rPr>
                <w:rFonts w:ascii="Arial" w:cs="Arial" w:eastAsia="Arial" w:hAnsi="Arial"/>
                <w:sz w:val="20"/>
                <w:szCs w:val="20"/>
                <w:color w:val="auto"/>
                <w:w w:val="95"/>
              </w:rPr>
              <w:t>3100052</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Raleigh Durham</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5"/>
              </w:rPr>
              <w:t>3101941</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Arial" w:cs="Arial" w:eastAsia="Arial" w:hAnsi="Arial"/>
                <w:sz w:val="20"/>
                <w:szCs w:val="20"/>
                <w:color w:val="auto"/>
              </w:rPr>
              <w:t>Red Hill Quarry</w:t>
            </w:r>
          </w:p>
        </w:tc>
        <w:tc>
          <w:tcPr>
            <w:tcW w:w="960" w:type="dxa"/>
            <w:vAlign w:val="bottom"/>
          </w:tcPr>
          <w:p>
            <w:pPr>
              <w:jc w:val="right"/>
              <w:ind w:right="101"/>
              <w:spacing w:after="0"/>
              <w:rPr>
                <w:sz w:val="20"/>
                <w:szCs w:val="20"/>
                <w:color w:val="auto"/>
              </w:rPr>
            </w:pPr>
            <w:r>
              <w:rPr>
                <w:rFonts w:ascii="Arial" w:cs="Arial" w:eastAsia="Arial" w:hAnsi="Arial"/>
                <w:sz w:val="20"/>
                <w:szCs w:val="20"/>
                <w:color w:val="auto"/>
                <w:w w:val="95"/>
              </w:rPr>
              <w:t>4400072</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w w:val="98"/>
              </w:rPr>
              <w:t>Reidsville Quarry</w:t>
            </w:r>
          </w:p>
        </w:tc>
        <w:tc>
          <w:tcPr>
            <w:tcW w:w="9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5"/>
              </w:rPr>
              <w:t>3100068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Arial" w:cs="Arial" w:eastAsia="Arial" w:hAnsi="Arial"/>
                <w:sz w:val="20"/>
                <w:szCs w:val="20"/>
                <w:color w:val="auto"/>
              </w:rPr>
              <w:t>Rock Hill Quarry</w:t>
            </w:r>
          </w:p>
        </w:tc>
        <w:tc>
          <w:tcPr>
            <w:tcW w:w="960" w:type="dxa"/>
            <w:vAlign w:val="bottom"/>
          </w:tcPr>
          <w:p>
            <w:pPr>
              <w:jc w:val="right"/>
              <w:ind w:right="101"/>
              <w:spacing w:after="0"/>
              <w:rPr>
                <w:sz w:val="20"/>
                <w:szCs w:val="20"/>
                <w:color w:val="auto"/>
              </w:rPr>
            </w:pPr>
            <w:r>
              <w:rPr>
                <w:rFonts w:ascii="Arial" w:cs="Arial" w:eastAsia="Arial" w:hAnsi="Arial"/>
                <w:sz w:val="20"/>
                <w:szCs w:val="20"/>
                <w:color w:val="auto"/>
                <w:w w:val="95"/>
              </w:rPr>
              <w:t>3800026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Rocky Point</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5"/>
              </w:rPr>
              <w:t>3101956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232</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20" w:type="dxa"/>
            <w:vAlign w:val="bottom"/>
          </w:tcPr>
          <w:p>
            <w:pPr>
              <w:spacing w:after="0" w:line="227" w:lineRule="exact"/>
              <w:rPr>
                <w:sz w:val="20"/>
                <w:szCs w:val="20"/>
                <w:color w:val="auto"/>
              </w:rPr>
            </w:pPr>
            <w:r>
              <w:rPr>
                <w:rFonts w:ascii="Arial" w:cs="Arial" w:eastAsia="Arial" w:hAnsi="Arial"/>
                <w:sz w:val="20"/>
                <w:szCs w:val="20"/>
                <w:color w:val="auto"/>
              </w:rPr>
              <w:t>Salem Stone</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40" w:type="dxa"/>
            <w:vAlign w:val="bottom"/>
            <w:gridSpan w:val="2"/>
          </w:tcPr>
          <w:p>
            <w:pPr>
              <w:spacing w:after="0"/>
              <w:rPr>
                <w:sz w:val="20"/>
                <w:szCs w:val="20"/>
                <w:color w:val="auto"/>
              </w:rPr>
            </w:pPr>
            <w:r>
              <w:rPr>
                <w:rFonts w:ascii="Arial" w:cs="Arial" w:eastAsia="Arial" w:hAnsi="Arial"/>
                <w:sz w:val="20"/>
                <w:szCs w:val="20"/>
                <w:color w:val="auto"/>
              </w:rPr>
              <w:t>Company</w:t>
            </w:r>
          </w:p>
        </w:tc>
        <w:tc>
          <w:tcPr>
            <w:tcW w:w="960" w:type="dxa"/>
            <w:vAlign w:val="bottom"/>
          </w:tcPr>
          <w:p>
            <w:pPr>
              <w:jc w:val="right"/>
              <w:ind w:right="101"/>
              <w:spacing w:after="0"/>
              <w:rPr>
                <w:sz w:val="20"/>
                <w:szCs w:val="20"/>
                <w:color w:val="auto"/>
              </w:rPr>
            </w:pPr>
            <w:r>
              <w:rPr>
                <w:rFonts w:ascii="Arial" w:cs="Arial" w:eastAsia="Arial" w:hAnsi="Arial"/>
                <w:sz w:val="20"/>
                <w:szCs w:val="20"/>
                <w:color w:val="auto"/>
                <w:w w:val="95"/>
              </w:rPr>
              <w:t>3102038</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w w:val="95"/>
              </w:rPr>
              <w:t>Statesville Quarry</w:t>
            </w:r>
          </w:p>
        </w:tc>
        <w:tc>
          <w:tcPr>
            <w:tcW w:w="9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5"/>
              </w:rPr>
              <w:t>3100055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20" w:type="dxa"/>
            <w:vAlign w:val="bottom"/>
          </w:tcPr>
          <w:p>
            <w:pPr>
              <w:spacing w:after="0" w:line="227" w:lineRule="exact"/>
              <w:rPr>
                <w:sz w:val="20"/>
                <w:szCs w:val="20"/>
                <w:color w:val="auto"/>
              </w:rPr>
            </w:pPr>
            <w:r>
              <w:rPr>
                <w:rFonts w:ascii="Arial" w:cs="Arial" w:eastAsia="Arial" w:hAnsi="Arial"/>
                <w:sz w:val="20"/>
                <w:szCs w:val="20"/>
                <w:color w:val="auto"/>
              </w:rPr>
              <w:t>Thomasville</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54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60" w:type="dxa"/>
            <w:vAlign w:val="bottom"/>
          </w:tcPr>
          <w:p>
            <w:pPr>
              <w:jc w:val="right"/>
              <w:ind w:right="101"/>
              <w:spacing w:after="0"/>
              <w:rPr>
                <w:sz w:val="20"/>
                <w:szCs w:val="20"/>
                <w:color w:val="auto"/>
              </w:rPr>
            </w:pPr>
            <w:r>
              <w:rPr>
                <w:rFonts w:ascii="Arial" w:cs="Arial" w:eastAsia="Arial" w:hAnsi="Arial"/>
                <w:sz w:val="20"/>
                <w:szCs w:val="20"/>
                <w:color w:val="auto"/>
                <w:w w:val="95"/>
              </w:rPr>
              <w:t>3101475</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9"/>
        </w:trPr>
        <w:tc>
          <w:tcPr>
            <w:tcW w:w="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Wilmington Sand</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3101308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rPr>
              <w:t>Woodleaf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3100069</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(45) North</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Indianapolis</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SURFACE</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1200002</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560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rPr>
              <w:t>Apple Grove</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3301676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Belmont Sand</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1201911</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rPr>
              <w:t>Burning Springs</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4608862</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116</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Carmel SandG</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1202124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rPr>
              <w:t>Cedarville</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3304072</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Cloverdale</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1201744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rPr>
              <w:t>Cook Road</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3304534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E-Town SandG</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3304279</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rPr>
              <w:t>Fairfield</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3301396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Franklin Gravel</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3302940</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40" w:type="dxa"/>
            <w:vAlign w:val="bottom"/>
          </w:tcPr>
          <w:p>
            <w:pPr>
              <w:spacing w:after="0" w:line="227" w:lineRule="exact"/>
              <w:rPr>
                <w:sz w:val="20"/>
                <w:szCs w:val="20"/>
                <w:color w:val="auto"/>
              </w:rPr>
            </w:pPr>
            <w:r>
              <w:rPr>
                <w:rFonts w:ascii="Arial" w:cs="Arial" w:eastAsia="Arial" w:hAnsi="Arial"/>
                <w:sz w:val="20"/>
                <w:szCs w:val="20"/>
                <w:color w:val="auto"/>
              </w:rPr>
              <w:t>Kentucky Ave</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60" w:type="dxa"/>
            <w:vAlign w:val="bottom"/>
            <w:gridSpan w:val="2"/>
          </w:tcPr>
          <w:p>
            <w:pPr>
              <w:spacing w:after="0"/>
              <w:rPr>
                <w:sz w:val="20"/>
                <w:szCs w:val="20"/>
                <w:color w:val="auto"/>
              </w:rPr>
            </w:pPr>
            <w:r>
              <w:rPr>
                <w:rFonts w:ascii="Arial" w:cs="Arial" w:eastAsia="Arial" w:hAnsi="Arial"/>
                <w:sz w:val="20"/>
                <w:szCs w:val="20"/>
                <w:color w:val="auto"/>
              </w:rPr>
              <w:t>Mine</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1201762</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116</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Kokomo Mine</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1202105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rPr>
              <w:t>Kokomo Sand</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1202203</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Kokomo Stone</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1200142</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2"/>
          </w:tcPr>
          <w:p>
            <w:pPr>
              <w:spacing w:after="0"/>
              <w:rPr>
                <w:sz w:val="20"/>
                <w:szCs w:val="20"/>
                <w:color w:val="auto"/>
              </w:rPr>
            </w:pPr>
            <w:r>
              <w:rPr>
                <w:rFonts w:ascii="Arial" w:cs="Arial" w:eastAsia="Arial" w:hAnsi="Arial"/>
                <w:sz w:val="20"/>
                <w:szCs w:val="20"/>
                <w:color w:val="auto"/>
                <w:w w:val="99"/>
              </w:rPr>
              <w:t>Noblesville SandG 1201994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w w:val="98"/>
              </w:rPr>
              <w:t>Noblesville Stone</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1202176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1,182</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2</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w w:val="94"/>
              </w:rPr>
              <w:t>North Indianapolis</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1201993</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3</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Petersburg</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1516895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rPr>
              <w:t>Phillipsburg</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3300006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Shamrock SG</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3304011</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rPr>
              <w:t>Troy Gravel</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3301678</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Waverly Sand</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1202038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rPr>
              <w:t>Xenia</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3301393</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Appling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901083</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w w:val="94"/>
              </w:rPr>
              <w:t>Auburn, Al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rPr>
              <w:t>100006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116</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Auburn, GA</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900436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40" w:type="dxa"/>
            <w:vAlign w:val="bottom"/>
          </w:tcPr>
          <w:p>
            <w:pPr>
              <w:spacing w:after="0" w:line="227" w:lineRule="exact"/>
              <w:rPr>
                <w:sz w:val="20"/>
                <w:szCs w:val="20"/>
                <w:color w:val="auto"/>
              </w:rPr>
            </w:pPr>
            <w:r>
              <w:rPr>
                <w:rFonts w:ascii="Arial" w:cs="Arial" w:eastAsia="Arial" w:hAnsi="Arial"/>
                <w:sz w:val="20"/>
                <w:szCs w:val="20"/>
                <w:color w:val="auto"/>
              </w:rPr>
              <w:t>Augusta Quarry-</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60" w:type="dxa"/>
            <w:vAlign w:val="bottom"/>
            <w:gridSpan w:val="2"/>
          </w:tcPr>
          <w:p>
            <w:pPr>
              <w:spacing w:after="0"/>
              <w:rPr>
                <w:sz w:val="20"/>
                <w:szCs w:val="20"/>
                <w:color w:val="auto"/>
              </w:rPr>
            </w:pPr>
            <w:r>
              <w:rPr>
                <w:rFonts w:ascii="Arial" w:cs="Arial" w:eastAsia="Arial" w:hAnsi="Arial"/>
                <w:sz w:val="20"/>
                <w:szCs w:val="20"/>
                <w:color w:val="auto"/>
              </w:rPr>
              <w:t>GA</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rPr>
              <w:t>900065</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Chattanooga</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4003159</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rPr>
              <w:t>Forsyth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rPr>
              <w:t>901035</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116</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Jefferson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901106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232</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40" w:type="dxa"/>
            <w:vAlign w:val="bottom"/>
          </w:tcPr>
          <w:p>
            <w:pPr>
              <w:spacing w:after="0" w:line="227" w:lineRule="exact"/>
              <w:rPr>
                <w:sz w:val="20"/>
                <w:szCs w:val="20"/>
                <w:color w:val="auto"/>
              </w:rPr>
            </w:pPr>
            <w:r>
              <w:rPr>
                <w:rFonts w:ascii="Arial" w:cs="Arial" w:eastAsia="Arial" w:hAnsi="Arial"/>
                <w:sz w:val="20"/>
                <w:szCs w:val="20"/>
                <w:color w:val="auto"/>
              </w:rPr>
              <w:t>Junction City</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6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rPr>
              <w:t>901029</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Lithonia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900023</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rPr>
              <w:t>Maylene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rPr>
              <w:t>100634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w w:val="91"/>
              </w:rPr>
              <w:t>Morgan Co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901126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rPr>
              <w:t>Newton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rPr>
              <w:t>900899</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135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ONeal Quarry</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Co19</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103076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rPr>
              <w:t>Paulding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rPr>
              <w:t>901107</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Perry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801083</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rPr>
              <w:t>Red Oak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rPr>
              <w:t>900069</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239</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Ruby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900074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rPr>
              <w:t>Six Mile 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rPr>
              <w:t>901144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Tyrone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900306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40" w:type="dxa"/>
            <w:vAlign w:val="bottom"/>
          </w:tcPr>
          <w:p>
            <w:pPr>
              <w:spacing w:after="0" w:line="227" w:lineRule="exact"/>
              <w:rPr>
                <w:sz w:val="20"/>
                <w:szCs w:val="20"/>
                <w:color w:val="auto"/>
              </w:rPr>
            </w:pPr>
            <w:r>
              <w:rPr>
                <w:rFonts w:ascii="Arial" w:cs="Arial" w:eastAsia="Arial" w:hAnsi="Arial"/>
                <w:sz w:val="20"/>
                <w:szCs w:val="20"/>
                <w:color w:val="auto"/>
              </w:rPr>
              <w:t>Vance Quarry</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60" w:type="dxa"/>
            <w:vAlign w:val="bottom"/>
            <w:gridSpan w:val="2"/>
          </w:tcPr>
          <w:p>
            <w:pPr>
              <w:spacing w:after="0"/>
              <w:rPr>
                <w:sz w:val="20"/>
                <w:szCs w:val="20"/>
                <w:color w:val="auto"/>
              </w:rPr>
            </w:pPr>
            <w:r>
              <w:rPr>
                <w:rFonts w:ascii="Arial" w:cs="Arial" w:eastAsia="Arial" w:hAnsi="Arial"/>
                <w:sz w:val="20"/>
                <w:szCs w:val="20"/>
                <w:color w:val="auto"/>
              </w:rPr>
              <w:t>Co19</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rPr>
              <w:t>103022</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348</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w w:val="94"/>
              </w:rPr>
              <w:t>Warrenton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900580</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40" w:type="dxa"/>
            <w:vAlign w:val="bottom"/>
          </w:tcPr>
          <w:p>
            <w:pPr>
              <w:spacing w:after="0" w:line="227" w:lineRule="exact"/>
              <w:rPr>
                <w:sz w:val="20"/>
                <w:szCs w:val="20"/>
                <w:color w:val="auto"/>
              </w:rPr>
            </w:pPr>
            <w:r>
              <w:rPr>
                <w:rFonts w:ascii="Arial" w:cs="Arial" w:eastAsia="Arial" w:hAnsi="Arial"/>
                <w:sz w:val="20"/>
                <w:szCs w:val="20"/>
                <w:color w:val="auto"/>
              </w:rPr>
              <w:t>Alden Portable</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60" w:type="dxa"/>
            <w:vAlign w:val="bottom"/>
            <w:gridSpan w:val="2"/>
          </w:tcPr>
          <w:p>
            <w:pPr>
              <w:spacing w:after="0"/>
              <w:rPr>
                <w:sz w:val="20"/>
                <w:szCs w:val="20"/>
                <w:color w:val="auto"/>
              </w:rPr>
            </w:pPr>
            <w:r>
              <w:rPr>
                <w:rFonts w:ascii="Arial" w:cs="Arial" w:eastAsia="Arial" w:hAnsi="Arial"/>
                <w:sz w:val="20"/>
                <w:szCs w:val="20"/>
                <w:color w:val="auto"/>
              </w:rPr>
              <w:t>Sand</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1302037</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Alden Portable</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Plant 1</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1302031</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40" w:type="dxa"/>
            <w:vAlign w:val="bottom"/>
          </w:tcPr>
          <w:p>
            <w:pPr>
              <w:spacing w:after="0" w:line="227" w:lineRule="exact"/>
              <w:rPr>
                <w:sz w:val="20"/>
                <w:szCs w:val="20"/>
                <w:color w:val="auto"/>
              </w:rPr>
            </w:pPr>
            <w:r>
              <w:rPr>
                <w:rFonts w:ascii="Arial" w:cs="Arial" w:eastAsia="Arial" w:hAnsi="Arial"/>
                <w:sz w:val="20"/>
                <w:szCs w:val="20"/>
                <w:color w:val="auto"/>
              </w:rPr>
              <w:t>Alden Portable</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60" w:type="dxa"/>
            <w:vAlign w:val="bottom"/>
            <w:gridSpan w:val="2"/>
          </w:tcPr>
          <w:p>
            <w:pPr>
              <w:spacing w:after="0"/>
              <w:rPr>
                <w:sz w:val="20"/>
                <w:szCs w:val="20"/>
                <w:color w:val="auto"/>
              </w:rPr>
            </w:pPr>
            <w:r>
              <w:rPr>
                <w:rFonts w:ascii="Arial" w:cs="Arial" w:eastAsia="Arial" w:hAnsi="Arial"/>
                <w:sz w:val="20"/>
                <w:szCs w:val="20"/>
                <w:color w:val="auto"/>
              </w:rPr>
              <w:t>Plant 2</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1302033</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Alden Portable</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Wash</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1302122</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40" w:type="dxa"/>
            <w:vAlign w:val="bottom"/>
          </w:tcPr>
          <w:p>
            <w:pPr>
              <w:spacing w:after="0" w:line="227" w:lineRule="exact"/>
              <w:rPr>
                <w:sz w:val="20"/>
                <w:szCs w:val="20"/>
                <w:color w:val="auto"/>
              </w:rPr>
            </w:pPr>
            <w:r>
              <w:rPr>
                <w:rFonts w:ascii="Arial" w:cs="Arial" w:eastAsia="Arial" w:hAnsi="Arial"/>
                <w:sz w:val="20"/>
                <w:szCs w:val="20"/>
                <w:color w:val="auto"/>
              </w:rPr>
              <w:t>Alden Quarry -</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60" w:type="dxa"/>
            <w:vAlign w:val="bottom"/>
            <w:gridSpan w:val="2"/>
          </w:tcPr>
          <w:p>
            <w:pPr>
              <w:spacing w:after="0"/>
              <w:rPr>
                <w:sz w:val="20"/>
                <w:szCs w:val="20"/>
                <w:color w:val="auto"/>
              </w:rPr>
            </w:pPr>
            <w:r>
              <w:rPr>
                <w:rFonts w:ascii="Arial" w:cs="Arial" w:eastAsia="Arial" w:hAnsi="Arial"/>
                <w:sz w:val="20"/>
                <w:szCs w:val="20"/>
                <w:color w:val="auto"/>
              </w:rPr>
              <w:t>Shop</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1300228</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Ames Mine</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1300014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40" w:type="dxa"/>
            <w:vAlign w:val="bottom"/>
          </w:tcPr>
          <w:p>
            <w:pPr>
              <w:spacing w:after="0" w:line="227" w:lineRule="exact"/>
              <w:rPr>
                <w:sz w:val="20"/>
                <w:szCs w:val="20"/>
                <w:color w:val="auto"/>
              </w:rPr>
            </w:pPr>
            <w:r>
              <w:rPr>
                <w:rFonts w:ascii="Arial" w:cs="Arial" w:eastAsia="Arial" w:hAnsi="Arial"/>
                <w:sz w:val="20"/>
                <w:szCs w:val="20"/>
                <w:color w:val="auto"/>
              </w:rPr>
              <w:t>Cedar Rapids</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6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1300122</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Des Moines</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Portable (Plant</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861)</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1300150</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1</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w w:val="96"/>
              </w:rPr>
              <w:t>Des Moines Shop</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1300932</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Dubois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2501046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2</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2,640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rPr>
              <w:t>Durham Mine</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1301225</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3</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Earlham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1302123</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2</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40" w:type="dxa"/>
            <w:vAlign w:val="bottom"/>
          </w:tcPr>
          <w:p>
            <w:pPr>
              <w:spacing w:after="0" w:line="227" w:lineRule="exact"/>
              <w:rPr>
                <w:sz w:val="20"/>
                <w:szCs w:val="20"/>
                <w:color w:val="auto"/>
              </w:rPr>
            </w:pPr>
            <w:r>
              <w:rPr>
                <w:rFonts w:ascii="Arial" w:cs="Arial" w:eastAsia="Arial" w:hAnsi="Arial"/>
                <w:sz w:val="20"/>
                <w:szCs w:val="20"/>
                <w:color w:val="auto"/>
              </w:rPr>
              <w:t>Environmental</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60" w:type="dxa"/>
            <w:vAlign w:val="bottom"/>
            <w:gridSpan w:val="2"/>
          </w:tcPr>
          <w:p>
            <w:pPr>
              <w:spacing w:after="0"/>
              <w:rPr>
                <w:sz w:val="20"/>
                <w:szCs w:val="20"/>
                <w:color w:val="auto"/>
              </w:rPr>
            </w:pPr>
            <w:r>
              <w:rPr>
                <w:rFonts w:ascii="Arial" w:cs="Arial" w:eastAsia="Arial" w:hAnsi="Arial"/>
                <w:sz w:val="20"/>
                <w:szCs w:val="20"/>
                <w:color w:val="auto"/>
              </w:rPr>
              <w:t>Crew (Plant 854)</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1302126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Ferguson Quarry</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1300124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Arial" w:cs="Arial" w:eastAsia="Arial" w:hAnsi="Arial"/>
                <w:sz w:val="20"/>
                <w:szCs w:val="20"/>
                <w:color w:val="auto"/>
              </w:rPr>
              <w:t>Fort Calhoun</w:t>
            </w:r>
          </w:p>
        </w:tc>
        <w:tc>
          <w:tcPr>
            <w:tcW w:w="940" w:type="dxa"/>
            <w:vAlign w:val="bottom"/>
          </w:tcPr>
          <w:p>
            <w:pPr>
              <w:jc w:val="right"/>
              <w:ind w:right="101"/>
              <w:spacing w:after="0"/>
              <w:rPr>
                <w:sz w:val="20"/>
                <w:szCs w:val="20"/>
                <w:color w:val="auto"/>
              </w:rPr>
            </w:pPr>
            <w:r>
              <w:rPr>
                <w:rFonts w:ascii="Arial" w:cs="Arial" w:eastAsia="Arial" w:hAnsi="Arial"/>
                <w:sz w:val="20"/>
                <w:szCs w:val="20"/>
                <w:color w:val="auto"/>
                <w:w w:val="92"/>
              </w:rPr>
              <w:t>2500006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396</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2</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20"/>
                <w:szCs w:val="20"/>
                <w:color w:val="auto"/>
              </w:rPr>
              <w:t>Fort Dodge Mine</w:t>
            </w:r>
          </w:p>
        </w:tc>
        <w:tc>
          <w:tcPr>
            <w:tcW w:w="9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2"/>
              </w:rPr>
              <w:t>1300032</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52"/>
        </w:trPr>
        <w:tc>
          <w:tcPr>
            <w:tcW w:w="1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Arial" w:cs="Arial" w:eastAsia="Arial" w:hAnsi="Arial"/>
                <w:sz w:val="20"/>
                <w:szCs w:val="20"/>
                <w:color w:val="auto"/>
                <w:w w:val="91"/>
              </w:rPr>
              <w:t>Appendix 1</w:t>
            </w:r>
          </w:p>
        </w:tc>
      </w:tr>
      <w:tr>
        <w:trPr>
          <w:trHeight w:val="469"/>
        </w:trPr>
        <w:tc>
          <w:tcPr>
            <w:tcW w:w="1580" w:type="dxa"/>
            <w:vAlign w:val="bottom"/>
          </w:tcPr>
          <w:p>
            <w:pPr>
              <w:spacing w:after="0"/>
              <w:rPr>
                <w:sz w:val="20"/>
                <w:szCs w:val="20"/>
                <w:color w:val="auto"/>
              </w:rPr>
            </w:pPr>
            <w:r>
              <w:rPr>
                <w:rFonts w:ascii="Arial" w:cs="Arial" w:eastAsia="Arial" w:hAnsi="Arial"/>
                <w:sz w:val="20"/>
                <w:szCs w:val="20"/>
                <w:color w:val="auto"/>
              </w:rPr>
              <w:t>Greenwood</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2300141</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232</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Iowa Grading</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1302316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w w:val="98"/>
              </w:rPr>
              <w:t>Linn County Sand</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1302208</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Malcom Mine</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1300112</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500" w:type="dxa"/>
            <w:vAlign w:val="bottom"/>
            <w:gridSpan w:val="2"/>
          </w:tcPr>
          <w:p>
            <w:pPr>
              <w:spacing w:after="0"/>
              <w:rPr>
                <w:sz w:val="20"/>
                <w:szCs w:val="20"/>
                <w:color w:val="auto"/>
              </w:rPr>
            </w:pPr>
            <w:r>
              <w:rPr>
                <w:rFonts w:ascii="Arial" w:cs="Arial" w:eastAsia="Arial" w:hAnsi="Arial"/>
                <w:sz w:val="20"/>
                <w:szCs w:val="20"/>
                <w:color w:val="auto"/>
                <w:w w:val="97"/>
              </w:rPr>
              <w:t>Marshalltown Sand 1300718</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Moore Quarry</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1302188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w w:val="96"/>
              </w:rPr>
              <w:t>New Harvey Sand</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1301778</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4"/>
              </w:rPr>
              <w:t>Northwest Division</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OH</w:t>
            </w:r>
          </w:p>
        </w:tc>
        <w:tc>
          <w:tcPr>
            <w:tcW w:w="920" w:type="dxa"/>
            <w:vAlign w:val="bottom"/>
            <w:shd w:val="clear" w:color="auto" w:fill="CFF0FC"/>
          </w:tcPr>
          <w:p>
            <w:pPr>
              <w:jc w:val="right"/>
              <w:ind w:right="281"/>
              <w:spacing w:after="0"/>
              <w:rPr>
                <w:sz w:val="20"/>
                <w:szCs w:val="20"/>
                <w:color w:val="auto"/>
              </w:rPr>
            </w:pPr>
            <w:r>
              <w:rPr>
                <w:rFonts w:ascii="Arial" w:cs="Arial" w:eastAsia="Arial" w:hAnsi="Arial"/>
                <w:sz w:val="20"/>
                <w:szCs w:val="20"/>
                <w:color w:val="auto"/>
                <w:w w:val="89"/>
              </w:rPr>
              <w:t>A2354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rPr>
              <w:t>Ottawa Quarry</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1401590</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116</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Pacific Quarry</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4500844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rPr>
              <w:t>Parkville Mine</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2301883</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533</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Pederson Quarry</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1302192</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80" w:type="dxa"/>
            <w:vAlign w:val="bottom"/>
          </w:tcPr>
          <w:p>
            <w:pPr>
              <w:spacing w:after="0" w:line="227" w:lineRule="exact"/>
              <w:rPr>
                <w:sz w:val="20"/>
                <w:szCs w:val="20"/>
                <w:color w:val="auto"/>
              </w:rPr>
            </w:pPr>
            <w:r>
              <w:rPr>
                <w:rFonts w:ascii="Arial" w:cs="Arial" w:eastAsia="Arial" w:hAnsi="Arial"/>
                <w:sz w:val="20"/>
                <w:szCs w:val="20"/>
                <w:color w:val="auto"/>
              </w:rPr>
              <w:t>Raccoon River</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80" w:type="dxa"/>
            <w:vAlign w:val="bottom"/>
          </w:tcPr>
          <w:p>
            <w:pPr>
              <w:spacing w:after="0"/>
              <w:rPr>
                <w:sz w:val="20"/>
                <w:szCs w:val="20"/>
                <w:color w:val="auto"/>
              </w:rPr>
            </w:pPr>
            <w:r>
              <w:rPr>
                <w:rFonts w:ascii="Arial" w:cs="Arial" w:eastAsia="Arial" w:hAnsi="Arial"/>
                <w:sz w:val="20"/>
                <w:szCs w:val="20"/>
                <w:color w:val="auto"/>
              </w:rPr>
              <w:t>Sand</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1302315</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Randolph Deep</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Mine</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2302308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2</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rPr>
              <w:t>Reasoner Sand</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1300814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Saylorville Sand</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1302290</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rPr>
              <w:t>St Cloud Quarry</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2100081</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Stamper Mine</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2302232</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2</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619</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rPr>
              <w:t>Sully Mine</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1300063</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478</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Sunflower</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1401556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80" w:type="dxa"/>
            <w:vAlign w:val="bottom"/>
          </w:tcPr>
          <w:p>
            <w:pPr>
              <w:spacing w:after="0" w:line="227" w:lineRule="exact"/>
              <w:rPr>
                <w:sz w:val="20"/>
                <w:szCs w:val="20"/>
                <w:color w:val="auto"/>
              </w:rPr>
            </w:pPr>
            <w:r>
              <w:rPr>
                <w:rFonts w:ascii="Arial" w:cs="Arial" w:eastAsia="Arial" w:hAnsi="Arial"/>
                <w:sz w:val="20"/>
                <w:szCs w:val="20"/>
                <w:color w:val="auto"/>
              </w:rPr>
              <w:t>Weeping Water</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80" w:type="dxa"/>
            <w:vAlign w:val="bottom"/>
          </w:tcPr>
          <w:p>
            <w:pPr>
              <w:spacing w:after="0"/>
              <w:rPr>
                <w:sz w:val="20"/>
                <w:szCs w:val="20"/>
                <w:color w:val="auto"/>
              </w:rPr>
            </w:pPr>
            <w:r>
              <w:rPr>
                <w:rFonts w:ascii="Arial" w:cs="Arial" w:eastAsia="Arial" w:hAnsi="Arial"/>
                <w:sz w:val="20"/>
                <w:szCs w:val="20"/>
                <w:color w:val="auto"/>
              </w:rPr>
              <w:t>Mine</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2500998</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4</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w w:val="87"/>
              </w:rPr>
              <w:t>1,899</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4</w:t>
            </w:r>
          </w:p>
        </w:tc>
        <w:tc>
          <w:tcPr>
            <w:tcW w:w="480" w:type="dxa"/>
            <w:vAlign w:val="bottom"/>
          </w:tcPr>
          <w:p>
            <w:pPr>
              <w:jc w:val="right"/>
              <w:spacing w:after="0"/>
              <w:rPr>
                <w:sz w:val="20"/>
                <w:szCs w:val="20"/>
                <w:color w:val="auto"/>
              </w:rPr>
            </w:pPr>
            <w:r>
              <w:rPr>
                <w:rFonts w:ascii="Arial" w:cs="Arial" w:eastAsia="Arial" w:hAnsi="Arial"/>
                <w:sz w:val="20"/>
                <w:szCs w:val="20"/>
                <w:color w:val="auto"/>
              </w:rPr>
              <w:t>1</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1"/>
                <w:szCs w:val="21"/>
                <w:color w:val="auto"/>
              </w:rPr>
            </w:pPr>
          </w:p>
        </w:tc>
      </w:tr>
      <w:tr>
        <w:trPr>
          <w:trHeight w:val="226"/>
        </w:trPr>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Yellow Medicine</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2100033</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rPr>
              <w:t>211 Quarry</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4103829</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Augusta Quarry-</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KS</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1400126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tcPr>
          <w:p>
            <w:pPr>
              <w:spacing w:after="0"/>
              <w:rPr>
                <w:sz w:val="20"/>
                <w:szCs w:val="20"/>
                <w:color w:val="auto"/>
              </w:rPr>
            </w:pPr>
            <w:r>
              <w:rPr>
                <w:rFonts w:ascii="Arial" w:cs="Arial" w:eastAsia="Arial" w:hAnsi="Arial"/>
                <w:sz w:val="20"/>
                <w:szCs w:val="20"/>
                <w:color w:val="auto"/>
              </w:rPr>
              <w:t>Beckman Quarry</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4101335</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Bedrock Plant</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4103283</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80" w:type="dxa"/>
            <w:vAlign w:val="bottom"/>
          </w:tcPr>
          <w:p>
            <w:pPr>
              <w:spacing w:after="0" w:line="227" w:lineRule="exact"/>
              <w:rPr>
                <w:sz w:val="20"/>
                <w:szCs w:val="20"/>
                <w:color w:val="auto"/>
              </w:rPr>
            </w:pPr>
            <w:r>
              <w:rPr>
                <w:rFonts w:ascii="Arial" w:cs="Arial" w:eastAsia="Arial" w:hAnsi="Arial"/>
                <w:sz w:val="20"/>
                <w:szCs w:val="20"/>
                <w:color w:val="auto"/>
              </w:rPr>
              <w:t>Bells Savoy SG</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80" w:type="dxa"/>
            <w:vAlign w:val="bottom"/>
          </w:tcPr>
          <w:p>
            <w:pPr>
              <w:spacing w:after="0"/>
              <w:rPr>
                <w:sz w:val="20"/>
                <w:szCs w:val="20"/>
                <w:color w:val="auto"/>
              </w:rPr>
            </w:pPr>
            <w:r>
              <w:rPr>
                <w:rFonts w:ascii="Arial" w:cs="Arial" w:eastAsia="Arial" w:hAnsi="Arial"/>
                <w:sz w:val="20"/>
                <w:szCs w:val="20"/>
                <w:color w:val="auto"/>
              </w:rPr>
              <w:t>TXI</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4104019</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116</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w w:val="93"/>
              </w:rPr>
              <w:t>Black Rock Quarry</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300011</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500" w:type="dxa"/>
            <w:vAlign w:val="bottom"/>
            <w:gridSpan w:val="2"/>
          </w:tcPr>
          <w:p>
            <w:pPr>
              <w:spacing w:after="0"/>
              <w:rPr>
                <w:sz w:val="20"/>
                <w:szCs w:val="20"/>
                <w:color w:val="auto"/>
              </w:rPr>
            </w:pPr>
            <w:r>
              <w:rPr>
                <w:rFonts w:ascii="Arial" w:cs="Arial" w:eastAsia="Arial" w:hAnsi="Arial"/>
                <w:sz w:val="20"/>
                <w:szCs w:val="20"/>
                <w:color w:val="auto"/>
              </w:rPr>
              <w:t>Black Spur Quarry 4104159</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Blake Quarry</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1401584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80" w:type="dxa"/>
            <w:vAlign w:val="bottom"/>
          </w:tcPr>
          <w:p>
            <w:pPr>
              <w:spacing w:after="0" w:line="227" w:lineRule="exact"/>
              <w:rPr>
                <w:sz w:val="20"/>
                <w:szCs w:val="20"/>
                <w:color w:val="auto"/>
              </w:rPr>
            </w:pPr>
            <w:r>
              <w:rPr>
                <w:rFonts w:ascii="Arial" w:cs="Arial" w:eastAsia="Arial" w:hAnsi="Arial"/>
                <w:sz w:val="20"/>
                <w:szCs w:val="20"/>
                <w:color w:val="auto"/>
              </w:rPr>
              <w:t>Bridgeport Stone</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80" w:type="dxa"/>
            <w:vAlign w:val="bottom"/>
          </w:tcPr>
          <w:p>
            <w:pPr>
              <w:spacing w:after="0"/>
              <w:rPr>
                <w:sz w:val="20"/>
                <w:szCs w:val="20"/>
                <w:color w:val="auto"/>
              </w:rPr>
            </w:pPr>
            <w:r>
              <w:rPr>
                <w:rFonts w:ascii="Arial" w:cs="Arial" w:eastAsia="Arial" w:hAnsi="Arial"/>
                <w:sz w:val="20"/>
                <w:szCs w:val="20"/>
                <w:color w:val="auto"/>
              </w:rPr>
              <w:t>TXI</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4100007</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2</w:t>
            </w:r>
          </w:p>
        </w:tc>
        <w:tc>
          <w:tcPr>
            <w:tcW w:w="480" w:type="dxa"/>
            <w:vAlign w:val="bottom"/>
          </w:tcPr>
          <w:p>
            <w:pPr>
              <w:jc w:val="right"/>
              <w:spacing w:after="0"/>
              <w:rPr>
                <w:sz w:val="20"/>
                <w:szCs w:val="20"/>
                <w:color w:val="auto"/>
              </w:rPr>
            </w:pPr>
            <w:r>
              <w:rPr>
                <w:rFonts w:ascii="Arial" w:cs="Arial" w:eastAsia="Arial" w:hAnsi="Arial"/>
                <w:sz w:val="20"/>
                <w:szCs w:val="20"/>
                <w:color w:val="auto"/>
              </w:rPr>
              <w:t>2</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Broken Bow</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80" w:type="dxa"/>
            <w:vAlign w:val="bottom"/>
            <w:shd w:val="clear" w:color="auto" w:fill="CFF0FC"/>
          </w:tcPr>
          <w:p>
            <w:pPr>
              <w:spacing w:after="0"/>
              <w:rPr>
                <w:sz w:val="20"/>
                <w:szCs w:val="20"/>
                <w:color w:val="auto"/>
              </w:rPr>
            </w:pPr>
            <w:r>
              <w:rPr>
                <w:rFonts w:ascii="Arial" w:cs="Arial" w:eastAsia="Arial" w:hAnsi="Arial"/>
                <w:sz w:val="20"/>
                <w:szCs w:val="20"/>
                <w:color w:val="auto"/>
              </w:rPr>
              <w:t>SandG</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3400460</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2</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826</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63"/>
        </w:trPr>
        <w:tc>
          <w:tcPr>
            <w:tcW w:w="15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52"/>
        </w:trPr>
        <w:tc>
          <w:tcPr>
            <w:tcW w:w="1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Arial" w:cs="Arial" w:eastAsia="Arial" w:hAnsi="Arial"/>
                <w:sz w:val="20"/>
                <w:szCs w:val="20"/>
                <w:color w:val="auto"/>
                <w:w w:val="91"/>
              </w:rPr>
              <w:t>Appendix 1</w:t>
            </w:r>
          </w:p>
        </w:tc>
      </w:tr>
      <w:tr>
        <w:trPr>
          <w:trHeight w:val="469"/>
        </w:trPr>
        <w:tc>
          <w:tcPr>
            <w:tcW w:w="1520" w:type="dxa"/>
            <w:vAlign w:val="bottom"/>
          </w:tcPr>
          <w:p>
            <w:pPr>
              <w:spacing w:after="0"/>
              <w:rPr>
                <w:sz w:val="20"/>
                <w:szCs w:val="20"/>
                <w:color w:val="auto"/>
              </w:rPr>
            </w:pPr>
            <w:r>
              <w:rPr>
                <w:rFonts w:ascii="Arial" w:cs="Arial" w:eastAsia="Arial" w:hAnsi="Arial"/>
                <w:sz w:val="20"/>
                <w:szCs w:val="20"/>
                <w:color w:val="auto"/>
              </w:rPr>
              <w:t>Chico</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4103360</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Davis</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3401299</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232</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20"/>
                <w:szCs w:val="20"/>
                <w:color w:val="auto"/>
              </w:rPr>
              <w:t>Garfield SG TXI</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4103909</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Garwood</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4102886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20"/>
                <w:szCs w:val="20"/>
                <w:color w:val="auto"/>
              </w:rPr>
              <w:t>GMS - TXI</w:t>
            </w:r>
          </w:p>
        </w:tc>
        <w:tc>
          <w:tcPr>
            <w:tcW w:w="980" w:type="dxa"/>
            <w:vAlign w:val="bottom"/>
          </w:tcPr>
          <w:p>
            <w:pPr>
              <w:jc w:val="right"/>
              <w:ind w:right="381"/>
              <w:spacing w:after="0"/>
              <w:rPr>
                <w:sz w:val="20"/>
                <w:szCs w:val="20"/>
                <w:color w:val="auto"/>
              </w:rPr>
            </w:pPr>
            <w:r>
              <w:rPr>
                <w:rFonts w:ascii="Arial" w:cs="Arial" w:eastAsia="Arial" w:hAnsi="Arial"/>
                <w:sz w:val="20"/>
                <w:szCs w:val="20"/>
                <w:color w:val="auto"/>
              </w:rPr>
              <w:t>C335</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Hatton Quarry</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301614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20"/>
                <w:szCs w:val="20"/>
                <w:color w:val="auto"/>
              </w:rPr>
              <w:t>Helotes</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4103137</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Hondo</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4104708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20"/>
                <w:szCs w:val="20"/>
                <w:color w:val="auto"/>
              </w:rPr>
              <w:t>Hondo-1</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4104090</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3</w:t>
            </w:r>
          </w:p>
        </w:tc>
        <w:tc>
          <w:tcPr>
            <w:tcW w:w="480" w:type="dxa"/>
            <w:vAlign w:val="bottom"/>
          </w:tcPr>
          <w:p>
            <w:pPr>
              <w:jc w:val="right"/>
              <w:spacing w:after="0"/>
              <w:rPr>
                <w:sz w:val="20"/>
                <w:szCs w:val="20"/>
                <w:color w:val="auto"/>
              </w:rPr>
            </w:pPr>
            <w:r>
              <w:rPr>
                <w:rFonts w:ascii="Arial" w:cs="Arial" w:eastAsia="Arial" w:hAnsi="Arial"/>
                <w:sz w:val="20"/>
                <w:szCs w:val="20"/>
                <w:color w:val="auto"/>
              </w:rPr>
              <w:t>1</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Hugo</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3400061</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20"/>
                <w:szCs w:val="20"/>
                <w:color w:val="auto"/>
              </w:rPr>
              <w:t>Idabel</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3400507</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9"/>
              </w:rPr>
              <w:t>Jena Aggregates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TXI</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1601298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20"/>
                <w:szCs w:val="20"/>
                <w:color w:val="auto"/>
                <w:w w:val="96"/>
              </w:rPr>
              <w:t>Jones Mill Quarry</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rPr>
              <w:t>301586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5"/>
              </w:rPr>
              <w:t>Koontz McCombs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Pit</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4105048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116</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20" w:type="dxa"/>
            <w:vAlign w:val="bottom"/>
          </w:tcPr>
          <w:p>
            <w:pPr>
              <w:spacing w:after="0" w:line="227" w:lineRule="exact"/>
              <w:rPr>
                <w:sz w:val="20"/>
                <w:szCs w:val="20"/>
                <w:color w:val="auto"/>
              </w:rPr>
            </w:pPr>
            <w:r>
              <w:rPr>
                <w:rFonts w:ascii="Arial" w:cs="Arial" w:eastAsia="Arial" w:hAnsi="Arial"/>
                <w:sz w:val="20"/>
                <w:szCs w:val="20"/>
                <w:color w:val="auto"/>
                <w:w w:val="96"/>
              </w:rPr>
              <w:t>Medina Rock and</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20" w:type="dxa"/>
            <w:vAlign w:val="bottom"/>
          </w:tcPr>
          <w:p>
            <w:pPr>
              <w:spacing w:after="0"/>
              <w:rPr>
                <w:sz w:val="20"/>
                <w:szCs w:val="20"/>
                <w:color w:val="auto"/>
              </w:rPr>
            </w:pPr>
            <w:r>
              <w:rPr>
                <w:rFonts w:ascii="Arial" w:cs="Arial" w:eastAsia="Arial" w:hAnsi="Arial"/>
                <w:sz w:val="20"/>
                <w:szCs w:val="20"/>
                <w:color w:val="auto"/>
              </w:rPr>
              <w:t>Rail</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4105170</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724</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1</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Mill Creek</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3401285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468</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20"/>
                <w:szCs w:val="20"/>
                <w:color w:val="auto"/>
              </w:rPr>
              <w:t>Mill Creek TXI</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3401859</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New Braunfels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4104264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26"/>
        </w:trPr>
        <w:tc>
          <w:tcPr>
            <w:tcW w:w="1520" w:type="dxa"/>
            <w:vAlign w:val="bottom"/>
          </w:tcPr>
          <w:p>
            <w:pPr>
              <w:spacing w:after="0" w:line="227" w:lineRule="exact"/>
              <w:rPr>
                <w:sz w:val="20"/>
                <w:szCs w:val="20"/>
                <w:color w:val="auto"/>
              </w:rPr>
            </w:pPr>
            <w:r>
              <w:rPr>
                <w:rFonts w:ascii="Arial" w:cs="Arial" w:eastAsia="Arial" w:hAnsi="Arial"/>
                <w:sz w:val="20"/>
                <w:szCs w:val="20"/>
                <w:color w:val="auto"/>
              </w:rPr>
              <w:t>Perryville</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20" w:type="dxa"/>
            <w:vAlign w:val="bottom"/>
          </w:tcPr>
          <w:p>
            <w:pPr>
              <w:spacing w:after="0"/>
              <w:rPr>
                <w:sz w:val="20"/>
                <w:szCs w:val="20"/>
                <w:color w:val="auto"/>
              </w:rPr>
            </w:pPr>
            <w:r>
              <w:rPr>
                <w:rFonts w:ascii="Arial" w:cs="Arial" w:eastAsia="Arial" w:hAnsi="Arial"/>
                <w:sz w:val="20"/>
                <w:szCs w:val="20"/>
                <w:color w:val="auto"/>
              </w:rPr>
              <w:t>Aggregates TXI</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1601417</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50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6"/>
              </w:rPr>
              <w:t>Poteet (Sand Plant) 4101342</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20"/>
                <w:szCs w:val="20"/>
                <w:color w:val="auto"/>
              </w:rPr>
              <w:t>Rio Medina</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4103594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w w:val="93"/>
              </w:rPr>
              <w:t>San Pedro Quarry</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4101337</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20"/>
                <w:szCs w:val="20"/>
                <w:color w:val="auto"/>
              </w:rPr>
              <w:t>Sawyer</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3401634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Snyder</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3401651</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20" w:type="dxa"/>
            <w:vAlign w:val="bottom"/>
          </w:tcPr>
          <w:p>
            <w:pPr>
              <w:spacing w:after="0" w:line="227" w:lineRule="exact"/>
              <w:rPr>
                <w:sz w:val="20"/>
                <w:szCs w:val="20"/>
                <w:color w:val="auto"/>
              </w:rPr>
            </w:pPr>
            <w:r>
              <w:rPr>
                <w:rFonts w:ascii="Arial" w:cs="Arial" w:eastAsia="Arial" w:hAnsi="Arial"/>
                <w:sz w:val="20"/>
                <w:szCs w:val="20"/>
                <w:color w:val="auto"/>
                <w:w w:val="97"/>
              </w:rPr>
              <w:t>South Texas Port</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1520" w:type="dxa"/>
            <w:vAlign w:val="bottom"/>
          </w:tcPr>
          <w:p>
            <w:pPr>
              <w:spacing w:after="0"/>
              <w:rPr>
                <w:sz w:val="20"/>
                <w:szCs w:val="20"/>
                <w:color w:val="auto"/>
              </w:rPr>
            </w:pPr>
            <w:r>
              <w:rPr>
                <w:rFonts w:ascii="Arial" w:cs="Arial" w:eastAsia="Arial" w:hAnsi="Arial"/>
                <w:sz w:val="20"/>
                <w:szCs w:val="20"/>
                <w:color w:val="auto"/>
              </w:rPr>
              <w:t>No.2</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4104204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204</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Tin Top SG TXI</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4102852</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20"/>
                <w:szCs w:val="20"/>
                <w:color w:val="auto"/>
              </w:rPr>
              <w:t>Washita Quarry</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3402049</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116</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520" w:type="dxa"/>
            <w:vAlign w:val="bottom"/>
            <w:shd w:val="clear" w:color="auto" w:fill="CFF0FC"/>
          </w:tcPr>
          <w:p>
            <w:pPr>
              <w:spacing w:after="0"/>
              <w:rPr>
                <w:sz w:val="20"/>
                <w:szCs w:val="20"/>
                <w:color w:val="auto"/>
              </w:rPr>
            </w:pPr>
            <w:r>
              <w:rPr>
                <w:rFonts w:ascii="Arial" w:cs="Arial" w:eastAsia="Arial" w:hAnsi="Arial"/>
                <w:sz w:val="20"/>
                <w:szCs w:val="20"/>
                <w:color w:val="auto"/>
              </w:rPr>
              <w:t>Webberville TXI</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97"/>
              </w:rPr>
              <w:t>4104363</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2</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1520" w:type="dxa"/>
            <w:vAlign w:val="bottom"/>
          </w:tcPr>
          <w:p>
            <w:pPr>
              <w:spacing w:after="0" w:line="227" w:lineRule="exact"/>
              <w:rPr>
                <w:sz w:val="20"/>
                <w:szCs w:val="20"/>
                <w:color w:val="auto"/>
              </w:rPr>
            </w:pPr>
            <w:r>
              <w:rPr>
                <w:rFonts w:ascii="Arial" w:cs="Arial" w:eastAsia="Arial" w:hAnsi="Arial"/>
                <w:sz w:val="20"/>
                <w:szCs w:val="20"/>
                <w:color w:val="auto"/>
              </w:rPr>
              <w:t>Woodworth</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1520" w:type="dxa"/>
            <w:vAlign w:val="bottom"/>
          </w:tcPr>
          <w:p>
            <w:pPr>
              <w:spacing w:after="0"/>
              <w:rPr>
                <w:sz w:val="20"/>
                <w:szCs w:val="20"/>
                <w:color w:val="auto"/>
              </w:rPr>
            </w:pPr>
            <w:r>
              <w:rPr>
                <w:rFonts w:ascii="Arial" w:cs="Arial" w:eastAsia="Arial" w:hAnsi="Arial"/>
                <w:sz w:val="20"/>
                <w:szCs w:val="20"/>
                <w:color w:val="auto"/>
              </w:rPr>
              <w:t>Aggregates TXI</w:t>
            </w:r>
          </w:p>
        </w:tc>
        <w:tc>
          <w:tcPr>
            <w:tcW w:w="980" w:type="dxa"/>
            <w:vAlign w:val="bottom"/>
          </w:tcPr>
          <w:p>
            <w:pPr>
              <w:jc w:val="right"/>
              <w:ind w:right="101"/>
              <w:spacing w:after="0"/>
              <w:rPr>
                <w:sz w:val="20"/>
                <w:szCs w:val="20"/>
                <w:color w:val="auto"/>
              </w:rPr>
            </w:pPr>
            <w:r>
              <w:rPr>
                <w:rFonts w:ascii="Arial" w:cs="Arial" w:eastAsia="Arial" w:hAnsi="Arial"/>
                <w:sz w:val="20"/>
                <w:szCs w:val="20"/>
                <w:color w:val="auto"/>
                <w:w w:val="97"/>
              </w:rPr>
              <w:t>1601070</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59"/>
        </w:trPr>
        <w:tc>
          <w:tcPr>
            <w:tcW w:w="15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1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15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6"/>
              </w:rPr>
              <w:t>Cottonwood Sand</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and Gravel</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504418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116</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tcPr>
          <w:p>
            <w:pPr>
              <w:spacing w:after="0" w:line="227" w:lineRule="exact"/>
              <w:rPr>
                <w:sz w:val="20"/>
                <w:szCs w:val="20"/>
                <w:color w:val="auto"/>
              </w:rPr>
            </w:pPr>
            <w:r>
              <w:rPr>
                <w:rFonts w:ascii="Arial" w:cs="Arial" w:eastAsia="Arial" w:hAnsi="Arial"/>
                <w:sz w:val="20"/>
                <w:szCs w:val="20"/>
                <w:color w:val="auto"/>
                <w:w w:val="91"/>
              </w:rPr>
              <w:t>Fountain Sand and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80" w:type="dxa"/>
            <w:vAlign w:val="bottom"/>
            <w:gridSpan w:val="2"/>
          </w:tcPr>
          <w:p>
            <w:pPr>
              <w:spacing w:after="0"/>
              <w:rPr>
                <w:sz w:val="20"/>
                <w:szCs w:val="20"/>
                <w:color w:val="auto"/>
              </w:rPr>
            </w:pPr>
            <w:r>
              <w:rPr>
                <w:rFonts w:ascii="Arial" w:cs="Arial" w:eastAsia="Arial" w:hAnsi="Arial"/>
                <w:sz w:val="20"/>
                <w:szCs w:val="20"/>
                <w:color w:val="auto"/>
              </w:rPr>
              <w:t>Gravel</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503821</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Granite Canyon</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4800018</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tcPr>
          <w:p>
            <w:pPr>
              <w:spacing w:after="0" w:line="227" w:lineRule="exact"/>
              <w:rPr>
                <w:sz w:val="20"/>
                <w:szCs w:val="20"/>
                <w:color w:val="auto"/>
              </w:rPr>
            </w:pPr>
            <w:r>
              <w:rPr>
                <w:rFonts w:ascii="Arial" w:cs="Arial" w:eastAsia="Arial" w:hAnsi="Arial"/>
                <w:sz w:val="20"/>
                <w:szCs w:val="20"/>
                <w:color w:val="auto"/>
              </w:rPr>
              <w:t>Greeley 35th</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80" w:type="dxa"/>
            <w:vAlign w:val="bottom"/>
            <w:gridSpan w:val="2"/>
          </w:tcPr>
          <w:p>
            <w:pPr>
              <w:spacing w:after="0"/>
              <w:rPr>
                <w:sz w:val="20"/>
                <w:szCs w:val="20"/>
                <w:color w:val="auto"/>
              </w:rPr>
            </w:pPr>
            <w:r>
              <w:rPr>
                <w:rFonts w:ascii="Arial" w:cs="Arial" w:eastAsia="Arial" w:hAnsi="Arial"/>
                <w:sz w:val="20"/>
                <w:szCs w:val="20"/>
                <w:color w:val="auto"/>
              </w:rPr>
              <w:t>Ready Mix</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503215</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2"/>
              </w:rPr>
              <w:t>Greeley 35th Sand</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and Gravel</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504613</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Arial" w:cs="Arial" w:eastAsia="Arial" w:hAnsi="Arial"/>
                <w:sz w:val="20"/>
                <w:szCs w:val="20"/>
                <w:color w:val="auto"/>
              </w:rPr>
              <w:t>Guernsey</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4800004</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w w:val="87"/>
              </w:rPr>
              <w:t>3,909</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Milford</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4202177</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tcPr>
          <w:p>
            <w:pPr>
              <w:spacing w:after="0" w:line="227" w:lineRule="exact"/>
              <w:rPr>
                <w:sz w:val="20"/>
                <w:szCs w:val="20"/>
                <w:color w:val="auto"/>
              </w:rPr>
            </w:pPr>
            <w:r>
              <w:rPr>
                <w:rFonts w:ascii="Arial" w:cs="Arial" w:eastAsia="Arial" w:hAnsi="Arial"/>
                <w:sz w:val="20"/>
                <w:szCs w:val="20"/>
                <w:color w:val="auto"/>
                <w:w w:val="97"/>
              </w:rPr>
              <w:t>Northern Portable</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80" w:type="dxa"/>
            <w:vAlign w:val="bottom"/>
            <w:gridSpan w:val="2"/>
          </w:tcPr>
          <w:p>
            <w:pPr>
              <w:spacing w:after="0"/>
              <w:rPr>
                <w:sz w:val="20"/>
                <w:szCs w:val="20"/>
                <w:color w:val="auto"/>
              </w:rPr>
            </w:pPr>
            <w:r>
              <w:rPr>
                <w:rFonts w:ascii="Arial" w:cs="Arial" w:eastAsia="Arial" w:hAnsi="Arial"/>
                <w:sz w:val="20"/>
                <w:szCs w:val="20"/>
                <w:color w:val="auto"/>
              </w:rPr>
              <w:t>Plant #1</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504359</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7"/>
              </w:rPr>
              <w:t>Northern Portable</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Plant #4</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4801565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tcPr>
          <w:p>
            <w:pPr>
              <w:spacing w:after="0" w:line="227" w:lineRule="exact"/>
              <w:rPr>
                <w:sz w:val="20"/>
                <w:szCs w:val="20"/>
                <w:color w:val="auto"/>
              </w:rPr>
            </w:pPr>
            <w:r>
              <w:rPr>
                <w:rFonts w:ascii="Arial" w:cs="Arial" w:eastAsia="Arial" w:hAnsi="Arial"/>
                <w:sz w:val="20"/>
                <w:szCs w:val="20"/>
                <w:color w:val="auto"/>
                <w:w w:val="97"/>
              </w:rPr>
              <w:t>Northern Portable</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80" w:type="dxa"/>
            <w:vAlign w:val="bottom"/>
            <w:gridSpan w:val="2"/>
          </w:tcPr>
          <w:p>
            <w:pPr>
              <w:spacing w:after="0"/>
              <w:rPr>
                <w:sz w:val="20"/>
                <w:szCs w:val="20"/>
                <w:color w:val="auto"/>
              </w:rPr>
            </w:pPr>
            <w:r>
              <w:rPr>
                <w:rFonts w:ascii="Arial" w:cs="Arial" w:eastAsia="Arial" w:hAnsi="Arial"/>
                <w:sz w:val="20"/>
                <w:szCs w:val="20"/>
                <w:color w:val="auto"/>
              </w:rPr>
              <w:t>Plant #19</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504382</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Parkdale Quarry</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504635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Arial" w:cs="Arial" w:eastAsia="Arial" w:hAnsi="Arial"/>
                <w:sz w:val="20"/>
                <w:szCs w:val="20"/>
                <w:color w:val="auto"/>
              </w:rPr>
              <w:t>Penrose SG</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504509</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w w:val="96"/>
              </w:rPr>
              <w:t>Portable Crushing</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503984</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tcPr>
          <w:p>
            <w:pPr>
              <w:spacing w:after="0" w:line="227" w:lineRule="exact"/>
              <w:rPr>
                <w:sz w:val="20"/>
                <w:szCs w:val="20"/>
                <w:color w:val="auto"/>
              </w:rPr>
            </w:pPr>
            <w:r>
              <w:rPr>
                <w:rFonts w:ascii="Arial" w:cs="Arial" w:eastAsia="Arial" w:hAnsi="Arial"/>
                <w:sz w:val="20"/>
                <w:szCs w:val="20"/>
                <w:color w:val="auto"/>
              </w:rPr>
              <w:t>Portable Recycle</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80" w:type="dxa"/>
            <w:vAlign w:val="bottom"/>
            <w:gridSpan w:val="2"/>
          </w:tcPr>
          <w:p>
            <w:pPr>
              <w:spacing w:after="0"/>
              <w:rPr>
                <w:sz w:val="20"/>
                <w:szCs w:val="20"/>
                <w:color w:val="auto"/>
              </w:rPr>
            </w:pPr>
            <w:r>
              <w:rPr>
                <w:rFonts w:ascii="Arial" w:cs="Arial" w:eastAsia="Arial" w:hAnsi="Arial"/>
                <w:sz w:val="20"/>
                <w:szCs w:val="20"/>
                <w:color w:val="auto"/>
              </w:rPr>
              <w:t>21</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504520</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Red Canyon</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504136</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2</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668</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tcPr>
          <w:p>
            <w:pPr>
              <w:spacing w:after="0" w:line="227" w:lineRule="exact"/>
              <w:rPr>
                <w:sz w:val="20"/>
                <w:szCs w:val="20"/>
                <w:color w:val="auto"/>
              </w:rPr>
            </w:pPr>
            <w:r>
              <w:rPr>
                <w:rFonts w:ascii="Arial" w:cs="Arial" w:eastAsia="Arial" w:hAnsi="Arial"/>
                <w:sz w:val="20"/>
                <w:szCs w:val="20"/>
                <w:color w:val="auto"/>
              </w:rPr>
              <w:t>Riverbend Sand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80" w:type="dxa"/>
            <w:vAlign w:val="bottom"/>
            <w:gridSpan w:val="2"/>
          </w:tcPr>
          <w:p>
            <w:pPr>
              <w:spacing w:after="0"/>
              <w:rPr>
                <w:sz w:val="20"/>
                <w:szCs w:val="20"/>
                <w:color w:val="auto"/>
              </w:rPr>
            </w:pPr>
            <w:r>
              <w:rPr>
                <w:rFonts w:ascii="Arial" w:cs="Arial" w:eastAsia="Arial" w:hAnsi="Arial"/>
                <w:sz w:val="20"/>
                <w:szCs w:val="20"/>
                <w:color w:val="auto"/>
              </w:rPr>
              <w:t>and Gravel</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504841</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Sokol SG</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504977</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tcPr>
          <w:p>
            <w:pPr>
              <w:spacing w:after="0" w:line="227" w:lineRule="exact"/>
              <w:rPr>
                <w:sz w:val="20"/>
                <w:szCs w:val="20"/>
                <w:color w:val="auto"/>
              </w:rPr>
            </w:pPr>
            <w:r>
              <w:rPr>
                <w:rFonts w:ascii="Arial" w:cs="Arial" w:eastAsia="Arial" w:hAnsi="Arial"/>
                <w:sz w:val="20"/>
                <w:szCs w:val="20"/>
                <w:color w:val="auto"/>
                <w:w w:val="87"/>
              </w:rPr>
              <w:t>Spanish Springs Co</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80" w:type="dxa"/>
            <w:vAlign w:val="bottom"/>
            <w:gridSpan w:val="2"/>
          </w:tcPr>
          <w:p>
            <w:pPr>
              <w:spacing w:after="0"/>
              <w:rPr>
                <w:sz w:val="20"/>
                <w:szCs w:val="20"/>
                <w:color w:val="auto"/>
              </w:rPr>
            </w:pPr>
            <w:r>
              <w:rPr>
                <w:rFonts w:ascii="Arial" w:cs="Arial" w:eastAsia="Arial" w:hAnsi="Arial"/>
                <w:sz w:val="20"/>
                <w:szCs w:val="20"/>
                <w:color w:val="auto"/>
              </w:rPr>
              <w:t>2</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2600803</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6</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86"/>
              </w:rPr>
              <w:t>Spec Agg Sand and</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Gravel</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500860</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tcPr>
          <w:p>
            <w:pPr>
              <w:spacing w:after="0" w:line="227" w:lineRule="exact"/>
              <w:rPr>
                <w:sz w:val="20"/>
                <w:szCs w:val="20"/>
                <w:color w:val="auto"/>
              </w:rPr>
            </w:pPr>
            <w:r>
              <w:rPr>
                <w:rFonts w:ascii="Arial" w:cs="Arial" w:eastAsia="Arial" w:hAnsi="Arial"/>
                <w:sz w:val="20"/>
                <w:szCs w:val="20"/>
                <w:color w:val="auto"/>
              </w:rPr>
              <w:t>Taft Sand and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80" w:type="dxa"/>
            <w:vAlign w:val="bottom"/>
            <w:gridSpan w:val="2"/>
          </w:tcPr>
          <w:p>
            <w:pPr>
              <w:spacing w:after="0"/>
              <w:rPr>
                <w:sz w:val="20"/>
                <w:szCs w:val="20"/>
                <w:color w:val="auto"/>
              </w:rPr>
            </w:pPr>
            <w:r>
              <w:rPr>
                <w:rFonts w:ascii="Arial" w:cs="Arial" w:eastAsia="Arial" w:hAnsi="Arial"/>
                <w:sz w:val="20"/>
                <w:szCs w:val="20"/>
                <w:color w:val="auto"/>
              </w:rPr>
              <w:t>Gravel</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504526</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Taft Shop</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504735</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tcPr>
          <w:p>
            <w:pPr>
              <w:spacing w:after="0" w:line="227" w:lineRule="exact"/>
              <w:rPr>
                <w:sz w:val="20"/>
                <w:szCs w:val="20"/>
                <w:color w:val="auto"/>
              </w:rPr>
            </w:pPr>
            <w:r>
              <w:rPr>
                <w:rFonts w:ascii="Arial" w:cs="Arial" w:eastAsia="Arial" w:hAnsi="Arial"/>
                <w:sz w:val="20"/>
                <w:szCs w:val="20"/>
                <w:color w:val="auto"/>
              </w:rPr>
              <w:t>Three Bells</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20"/>
                <w:szCs w:val="20"/>
                <w:color w:val="auto"/>
              </w:rPr>
              <w:t>Ditullio Sand and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580" w:type="dxa"/>
            <w:vAlign w:val="bottom"/>
            <w:gridSpan w:val="2"/>
          </w:tcPr>
          <w:p>
            <w:pPr>
              <w:spacing w:after="0"/>
              <w:rPr>
                <w:sz w:val="20"/>
                <w:szCs w:val="20"/>
                <w:color w:val="auto"/>
              </w:rPr>
            </w:pPr>
            <w:r>
              <w:rPr>
                <w:rFonts w:ascii="Arial" w:cs="Arial" w:eastAsia="Arial" w:hAnsi="Arial"/>
                <w:sz w:val="20"/>
                <w:szCs w:val="20"/>
                <w:color w:val="auto"/>
              </w:rPr>
              <w:t>Gravel</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504361</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0</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tcPr>
          <w:p>
            <w:pPr>
              <w:jc w:val="right"/>
              <w:spacing w:after="0"/>
              <w:rPr>
                <w:sz w:val="20"/>
                <w:szCs w:val="20"/>
                <w:color w:val="auto"/>
              </w:rPr>
            </w:pPr>
            <w:r>
              <w:rPr>
                <w:rFonts w:ascii="Arial" w:cs="Arial" w:eastAsia="Arial" w:hAnsi="Arial"/>
                <w:sz w:val="20"/>
                <w:szCs w:val="20"/>
                <w:color w:val="auto"/>
              </w:rPr>
              <w:t>0</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Hunter Cement</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20"/>
                <w:szCs w:val="20"/>
                <w:color w:val="auto"/>
              </w:rPr>
              <w:t>TXI</w:t>
            </w:r>
          </w:p>
        </w:tc>
        <w:tc>
          <w:tcPr>
            <w:tcW w:w="92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89"/>
              </w:rPr>
              <w:t>4102820</w:t>
            </w:r>
          </w:p>
        </w:tc>
        <w:tc>
          <w:tcPr>
            <w:tcW w:w="7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rPr>
              <w:t>1</w:t>
            </w:r>
          </w:p>
        </w:tc>
        <w:tc>
          <w:tcPr>
            <w:tcW w:w="88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3,543</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tcPr>
          <w:p>
            <w:pPr>
              <w:spacing w:after="0" w:line="227" w:lineRule="exact"/>
              <w:rPr>
                <w:sz w:val="20"/>
                <w:szCs w:val="20"/>
                <w:color w:val="auto"/>
              </w:rPr>
            </w:pPr>
            <w:r>
              <w:rPr>
                <w:rFonts w:ascii="Arial" w:cs="Arial" w:eastAsia="Arial" w:hAnsi="Arial"/>
                <w:sz w:val="20"/>
                <w:szCs w:val="20"/>
                <w:color w:val="auto"/>
                <w:w w:val="92"/>
              </w:rPr>
              <w:t>Midlothian Cement</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20"/>
                <w:szCs w:val="20"/>
                <w:color w:val="auto"/>
              </w:rPr>
              <w:t>TXI</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w w:val="89"/>
              </w:rPr>
              <w:t>4100071</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5</w:t>
            </w:r>
          </w:p>
        </w:tc>
        <w:tc>
          <w:tcPr>
            <w:tcW w:w="88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4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right"/>
              <w:ind w:right="241"/>
              <w:spacing w:after="0"/>
              <w:rPr>
                <w:sz w:val="20"/>
                <w:szCs w:val="20"/>
                <w:color w:val="auto"/>
              </w:rPr>
            </w:pPr>
            <w:r>
              <w:rPr>
                <w:rFonts w:ascii="Arial" w:cs="Arial" w:eastAsia="Arial" w:hAnsi="Arial"/>
                <w:sz w:val="20"/>
                <w:szCs w:val="20"/>
                <w:color w:val="auto"/>
              </w:rPr>
              <w:t>1</w:t>
            </w:r>
          </w:p>
        </w:tc>
        <w:tc>
          <w:tcPr>
            <w:tcW w:w="480" w:type="dxa"/>
            <w:vAlign w:val="bottom"/>
          </w:tcPr>
          <w:p>
            <w:pPr>
              <w:jc w:val="right"/>
              <w:spacing w:after="0"/>
              <w:rPr>
                <w:sz w:val="20"/>
                <w:szCs w:val="20"/>
                <w:color w:val="auto"/>
              </w:rPr>
            </w:pPr>
            <w:r>
              <w:rPr>
                <w:rFonts w:ascii="Arial" w:cs="Arial" w:eastAsia="Arial" w:hAnsi="Arial"/>
                <w:sz w:val="20"/>
                <w:szCs w:val="20"/>
                <w:color w:val="auto"/>
              </w:rPr>
              <w:t>1</w:t>
            </w:r>
          </w:p>
        </w:tc>
        <w:tc>
          <w:tcPr>
            <w:tcW w:w="10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9"/>
        </w:trPr>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w w:val="95"/>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380" w:type="dxa"/>
            <w:vAlign w:val="bottom"/>
            <w:shd w:val="clear" w:color="auto" w:fill="CFF0FC"/>
          </w:tcPr>
          <w:p>
            <w:pPr>
              <w:spacing w:after="0"/>
              <w:rPr>
                <w:sz w:val="20"/>
                <w:szCs w:val="20"/>
                <w:color w:val="auto"/>
              </w:rPr>
            </w:pPr>
            <w:r>
              <w:rPr>
                <w:rFonts w:ascii="Arial" w:cs="Arial" w:eastAsia="Arial" w:hAnsi="Arial"/>
                <w:sz w:val="20"/>
                <w:szCs w:val="20"/>
                <w:color w:val="auto"/>
              </w:rPr>
              <w:t>Salisbury Shop</w:t>
            </w:r>
          </w:p>
        </w:tc>
        <w:tc>
          <w:tcPr>
            <w:tcW w:w="10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3101235</w:t>
            </w:r>
          </w:p>
        </w:tc>
        <w:tc>
          <w:tcPr>
            <w:tcW w:w="760" w:type="dxa"/>
            <w:vAlign w:val="bottom"/>
            <w:shd w:val="clear" w:color="auto" w:fill="CFF0FC"/>
          </w:tcPr>
          <w:p>
            <w:pPr>
              <w:jc w:val="center"/>
              <w:ind w:right="121"/>
              <w:spacing w:after="0"/>
              <w:rPr>
                <w:sz w:val="20"/>
                <w:szCs w:val="20"/>
                <w:color w:val="auto"/>
              </w:rPr>
            </w:pPr>
            <w:r>
              <w:rPr>
                <w:rFonts w:ascii="Arial" w:cs="Arial" w:eastAsia="Arial" w:hAnsi="Arial"/>
                <w:sz w:val="20"/>
                <w:szCs w:val="20"/>
                <w:color w:val="auto"/>
                <w:w w:val="89"/>
              </w:rPr>
              <w:t>1</w:t>
            </w:r>
          </w:p>
        </w:tc>
        <w:tc>
          <w:tcPr>
            <w:tcW w:w="82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80" w:type="dxa"/>
            <w:vAlign w:val="bottom"/>
          </w:tcPr>
          <w:p>
            <w:pPr>
              <w:spacing w:after="0"/>
              <w:rPr>
                <w:sz w:val="20"/>
                <w:szCs w:val="20"/>
                <w:color w:val="auto"/>
              </w:rPr>
            </w:pPr>
            <w:r>
              <w:rPr>
                <w:rFonts w:ascii="Arial" w:cs="Arial" w:eastAsia="Arial" w:hAnsi="Arial"/>
                <w:sz w:val="20"/>
                <w:szCs w:val="20"/>
                <w:color w:val="auto"/>
              </w:rPr>
              <w:t>Woodville</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3300156</w:t>
            </w:r>
          </w:p>
        </w:tc>
        <w:tc>
          <w:tcPr>
            <w:tcW w:w="760" w:type="dxa"/>
            <w:vAlign w:val="bottom"/>
          </w:tcPr>
          <w:p>
            <w:pPr>
              <w:jc w:val="center"/>
              <w:ind w:right="121"/>
              <w:spacing w:after="0"/>
              <w:rPr>
                <w:sz w:val="20"/>
                <w:szCs w:val="20"/>
                <w:color w:val="auto"/>
              </w:rPr>
            </w:pPr>
            <w:r>
              <w:rPr>
                <w:rFonts w:ascii="Arial" w:cs="Arial" w:eastAsia="Arial" w:hAnsi="Arial"/>
                <w:sz w:val="20"/>
                <w:szCs w:val="20"/>
                <w:color w:val="auto"/>
                <w:w w:val="89"/>
              </w:rPr>
              <w:t>2</w:t>
            </w:r>
          </w:p>
        </w:tc>
        <w:tc>
          <w:tcPr>
            <w:tcW w:w="820" w:type="dxa"/>
            <w:vAlign w:val="bottom"/>
          </w:tcPr>
          <w:p>
            <w:pPr>
              <w:jc w:val="right"/>
              <w:ind w:right="241"/>
              <w:spacing w:after="0"/>
              <w:rPr>
                <w:sz w:val="20"/>
                <w:szCs w:val="20"/>
                <w:color w:val="auto"/>
              </w:rPr>
            </w:pPr>
            <w:r>
              <w:rPr>
                <w:rFonts w:ascii="Arial" w:cs="Arial" w:eastAsia="Arial" w:hAnsi="Arial"/>
                <w:sz w:val="20"/>
                <w:szCs w:val="20"/>
                <w:color w:val="auto"/>
              </w:rPr>
              <w:t>0</w:t>
            </w:r>
          </w:p>
        </w:tc>
        <w:tc>
          <w:tcPr>
            <w:tcW w:w="7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80" w:type="dxa"/>
            <w:vAlign w:val="bottom"/>
          </w:tcPr>
          <w:p>
            <w:pPr>
              <w:ind w:left="26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60" w:type="dxa"/>
            <w:vAlign w:val="bottom"/>
          </w:tcPr>
          <w:p>
            <w:pPr>
              <w:jc w:val="right"/>
              <w:spacing w:after="0"/>
              <w:rPr>
                <w:sz w:val="20"/>
                <w:szCs w:val="20"/>
                <w:color w:val="auto"/>
              </w:rPr>
            </w:pPr>
            <w:r>
              <w:rPr>
                <w:rFonts w:ascii="Arial" w:cs="Arial" w:eastAsia="Arial" w:hAnsi="Arial"/>
                <w:sz w:val="20"/>
                <w:szCs w:val="20"/>
                <w:color w:val="auto"/>
              </w:rPr>
              <w:t>0</w:t>
            </w:r>
          </w:p>
        </w:tc>
        <w:tc>
          <w:tcPr>
            <w:tcW w:w="9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TOTALS</w:t>
            </w:r>
          </w:p>
        </w:tc>
        <w:tc>
          <w:tcPr>
            <w:tcW w:w="1040" w:type="dxa"/>
            <w:vAlign w:val="bottom"/>
            <w:shd w:val="clear" w:color="auto" w:fill="CFF0FC"/>
          </w:tcPr>
          <w:p>
            <w:pPr>
              <w:spacing w:after="0"/>
              <w:rPr>
                <w:sz w:val="21"/>
                <w:szCs w:val="21"/>
                <w:color w:val="auto"/>
              </w:rPr>
            </w:pPr>
          </w:p>
        </w:tc>
        <w:tc>
          <w:tcPr>
            <w:tcW w:w="760" w:type="dxa"/>
            <w:vAlign w:val="bottom"/>
            <w:shd w:val="clear" w:color="auto" w:fill="CFF0FC"/>
          </w:tcPr>
          <w:p>
            <w:pPr>
              <w:jc w:val="center"/>
              <w:ind w:right="101"/>
              <w:spacing w:after="0"/>
              <w:rPr>
                <w:sz w:val="20"/>
                <w:szCs w:val="20"/>
                <w:color w:val="auto"/>
              </w:rPr>
            </w:pPr>
            <w:r>
              <w:rPr>
                <w:rFonts w:ascii="Arial" w:cs="Arial" w:eastAsia="Arial" w:hAnsi="Arial"/>
                <w:sz w:val="20"/>
                <w:szCs w:val="20"/>
                <w:b w:val="1"/>
                <w:bCs w:val="1"/>
                <w:color w:val="auto"/>
                <w:w w:val="89"/>
              </w:rPr>
              <w:t>40</w:t>
            </w:r>
          </w:p>
        </w:tc>
        <w:tc>
          <w:tcPr>
            <w:tcW w:w="820" w:type="dxa"/>
            <w:vAlign w:val="bottom"/>
            <w:shd w:val="clear" w:color="auto" w:fill="CFF0FC"/>
          </w:tcPr>
          <w:p>
            <w:pPr>
              <w:jc w:val="right"/>
              <w:ind w:right="241"/>
              <w:spacing w:after="0"/>
              <w:rPr>
                <w:sz w:val="20"/>
                <w:szCs w:val="20"/>
                <w:color w:val="auto"/>
              </w:rPr>
            </w:pPr>
            <w:r>
              <w:rPr>
                <w:rFonts w:ascii="Arial" w:cs="Arial" w:eastAsia="Arial" w:hAnsi="Arial"/>
                <w:sz w:val="20"/>
                <w:szCs w:val="20"/>
                <w:b w:val="1"/>
                <w:bCs w:val="1"/>
                <w:color w:val="auto"/>
              </w:rPr>
              <w:t>0</w:t>
            </w:r>
          </w:p>
        </w:tc>
        <w:tc>
          <w:tcPr>
            <w:tcW w:w="740" w:type="dxa"/>
            <w:vAlign w:val="bottom"/>
            <w:shd w:val="clear" w:color="auto" w:fill="CFF0FC"/>
          </w:tcPr>
          <w:p>
            <w:pPr>
              <w:jc w:val="right"/>
              <w:ind w:right="181"/>
              <w:spacing w:after="0"/>
              <w:rPr>
                <w:sz w:val="20"/>
                <w:szCs w:val="20"/>
                <w:color w:val="auto"/>
              </w:rPr>
            </w:pPr>
            <w:r>
              <w:rPr>
                <w:rFonts w:ascii="Arial" w:cs="Arial" w:eastAsia="Arial" w:hAnsi="Arial"/>
                <w:sz w:val="20"/>
                <w:szCs w:val="20"/>
                <w:b w:val="1"/>
                <w:bCs w:val="1"/>
                <w:color w:val="auto"/>
              </w:rPr>
              <w:t>1</w:t>
            </w:r>
          </w:p>
        </w:tc>
        <w:tc>
          <w:tcPr>
            <w:tcW w:w="720" w:type="dxa"/>
            <w:vAlign w:val="bottom"/>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0</w:t>
            </w:r>
          </w:p>
        </w:tc>
        <w:tc>
          <w:tcPr>
            <w:tcW w:w="580" w:type="dxa"/>
            <w:vAlign w:val="bottom"/>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20"/>
                <w:szCs w:val="20"/>
                <w:b w:val="1"/>
                <w:bCs w:val="1"/>
                <w:color w:val="auto"/>
                <w:w w:val="88"/>
              </w:rPr>
              <w:t>21,648</w:t>
            </w:r>
          </w:p>
        </w:tc>
        <w:tc>
          <w:tcPr>
            <w:tcW w:w="520" w:type="dxa"/>
            <w:vAlign w:val="bottom"/>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0</w:t>
            </w:r>
          </w:p>
        </w:tc>
        <w:tc>
          <w:tcPr>
            <w:tcW w:w="7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b w:val="1"/>
                <w:bCs w:val="1"/>
                <w:color w:val="auto"/>
                <w:w w:val="89"/>
              </w:rPr>
              <w:t>31</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8</w:t>
            </w:r>
          </w:p>
        </w:tc>
        <w:tc>
          <w:tcPr>
            <w:tcW w:w="980" w:type="dxa"/>
            <w:vAlign w:val="bottom"/>
            <w:shd w:val="clear" w:color="auto" w:fill="CFF0FC"/>
          </w:tcPr>
          <w:p>
            <w:pPr>
              <w:jc w:val="right"/>
              <w:ind w:right="201"/>
              <w:spacing w:after="0"/>
              <w:rPr>
                <w:sz w:val="20"/>
                <w:szCs w:val="20"/>
                <w:color w:val="auto"/>
              </w:rPr>
            </w:pPr>
            <w:r>
              <w:rPr>
                <w:rFonts w:ascii="Arial" w:cs="Arial" w:eastAsia="Arial" w:hAnsi="Arial"/>
                <w:sz w:val="20"/>
                <w:szCs w:val="20"/>
                <w:b w:val="1"/>
                <w:bCs w:val="1"/>
                <w:color w:val="auto"/>
              </w:rPr>
              <w:t>4</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left="80"/>
        <w:spacing w:after="0" w:line="282" w:lineRule="auto"/>
        <w:rPr>
          <w:sz w:val="20"/>
          <w:szCs w:val="20"/>
          <w:color w:val="auto"/>
        </w:rPr>
      </w:pPr>
      <w:r>
        <w:rPr>
          <w:rFonts w:ascii="Arial" w:cs="Arial" w:eastAsia="Arial" w:hAnsi="Arial"/>
          <w:sz w:val="18"/>
          <w:szCs w:val="18"/>
          <w:color w:val="auto"/>
        </w:rPr>
        <w:t>*Of the 31 legal actions pending on March 31, 2017, 20 were contests of citations or orders referenced in Subpart B of CFR Part 2700, which includes contests of citations and orders issued under Section 104 of the Mine Act and contests of imminent danger orders under Section 107 of the Mine Act and 11 were contests of proposed penalties referenced in Subpart C of 29 CFR Part 2700, which are administrative proceedings before the Commission challenging a civil penalty that MSHA has proposed for the violation contained in a citation or order.</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1."/>
      <w:numFmt w:val="decimal"/>
      <w:start w:val="3"/>
    </w:lvl>
  </w:abstractNum>
  <w:abstractNum w:abstractNumId="10">
    <w:nsid w:val="5C482A97"/>
    <w:multiLevelType w:val="hybridMultilevel"/>
    <w:lvl w:ilvl="0">
      <w:lvlJc w:val="left"/>
      <w:lvlText w:val="%1."/>
      <w:numFmt w:val="decimal"/>
      <w:start w:val="4"/>
    </w:lvl>
  </w:abstractNum>
  <w:abstractNum w:abstractNumId="11">
    <w:nsid w:val="2463B9EA"/>
    <w:multiLevelType w:val="hybridMultilevel"/>
    <w:lvl w:ilvl="0">
      <w:lvlJc w:val="left"/>
      <w:lvlText w:val="%1."/>
      <w:numFmt w:val="decimal"/>
      <w:start w:val="5"/>
    </w:lvl>
  </w:abstractNum>
  <w:abstractNum w:abstractNumId="12">
    <w:nsid w:val="5E884ADC"/>
    <w:multiLevelType w:val="hybridMultilevel"/>
    <w:lvl w:ilvl="0">
      <w:lvlJc w:val="left"/>
      <w:lvlText w:val="%1."/>
      <w:numFmt w:val="decimal"/>
      <w:start w:val="7"/>
    </w:lvl>
  </w:abstractNum>
  <w:abstractNum w:abstractNumId="13">
    <w:nsid w:val="51EAD36B"/>
    <w:multiLevelType w:val="hybridMultilevel"/>
    <w:lvl w:ilvl="0">
      <w:lvlJc w:val="left"/>
      <w:lvlText w:val="%1."/>
      <w:numFmt w:val="decimal"/>
      <w:start w:val="8"/>
    </w:lvl>
  </w:abstractNum>
  <w:abstractNum w:abstractNumId="14">
    <w:nsid w:val="2D517796"/>
    <w:multiLevelType w:val="hybridMultilevel"/>
    <w:lvl w:ilvl="0">
      <w:lvlJc w:val="left"/>
      <w:lvlText w:val="%1."/>
      <w:numFmt w:val="decimal"/>
      <w:start w:val="8"/>
    </w:lvl>
  </w:abstractNum>
  <w:abstractNum w:abstractNumId="15">
    <w:nsid w:val="580BD78F"/>
    <w:multiLevelType w:val="hybridMultilevel"/>
    <w:lvl w:ilvl="0">
      <w:lvlJc w:val="left"/>
      <w:lvlText w:val="%1."/>
      <w:numFmt w:val="decimal"/>
      <w:start w:val="9"/>
    </w:lvl>
  </w:abstractNum>
  <w:abstractNum w:abstractNumId="16">
    <w:nsid w:val="153EA438"/>
    <w:multiLevelType w:val="hybridMultilevel"/>
    <w:lvl w:ilvl="0">
      <w:lvlJc w:val="left"/>
      <w:lvlText w:val="%1."/>
      <w:numFmt w:val="decimal"/>
      <w:start w:val="9"/>
    </w:lvl>
  </w:abstractNum>
  <w:abstractNum w:abstractNumId="17">
    <w:nsid w:val="3855585C"/>
    <w:multiLevelType w:val="hybridMultilevel"/>
    <w:lvl w:ilvl="0">
      <w:lvlJc w:val="left"/>
      <w:lvlText w:val="%1."/>
      <w:numFmt w:val="decimal"/>
      <w:start w:val="10"/>
    </w:lvl>
  </w:abstractNum>
  <w:abstractNum w:abstractNumId="18">
    <w:nsid w:val="70A64E2A"/>
    <w:multiLevelType w:val="hybridMultilevel"/>
    <w:lvl w:ilvl="0">
      <w:lvlJc w:val="left"/>
      <w:lvlText w:val="%1."/>
      <w:numFmt w:val="decimal"/>
      <w:start w:val="1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2"/>
    </w:lvl>
  </w:abstractNum>
  <w:abstractNum w:abstractNumId="25">
    <w:nsid w:val="7A6D8D3C"/>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26">
    <w:nsid w:val="4B588F54"/>
    <w:multiLevelType w:val="hybridMultilevel"/>
    <w:lvl w:ilvl="0">
      <w:lvlJc w:val="left"/>
      <w:lvlText w:val="%1)"/>
      <w:numFmt w:val="decimal"/>
      <w:start w:val="2"/>
    </w:lvl>
    <w:lvl w:ilvl="1">
      <w:lvlJc w:val="left"/>
      <w:lvlText w:val="%2."/>
      <w:numFmt w:val="lowerRoman"/>
      <w:start w:val="1"/>
    </w:lvl>
  </w:abstractNum>
  <w:abstractNum w:abstractNumId="27">
    <w:nsid w:val="542289EC"/>
    <w:multiLevelType w:val="hybridMultilevel"/>
    <w:lvl w:ilvl="0">
      <w:lvlJc w:val="left"/>
      <w:lvlText w:val="(%1)"/>
      <w:numFmt w:val="lowerLetter"/>
      <w:start w:val="3"/>
    </w:lvl>
  </w:abstractNum>
  <w:abstractNum w:abstractNumId="28">
    <w:nsid w:val="6DE91B1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3"/>
    </w:lvl>
  </w:abstractNum>
  <w:abstractNum w:abstractNumId="29">
    <w:nsid w:val="38437FD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0">
    <w:nsid w:val="7644A45C"/>
    <w:multiLevelType w:val="hybridMultilevel"/>
    <w:lvl w:ilvl="0">
      <w:lvlJc w:val="left"/>
      <w:lvlText w:val="%1."/>
      <w:numFmt w:val="decimal"/>
      <w:start w:val="6"/>
    </w:lvl>
  </w:abstractNum>
  <w:abstractNum w:abstractNumId="31">
    <w:nsid w:val="32FFF902"/>
    <w:multiLevelType w:val="hybridMultilevel"/>
    <w:lvl w:ilvl="0">
      <w:lvlJc w:val="left"/>
      <w:lvlText w:val="%1."/>
      <w:numFmt w:val="decimal"/>
      <w:start w:val="7"/>
    </w:lvl>
    <w:lvl w:ilvl="1">
      <w:lvlJc w:val="left"/>
      <w:lvlText w:val="(%2)"/>
      <w:numFmt w:val="lowerLetter"/>
      <w:start w:val="1"/>
    </w:lvl>
  </w:abstractNum>
  <w:abstractNum w:abstractNumId="32">
    <w:nsid w:val="684A481A"/>
    <w:multiLevelType w:val="hybridMultilevel"/>
    <w:lvl w:ilvl="0">
      <w:lvlJc w:val="left"/>
      <w:lvlText w:val="%1."/>
      <w:numFmt w:val="decimal"/>
      <w:start w:val="8"/>
    </w:lvl>
  </w:abstractNum>
  <w:abstractNum w:abstractNumId="33">
    <w:nsid w:val="579478FE"/>
    <w:multiLevelType w:val="hybridMultilevel"/>
    <w:lvl w:ilvl="0">
      <w:lvlJc w:val="left"/>
      <w:lvlText w:val="%1."/>
      <w:numFmt w:val="decimal"/>
      <w:start w:val="9"/>
    </w:lvl>
  </w:abstractNum>
  <w:abstractNum w:abstractNumId="34">
    <w:nsid w:val="749ABB43"/>
    <w:multiLevelType w:val="hybridMultilevel"/>
    <w:lvl w:ilvl="0">
      <w:lvlJc w:val="left"/>
      <w:lvlText w:val="%1."/>
      <w:numFmt w:val="decimal"/>
      <w:start w:val="10"/>
    </w:lvl>
  </w:abstractNum>
  <w:abstractNum w:abstractNumId="35">
    <w:nsid w:val="3DC240FB"/>
    <w:multiLevelType w:val="hybridMultilevel"/>
    <w:lvl w:ilvl="0">
      <w:lvlJc w:val="left"/>
      <w:lvlText w:val="%1."/>
      <w:numFmt w:val="decimal"/>
      <w:start w:val="11"/>
    </w:lvl>
  </w:abstractNum>
  <w:abstractNum w:abstractNumId="36">
    <w:nsid w:val="1BA026FA"/>
    <w:multiLevelType w:val="hybridMultilevel"/>
    <w:lvl w:ilvl="0">
      <w:lvlJc w:val="left"/>
      <w:lvlText w:val="%1."/>
      <w:numFmt w:val="decimal"/>
      <w:start w:val="12"/>
    </w:lvl>
    <w:lvl w:ilvl="1">
      <w:lvlJc w:val="left"/>
      <w:lvlText w:val="(%2)"/>
      <w:numFmt w:val="lowerLetter"/>
      <w:start w:val="1"/>
    </w:lvl>
  </w:abstractNum>
  <w:abstractNum w:abstractNumId="37">
    <w:nsid w:val="79A1DEAA"/>
    <w:multiLevelType w:val="hybridMultilevel"/>
    <w:lvl w:ilvl="0">
      <w:lvlJc w:val="left"/>
      <w:lvlText w:val="%1"/>
      <w:numFmt w:val="decimal"/>
      <w:start w:val="1"/>
    </w:lvl>
    <w:lvl w:ilvl="1">
      <w:lvlJc w:val="left"/>
      <w:lvlText w:val="(%2)"/>
      <w:numFmt w:val="decimal"/>
      <w:start w:val="90"/>
    </w:lvl>
  </w:abstractNum>
  <w:abstractNum w:abstractNumId="38">
    <w:nsid w:val="75C6C33A"/>
    <w:multiLevelType w:val="hybridMultilevel"/>
    <w:lvl w:ilvl="0">
      <w:lvlJc w:val="left"/>
      <w:lvlText w:val="%1."/>
      <w:numFmt w:val="decimal"/>
      <w:start w:val="13"/>
    </w:lvl>
    <w:lvl w:ilvl="1">
      <w:lvlJc w:val="left"/>
      <w:lvlText w:val="%2"/>
      <w:numFmt w:val="decimal"/>
      <w:start w:val="1"/>
    </w:lvl>
  </w:abstractNum>
  <w:abstractNum w:abstractNumId="39">
    <w:nsid w:val="12E685FB"/>
    <w:multiLevelType w:val="hybridMultilevel"/>
    <w:lvl w:ilvl="0">
      <w:lvlJc w:val="left"/>
      <w:lvlText w:val="%1."/>
      <w:numFmt w:val="decimal"/>
      <w:start w:val="14"/>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2"/>
    </w:lvl>
  </w:abstractNum>
  <w:abstractNum w:abstractNumId="42">
    <w:nsid w:val="374A3FE6"/>
    <w:multiLevelType w:val="hybridMultilevel"/>
    <w:lvl w:ilvl="0">
      <w:lvlJc w:val="left"/>
      <w:lvlText w:val="%1."/>
      <w:numFmt w:val="decimal"/>
      <w:start w:val="4"/>
    </w:lvl>
  </w:abstractNum>
  <w:abstractNum w:abstractNumId="43">
    <w:nsid w:val="4F4EF005"/>
    <w:multiLevelType w:val="hybridMultilevel"/>
    <w:lvl w:ilvl="0">
      <w:lvlJc w:val="left"/>
      <w:lvlText w:val="%1."/>
      <w:numFmt w:val="decimal"/>
      <w:start w:val="5"/>
    </w:lvl>
  </w:abstractNum>
  <w:abstractNum w:abstractNumId="44">
    <w:nsid w:val="23F9C13C"/>
    <w:multiLevelType w:val="hybridMultilevel"/>
    <w:lvl w:ilvl="0">
      <w:lvlJc w:val="left"/>
      <w:lvlText w:val="%1."/>
      <w:numFmt w:val="decimal"/>
      <w:start w:val="6"/>
    </w:lvl>
  </w:abstractNum>
  <w:abstractNum w:abstractNumId="45">
    <w:nsid w:val="649BB77C"/>
    <w:multiLevelType w:val="hybridMultilevel"/>
    <w:lvl w:ilvl="0">
      <w:lvlJc w:val="left"/>
      <w:lvlText w:val="%1."/>
      <w:numFmt w:val="decimal"/>
      <w:start w:val="7"/>
    </w:lvl>
    <w:lvl w:ilvl="1">
      <w:lvlJc w:val="left"/>
      <w:lvlText w:val="(%2)"/>
      <w:numFmt w:val="lowerLetter"/>
      <w:start w:val="1"/>
    </w:lvl>
  </w:abstractNum>
  <w:abstractNum w:abstractNumId="46">
    <w:nsid w:val="275AC794"/>
    <w:multiLevelType w:val="hybridMultilevel"/>
    <w:lvl w:ilvl="0">
      <w:lvlJc w:val="left"/>
      <w:lvlText w:val="%1"/>
      <w:numFmt w:val="decimal"/>
      <w:start w:val="1"/>
    </w:lvl>
    <w:lvl w:ilvl="1">
      <w:lvlJc w:val="left"/>
      <w:lvlText w:val="(%2)"/>
      <w:numFmt w:val="lowerLetter"/>
      <w:start w:val="4"/>
    </w:lvl>
  </w:abstractNum>
  <w:abstractNum w:abstractNumId="47">
    <w:nsid w:val="39386575"/>
    <w:multiLevelType w:val="hybridMultilevel"/>
    <w:lvl w:ilvl="0">
      <w:lvlJc w:val="left"/>
      <w:lvlText w:val="%1."/>
      <w:numFmt w:val="decimal"/>
      <w:start w:val="8"/>
    </w:lvl>
    <w:lvl w:ilvl="1">
      <w:lvlJc w:val="left"/>
      <w:lvlText w:val="%2"/>
      <w:numFmt w:val="lowerLetter"/>
      <w:start w:val="1"/>
    </w:lvl>
  </w:abstractNum>
  <w:abstractNum w:abstractNumId="48">
    <w:nsid w:val="1CF10FD8"/>
    <w:multiLevelType w:val="hybridMultilevel"/>
    <w:lvl w:ilvl="0">
      <w:lvlJc w:val="left"/>
      <w:lvlText w:val="%1."/>
      <w:numFmt w:val="decimal"/>
      <w:start w:val="9"/>
    </w:lvl>
  </w:abstractNum>
  <w:abstractNum w:abstractNumId="49">
    <w:nsid w:val="180115BE"/>
    <w:multiLevelType w:val="hybridMultilevel"/>
    <w:lvl w:ilvl="0">
      <w:lvlJc w:val="left"/>
      <w:lvlText w:val="(%1)"/>
      <w:numFmt w:val="lowerLetter"/>
      <w:start w:val="1"/>
    </w:lvl>
  </w:abstractNum>
  <w:abstractNum w:abstractNumId="50">
    <w:nsid w:val="235BA861"/>
    <w:multiLevelType w:val="hybridMultilevel"/>
    <w:lvl w:ilvl="0">
      <w:lvlJc w:val="left"/>
      <w:lvlText w:val="%1."/>
      <w:numFmt w:val="decimal"/>
      <w:start w:val="10"/>
    </w:lvl>
  </w:abstractNum>
  <w:abstractNum w:abstractNumId="51">
    <w:nsid w:val="47398C89"/>
    <w:multiLevelType w:val="hybridMultilevel"/>
    <w:lvl w:ilvl="0">
      <w:lvlJc w:val="left"/>
      <w:lvlText w:val="%1."/>
      <w:numFmt w:val="decimal"/>
      <w:start w:val="11"/>
    </w:lvl>
  </w:abstractNum>
  <w:abstractNum w:abstractNumId="52">
    <w:nsid w:val="354FE9F9"/>
    <w:multiLevelType w:val="hybridMultilevel"/>
    <w:lvl w:ilvl="0">
      <w:lvlJc w:val="left"/>
      <w:lvlText w:val="%1."/>
      <w:numFmt w:val="decimal"/>
      <w:start w:val="12"/>
    </w:lvl>
    <w:lvl w:ilvl="1">
      <w:lvlJc w:val="left"/>
      <w:lvlText w:val="(%2)"/>
      <w:numFmt w:val="lowerLetter"/>
      <w:start w:val="1"/>
    </w:lvl>
  </w:abstractNum>
  <w:abstractNum w:abstractNumId="53">
    <w:nsid w:val="15B5AF5C"/>
    <w:multiLevelType w:val="hybridMultilevel"/>
    <w:lvl w:ilvl="0">
      <w:lvlJc w:val="left"/>
      <w:lvlText w:val="%1"/>
      <w:numFmt w:val="decimal"/>
      <w:start w:val="1"/>
    </w:lvl>
    <w:lvl w:ilvl="1">
      <w:lvlJc w:val="left"/>
      <w:lvlText w:val="(%2)"/>
      <w:numFmt w:val="lowerLetter"/>
      <w:start w:val="5"/>
    </w:lvl>
    <w:lvl w:ilvl="2">
      <w:lvlJc w:val="left"/>
      <w:lvlText w:val="(%3)"/>
      <w:numFmt w:val="decimal"/>
      <w:start w:val="90"/>
    </w:lvl>
  </w:abstractNum>
  <w:abstractNum w:abstractNumId="54">
    <w:nsid w:val="741226BB"/>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abstractNum>
  <w:abstractNum w:abstractNumId="55">
    <w:nsid w:val="D34B6A8"/>
    <w:multiLevelType w:val="hybridMultilevel"/>
    <w:lvl w:ilvl="0">
      <w:lvlJc w:val="left"/>
      <w:lvlText w:val="%1."/>
      <w:numFmt w:val="decimal"/>
      <w:start w:val="14"/>
    </w:lvl>
  </w:abstractNum>
  <w:abstractNum w:abstractNumId="56">
    <w:nsid w:val="10233C99"/>
    <w:multiLevelType w:val="hybridMultilevel"/>
    <w:lvl w:ilvl="0">
      <w:lvlJc w:val="left"/>
      <w:lvlText w:val="%1."/>
      <w:numFmt w:val="decimal"/>
      <w:start w:val="1"/>
    </w:lvl>
    <w:lvl w:ilvl="1">
      <w:lvlJc w:val="left"/>
      <w:lvlText w:val="%2."/>
      <w:numFmt w:val="lowerLetter"/>
      <w:start w:val="1"/>
    </w:lvl>
  </w:abstractNum>
  <w:abstractNum w:abstractNumId="57">
    <w:nsid w:val="3F6AB60F"/>
    <w:multiLevelType w:val="hybridMultilevel"/>
    <w:lvl w:ilvl="0">
      <w:lvlJc w:val="left"/>
      <w:lvlText w:val="%1."/>
      <w:numFmt w:val="decimal"/>
      <w:start w:val="5"/>
    </w:lvl>
    <w:lvl w:ilvl="1">
      <w:lvlJc w:val="left"/>
      <w:lvlText w:val="%2."/>
      <w:numFmt w:val="lowerLetter"/>
      <w:start w:val="1"/>
    </w:lvl>
  </w:abstractNum>
  <w:abstractNum w:abstractNumId="58">
    <w:nsid w:val="61574095"/>
    <w:multiLevelType w:val="hybridMultilevel"/>
    <w:lvl w:ilvl="0">
      <w:lvlJc w:val="left"/>
      <w:lvlText w:val="%1."/>
      <w:numFmt w:val="decimal"/>
      <w:start w:val="1"/>
    </w:lvl>
    <w:lvl w:ilvl="1">
      <w:lvlJc w:val="left"/>
      <w:lvlText w:val="%2."/>
      <w:numFmt w:val="lowerLetter"/>
      <w:start w:val="1"/>
    </w:lvl>
  </w:abstractNum>
  <w:abstractNum w:abstractNumId="59">
    <w:nsid w:val="7E0C57B1"/>
    <w:multiLevelType w:val="hybridMultilevel"/>
    <w:lvl w:ilvl="0">
      <w:lvlJc w:val="left"/>
      <w:lvlText w:val="%1."/>
      <w:numFmt w:val="decimal"/>
      <w:start w:val="5"/>
    </w:lvl>
    <w:lvl w:ilvl="1">
      <w:lvlJc w:val="left"/>
      <w:lvlText w:val="%2."/>
      <w:numFmt w:val="lowerLetter"/>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2019-12-29T06:49:39Z</dcterms:created>
  <dcterms:modified xsi:type="dcterms:W3CDTF">2019-12-29T06:49:39Z</dcterms:modified>
</cp:coreProperties>
</file>